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81A" w:rsidRDefault="00D0425F">
      <w:pPr>
        <w:pStyle w:val="Normal1"/>
        <w:spacing w:line="480" w:lineRule="auto"/>
        <w:jc w:val="center"/>
        <w:rPr>
          <w:rFonts w:ascii="Courier New" w:eastAsia="Courier New" w:hAnsi="Courier New" w:cs="Courier New"/>
          <w:b/>
          <w:sz w:val="24"/>
          <w:szCs w:val="24"/>
        </w:rPr>
      </w:pPr>
      <w:bookmarkStart w:id="0" w:name="_GoBack"/>
      <w:bookmarkEnd w:id="0"/>
      <w:r>
        <w:rPr>
          <w:rFonts w:ascii="Courier New" w:eastAsia="Courier New" w:hAnsi="Courier New" w:cs="Courier New"/>
          <w:b/>
          <w:sz w:val="24"/>
          <w:szCs w:val="24"/>
        </w:rPr>
        <w:t>COMMONWEALTH OF MASSACHUSETTS</w:t>
      </w:r>
    </w:p>
    <w:p w:rsidR="0036081A" w:rsidRDefault="00D0425F">
      <w:pPr>
        <w:pStyle w:val="Normal1"/>
        <w:spacing w:line="480" w:lineRule="auto"/>
        <w:jc w:val="center"/>
        <w:rPr>
          <w:rFonts w:ascii="Courier New" w:eastAsia="Courier New" w:hAnsi="Courier New" w:cs="Courier New"/>
          <w:b/>
          <w:sz w:val="24"/>
          <w:szCs w:val="24"/>
        </w:rPr>
      </w:pPr>
      <w:r>
        <w:rPr>
          <w:rFonts w:ascii="Courier New" w:eastAsia="Courier New" w:hAnsi="Courier New" w:cs="Courier New"/>
          <w:b/>
          <w:sz w:val="24"/>
          <w:szCs w:val="24"/>
        </w:rPr>
        <w:t>APPELLATE TAX BOARD</w:t>
      </w:r>
    </w:p>
    <w:p w:rsidR="0036081A" w:rsidRDefault="0036081A">
      <w:pPr>
        <w:pStyle w:val="Normal1"/>
        <w:spacing w:line="240" w:lineRule="auto"/>
        <w:jc w:val="center"/>
        <w:rPr>
          <w:rFonts w:ascii="Courier New" w:eastAsia="Courier New" w:hAnsi="Courier New" w:cs="Courier New"/>
          <w:b/>
          <w:sz w:val="24"/>
          <w:szCs w:val="24"/>
        </w:rPr>
      </w:pPr>
    </w:p>
    <w:p w:rsidR="0036081A" w:rsidRDefault="00D0425F" w:rsidP="004A0DD5">
      <w:pPr>
        <w:pStyle w:val="Normal1"/>
        <w:spacing w:line="240" w:lineRule="auto"/>
        <w:rPr>
          <w:rFonts w:ascii="Courier New" w:eastAsia="Courier New" w:hAnsi="Courier New" w:cs="Courier New"/>
          <w:b/>
          <w:sz w:val="24"/>
          <w:szCs w:val="24"/>
        </w:rPr>
      </w:pPr>
      <w:r>
        <w:rPr>
          <w:rFonts w:ascii="Courier New" w:eastAsia="Courier New" w:hAnsi="Courier New" w:cs="Courier New"/>
          <w:b/>
          <w:sz w:val="24"/>
          <w:szCs w:val="24"/>
        </w:rPr>
        <w:t>BAY STATE GAS COMPANY</w:t>
      </w:r>
      <w:r>
        <w:rPr>
          <w:rFonts w:ascii="Courier New" w:eastAsia="Courier New" w:hAnsi="Courier New" w:cs="Courier New"/>
          <w:b/>
          <w:sz w:val="24"/>
          <w:szCs w:val="24"/>
        </w:rPr>
        <w:tab/>
      </w:r>
      <w:r>
        <w:rPr>
          <w:rFonts w:ascii="Courier New" w:eastAsia="Courier New" w:hAnsi="Courier New" w:cs="Courier New"/>
          <w:b/>
          <w:sz w:val="24"/>
          <w:szCs w:val="24"/>
        </w:rPr>
        <w:tab/>
        <w:t>v.</w:t>
      </w:r>
      <w:r>
        <w:rPr>
          <w:rFonts w:ascii="Courier New" w:eastAsia="Courier New" w:hAnsi="Courier New" w:cs="Courier New"/>
          <w:b/>
          <w:sz w:val="24"/>
          <w:szCs w:val="24"/>
        </w:rPr>
        <w:tab/>
      </w:r>
      <w:r>
        <w:rPr>
          <w:rFonts w:ascii="Courier New" w:eastAsia="Courier New" w:hAnsi="Courier New" w:cs="Courier New"/>
          <w:b/>
          <w:sz w:val="24"/>
          <w:szCs w:val="24"/>
        </w:rPr>
        <w:tab/>
        <w:t>COMMISSIONER OF REVENUE</w:t>
      </w:r>
    </w:p>
    <w:p w:rsidR="0036081A" w:rsidRDefault="00D0425F" w:rsidP="004A0DD5">
      <w:pPr>
        <w:pStyle w:val="Normal1"/>
        <w:spacing w:line="240" w:lineRule="auto"/>
        <w:rPr>
          <w:rFonts w:ascii="Courier New" w:eastAsia="Courier New" w:hAnsi="Courier New" w:cs="Courier New"/>
          <w:b/>
          <w:sz w:val="24"/>
          <w:szCs w:val="24"/>
        </w:rPr>
      </w:pPr>
      <w:r>
        <w:rPr>
          <w:rFonts w:ascii="Courier New" w:eastAsia="Courier New" w:hAnsi="Courier New" w:cs="Courier New"/>
          <w:b/>
          <w:sz w:val="24"/>
          <w:szCs w:val="24"/>
        </w:rPr>
        <w:t>AND AFFILIATES</w:t>
      </w:r>
      <w:r>
        <w:rPr>
          <w:rFonts w:ascii="Courier New" w:eastAsia="Courier New" w:hAnsi="Courier New" w:cs="Courier New"/>
          <w:b/>
          <w:sz w:val="24"/>
          <w:szCs w:val="24"/>
        </w:rPr>
        <w:tab/>
      </w:r>
      <w:r>
        <w:rPr>
          <w:rFonts w:ascii="Courier New" w:eastAsia="Courier New" w:hAnsi="Courier New" w:cs="Courier New"/>
          <w:b/>
          <w:sz w:val="24"/>
          <w:szCs w:val="24"/>
        </w:rPr>
        <w:tab/>
      </w:r>
    </w:p>
    <w:p w:rsidR="004A0DD5" w:rsidRDefault="004A0DD5" w:rsidP="004A0DD5">
      <w:pPr>
        <w:pStyle w:val="Normal1"/>
        <w:spacing w:line="240" w:lineRule="auto"/>
        <w:rPr>
          <w:rFonts w:ascii="Courier New" w:eastAsia="Courier New" w:hAnsi="Courier New" w:cs="Courier New"/>
          <w:b/>
          <w:sz w:val="24"/>
          <w:szCs w:val="24"/>
        </w:rPr>
      </w:pPr>
    </w:p>
    <w:p w:rsidR="0036081A" w:rsidRDefault="00D0425F" w:rsidP="0010740E">
      <w:pPr>
        <w:pStyle w:val="Normal1"/>
        <w:spacing w:line="240" w:lineRule="auto"/>
        <w:rPr>
          <w:rFonts w:ascii="Courier New" w:eastAsia="Courier New" w:hAnsi="Courier New" w:cs="Courier New"/>
          <w:sz w:val="24"/>
          <w:szCs w:val="24"/>
        </w:rPr>
      </w:pPr>
      <w:r>
        <w:rPr>
          <w:rFonts w:ascii="Courier New" w:eastAsia="Courier New" w:hAnsi="Courier New" w:cs="Courier New"/>
          <w:sz w:val="24"/>
          <w:szCs w:val="24"/>
        </w:rPr>
        <w:t>Docket No. C332071</w:t>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Promulgated:</w:t>
      </w:r>
    </w:p>
    <w:p w:rsidR="0036081A" w:rsidRDefault="00D0425F">
      <w:pPr>
        <w:pStyle w:val="Normal1"/>
        <w:spacing w:line="480" w:lineRule="auto"/>
        <w:rPr>
          <w:rFonts w:ascii="Courier New" w:eastAsia="Courier New" w:hAnsi="Courier New" w:cs="Courier New"/>
          <w:sz w:val="24"/>
          <w:szCs w:val="24"/>
        </w:rPr>
      </w:pP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sidR="00DC15E9">
        <w:rPr>
          <w:rFonts w:ascii="Courier New" w:eastAsia="Courier New" w:hAnsi="Courier New" w:cs="Courier New"/>
          <w:sz w:val="24"/>
          <w:szCs w:val="24"/>
        </w:rPr>
        <w:t>October 23, 2018</w:t>
      </w:r>
    </w:p>
    <w:p w:rsidR="0010740E" w:rsidRDefault="0010740E">
      <w:pPr>
        <w:pStyle w:val="Normal1"/>
        <w:spacing w:line="480" w:lineRule="auto"/>
        <w:rPr>
          <w:rFonts w:ascii="Courier New" w:eastAsia="Courier New" w:hAnsi="Courier New" w:cs="Courier New"/>
          <w:sz w:val="24"/>
          <w:szCs w:val="24"/>
        </w:rPr>
      </w:pPr>
    </w:p>
    <w:p w:rsidR="0036081A" w:rsidRDefault="00D0425F">
      <w:pPr>
        <w:pStyle w:val="Normal1"/>
        <w:spacing w:line="480" w:lineRule="auto"/>
        <w:ind w:firstLine="720"/>
        <w:jc w:val="both"/>
        <w:rPr>
          <w:rFonts w:ascii="Courier New" w:eastAsia="Courier New" w:hAnsi="Courier New" w:cs="Courier New"/>
          <w:sz w:val="24"/>
          <w:szCs w:val="24"/>
        </w:rPr>
      </w:pPr>
      <w:r>
        <w:rPr>
          <w:rFonts w:ascii="Courier New" w:eastAsia="Courier New" w:hAnsi="Courier New" w:cs="Courier New"/>
          <w:color w:val="212121"/>
          <w:sz w:val="24"/>
          <w:szCs w:val="24"/>
        </w:rPr>
        <w:t xml:space="preserve">This is an appeal filed under the formal procedure pursuant to G.L. c. 58A, § 7 and G.L. c. 62C, § 39, from the refusal of the </w:t>
      </w:r>
      <w:r>
        <w:rPr>
          <w:rFonts w:ascii="Courier New" w:eastAsia="Courier New" w:hAnsi="Courier New" w:cs="Courier New"/>
          <w:color w:val="252525"/>
          <w:sz w:val="24"/>
          <w:szCs w:val="24"/>
        </w:rPr>
        <w:t>Commissioner</w:t>
      </w:r>
      <w:r>
        <w:rPr>
          <w:rFonts w:ascii="Courier New" w:eastAsia="Courier New" w:hAnsi="Courier New" w:cs="Courier New"/>
          <w:color w:val="212121"/>
          <w:sz w:val="24"/>
          <w:szCs w:val="24"/>
        </w:rPr>
        <w:t xml:space="preserve"> of </w:t>
      </w:r>
      <w:r>
        <w:rPr>
          <w:rFonts w:ascii="Courier New" w:eastAsia="Courier New" w:hAnsi="Courier New" w:cs="Courier New"/>
          <w:color w:val="252525"/>
          <w:sz w:val="24"/>
          <w:szCs w:val="24"/>
        </w:rPr>
        <w:t>Revenue</w:t>
      </w:r>
      <w:r>
        <w:rPr>
          <w:rFonts w:ascii="Courier New" w:eastAsia="Courier New" w:hAnsi="Courier New" w:cs="Courier New"/>
          <w:color w:val="212121"/>
          <w:sz w:val="24"/>
          <w:szCs w:val="24"/>
        </w:rPr>
        <w:t xml:space="preserve"> (“</w:t>
      </w:r>
      <w:r>
        <w:rPr>
          <w:rFonts w:ascii="Courier New" w:eastAsia="Courier New" w:hAnsi="Courier New" w:cs="Courier New"/>
          <w:color w:val="252525"/>
          <w:sz w:val="24"/>
          <w:szCs w:val="24"/>
        </w:rPr>
        <w:t>Commissioner</w:t>
      </w:r>
      <w:r>
        <w:rPr>
          <w:rFonts w:ascii="Courier New" w:eastAsia="Courier New" w:hAnsi="Courier New" w:cs="Courier New"/>
          <w:color w:val="212121"/>
          <w:sz w:val="24"/>
          <w:szCs w:val="24"/>
        </w:rPr>
        <w:t xml:space="preserve">”) to abate </w:t>
      </w:r>
      <w:r>
        <w:rPr>
          <w:rFonts w:ascii="Courier New" w:eastAsia="Courier New" w:hAnsi="Courier New" w:cs="Courier New"/>
          <w:color w:val="252525"/>
          <w:sz w:val="24"/>
          <w:szCs w:val="24"/>
        </w:rPr>
        <w:t>corporate</w:t>
      </w:r>
      <w:r>
        <w:rPr>
          <w:rFonts w:ascii="Courier New" w:eastAsia="Courier New" w:hAnsi="Courier New" w:cs="Courier New"/>
          <w:color w:val="212121"/>
          <w:sz w:val="24"/>
          <w:szCs w:val="24"/>
        </w:rPr>
        <w:t xml:space="preserve"> </w:t>
      </w:r>
      <w:r>
        <w:rPr>
          <w:rFonts w:ascii="Courier New" w:eastAsia="Courier New" w:hAnsi="Courier New" w:cs="Courier New"/>
          <w:color w:val="252525"/>
          <w:sz w:val="24"/>
          <w:szCs w:val="24"/>
        </w:rPr>
        <w:t>excise</w:t>
      </w:r>
      <w:r>
        <w:rPr>
          <w:rFonts w:ascii="Courier New" w:eastAsia="Courier New" w:hAnsi="Courier New" w:cs="Courier New"/>
          <w:color w:val="212121"/>
          <w:sz w:val="24"/>
          <w:szCs w:val="24"/>
        </w:rPr>
        <w:t xml:space="preserve">, interest, and penalties assessed to Bay State Gas Company and Affiliates (“appellant”) for the tax years ended December 31, 2012 through December 31, 2014 (“tax years at issue”). </w:t>
      </w:r>
    </w:p>
    <w:p w:rsidR="0036081A" w:rsidRDefault="00D0425F">
      <w:pPr>
        <w:pStyle w:val="Normal1"/>
        <w:spacing w:line="480" w:lineRule="auto"/>
        <w:ind w:firstLine="720"/>
        <w:jc w:val="both"/>
        <w:rPr>
          <w:rFonts w:ascii="Courier New" w:eastAsia="Courier New" w:hAnsi="Courier New" w:cs="Courier New"/>
          <w:sz w:val="24"/>
          <w:szCs w:val="24"/>
        </w:rPr>
      </w:pPr>
      <w:r>
        <w:rPr>
          <w:rFonts w:ascii="Courier New" w:eastAsia="Courier New" w:hAnsi="Courier New" w:cs="Courier New"/>
          <w:sz w:val="24"/>
          <w:szCs w:val="24"/>
        </w:rPr>
        <w:t>Chairman Hammond heard the appellant’s Motion for Summary Judgment and the Commissioner’s Cross Motion for Summary Judgment and was joined by Commissioners Scharaffa, Rose, Chmielinski, and Good in the decision for the Commissioner in part, denying the abatement of corporate excise, and for the appellant in part, granting an abatement of penalties.</w:t>
      </w:r>
    </w:p>
    <w:p w:rsidR="0036081A" w:rsidRDefault="00D0425F">
      <w:pPr>
        <w:pStyle w:val="Normal1"/>
        <w:spacing w:line="480" w:lineRule="auto"/>
        <w:ind w:firstLine="720"/>
        <w:jc w:val="both"/>
        <w:rPr>
          <w:rFonts w:ascii="Courier New" w:eastAsia="Courier New" w:hAnsi="Courier New" w:cs="Courier New"/>
          <w:color w:val="212121"/>
          <w:sz w:val="24"/>
          <w:szCs w:val="24"/>
        </w:rPr>
      </w:pPr>
      <w:r>
        <w:rPr>
          <w:rFonts w:ascii="Courier New" w:eastAsia="Courier New" w:hAnsi="Courier New" w:cs="Courier New"/>
          <w:color w:val="212121"/>
          <w:sz w:val="24"/>
          <w:szCs w:val="24"/>
        </w:rPr>
        <w:t>These findings of fact and report are made pursuant to requests by both the appellant and the Commissioner under G.L.</w:t>
      </w:r>
      <w:r w:rsidR="0010740E">
        <w:rPr>
          <w:rFonts w:ascii="Courier New" w:eastAsia="Courier New" w:hAnsi="Courier New" w:cs="Courier New"/>
          <w:color w:val="212121"/>
          <w:sz w:val="24"/>
          <w:szCs w:val="24"/>
        </w:rPr>
        <w:t> </w:t>
      </w:r>
      <w:r>
        <w:rPr>
          <w:rFonts w:ascii="Courier New" w:eastAsia="Courier New" w:hAnsi="Courier New" w:cs="Courier New"/>
          <w:color w:val="212121"/>
          <w:sz w:val="24"/>
          <w:szCs w:val="24"/>
        </w:rPr>
        <w:t>c. 58A, § 13 and 831 CMR 1.32.</w:t>
      </w:r>
    </w:p>
    <w:p w:rsidR="009B69AD" w:rsidRDefault="00D0425F">
      <w:pPr>
        <w:pStyle w:val="Normal1"/>
        <w:spacing w:line="240" w:lineRule="auto"/>
        <w:jc w:val="both"/>
        <w:rPr>
          <w:rFonts w:ascii="Courier New" w:eastAsia="Courier New" w:hAnsi="Courier New" w:cs="Courier New"/>
          <w:sz w:val="24"/>
          <w:szCs w:val="24"/>
        </w:rPr>
      </w:pPr>
      <w:r>
        <w:rPr>
          <w:rFonts w:ascii="Courier New" w:eastAsia="Courier New" w:hAnsi="Courier New" w:cs="Courier New"/>
          <w:sz w:val="24"/>
          <w:szCs w:val="24"/>
        </w:rPr>
        <w:tab/>
      </w:r>
    </w:p>
    <w:p w:rsidR="009B69AD" w:rsidRDefault="009B69AD">
      <w:pPr>
        <w:pStyle w:val="Normal1"/>
        <w:spacing w:line="240" w:lineRule="auto"/>
        <w:jc w:val="both"/>
        <w:rPr>
          <w:rFonts w:ascii="Courier New" w:eastAsia="Courier New" w:hAnsi="Courier New" w:cs="Courier New"/>
          <w:sz w:val="24"/>
          <w:szCs w:val="24"/>
        </w:rPr>
      </w:pPr>
    </w:p>
    <w:p w:rsidR="0036081A" w:rsidRDefault="00D0425F" w:rsidP="009B69AD">
      <w:pPr>
        <w:pStyle w:val="Normal1"/>
        <w:spacing w:line="240" w:lineRule="auto"/>
        <w:ind w:firstLine="720"/>
        <w:jc w:val="both"/>
        <w:rPr>
          <w:rFonts w:ascii="Courier New" w:eastAsia="Courier New" w:hAnsi="Courier New" w:cs="Courier New"/>
          <w:sz w:val="24"/>
          <w:szCs w:val="24"/>
        </w:rPr>
      </w:pPr>
      <w:r>
        <w:rPr>
          <w:rFonts w:ascii="Courier New" w:eastAsia="Courier New" w:hAnsi="Courier New" w:cs="Courier New"/>
          <w:i/>
          <w:sz w:val="24"/>
          <w:szCs w:val="24"/>
        </w:rPr>
        <w:lastRenderedPageBreak/>
        <w:t>Richard C. Call</w:t>
      </w:r>
      <w:r>
        <w:rPr>
          <w:rFonts w:ascii="Courier New" w:eastAsia="Courier New" w:hAnsi="Courier New" w:cs="Courier New"/>
          <w:sz w:val="24"/>
          <w:szCs w:val="24"/>
        </w:rPr>
        <w:t>,</w:t>
      </w:r>
      <w:r>
        <w:rPr>
          <w:rFonts w:ascii="Courier New" w:eastAsia="Courier New" w:hAnsi="Courier New" w:cs="Courier New"/>
          <w:i/>
          <w:sz w:val="24"/>
          <w:szCs w:val="24"/>
        </w:rPr>
        <w:t xml:space="preserve"> </w:t>
      </w:r>
      <w:r>
        <w:rPr>
          <w:rFonts w:ascii="Courier New" w:eastAsia="Courier New" w:hAnsi="Courier New" w:cs="Courier New"/>
          <w:sz w:val="24"/>
          <w:szCs w:val="24"/>
        </w:rPr>
        <w:t>Esq</w:t>
      </w:r>
      <w:r>
        <w:rPr>
          <w:rFonts w:ascii="Courier New" w:eastAsia="Courier New" w:hAnsi="Courier New" w:cs="Courier New"/>
          <w:i/>
          <w:sz w:val="24"/>
          <w:szCs w:val="24"/>
        </w:rPr>
        <w:t xml:space="preserve">. </w:t>
      </w:r>
      <w:r>
        <w:rPr>
          <w:rFonts w:ascii="Courier New" w:eastAsia="Courier New" w:hAnsi="Courier New" w:cs="Courier New"/>
          <w:sz w:val="24"/>
          <w:szCs w:val="24"/>
        </w:rPr>
        <w:t>and</w:t>
      </w:r>
      <w:r>
        <w:rPr>
          <w:rFonts w:ascii="Courier New" w:eastAsia="Courier New" w:hAnsi="Courier New" w:cs="Courier New"/>
          <w:i/>
          <w:sz w:val="24"/>
          <w:szCs w:val="24"/>
        </w:rPr>
        <w:t xml:space="preserve"> Scott M. Susko</w:t>
      </w:r>
      <w:r>
        <w:rPr>
          <w:rFonts w:ascii="Courier New" w:eastAsia="Courier New" w:hAnsi="Courier New" w:cs="Courier New"/>
          <w:sz w:val="24"/>
          <w:szCs w:val="24"/>
        </w:rPr>
        <w:t>, Esq. for the appellant.</w:t>
      </w:r>
    </w:p>
    <w:p w:rsidR="009B69AD" w:rsidRDefault="009B69AD" w:rsidP="009B69AD">
      <w:pPr>
        <w:pStyle w:val="Normal1"/>
        <w:spacing w:line="240" w:lineRule="auto"/>
        <w:ind w:firstLine="720"/>
        <w:jc w:val="both"/>
        <w:rPr>
          <w:rFonts w:ascii="Courier New" w:eastAsia="Courier New" w:hAnsi="Courier New" w:cs="Courier New"/>
          <w:sz w:val="24"/>
          <w:szCs w:val="24"/>
        </w:rPr>
      </w:pPr>
    </w:p>
    <w:p w:rsidR="0036081A" w:rsidRDefault="00D0425F">
      <w:pPr>
        <w:pStyle w:val="Normal1"/>
        <w:spacing w:line="240" w:lineRule="auto"/>
        <w:ind w:firstLine="720"/>
        <w:jc w:val="both"/>
        <w:rPr>
          <w:rFonts w:ascii="Courier New" w:eastAsia="Courier New" w:hAnsi="Courier New" w:cs="Courier New"/>
          <w:sz w:val="24"/>
          <w:szCs w:val="24"/>
        </w:rPr>
      </w:pPr>
      <w:r>
        <w:rPr>
          <w:rFonts w:ascii="Courier New" w:eastAsia="Courier New" w:hAnsi="Courier New" w:cs="Courier New"/>
          <w:i/>
          <w:sz w:val="24"/>
          <w:szCs w:val="24"/>
        </w:rPr>
        <w:t>Brett M. Goldberg</w:t>
      </w:r>
      <w:r>
        <w:rPr>
          <w:rFonts w:ascii="Courier New" w:eastAsia="Courier New" w:hAnsi="Courier New" w:cs="Courier New"/>
          <w:sz w:val="24"/>
          <w:szCs w:val="24"/>
        </w:rPr>
        <w:t>,</w:t>
      </w:r>
      <w:r>
        <w:rPr>
          <w:rFonts w:ascii="Courier New" w:eastAsia="Courier New" w:hAnsi="Courier New" w:cs="Courier New"/>
          <w:i/>
          <w:sz w:val="24"/>
          <w:szCs w:val="24"/>
        </w:rPr>
        <w:t xml:space="preserve"> </w:t>
      </w:r>
      <w:r>
        <w:rPr>
          <w:rFonts w:ascii="Courier New" w:eastAsia="Courier New" w:hAnsi="Courier New" w:cs="Courier New"/>
          <w:sz w:val="24"/>
          <w:szCs w:val="24"/>
        </w:rPr>
        <w:t>Esq</w:t>
      </w:r>
      <w:r>
        <w:rPr>
          <w:rFonts w:ascii="Courier New" w:eastAsia="Courier New" w:hAnsi="Courier New" w:cs="Courier New"/>
          <w:i/>
          <w:sz w:val="24"/>
          <w:szCs w:val="24"/>
        </w:rPr>
        <w:t xml:space="preserve">. </w:t>
      </w:r>
      <w:r>
        <w:rPr>
          <w:rFonts w:ascii="Courier New" w:eastAsia="Courier New" w:hAnsi="Courier New" w:cs="Courier New"/>
          <w:sz w:val="24"/>
          <w:szCs w:val="24"/>
        </w:rPr>
        <w:t xml:space="preserve">and </w:t>
      </w:r>
      <w:r>
        <w:rPr>
          <w:rFonts w:ascii="Courier New" w:eastAsia="Courier New" w:hAnsi="Courier New" w:cs="Courier New"/>
          <w:i/>
          <w:sz w:val="24"/>
          <w:szCs w:val="24"/>
        </w:rPr>
        <w:t>Yuliya Kuzovkova</w:t>
      </w:r>
      <w:r>
        <w:rPr>
          <w:rFonts w:ascii="Courier New" w:eastAsia="Courier New" w:hAnsi="Courier New" w:cs="Courier New"/>
          <w:sz w:val="24"/>
          <w:szCs w:val="24"/>
        </w:rPr>
        <w:t xml:space="preserve">, Esq. for the Commissioner. </w:t>
      </w:r>
    </w:p>
    <w:p w:rsidR="0036081A" w:rsidRDefault="0036081A">
      <w:pPr>
        <w:pStyle w:val="Normal1"/>
        <w:spacing w:line="240" w:lineRule="auto"/>
        <w:ind w:firstLine="720"/>
        <w:jc w:val="both"/>
        <w:rPr>
          <w:rFonts w:ascii="Courier New" w:eastAsia="Courier New" w:hAnsi="Courier New" w:cs="Courier New"/>
          <w:sz w:val="24"/>
          <w:szCs w:val="24"/>
        </w:rPr>
      </w:pPr>
    </w:p>
    <w:p w:rsidR="0036081A" w:rsidRDefault="0036081A">
      <w:pPr>
        <w:pStyle w:val="Normal1"/>
        <w:spacing w:line="240" w:lineRule="auto"/>
        <w:ind w:firstLine="720"/>
        <w:jc w:val="both"/>
        <w:rPr>
          <w:rFonts w:ascii="Courier New" w:eastAsia="Courier New" w:hAnsi="Courier New" w:cs="Courier New"/>
          <w:sz w:val="24"/>
          <w:szCs w:val="24"/>
        </w:rPr>
      </w:pPr>
    </w:p>
    <w:p w:rsidR="0036081A" w:rsidRDefault="00D0425F">
      <w:pPr>
        <w:pStyle w:val="Normal1"/>
        <w:spacing w:line="480" w:lineRule="auto"/>
        <w:jc w:val="center"/>
        <w:rPr>
          <w:rFonts w:ascii="Courier New" w:eastAsia="Courier New" w:hAnsi="Courier New" w:cs="Courier New"/>
          <w:b/>
          <w:sz w:val="24"/>
          <w:szCs w:val="24"/>
        </w:rPr>
      </w:pPr>
      <w:r>
        <w:rPr>
          <w:rFonts w:ascii="Courier New" w:eastAsia="Courier New" w:hAnsi="Courier New" w:cs="Courier New"/>
          <w:b/>
          <w:sz w:val="24"/>
          <w:szCs w:val="24"/>
        </w:rPr>
        <w:t>FINDINGS OF FACT AND REPORT</w:t>
      </w:r>
    </w:p>
    <w:p w:rsidR="0036081A" w:rsidRDefault="00D0425F">
      <w:pPr>
        <w:pStyle w:val="Normal1"/>
        <w:spacing w:line="480" w:lineRule="auto"/>
        <w:ind w:firstLine="720"/>
        <w:jc w:val="both"/>
        <w:rPr>
          <w:rFonts w:ascii="Courier New" w:eastAsia="Courier New" w:hAnsi="Courier New" w:cs="Courier New"/>
          <w:color w:val="212121"/>
          <w:sz w:val="24"/>
          <w:szCs w:val="24"/>
        </w:rPr>
      </w:pPr>
      <w:r>
        <w:rPr>
          <w:rFonts w:ascii="Courier New" w:eastAsia="Courier New" w:hAnsi="Courier New" w:cs="Courier New"/>
          <w:color w:val="212121"/>
          <w:sz w:val="24"/>
          <w:szCs w:val="24"/>
        </w:rPr>
        <w:t>This appeal was presented through pleadings and the parties’ Motion and Cross Motion for Summary Judgment with accompanying memoranda and documents. The primary issue was whether the Indiana utility receipts tax (“URT”), imposed pursuant to Ind. Code § 6-2.3-2-1, is disallowed as a deduction for purposes of computing Massachusetts net income under G.L.</w:t>
      </w:r>
      <w:r w:rsidR="0010740E">
        <w:rPr>
          <w:rFonts w:ascii="Courier New" w:eastAsia="Courier New" w:hAnsi="Courier New" w:cs="Courier New"/>
          <w:color w:val="212121"/>
          <w:sz w:val="24"/>
          <w:szCs w:val="24"/>
        </w:rPr>
        <w:t> </w:t>
      </w:r>
      <w:r>
        <w:rPr>
          <w:rFonts w:ascii="Courier New" w:eastAsia="Courier New" w:hAnsi="Courier New" w:cs="Courier New"/>
          <w:color w:val="212121"/>
          <w:sz w:val="24"/>
          <w:szCs w:val="24"/>
        </w:rPr>
        <w:t>c.</w:t>
      </w:r>
      <w:r w:rsidR="0010740E">
        <w:rPr>
          <w:rFonts w:ascii="Courier New" w:eastAsia="Courier New" w:hAnsi="Courier New" w:cs="Courier New"/>
          <w:color w:val="212121"/>
          <w:sz w:val="24"/>
          <w:szCs w:val="24"/>
        </w:rPr>
        <w:t> </w:t>
      </w:r>
      <w:r>
        <w:rPr>
          <w:rFonts w:ascii="Courier New" w:eastAsia="Courier New" w:hAnsi="Courier New" w:cs="Courier New"/>
          <w:color w:val="212121"/>
          <w:sz w:val="24"/>
          <w:szCs w:val="24"/>
        </w:rPr>
        <w:t xml:space="preserve">63, § 30(4)(iii) (“URT Issue”). The </w:t>
      </w:r>
      <w:r w:rsidR="005A1937">
        <w:rPr>
          <w:rFonts w:ascii="Courier New" w:eastAsia="Courier New" w:hAnsi="Courier New" w:cs="Courier New"/>
          <w:color w:val="212121"/>
          <w:sz w:val="24"/>
          <w:szCs w:val="24"/>
        </w:rPr>
        <w:t xml:space="preserve">Appellate Tax </w:t>
      </w:r>
      <w:r>
        <w:rPr>
          <w:rFonts w:ascii="Courier New" w:eastAsia="Courier New" w:hAnsi="Courier New" w:cs="Courier New"/>
          <w:color w:val="212121"/>
          <w:sz w:val="24"/>
          <w:szCs w:val="24"/>
        </w:rPr>
        <w:t>Board</w:t>
      </w:r>
      <w:r w:rsidR="005A1937">
        <w:rPr>
          <w:rFonts w:ascii="Courier New" w:eastAsia="Courier New" w:hAnsi="Courier New" w:cs="Courier New"/>
          <w:color w:val="212121"/>
          <w:sz w:val="24"/>
          <w:szCs w:val="24"/>
        </w:rPr>
        <w:t xml:space="preserve"> (“Board”)</w:t>
      </w:r>
      <w:r>
        <w:rPr>
          <w:rFonts w:ascii="Courier New" w:eastAsia="Courier New" w:hAnsi="Courier New" w:cs="Courier New"/>
          <w:color w:val="212121"/>
          <w:sz w:val="24"/>
          <w:szCs w:val="24"/>
        </w:rPr>
        <w:t xml:space="preserve"> also considered the issue of penalties (“Penalties Issue”), specifically whether the Commissioner could propound alternative grounds for penalties under G.L. c. 62C, § 35A and § 35D, as well as the substantive propriety of imposing penalties in this matter. On the basis of the foregoing, the Board made the following findings of fact relevant to the issues in this case.</w:t>
      </w:r>
    </w:p>
    <w:p w:rsidR="0036081A" w:rsidRPr="00A027EF" w:rsidRDefault="00A027EF">
      <w:pPr>
        <w:pStyle w:val="Normal1"/>
        <w:spacing w:line="480" w:lineRule="auto"/>
        <w:jc w:val="both"/>
        <w:rPr>
          <w:rFonts w:ascii="Courier New" w:eastAsia="Courier New" w:hAnsi="Courier New" w:cs="Courier New"/>
          <w:b/>
          <w:sz w:val="24"/>
          <w:szCs w:val="24"/>
        </w:rPr>
      </w:pPr>
      <w:r w:rsidRPr="00A027EF">
        <w:rPr>
          <w:rFonts w:ascii="Courier New" w:eastAsia="Courier New" w:hAnsi="Courier New" w:cs="Courier New"/>
          <w:b/>
          <w:sz w:val="24"/>
          <w:szCs w:val="24"/>
        </w:rPr>
        <w:t xml:space="preserve">I. </w:t>
      </w:r>
      <w:r w:rsidR="00D0425F" w:rsidRPr="00A027EF">
        <w:rPr>
          <w:rFonts w:ascii="Courier New" w:eastAsia="Courier New" w:hAnsi="Courier New" w:cs="Courier New"/>
          <w:b/>
          <w:sz w:val="24"/>
          <w:szCs w:val="24"/>
        </w:rPr>
        <w:t>Procedural History</w:t>
      </w:r>
    </w:p>
    <w:p w:rsidR="0020285E" w:rsidRDefault="00D0425F">
      <w:pPr>
        <w:pStyle w:val="Normal1"/>
        <w:spacing w:line="480" w:lineRule="auto"/>
        <w:jc w:val="both"/>
        <w:rPr>
          <w:rFonts w:ascii="Courier New" w:eastAsia="Courier New" w:hAnsi="Courier New" w:cs="Courier New"/>
          <w:color w:val="212121"/>
          <w:sz w:val="24"/>
          <w:szCs w:val="24"/>
        </w:rPr>
      </w:pPr>
      <w:r>
        <w:rPr>
          <w:rFonts w:ascii="Courier New" w:eastAsia="Courier New" w:hAnsi="Courier New" w:cs="Courier New"/>
          <w:color w:val="212121"/>
          <w:sz w:val="24"/>
          <w:szCs w:val="24"/>
        </w:rPr>
        <w:tab/>
        <w:t xml:space="preserve">The appellant conducted a natural gas distribution operation in Massachusetts and was subject to the Massachusetts corporate excise during the tax years at issue. The appellant filed a Form 355U: Excise for Taxpayer Subject to Combined </w:t>
      </w:r>
      <w:r>
        <w:rPr>
          <w:rFonts w:ascii="Courier New" w:eastAsia="Courier New" w:hAnsi="Courier New" w:cs="Courier New"/>
          <w:color w:val="212121"/>
          <w:sz w:val="24"/>
          <w:szCs w:val="24"/>
        </w:rPr>
        <w:lastRenderedPageBreak/>
        <w:t>Reporting for each of the tax years at issue</w:t>
      </w:r>
      <w:r w:rsidR="00C324E8">
        <w:rPr>
          <w:rFonts w:ascii="Courier New" w:eastAsia="Courier New" w:hAnsi="Courier New" w:cs="Courier New"/>
          <w:color w:val="212121"/>
          <w:sz w:val="24"/>
          <w:szCs w:val="24"/>
        </w:rPr>
        <w:t>.</w:t>
      </w:r>
      <w:r>
        <w:rPr>
          <w:rFonts w:ascii="Courier New" w:eastAsia="Courier New" w:hAnsi="Courier New" w:cs="Courier New"/>
          <w:color w:val="212121"/>
          <w:sz w:val="24"/>
          <w:szCs w:val="24"/>
        </w:rPr>
        <w:t xml:space="preserve"> </w:t>
      </w:r>
      <w:r w:rsidR="00C324E8">
        <w:rPr>
          <w:rFonts w:ascii="Courier New" w:eastAsia="Courier New" w:hAnsi="Courier New" w:cs="Courier New"/>
          <w:color w:val="212121"/>
          <w:sz w:val="24"/>
          <w:szCs w:val="24"/>
        </w:rPr>
        <w:t>T</w:t>
      </w:r>
      <w:r>
        <w:rPr>
          <w:rFonts w:ascii="Courier New" w:eastAsia="Courier New" w:hAnsi="Courier New" w:cs="Courier New"/>
          <w:color w:val="212121"/>
          <w:sz w:val="24"/>
          <w:szCs w:val="24"/>
        </w:rPr>
        <w:t>he Commissioner issued a Notice of Intent to Assess for the tax years at issue on June 2, 2016</w:t>
      </w:r>
      <w:r w:rsidR="00C324E8">
        <w:rPr>
          <w:rFonts w:ascii="Courier New" w:eastAsia="Courier New" w:hAnsi="Courier New" w:cs="Courier New"/>
          <w:color w:val="212121"/>
          <w:sz w:val="24"/>
          <w:szCs w:val="24"/>
        </w:rPr>
        <w:t xml:space="preserve"> and </w:t>
      </w:r>
      <w:r>
        <w:rPr>
          <w:rFonts w:ascii="Courier New" w:eastAsia="Courier New" w:hAnsi="Courier New" w:cs="Courier New"/>
          <w:color w:val="212121"/>
          <w:sz w:val="24"/>
          <w:szCs w:val="24"/>
        </w:rPr>
        <w:t xml:space="preserve">a Notice of Assessment on August 11, 2016, assessing additional corporate excise, interest, and penalties. The appellant filed a Form ABT: Application for Abatement on October 6, 2016, which the Commissioner </w:t>
      </w:r>
      <w:r w:rsidR="006016F1">
        <w:rPr>
          <w:rFonts w:ascii="Courier New" w:eastAsia="Courier New" w:hAnsi="Courier New" w:cs="Courier New"/>
          <w:color w:val="212121"/>
          <w:sz w:val="24"/>
          <w:szCs w:val="24"/>
        </w:rPr>
        <w:t xml:space="preserve">denied </w:t>
      </w:r>
      <w:r>
        <w:rPr>
          <w:rFonts w:ascii="Courier New" w:eastAsia="Courier New" w:hAnsi="Courier New" w:cs="Courier New"/>
          <w:color w:val="212121"/>
          <w:sz w:val="24"/>
          <w:szCs w:val="24"/>
        </w:rPr>
        <w:t>on December 6, 2016. The appellant timely filed a petition with the Board on February 2, 2017. Based on the foregoing, the Board found and ruled that it had jurisdiction to hear and decide this appeal.</w:t>
      </w:r>
    </w:p>
    <w:p w:rsidR="0020285E" w:rsidRPr="00A027EF" w:rsidRDefault="0020285E" w:rsidP="0020285E">
      <w:pPr>
        <w:pStyle w:val="Normal1"/>
        <w:spacing w:line="480" w:lineRule="auto"/>
        <w:jc w:val="both"/>
        <w:rPr>
          <w:rFonts w:ascii="Courier New" w:eastAsia="Courier New" w:hAnsi="Courier New" w:cs="Courier New"/>
          <w:b/>
          <w:sz w:val="24"/>
          <w:szCs w:val="24"/>
        </w:rPr>
      </w:pPr>
      <w:r w:rsidRPr="00A027EF">
        <w:rPr>
          <w:rFonts w:ascii="Courier New" w:eastAsia="Courier New" w:hAnsi="Courier New" w:cs="Courier New"/>
          <w:b/>
          <w:sz w:val="24"/>
          <w:szCs w:val="24"/>
        </w:rPr>
        <w:t>I</w:t>
      </w:r>
      <w:r>
        <w:rPr>
          <w:rFonts w:ascii="Courier New" w:eastAsia="Courier New" w:hAnsi="Courier New" w:cs="Courier New"/>
          <w:b/>
          <w:sz w:val="24"/>
          <w:szCs w:val="24"/>
        </w:rPr>
        <w:t>I</w:t>
      </w:r>
      <w:r w:rsidRPr="00A027EF">
        <w:rPr>
          <w:rFonts w:ascii="Courier New" w:eastAsia="Courier New" w:hAnsi="Courier New" w:cs="Courier New"/>
          <w:b/>
          <w:sz w:val="24"/>
          <w:szCs w:val="24"/>
        </w:rPr>
        <w:t xml:space="preserve">. </w:t>
      </w:r>
      <w:r>
        <w:rPr>
          <w:rFonts w:ascii="Courier New" w:eastAsia="Courier New" w:hAnsi="Courier New" w:cs="Courier New"/>
          <w:b/>
          <w:sz w:val="24"/>
          <w:szCs w:val="24"/>
        </w:rPr>
        <w:t>The Board’s Findings</w:t>
      </w:r>
    </w:p>
    <w:p w:rsidR="00011DBD" w:rsidRDefault="00D0425F" w:rsidP="006016F1">
      <w:pPr>
        <w:pStyle w:val="Normal1"/>
        <w:spacing w:line="480" w:lineRule="auto"/>
        <w:jc w:val="both"/>
        <w:rPr>
          <w:rFonts w:ascii="Courier New" w:eastAsia="Courier New" w:hAnsi="Courier New" w:cs="Courier New"/>
          <w:color w:val="212121"/>
          <w:sz w:val="24"/>
          <w:szCs w:val="24"/>
        </w:rPr>
      </w:pPr>
      <w:r>
        <w:rPr>
          <w:rFonts w:ascii="Courier New" w:eastAsia="Courier New" w:hAnsi="Courier New" w:cs="Courier New"/>
          <w:color w:val="212121"/>
          <w:sz w:val="24"/>
          <w:szCs w:val="24"/>
        </w:rPr>
        <w:tab/>
        <w:t>Two of the affiliates included in the appellant’s combined group were utility companies that operated in Indiana during the tax years at issue</w:t>
      </w:r>
      <w:r w:rsidR="00A03FFA">
        <w:rPr>
          <w:rFonts w:ascii="Courier New" w:eastAsia="Courier New" w:hAnsi="Courier New" w:cs="Courier New"/>
          <w:color w:val="212121"/>
          <w:sz w:val="24"/>
          <w:szCs w:val="24"/>
        </w:rPr>
        <w:t xml:space="preserve"> and so they </w:t>
      </w:r>
      <w:r>
        <w:rPr>
          <w:rFonts w:ascii="Courier New" w:eastAsia="Courier New" w:hAnsi="Courier New" w:cs="Courier New"/>
          <w:color w:val="212121"/>
          <w:sz w:val="24"/>
          <w:szCs w:val="24"/>
        </w:rPr>
        <w:t xml:space="preserve">were subject to and paid Indiana adjusted gross income tax pursuant to Ind. Code § 6-3-2-1 as well as the URT pursuant to Ind. Code § 6-2.3-2-1. </w:t>
      </w:r>
      <w:r w:rsidR="00FD0056">
        <w:rPr>
          <w:rFonts w:ascii="Courier New" w:eastAsia="Courier New" w:hAnsi="Courier New" w:cs="Courier New"/>
          <w:color w:val="212121"/>
          <w:sz w:val="24"/>
          <w:szCs w:val="24"/>
        </w:rPr>
        <w:t xml:space="preserve">For retail sales of gas and electricity in Indiana during the tax years at issue, Indiana gross retail tax pursuant to Ind. Code § 6-2.5-2-1 was generally collected by the appellant and this tax was separately stated in bills to customers. The URT was not separately stated in bills to customers during the tax years at issue. </w:t>
      </w:r>
      <w:r w:rsidR="009374DA">
        <w:rPr>
          <w:rFonts w:ascii="Courier New" w:eastAsia="Courier New" w:hAnsi="Courier New" w:cs="Courier New"/>
          <w:color w:val="212121"/>
          <w:sz w:val="24"/>
          <w:szCs w:val="24"/>
        </w:rPr>
        <w:t xml:space="preserve">The appellant added back the URT to its net income for Indiana tax purposes. </w:t>
      </w:r>
      <w:r>
        <w:rPr>
          <w:rFonts w:ascii="Courier New" w:eastAsia="Courier New" w:hAnsi="Courier New" w:cs="Courier New"/>
          <w:color w:val="212121"/>
          <w:sz w:val="24"/>
          <w:szCs w:val="24"/>
        </w:rPr>
        <w:t xml:space="preserve">For Massachusetts corporate excise purposes, the appellant claimed deductions for the URT, but not for the Indiana </w:t>
      </w:r>
      <w:r w:rsidR="00A03FFA">
        <w:rPr>
          <w:rFonts w:ascii="Courier New" w:eastAsia="Courier New" w:hAnsi="Courier New" w:cs="Courier New"/>
          <w:color w:val="212121"/>
          <w:sz w:val="24"/>
          <w:szCs w:val="24"/>
        </w:rPr>
        <w:t>a</w:t>
      </w:r>
      <w:r>
        <w:rPr>
          <w:rFonts w:ascii="Courier New" w:eastAsia="Courier New" w:hAnsi="Courier New" w:cs="Courier New"/>
          <w:color w:val="212121"/>
          <w:sz w:val="24"/>
          <w:szCs w:val="24"/>
        </w:rPr>
        <w:t xml:space="preserve">djusted </w:t>
      </w:r>
      <w:r w:rsidR="00A03FFA">
        <w:rPr>
          <w:rFonts w:ascii="Courier New" w:eastAsia="Courier New" w:hAnsi="Courier New" w:cs="Courier New"/>
          <w:color w:val="212121"/>
          <w:sz w:val="24"/>
          <w:szCs w:val="24"/>
        </w:rPr>
        <w:t>g</w:t>
      </w:r>
      <w:r>
        <w:rPr>
          <w:rFonts w:ascii="Courier New" w:eastAsia="Courier New" w:hAnsi="Courier New" w:cs="Courier New"/>
          <w:color w:val="212121"/>
          <w:sz w:val="24"/>
          <w:szCs w:val="24"/>
        </w:rPr>
        <w:t xml:space="preserve">ross </w:t>
      </w:r>
      <w:r w:rsidR="00A03FFA">
        <w:rPr>
          <w:rFonts w:ascii="Courier New" w:eastAsia="Courier New" w:hAnsi="Courier New" w:cs="Courier New"/>
          <w:color w:val="212121"/>
          <w:sz w:val="24"/>
          <w:szCs w:val="24"/>
        </w:rPr>
        <w:t>i</w:t>
      </w:r>
      <w:r>
        <w:rPr>
          <w:rFonts w:ascii="Courier New" w:eastAsia="Courier New" w:hAnsi="Courier New" w:cs="Courier New"/>
          <w:color w:val="212121"/>
          <w:sz w:val="24"/>
          <w:szCs w:val="24"/>
        </w:rPr>
        <w:t xml:space="preserve">ncome </w:t>
      </w:r>
      <w:r w:rsidR="00A03FFA">
        <w:rPr>
          <w:rFonts w:ascii="Courier New" w:eastAsia="Courier New" w:hAnsi="Courier New" w:cs="Courier New"/>
          <w:color w:val="212121"/>
          <w:sz w:val="24"/>
          <w:szCs w:val="24"/>
        </w:rPr>
        <w:t>t</w:t>
      </w:r>
      <w:r>
        <w:rPr>
          <w:rFonts w:ascii="Courier New" w:eastAsia="Courier New" w:hAnsi="Courier New" w:cs="Courier New"/>
          <w:color w:val="212121"/>
          <w:sz w:val="24"/>
          <w:szCs w:val="24"/>
        </w:rPr>
        <w:t xml:space="preserve">ax. </w:t>
      </w:r>
    </w:p>
    <w:p w:rsidR="002134B1" w:rsidRDefault="009374DA" w:rsidP="00011DBD">
      <w:pPr>
        <w:pStyle w:val="Normal1"/>
        <w:spacing w:line="480" w:lineRule="auto"/>
        <w:ind w:firstLine="720"/>
        <w:jc w:val="both"/>
        <w:rPr>
          <w:rFonts w:ascii="Courier New" w:eastAsia="Courier New" w:hAnsi="Courier New" w:cs="Courier New"/>
          <w:color w:val="212121"/>
          <w:sz w:val="24"/>
          <w:szCs w:val="24"/>
        </w:rPr>
      </w:pPr>
      <w:r>
        <w:rPr>
          <w:rFonts w:ascii="Courier New" w:eastAsia="Courier New" w:hAnsi="Courier New" w:cs="Courier New"/>
          <w:color w:val="212121"/>
          <w:sz w:val="24"/>
          <w:szCs w:val="24"/>
        </w:rPr>
        <w:lastRenderedPageBreak/>
        <w:t xml:space="preserve">The URT deductions formed the basis </w:t>
      </w:r>
      <w:r w:rsidR="00011DBD">
        <w:rPr>
          <w:rFonts w:ascii="Courier New" w:eastAsia="Courier New" w:hAnsi="Courier New" w:cs="Courier New"/>
          <w:color w:val="212121"/>
          <w:sz w:val="24"/>
          <w:szCs w:val="24"/>
        </w:rPr>
        <w:t>of</w:t>
      </w:r>
      <w:r>
        <w:rPr>
          <w:rFonts w:ascii="Courier New" w:eastAsia="Courier New" w:hAnsi="Courier New" w:cs="Courier New"/>
          <w:color w:val="212121"/>
          <w:sz w:val="24"/>
          <w:szCs w:val="24"/>
        </w:rPr>
        <w:t xml:space="preserve"> the Commissioner’s assessment</w:t>
      </w:r>
      <w:r w:rsidR="00011DBD">
        <w:rPr>
          <w:rFonts w:ascii="Courier New" w:eastAsia="Courier New" w:hAnsi="Courier New" w:cs="Courier New"/>
          <w:color w:val="212121"/>
          <w:sz w:val="24"/>
          <w:szCs w:val="24"/>
        </w:rPr>
        <w:t>s</w:t>
      </w:r>
      <w:r>
        <w:rPr>
          <w:rFonts w:ascii="Courier New" w:eastAsia="Courier New" w:hAnsi="Courier New" w:cs="Courier New"/>
          <w:color w:val="212121"/>
          <w:sz w:val="24"/>
          <w:szCs w:val="24"/>
        </w:rPr>
        <w:t xml:space="preserve"> of the tax and penalties at issue in this matter.</w:t>
      </w:r>
      <w:r w:rsidR="00011DBD">
        <w:rPr>
          <w:rFonts w:ascii="Courier New" w:eastAsia="Courier New" w:hAnsi="Courier New" w:cs="Courier New"/>
          <w:color w:val="212121"/>
          <w:sz w:val="24"/>
          <w:szCs w:val="24"/>
        </w:rPr>
        <w:t xml:space="preserve"> The Commissioner disallowed the URT deductions under </w:t>
      </w:r>
      <w:r w:rsidR="00586CEF">
        <w:rPr>
          <w:rFonts w:ascii="Courier New" w:eastAsia="Courier New" w:hAnsi="Courier New" w:cs="Courier New"/>
          <w:color w:val="222222"/>
          <w:sz w:val="24"/>
          <w:szCs w:val="24"/>
        </w:rPr>
        <w:t>G.L. c. 63, § 30(4)(iii)</w:t>
      </w:r>
      <w:r w:rsidR="00792EA9">
        <w:rPr>
          <w:rFonts w:ascii="Courier New" w:eastAsia="Courier New" w:hAnsi="Courier New" w:cs="Courier New"/>
          <w:color w:val="222222"/>
          <w:sz w:val="24"/>
          <w:szCs w:val="24"/>
        </w:rPr>
        <w:t>.</w:t>
      </w:r>
      <w:r w:rsidR="00C467BF">
        <w:rPr>
          <w:rFonts w:ascii="Courier New" w:eastAsia="Courier New" w:hAnsi="Courier New" w:cs="Courier New"/>
          <w:color w:val="212121"/>
          <w:sz w:val="24"/>
          <w:szCs w:val="24"/>
        </w:rPr>
        <w:t xml:space="preserve"> </w:t>
      </w:r>
      <w:r w:rsidR="002134B1">
        <w:rPr>
          <w:rFonts w:ascii="Courier New" w:eastAsia="Courier New" w:hAnsi="Courier New" w:cs="Courier New"/>
          <w:color w:val="212121"/>
          <w:sz w:val="24"/>
          <w:szCs w:val="24"/>
        </w:rPr>
        <w:t>The Commissioner also assessed penalties pursuant to G.L. c. 62C, § 35A, but then sought to add</w:t>
      </w:r>
      <w:r w:rsidR="006016F1">
        <w:rPr>
          <w:rFonts w:ascii="Courier New" w:eastAsia="Courier New" w:hAnsi="Courier New" w:cs="Courier New"/>
          <w:color w:val="212121"/>
          <w:sz w:val="24"/>
          <w:szCs w:val="24"/>
        </w:rPr>
        <w:t xml:space="preserve"> — b</w:t>
      </w:r>
      <w:r w:rsidR="001A4D20">
        <w:rPr>
          <w:rFonts w:ascii="Courier New" w:eastAsia="Courier New" w:hAnsi="Courier New" w:cs="Courier New"/>
          <w:color w:val="212121"/>
          <w:sz w:val="24"/>
          <w:szCs w:val="24"/>
        </w:rPr>
        <w:t>y way of a Motion to Amend his a</w:t>
      </w:r>
      <w:r w:rsidR="006016F1">
        <w:rPr>
          <w:rFonts w:ascii="Courier New" w:eastAsia="Courier New" w:hAnsi="Courier New" w:cs="Courier New"/>
          <w:color w:val="212121"/>
          <w:sz w:val="24"/>
          <w:szCs w:val="24"/>
        </w:rPr>
        <w:t xml:space="preserve">nswer — </w:t>
      </w:r>
      <w:r w:rsidR="002134B1">
        <w:rPr>
          <w:rFonts w:ascii="Courier New" w:eastAsia="Courier New" w:hAnsi="Courier New" w:cs="Courier New"/>
          <w:color w:val="212121"/>
          <w:sz w:val="24"/>
          <w:szCs w:val="24"/>
        </w:rPr>
        <w:t xml:space="preserve">G.L. c. 62C, § 35D as an alternative basis for the assessment of penalties. </w:t>
      </w:r>
    </w:p>
    <w:p w:rsidR="00792EA9" w:rsidRDefault="006F763A" w:rsidP="006F763A">
      <w:pPr>
        <w:pStyle w:val="Normal1"/>
        <w:spacing w:line="480" w:lineRule="auto"/>
        <w:ind w:firstLine="720"/>
        <w:jc w:val="both"/>
        <w:rPr>
          <w:rFonts w:ascii="Courier New" w:eastAsia="Courier New" w:hAnsi="Courier New" w:cs="Courier New"/>
          <w:color w:val="212121"/>
          <w:sz w:val="24"/>
          <w:szCs w:val="24"/>
        </w:rPr>
      </w:pPr>
      <w:r>
        <w:rPr>
          <w:rFonts w:ascii="Courier New" w:eastAsia="Courier New" w:hAnsi="Courier New" w:cs="Courier New"/>
          <w:color w:val="212121"/>
          <w:sz w:val="24"/>
          <w:szCs w:val="24"/>
        </w:rPr>
        <w:t>As discussed further in the Opinion below, the Board found</w:t>
      </w:r>
      <w:r w:rsidR="008A3727">
        <w:rPr>
          <w:rFonts w:ascii="Courier New" w:eastAsia="Courier New" w:hAnsi="Courier New" w:cs="Courier New"/>
          <w:color w:val="212121"/>
          <w:sz w:val="24"/>
          <w:szCs w:val="24"/>
        </w:rPr>
        <w:t xml:space="preserve"> and ruled</w:t>
      </w:r>
      <w:r>
        <w:rPr>
          <w:rFonts w:ascii="Courier New" w:eastAsia="Courier New" w:hAnsi="Courier New" w:cs="Courier New"/>
          <w:color w:val="212121"/>
          <w:sz w:val="24"/>
          <w:szCs w:val="24"/>
        </w:rPr>
        <w:t xml:space="preserve"> that though the URT has some characteristics of a transaction-based tax, on balance the URT more strongly resembles “taxes on or measured by income, franchise taxes measured by net income, franchise taxes for the privilege of doing business and capital stock taxes imposed by any state,” the types of tax disallowed as deductions under G.L. c. 63, §</w:t>
      </w:r>
      <w:r w:rsidR="0010740E">
        <w:rPr>
          <w:rFonts w:ascii="Courier New" w:eastAsia="Courier New" w:hAnsi="Courier New" w:cs="Courier New"/>
          <w:color w:val="212121"/>
          <w:sz w:val="24"/>
          <w:szCs w:val="24"/>
        </w:rPr>
        <w:t> </w:t>
      </w:r>
      <w:r>
        <w:rPr>
          <w:rFonts w:ascii="Courier New" w:eastAsia="Courier New" w:hAnsi="Courier New" w:cs="Courier New"/>
          <w:color w:val="212121"/>
          <w:sz w:val="24"/>
          <w:szCs w:val="24"/>
        </w:rPr>
        <w:t>30(4)(iii), and so the appellant was not entitled to an abatement on the URT Issue.</w:t>
      </w:r>
    </w:p>
    <w:p w:rsidR="00792EA9" w:rsidRDefault="006F763A" w:rsidP="006F763A">
      <w:pPr>
        <w:pStyle w:val="Normal1"/>
        <w:spacing w:line="480" w:lineRule="auto"/>
        <w:ind w:firstLine="720"/>
        <w:jc w:val="both"/>
        <w:rPr>
          <w:rFonts w:ascii="Courier New" w:eastAsia="Courier New" w:hAnsi="Courier New" w:cs="Courier New"/>
          <w:sz w:val="24"/>
          <w:szCs w:val="24"/>
        </w:rPr>
      </w:pPr>
      <w:r>
        <w:rPr>
          <w:rFonts w:ascii="Courier New" w:eastAsia="Courier New" w:hAnsi="Courier New" w:cs="Courier New"/>
          <w:color w:val="212121"/>
          <w:sz w:val="24"/>
          <w:szCs w:val="24"/>
        </w:rPr>
        <w:t>Regarding the Penalties Issue, t</w:t>
      </w:r>
      <w:r>
        <w:rPr>
          <w:rFonts w:ascii="Courier New" w:eastAsia="Courier New" w:hAnsi="Courier New" w:cs="Courier New"/>
          <w:sz w:val="24"/>
          <w:szCs w:val="24"/>
        </w:rPr>
        <w:t xml:space="preserve">he Board found that the Commissioner cannot advance G.L. c. 62C, § 35A and § 35D penalties as alternative justifications for a penalty that the Commissioner had already imposed under § 35A. Each section outlines a specific predicate and calculation for the imposition of penalties. </w:t>
      </w:r>
      <w:r w:rsidR="008A3727">
        <w:rPr>
          <w:rFonts w:ascii="Courier New" w:eastAsia="Courier New" w:hAnsi="Courier New" w:cs="Courier New"/>
          <w:sz w:val="24"/>
          <w:szCs w:val="24"/>
        </w:rPr>
        <w:t xml:space="preserve">The Commissioner cannot decide at the litigation stage of these proceedings that he could have assessed a different penalty than the one he had already assessed. </w:t>
      </w:r>
      <w:r w:rsidR="008A3727">
        <w:rPr>
          <w:rFonts w:ascii="Courier New" w:eastAsia="Courier New" w:hAnsi="Courier New" w:cs="Courier New"/>
          <w:sz w:val="24"/>
          <w:szCs w:val="24"/>
        </w:rPr>
        <w:lastRenderedPageBreak/>
        <w:t>Moreover</w:t>
      </w:r>
      <w:r>
        <w:rPr>
          <w:rFonts w:ascii="Courier New" w:eastAsia="Courier New" w:hAnsi="Courier New" w:cs="Courier New"/>
          <w:sz w:val="24"/>
          <w:szCs w:val="24"/>
        </w:rPr>
        <w:t>, the Board found that the penalties</w:t>
      </w:r>
      <w:r>
        <w:rPr>
          <w:rFonts w:ascii="Courier New" w:eastAsia="Courier New" w:hAnsi="Courier New" w:cs="Courier New"/>
          <w:color w:val="212121"/>
          <w:sz w:val="24"/>
          <w:szCs w:val="24"/>
        </w:rPr>
        <w:t xml:space="preserve"> </w:t>
      </w:r>
      <w:r w:rsidR="008A3727">
        <w:rPr>
          <w:rFonts w:ascii="Courier New" w:eastAsia="Courier New" w:hAnsi="Courier New" w:cs="Courier New"/>
          <w:color w:val="212121"/>
          <w:sz w:val="24"/>
          <w:szCs w:val="24"/>
        </w:rPr>
        <w:t>assessed</w:t>
      </w:r>
      <w:r>
        <w:rPr>
          <w:rFonts w:ascii="Courier New" w:eastAsia="Courier New" w:hAnsi="Courier New" w:cs="Courier New"/>
          <w:color w:val="212121"/>
          <w:sz w:val="24"/>
          <w:szCs w:val="24"/>
        </w:rPr>
        <w:t xml:space="preserve"> under </w:t>
      </w:r>
      <w:r>
        <w:rPr>
          <w:rFonts w:ascii="Courier New" w:eastAsia="Courier New" w:hAnsi="Courier New" w:cs="Courier New"/>
          <w:sz w:val="24"/>
          <w:szCs w:val="24"/>
        </w:rPr>
        <w:t>G.L.</w:t>
      </w:r>
      <w:r w:rsidR="0010740E">
        <w:rPr>
          <w:rFonts w:ascii="Courier New" w:eastAsia="Courier New" w:hAnsi="Courier New" w:cs="Courier New"/>
          <w:sz w:val="24"/>
          <w:szCs w:val="24"/>
        </w:rPr>
        <w:t> </w:t>
      </w:r>
      <w:r>
        <w:rPr>
          <w:rFonts w:ascii="Courier New" w:eastAsia="Courier New" w:hAnsi="Courier New" w:cs="Courier New"/>
          <w:sz w:val="24"/>
          <w:szCs w:val="24"/>
        </w:rPr>
        <w:t xml:space="preserve">c. 62C, § 35A were not warranted </w:t>
      </w:r>
      <w:r w:rsidR="00792EA9">
        <w:rPr>
          <w:rFonts w:ascii="Courier New" w:eastAsia="Courier New" w:hAnsi="Courier New" w:cs="Courier New"/>
          <w:sz w:val="24"/>
          <w:szCs w:val="24"/>
        </w:rPr>
        <w:t xml:space="preserve">since the appellant — though ultimately incorrect in its filing position on the URT Issue — had reasonable cause for underpayment of the contested portion of tax. The language of G.L. c. 63, § 30(4)(iii) and the Department of Revenue’s Directives 99-9: </w:t>
      </w:r>
      <w:r w:rsidR="0039032A">
        <w:rPr>
          <w:rFonts w:ascii="Courier New" w:eastAsia="Courier New" w:hAnsi="Courier New" w:cs="Courier New"/>
          <w:color w:val="141414"/>
          <w:sz w:val="24"/>
          <w:szCs w:val="24"/>
        </w:rPr>
        <w:t>Disallowance or “Add-back”</w:t>
      </w:r>
      <w:r w:rsidR="00792EA9">
        <w:rPr>
          <w:rFonts w:ascii="Courier New" w:eastAsia="Courier New" w:hAnsi="Courier New" w:cs="Courier New"/>
          <w:color w:val="141414"/>
          <w:sz w:val="24"/>
          <w:szCs w:val="24"/>
        </w:rPr>
        <w:t xml:space="preserve"> of the Deduction for Certain State Taxes to Corporate Net Income (“Directive 99-9”)</w:t>
      </w:r>
      <w:r w:rsidR="00792EA9">
        <w:rPr>
          <w:rFonts w:ascii="Courier New" w:eastAsia="Courier New" w:hAnsi="Courier New" w:cs="Courier New"/>
          <w:sz w:val="24"/>
          <w:szCs w:val="24"/>
        </w:rPr>
        <w:t xml:space="preserve"> and 08-7: </w:t>
      </w:r>
      <w:r w:rsidR="00792EA9">
        <w:rPr>
          <w:rFonts w:ascii="Courier New" w:eastAsia="Courier New" w:hAnsi="Courier New" w:cs="Courier New"/>
          <w:color w:val="141414"/>
          <w:sz w:val="24"/>
          <w:szCs w:val="24"/>
        </w:rPr>
        <w:t>Gross Receipts-Based Taxes - Disallowance of Both the G.L. c. 62, s. 6(a) Credit and the G.L.</w:t>
      </w:r>
      <w:r w:rsidR="0010740E">
        <w:rPr>
          <w:rFonts w:ascii="Courier New" w:eastAsia="Courier New" w:hAnsi="Courier New" w:cs="Courier New"/>
          <w:color w:val="141414"/>
          <w:sz w:val="24"/>
          <w:szCs w:val="24"/>
        </w:rPr>
        <w:t> </w:t>
      </w:r>
      <w:r w:rsidR="00792EA9">
        <w:rPr>
          <w:rFonts w:ascii="Courier New" w:eastAsia="Courier New" w:hAnsi="Courier New" w:cs="Courier New"/>
          <w:color w:val="141414"/>
          <w:sz w:val="24"/>
          <w:szCs w:val="24"/>
        </w:rPr>
        <w:t>c. 63, s. 30.4 Deduction for Taxes Paid to Another Jurisdiction (“Directive 08-7”)</w:t>
      </w:r>
      <w:r w:rsidR="00792EA9">
        <w:rPr>
          <w:rFonts w:ascii="Courier New" w:eastAsia="Courier New" w:hAnsi="Courier New" w:cs="Courier New"/>
          <w:sz w:val="24"/>
          <w:szCs w:val="24"/>
        </w:rPr>
        <w:t xml:space="preserve"> do not clearly dictate the resolution of the URT Issue. Notably, the Commissioner evidenced inconsistency and a lack of clarity on the URT Issue, initially maintaining that the URT is an income tax during the audit and abatement stages and then maintaining instead that the URT is a franchise tax during the appeal before the Board.</w:t>
      </w:r>
    </w:p>
    <w:p w:rsidR="0036081A" w:rsidRDefault="00792EA9" w:rsidP="006F763A">
      <w:pPr>
        <w:pStyle w:val="Normal1"/>
        <w:spacing w:line="480" w:lineRule="auto"/>
        <w:ind w:firstLine="720"/>
        <w:jc w:val="both"/>
        <w:rPr>
          <w:rFonts w:ascii="Courier New" w:eastAsia="Courier New" w:hAnsi="Courier New" w:cs="Courier New"/>
          <w:sz w:val="24"/>
          <w:szCs w:val="24"/>
        </w:rPr>
      </w:pPr>
      <w:r>
        <w:rPr>
          <w:rFonts w:ascii="Courier New" w:eastAsia="Courier New" w:hAnsi="Courier New" w:cs="Courier New"/>
          <w:color w:val="222222"/>
          <w:sz w:val="24"/>
          <w:szCs w:val="24"/>
        </w:rPr>
        <w:t>Accordingly</w:t>
      </w:r>
      <w:r w:rsidR="00D0425F">
        <w:rPr>
          <w:rFonts w:ascii="Courier New" w:eastAsia="Courier New" w:hAnsi="Courier New" w:cs="Courier New"/>
          <w:color w:val="222222"/>
          <w:sz w:val="24"/>
          <w:szCs w:val="24"/>
        </w:rPr>
        <w:t xml:space="preserve">, the </w:t>
      </w:r>
      <w:r w:rsidR="00D0425F">
        <w:rPr>
          <w:rFonts w:ascii="Courier New" w:eastAsia="Courier New" w:hAnsi="Courier New" w:cs="Courier New"/>
          <w:sz w:val="24"/>
          <w:szCs w:val="24"/>
        </w:rPr>
        <w:t xml:space="preserve">Board granted the Commissioner’s Cross Motion for Summary Judgment in part, denying the abatement of corporate excise, and granted the appellant’s Motion for Summary Judgment in part, abating penalties under G.L. c. 62C, § 35A. </w:t>
      </w:r>
    </w:p>
    <w:p w:rsidR="0052477E" w:rsidRDefault="0052477E" w:rsidP="006F763A">
      <w:pPr>
        <w:pStyle w:val="Normal1"/>
        <w:spacing w:line="480" w:lineRule="auto"/>
        <w:ind w:firstLine="720"/>
        <w:jc w:val="both"/>
        <w:rPr>
          <w:rFonts w:ascii="Courier New" w:eastAsia="Courier New" w:hAnsi="Courier New" w:cs="Courier New"/>
          <w:sz w:val="24"/>
          <w:szCs w:val="24"/>
        </w:rPr>
      </w:pPr>
    </w:p>
    <w:p w:rsidR="0010740E" w:rsidRDefault="0010740E">
      <w:pPr>
        <w:rPr>
          <w:rFonts w:ascii="Courier New" w:eastAsia="Courier New" w:hAnsi="Courier New" w:cs="Courier New"/>
          <w:b/>
          <w:sz w:val="24"/>
          <w:szCs w:val="24"/>
        </w:rPr>
      </w:pPr>
      <w:r>
        <w:rPr>
          <w:rFonts w:ascii="Courier New" w:eastAsia="Courier New" w:hAnsi="Courier New" w:cs="Courier New"/>
          <w:b/>
          <w:sz w:val="24"/>
          <w:szCs w:val="24"/>
        </w:rPr>
        <w:br w:type="page"/>
      </w:r>
    </w:p>
    <w:p w:rsidR="0036081A" w:rsidRDefault="00D0425F">
      <w:pPr>
        <w:pStyle w:val="Normal1"/>
        <w:spacing w:line="480" w:lineRule="auto"/>
        <w:jc w:val="center"/>
        <w:rPr>
          <w:rFonts w:ascii="Courier New" w:eastAsia="Courier New" w:hAnsi="Courier New" w:cs="Courier New"/>
          <w:b/>
          <w:sz w:val="24"/>
          <w:szCs w:val="24"/>
        </w:rPr>
      </w:pPr>
      <w:r>
        <w:rPr>
          <w:rFonts w:ascii="Courier New" w:eastAsia="Courier New" w:hAnsi="Courier New" w:cs="Courier New"/>
          <w:b/>
          <w:sz w:val="24"/>
          <w:szCs w:val="24"/>
        </w:rPr>
        <w:lastRenderedPageBreak/>
        <w:t>OPINION</w:t>
      </w:r>
    </w:p>
    <w:p w:rsidR="0036081A" w:rsidRDefault="00D0425F" w:rsidP="00F82A91">
      <w:pPr>
        <w:pStyle w:val="Normal1"/>
        <w:spacing w:line="480" w:lineRule="auto"/>
        <w:ind w:firstLine="720"/>
        <w:jc w:val="both"/>
        <w:rPr>
          <w:rFonts w:ascii="Courier New" w:eastAsia="Courier New" w:hAnsi="Courier New" w:cs="Courier New"/>
          <w:sz w:val="24"/>
          <w:szCs w:val="24"/>
        </w:rPr>
      </w:pPr>
      <w:r>
        <w:rPr>
          <w:rFonts w:ascii="Courier New" w:eastAsia="Courier New" w:hAnsi="Courier New" w:cs="Courier New"/>
          <w:color w:val="222222"/>
          <w:sz w:val="24"/>
          <w:szCs w:val="24"/>
        </w:rPr>
        <w:t xml:space="preserve">Pursuant to Rule 22 of the Board’s Rules of Practice and Procedure, “[i]ssues sufficient in themselves to determine the decision of the Board or to narrow the scope of the hearing may be separately heard and disposed of in the discretion of the Board.” 831 CMR 1.22. </w:t>
      </w:r>
      <w:r w:rsidR="00F82A91">
        <w:rPr>
          <w:rFonts w:ascii="Courier New" w:eastAsia="Courier New" w:hAnsi="Courier New" w:cs="Courier New"/>
          <w:sz w:val="24"/>
          <w:szCs w:val="24"/>
        </w:rPr>
        <w:t>The Board found and ruled that this appeal presented no genuine issue of material fact. Accordingly, the Board ruled that disposition of th</w:t>
      </w:r>
      <w:r w:rsidR="0064580E">
        <w:rPr>
          <w:rFonts w:ascii="Courier New" w:eastAsia="Courier New" w:hAnsi="Courier New" w:cs="Courier New"/>
          <w:sz w:val="24"/>
          <w:szCs w:val="24"/>
        </w:rPr>
        <w:t>is</w:t>
      </w:r>
      <w:r w:rsidR="00F82A91">
        <w:rPr>
          <w:rFonts w:ascii="Courier New" w:eastAsia="Courier New" w:hAnsi="Courier New" w:cs="Courier New"/>
          <w:sz w:val="24"/>
          <w:szCs w:val="24"/>
        </w:rPr>
        <w:t xml:space="preserve"> appeal by summary judgment was appropriate pursuant to 831 CMR 1.22. </w:t>
      </w:r>
      <w:r w:rsidR="00F82A91" w:rsidRPr="00F82A91">
        <w:rPr>
          <w:rFonts w:ascii="Courier New" w:eastAsia="Courier New" w:hAnsi="Courier New" w:cs="Courier New"/>
          <w:i/>
          <w:sz w:val="24"/>
          <w:szCs w:val="24"/>
        </w:rPr>
        <w:t>See</w:t>
      </w:r>
      <w:r>
        <w:rPr>
          <w:rFonts w:ascii="Courier New" w:eastAsia="Courier New" w:hAnsi="Courier New" w:cs="Courier New"/>
          <w:i/>
          <w:color w:val="222222"/>
          <w:sz w:val="24"/>
          <w:szCs w:val="24"/>
        </w:rPr>
        <w:t xml:space="preserve"> </w:t>
      </w:r>
      <w:r>
        <w:rPr>
          <w:rFonts w:ascii="Courier New" w:eastAsia="Courier New" w:hAnsi="Courier New" w:cs="Courier New"/>
          <w:b/>
          <w:i/>
          <w:color w:val="222222"/>
          <w:sz w:val="24"/>
          <w:szCs w:val="24"/>
        </w:rPr>
        <w:t>Correllas v. Viveiros</w:t>
      </w:r>
      <w:r>
        <w:rPr>
          <w:rFonts w:ascii="Courier New" w:eastAsia="Courier New" w:hAnsi="Courier New" w:cs="Courier New"/>
          <w:color w:val="222222"/>
          <w:sz w:val="24"/>
          <w:szCs w:val="24"/>
        </w:rPr>
        <w:t xml:space="preserve">, 410 Mass. 314, 316 (1991) (“The purpose of summary judgment is to decide cases where there are no issues of material fact without the needless expense and delay of a trial followed by a directed verdict.”). </w:t>
      </w:r>
    </w:p>
    <w:p w:rsidR="0036081A" w:rsidRPr="0052477E" w:rsidRDefault="00D0425F">
      <w:pPr>
        <w:pStyle w:val="Normal1"/>
        <w:spacing w:line="480" w:lineRule="auto"/>
        <w:jc w:val="both"/>
        <w:rPr>
          <w:rFonts w:ascii="Courier New" w:eastAsia="Courier New" w:hAnsi="Courier New" w:cs="Courier New"/>
          <w:b/>
          <w:sz w:val="24"/>
          <w:szCs w:val="24"/>
        </w:rPr>
      </w:pPr>
      <w:r w:rsidRPr="0052477E">
        <w:rPr>
          <w:rFonts w:ascii="Courier New" w:eastAsia="Courier New" w:hAnsi="Courier New" w:cs="Courier New"/>
          <w:b/>
          <w:sz w:val="24"/>
          <w:szCs w:val="24"/>
        </w:rPr>
        <w:t xml:space="preserve">I. The URT Issue </w:t>
      </w:r>
    </w:p>
    <w:p w:rsidR="0036081A" w:rsidRDefault="00D0425F">
      <w:pPr>
        <w:pStyle w:val="Normal1"/>
        <w:spacing w:line="480" w:lineRule="auto"/>
        <w:ind w:firstLine="720"/>
        <w:jc w:val="both"/>
        <w:rPr>
          <w:rFonts w:ascii="Courier New" w:eastAsia="Courier New" w:hAnsi="Courier New" w:cs="Courier New"/>
          <w:color w:val="222222"/>
          <w:sz w:val="24"/>
          <w:szCs w:val="24"/>
        </w:rPr>
      </w:pPr>
      <w:r>
        <w:rPr>
          <w:rFonts w:ascii="Courier New" w:eastAsia="Courier New" w:hAnsi="Courier New" w:cs="Courier New"/>
          <w:color w:val="222222"/>
          <w:sz w:val="24"/>
          <w:szCs w:val="24"/>
        </w:rPr>
        <w:t xml:space="preserve">The provisions of G.L. c. 63, § 30(4) state that the term “net income” comprises “gross income less the deductions, but not credits, allowable under the provisions of the Federal Internal Revenue Code.” However, the statute enumerates items for which a deduction is disallowed, including “taxes on or measured by income, franchise taxes measured by net income, franchise taxes for the privilege of doing business and capital stock taxes imposed by any state.” G.L. c. 63, § 30(4)(iii). </w:t>
      </w:r>
      <w:r w:rsidR="00F82A91">
        <w:rPr>
          <w:rFonts w:ascii="Courier New" w:eastAsia="Courier New" w:hAnsi="Courier New" w:cs="Courier New"/>
          <w:color w:val="222222"/>
          <w:sz w:val="24"/>
          <w:szCs w:val="24"/>
        </w:rPr>
        <w:t xml:space="preserve">The primary question in this matter is whether the URT </w:t>
      </w:r>
      <w:r w:rsidR="008458A9">
        <w:rPr>
          <w:rFonts w:ascii="Courier New" w:eastAsia="Courier New" w:hAnsi="Courier New" w:cs="Courier New"/>
          <w:color w:val="222222"/>
          <w:sz w:val="24"/>
          <w:szCs w:val="24"/>
        </w:rPr>
        <w:t xml:space="preserve">is a tax </w:t>
      </w:r>
      <w:r w:rsidR="00F82A91">
        <w:rPr>
          <w:rFonts w:ascii="Courier New" w:eastAsia="Courier New" w:hAnsi="Courier New" w:cs="Courier New"/>
          <w:color w:val="222222"/>
          <w:sz w:val="24"/>
          <w:szCs w:val="24"/>
        </w:rPr>
        <w:t>for which a deduction is disallowed under G.L. c. 63, § 30(4)(iii).</w:t>
      </w:r>
    </w:p>
    <w:p w:rsidR="0036081A" w:rsidRDefault="00D0425F">
      <w:pPr>
        <w:pStyle w:val="Normal1"/>
        <w:spacing w:line="240" w:lineRule="auto"/>
        <w:jc w:val="both"/>
        <w:rPr>
          <w:rFonts w:ascii="Courier New" w:eastAsia="Courier New" w:hAnsi="Courier New" w:cs="Courier New"/>
          <w:color w:val="222222"/>
          <w:sz w:val="24"/>
          <w:szCs w:val="24"/>
        </w:rPr>
      </w:pPr>
      <w:r>
        <w:rPr>
          <w:rFonts w:ascii="Courier New" w:eastAsia="Courier New" w:hAnsi="Courier New" w:cs="Courier New"/>
          <w:color w:val="222222"/>
          <w:sz w:val="24"/>
          <w:szCs w:val="24"/>
        </w:rPr>
        <w:lastRenderedPageBreak/>
        <w:tab/>
      </w:r>
      <w:r w:rsidR="008458A9">
        <w:rPr>
          <w:rFonts w:ascii="Courier New" w:eastAsia="Courier New" w:hAnsi="Courier New" w:cs="Courier New"/>
          <w:color w:val="222222"/>
          <w:sz w:val="24"/>
          <w:szCs w:val="24"/>
        </w:rPr>
        <w:t xml:space="preserve">Pursuant to </w:t>
      </w:r>
      <w:r>
        <w:rPr>
          <w:rFonts w:ascii="Courier New" w:eastAsia="Courier New" w:hAnsi="Courier New" w:cs="Courier New"/>
          <w:color w:val="222222"/>
          <w:sz w:val="24"/>
          <w:szCs w:val="24"/>
        </w:rPr>
        <w:t>Ind. Code § 6-2.3-2-1:</w:t>
      </w:r>
    </w:p>
    <w:p w:rsidR="0036081A" w:rsidRDefault="0036081A">
      <w:pPr>
        <w:pStyle w:val="Normal1"/>
        <w:spacing w:line="240" w:lineRule="auto"/>
        <w:jc w:val="both"/>
        <w:rPr>
          <w:rFonts w:ascii="Courier New" w:eastAsia="Courier New" w:hAnsi="Courier New" w:cs="Courier New"/>
          <w:color w:val="222222"/>
          <w:sz w:val="24"/>
          <w:szCs w:val="24"/>
        </w:rPr>
      </w:pPr>
    </w:p>
    <w:p w:rsidR="0036081A" w:rsidRDefault="00D0425F">
      <w:pPr>
        <w:pStyle w:val="Normal1"/>
        <w:spacing w:line="240" w:lineRule="auto"/>
        <w:ind w:left="720" w:right="720"/>
        <w:jc w:val="both"/>
        <w:rPr>
          <w:rFonts w:ascii="Courier New" w:eastAsia="Courier New" w:hAnsi="Courier New" w:cs="Courier New"/>
          <w:color w:val="222222"/>
          <w:sz w:val="24"/>
          <w:szCs w:val="24"/>
        </w:rPr>
      </w:pPr>
      <w:r>
        <w:rPr>
          <w:rFonts w:ascii="Courier New" w:eastAsia="Courier New" w:hAnsi="Courier New" w:cs="Courier New"/>
          <w:color w:val="222222"/>
          <w:sz w:val="24"/>
          <w:szCs w:val="24"/>
        </w:rPr>
        <w:t>An income tax, known as the utility receipts tax, is imposed upon the receipt of:</w:t>
      </w:r>
    </w:p>
    <w:p w:rsidR="0036081A" w:rsidRDefault="00D0425F">
      <w:pPr>
        <w:pStyle w:val="Normal1"/>
        <w:spacing w:line="240" w:lineRule="auto"/>
        <w:ind w:left="720" w:right="720"/>
        <w:jc w:val="both"/>
        <w:rPr>
          <w:rFonts w:ascii="Courier New" w:eastAsia="Courier New" w:hAnsi="Courier New" w:cs="Courier New"/>
          <w:color w:val="222222"/>
          <w:sz w:val="24"/>
          <w:szCs w:val="24"/>
        </w:rPr>
      </w:pPr>
      <w:r>
        <w:rPr>
          <w:rFonts w:ascii="Courier New" w:eastAsia="Courier New" w:hAnsi="Courier New" w:cs="Courier New"/>
          <w:color w:val="222222"/>
          <w:sz w:val="24"/>
          <w:szCs w:val="24"/>
        </w:rPr>
        <w:t>(1) the entire taxable gross receipts of a taxpayer that is a resident or a domiciliary of Indiana; and</w:t>
      </w:r>
    </w:p>
    <w:p w:rsidR="0036081A" w:rsidRDefault="00D0425F">
      <w:pPr>
        <w:pStyle w:val="Normal1"/>
        <w:spacing w:line="240" w:lineRule="auto"/>
        <w:ind w:left="720" w:right="720"/>
        <w:jc w:val="both"/>
        <w:rPr>
          <w:rFonts w:ascii="Courier New" w:eastAsia="Courier New" w:hAnsi="Courier New" w:cs="Courier New"/>
          <w:color w:val="222222"/>
          <w:sz w:val="24"/>
          <w:szCs w:val="24"/>
        </w:rPr>
      </w:pPr>
      <w:r>
        <w:rPr>
          <w:rFonts w:ascii="Courier New" w:eastAsia="Courier New" w:hAnsi="Courier New" w:cs="Courier New"/>
          <w:color w:val="222222"/>
          <w:sz w:val="24"/>
          <w:szCs w:val="24"/>
        </w:rPr>
        <w:t xml:space="preserve">(2) the taxable gross receipts derived from activities or businesses or any other sources within Indiana by a taxpayer that is not a resident or a domiciliary of Indiana. </w:t>
      </w:r>
    </w:p>
    <w:p w:rsidR="0036081A" w:rsidRDefault="0036081A">
      <w:pPr>
        <w:pStyle w:val="Normal1"/>
        <w:spacing w:line="240" w:lineRule="auto"/>
        <w:ind w:firstLine="720"/>
        <w:jc w:val="both"/>
        <w:rPr>
          <w:rFonts w:ascii="Courier New" w:eastAsia="Courier New" w:hAnsi="Courier New" w:cs="Courier New"/>
          <w:color w:val="222222"/>
          <w:sz w:val="24"/>
          <w:szCs w:val="24"/>
        </w:rPr>
      </w:pPr>
    </w:p>
    <w:p w:rsidR="0036081A" w:rsidRDefault="00D0425F" w:rsidP="00F82A91">
      <w:pPr>
        <w:pStyle w:val="Normal1"/>
        <w:spacing w:line="480" w:lineRule="auto"/>
        <w:jc w:val="both"/>
        <w:rPr>
          <w:rFonts w:ascii="Courier New" w:eastAsia="Courier New" w:hAnsi="Courier New" w:cs="Courier New"/>
          <w:color w:val="222222"/>
          <w:sz w:val="24"/>
          <w:szCs w:val="24"/>
        </w:rPr>
      </w:pPr>
      <w:r>
        <w:rPr>
          <w:rFonts w:ascii="Courier New" w:eastAsia="Courier New" w:hAnsi="Courier New" w:cs="Courier New"/>
          <w:color w:val="222222"/>
          <w:sz w:val="24"/>
          <w:szCs w:val="24"/>
        </w:rPr>
        <w:t>Ind. Code § 6-2.3-2-1. The term “gross receipts” is defined as</w:t>
      </w:r>
      <w:r w:rsidR="00F82A91">
        <w:rPr>
          <w:rFonts w:ascii="Courier New" w:eastAsia="Courier New" w:hAnsi="Courier New" w:cs="Courier New"/>
          <w:color w:val="222222"/>
          <w:sz w:val="24"/>
          <w:szCs w:val="24"/>
        </w:rPr>
        <w:t xml:space="preserve"> “</w:t>
      </w:r>
      <w:r>
        <w:rPr>
          <w:rFonts w:ascii="Courier New" w:eastAsia="Courier New" w:hAnsi="Courier New" w:cs="Courier New"/>
          <w:color w:val="222222"/>
          <w:sz w:val="24"/>
          <w:szCs w:val="24"/>
        </w:rPr>
        <w:t>anything of value, including cash or other tangible or intangible property, that a taxpayer receives in consideration for the retail sale of utility services for consumption before deducting any costs incurred in providing the utility services.</w:t>
      </w:r>
      <w:r w:rsidR="00F82A91">
        <w:rPr>
          <w:rFonts w:ascii="Courier New" w:eastAsia="Courier New" w:hAnsi="Courier New" w:cs="Courier New"/>
          <w:color w:val="222222"/>
          <w:sz w:val="24"/>
          <w:szCs w:val="24"/>
        </w:rPr>
        <w:t>”</w:t>
      </w:r>
    </w:p>
    <w:p w:rsidR="008458A9" w:rsidRDefault="00D0425F">
      <w:pPr>
        <w:pStyle w:val="Normal1"/>
        <w:spacing w:line="480" w:lineRule="auto"/>
        <w:jc w:val="both"/>
        <w:rPr>
          <w:rFonts w:ascii="Courier New" w:eastAsia="Courier New" w:hAnsi="Courier New" w:cs="Courier New"/>
          <w:color w:val="222222"/>
          <w:sz w:val="24"/>
          <w:szCs w:val="24"/>
        </w:rPr>
      </w:pPr>
      <w:r>
        <w:rPr>
          <w:rFonts w:ascii="Courier New" w:eastAsia="Courier New" w:hAnsi="Courier New" w:cs="Courier New"/>
          <w:color w:val="222222"/>
          <w:sz w:val="24"/>
          <w:szCs w:val="24"/>
        </w:rPr>
        <w:t xml:space="preserve">Ind. Code § 6-2.3-1-4. The term “taxable gross receipts” is defined as “the remainder of: (1) </w:t>
      </w:r>
      <w:r w:rsidR="0020285E">
        <w:rPr>
          <w:rFonts w:ascii="Courier New" w:eastAsia="Courier New" w:hAnsi="Courier New" w:cs="Courier New"/>
          <w:color w:val="222222"/>
          <w:sz w:val="24"/>
          <w:szCs w:val="24"/>
        </w:rPr>
        <w:t xml:space="preserve">all </w:t>
      </w:r>
      <w:r>
        <w:rPr>
          <w:rFonts w:ascii="Courier New" w:eastAsia="Courier New" w:hAnsi="Courier New" w:cs="Courier New"/>
          <w:color w:val="222222"/>
          <w:sz w:val="24"/>
          <w:szCs w:val="24"/>
        </w:rPr>
        <w:t>gross receipts that are not exempt from tax under IC 6-2.3-4; less (2) all deductions that are allowed under IC 6-2.3-5.” Ind. Code § 6-2.3-1-</w:t>
      </w:r>
      <w:r w:rsidR="0020285E">
        <w:rPr>
          <w:rFonts w:ascii="Courier New" w:eastAsia="Courier New" w:hAnsi="Courier New" w:cs="Courier New"/>
          <w:color w:val="222222"/>
          <w:sz w:val="24"/>
          <w:szCs w:val="24"/>
        </w:rPr>
        <w:t>9</w:t>
      </w:r>
      <w:r>
        <w:rPr>
          <w:rFonts w:ascii="Courier New" w:eastAsia="Courier New" w:hAnsi="Courier New" w:cs="Courier New"/>
          <w:color w:val="222222"/>
          <w:sz w:val="24"/>
          <w:szCs w:val="24"/>
        </w:rPr>
        <w:t>. Utility services include electrical energy, natural gas, water, steam, sewage, and telecommunication services. Ind. Code § 6-2.3-1-14.</w:t>
      </w:r>
    </w:p>
    <w:p w:rsidR="0036081A" w:rsidRDefault="00D0425F">
      <w:pPr>
        <w:pStyle w:val="Normal1"/>
        <w:spacing w:line="480" w:lineRule="auto"/>
        <w:ind w:firstLine="720"/>
        <w:jc w:val="both"/>
        <w:rPr>
          <w:rFonts w:ascii="Courier New" w:eastAsia="Courier New" w:hAnsi="Courier New" w:cs="Courier New"/>
          <w:color w:val="222222"/>
          <w:sz w:val="24"/>
          <w:szCs w:val="24"/>
        </w:rPr>
      </w:pPr>
      <w:r>
        <w:rPr>
          <w:rFonts w:ascii="Courier New" w:eastAsia="Courier New" w:hAnsi="Courier New" w:cs="Courier New"/>
          <w:color w:val="222222"/>
          <w:sz w:val="24"/>
          <w:szCs w:val="24"/>
        </w:rPr>
        <w:t>In determining whether the</w:t>
      </w:r>
      <w:r w:rsidR="008458A9">
        <w:rPr>
          <w:rFonts w:ascii="Courier New" w:eastAsia="Courier New" w:hAnsi="Courier New" w:cs="Courier New"/>
          <w:color w:val="222222"/>
          <w:sz w:val="24"/>
          <w:szCs w:val="24"/>
        </w:rPr>
        <w:t xml:space="preserve"> URT is</w:t>
      </w:r>
      <w:r>
        <w:rPr>
          <w:rFonts w:ascii="Courier New" w:eastAsia="Courier New" w:hAnsi="Courier New" w:cs="Courier New"/>
          <w:color w:val="222222"/>
          <w:sz w:val="24"/>
          <w:szCs w:val="24"/>
        </w:rPr>
        <w:t xml:space="preserve"> disallowed under G.L.</w:t>
      </w:r>
      <w:r w:rsidR="0010740E">
        <w:rPr>
          <w:rFonts w:ascii="Courier New" w:eastAsia="Courier New" w:hAnsi="Courier New" w:cs="Courier New"/>
          <w:color w:val="222222"/>
          <w:sz w:val="24"/>
          <w:szCs w:val="24"/>
        </w:rPr>
        <w:t> </w:t>
      </w:r>
      <w:r>
        <w:rPr>
          <w:rFonts w:ascii="Courier New" w:eastAsia="Courier New" w:hAnsi="Courier New" w:cs="Courier New"/>
          <w:color w:val="222222"/>
          <w:sz w:val="24"/>
          <w:szCs w:val="24"/>
        </w:rPr>
        <w:t>c.</w:t>
      </w:r>
      <w:r w:rsidR="0010740E">
        <w:rPr>
          <w:rFonts w:ascii="Courier New" w:eastAsia="Courier New" w:hAnsi="Courier New" w:cs="Courier New"/>
          <w:color w:val="222222"/>
          <w:sz w:val="24"/>
          <w:szCs w:val="24"/>
        </w:rPr>
        <w:t>  </w:t>
      </w:r>
      <w:r>
        <w:rPr>
          <w:rFonts w:ascii="Courier New" w:eastAsia="Courier New" w:hAnsi="Courier New" w:cs="Courier New"/>
          <w:color w:val="222222"/>
          <w:sz w:val="24"/>
          <w:szCs w:val="24"/>
        </w:rPr>
        <w:t xml:space="preserve">63, § 30(4)(iii), the </w:t>
      </w:r>
      <w:r w:rsidR="008A3727">
        <w:rPr>
          <w:rFonts w:ascii="Courier New" w:eastAsia="Courier New" w:hAnsi="Courier New" w:cs="Courier New"/>
          <w:color w:val="222222"/>
          <w:sz w:val="24"/>
          <w:szCs w:val="24"/>
        </w:rPr>
        <w:t xml:space="preserve">label given to the tax by the Indiana statute is not controlling; rather, the </w:t>
      </w:r>
      <w:r>
        <w:rPr>
          <w:rFonts w:ascii="Courier New" w:eastAsia="Courier New" w:hAnsi="Courier New" w:cs="Courier New"/>
          <w:color w:val="222222"/>
          <w:sz w:val="24"/>
          <w:szCs w:val="24"/>
        </w:rPr>
        <w:t xml:space="preserve">essential query before the Board </w:t>
      </w:r>
      <w:r w:rsidR="008458A9">
        <w:rPr>
          <w:rFonts w:ascii="Courier New" w:eastAsia="Courier New" w:hAnsi="Courier New" w:cs="Courier New"/>
          <w:color w:val="222222"/>
          <w:sz w:val="24"/>
          <w:szCs w:val="24"/>
        </w:rPr>
        <w:t>i</w:t>
      </w:r>
      <w:r>
        <w:rPr>
          <w:rFonts w:ascii="Courier New" w:eastAsia="Courier New" w:hAnsi="Courier New" w:cs="Courier New"/>
          <w:color w:val="222222"/>
          <w:sz w:val="24"/>
          <w:szCs w:val="24"/>
        </w:rPr>
        <w:t xml:space="preserve">s whether it is </w:t>
      </w:r>
      <w:r w:rsidR="008A3727">
        <w:rPr>
          <w:rFonts w:ascii="Courier New" w:eastAsia="Courier New" w:hAnsi="Courier New" w:cs="Courier New"/>
          <w:color w:val="222222"/>
          <w:sz w:val="24"/>
          <w:szCs w:val="24"/>
        </w:rPr>
        <w:t xml:space="preserve">one </w:t>
      </w:r>
      <w:r>
        <w:rPr>
          <w:rFonts w:ascii="Courier New" w:eastAsia="Courier New" w:hAnsi="Courier New" w:cs="Courier New"/>
          <w:color w:val="222222"/>
          <w:sz w:val="24"/>
          <w:szCs w:val="24"/>
        </w:rPr>
        <w:t xml:space="preserve">of the types of tax covered by G.L. c. 63, § 30(4)(iii). </w:t>
      </w:r>
      <w:r>
        <w:rPr>
          <w:rFonts w:ascii="Courier New" w:eastAsia="Courier New" w:hAnsi="Courier New" w:cs="Courier New"/>
          <w:i/>
          <w:color w:val="222222"/>
          <w:sz w:val="24"/>
          <w:szCs w:val="24"/>
        </w:rPr>
        <w:t xml:space="preserve">See </w:t>
      </w:r>
      <w:r>
        <w:rPr>
          <w:rFonts w:ascii="Courier New" w:eastAsia="Courier New" w:hAnsi="Courier New" w:cs="Courier New"/>
          <w:b/>
          <w:i/>
          <w:color w:val="222222"/>
          <w:sz w:val="24"/>
          <w:szCs w:val="24"/>
        </w:rPr>
        <w:t>Liberty Mutual Insurance Co. v. Commissioner of Revenue</w:t>
      </w:r>
      <w:r>
        <w:rPr>
          <w:rFonts w:ascii="Courier New" w:eastAsia="Courier New" w:hAnsi="Courier New" w:cs="Courier New"/>
          <w:color w:val="222222"/>
          <w:sz w:val="24"/>
          <w:szCs w:val="24"/>
        </w:rPr>
        <w:t xml:space="preserve">, 405 Mass. 352, 356 </w:t>
      </w:r>
      <w:r>
        <w:rPr>
          <w:rFonts w:ascii="Courier New" w:eastAsia="Courier New" w:hAnsi="Courier New" w:cs="Courier New"/>
          <w:color w:val="222222"/>
          <w:sz w:val="24"/>
          <w:szCs w:val="24"/>
        </w:rPr>
        <w:lastRenderedPageBreak/>
        <w:t>(1989) (ruling that the reviewing court must “carefully look[] behind the labels of the State statute to determine whether” a tax falls under a statute t</w:t>
      </w:r>
      <w:r w:rsidR="0020285E">
        <w:rPr>
          <w:rFonts w:ascii="Courier New" w:eastAsia="Courier New" w:hAnsi="Courier New" w:cs="Courier New"/>
          <w:color w:val="222222"/>
          <w:sz w:val="24"/>
          <w:szCs w:val="24"/>
        </w:rPr>
        <w:t>hat covers certain types of tax</w:t>
      </w:r>
      <w:r>
        <w:rPr>
          <w:rFonts w:ascii="Courier New" w:eastAsia="Courier New" w:hAnsi="Courier New" w:cs="Courier New"/>
          <w:color w:val="222222"/>
          <w:sz w:val="24"/>
          <w:szCs w:val="24"/>
        </w:rPr>
        <w:t xml:space="preserve">) (citing </w:t>
      </w:r>
      <w:r>
        <w:rPr>
          <w:rFonts w:ascii="Courier New" w:eastAsia="Courier New" w:hAnsi="Courier New" w:cs="Courier New"/>
          <w:b/>
          <w:i/>
          <w:color w:val="222222"/>
          <w:sz w:val="24"/>
          <w:szCs w:val="24"/>
        </w:rPr>
        <w:t>Commissioner of Revenue v. Massachusetts Mutual Life Insurance Co.</w:t>
      </w:r>
      <w:r>
        <w:rPr>
          <w:rFonts w:ascii="Courier New" w:eastAsia="Courier New" w:hAnsi="Courier New" w:cs="Courier New"/>
          <w:color w:val="222222"/>
          <w:sz w:val="24"/>
          <w:szCs w:val="24"/>
        </w:rPr>
        <w:t>, 384 Mass. 607 (1981)).</w:t>
      </w:r>
      <w:r>
        <w:rPr>
          <w:rFonts w:ascii="Courier New" w:eastAsia="Courier New" w:hAnsi="Courier New" w:cs="Courier New"/>
          <w:b/>
          <w:i/>
          <w:color w:val="222222"/>
          <w:sz w:val="24"/>
          <w:szCs w:val="24"/>
        </w:rPr>
        <w:t xml:space="preserve"> </w:t>
      </w:r>
      <w:r>
        <w:rPr>
          <w:rFonts w:ascii="Courier New" w:eastAsia="Courier New" w:hAnsi="Courier New" w:cs="Courier New"/>
          <w:color w:val="222222"/>
          <w:sz w:val="24"/>
          <w:szCs w:val="24"/>
        </w:rPr>
        <w:t>Directive 99-9 further states that “[t]he legislature has not statutorily identified specific taxes o</w:t>
      </w:r>
      <w:r w:rsidR="00D602BE">
        <w:rPr>
          <w:rFonts w:ascii="Courier New" w:eastAsia="Courier New" w:hAnsi="Courier New" w:cs="Courier New"/>
          <w:color w:val="222222"/>
          <w:sz w:val="24"/>
          <w:szCs w:val="24"/>
        </w:rPr>
        <w:t>f</w:t>
      </w:r>
      <w:r>
        <w:rPr>
          <w:rFonts w:ascii="Courier New" w:eastAsia="Courier New" w:hAnsi="Courier New" w:cs="Courier New"/>
          <w:color w:val="222222"/>
          <w:sz w:val="24"/>
          <w:szCs w:val="24"/>
        </w:rPr>
        <w:t xml:space="preserve"> other states </w:t>
      </w:r>
      <w:r w:rsidR="00D602BE">
        <w:rPr>
          <w:rFonts w:ascii="Courier New" w:eastAsia="Courier New" w:hAnsi="Courier New" w:cs="Courier New"/>
          <w:color w:val="222222"/>
          <w:sz w:val="24"/>
          <w:szCs w:val="24"/>
        </w:rPr>
        <w:t>that</w:t>
      </w:r>
      <w:r>
        <w:rPr>
          <w:rFonts w:ascii="Courier New" w:eastAsia="Courier New" w:hAnsi="Courier New" w:cs="Courier New"/>
          <w:color w:val="222222"/>
          <w:sz w:val="24"/>
          <w:szCs w:val="24"/>
        </w:rPr>
        <w:t xml:space="preserve"> must be added back. Instead, it has chosen broad language to describe the </w:t>
      </w:r>
      <w:r w:rsidRPr="00D602BE">
        <w:rPr>
          <w:rFonts w:ascii="Courier New" w:eastAsia="Courier New" w:hAnsi="Courier New" w:cs="Courier New"/>
          <w:i/>
          <w:color w:val="222222"/>
          <w:sz w:val="24"/>
          <w:szCs w:val="24"/>
        </w:rPr>
        <w:t>types</w:t>
      </w:r>
      <w:r>
        <w:rPr>
          <w:rFonts w:ascii="Courier New" w:eastAsia="Courier New" w:hAnsi="Courier New" w:cs="Courier New"/>
          <w:color w:val="222222"/>
          <w:sz w:val="24"/>
          <w:szCs w:val="24"/>
        </w:rPr>
        <w:t xml:space="preserve"> of state tax that must be added back in calculating Massachusetts corporate net income.” Directive 99-9 provides categories of taxes that are disallowed as deductions, including those that tax “a corporation’s business activity (the privilege of doing business).” </w:t>
      </w:r>
    </w:p>
    <w:p w:rsidR="002C7AC8" w:rsidRDefault="0064580E">
      <w:pPr>
        <w:pStyle w:val="Normal1"/>
        <w:spacing w:line="480" w:lineRule="auto"/>
        <w:ind w:firstLine="720"/>
        <w:jc w:val="both"/>
        <w:rPr>
          <w:rFonts w:ascii="Courier New" w:eastAsia="Courier New" w:hAnsi="Courier New" w:cs="Courier New"/>
          <w:color w:val="222222"/>
          <w:sz w:val="24"/>
          <w:szCs w:val="24"/>
        </w:rPr>
      </w:pPr>
      <w:r>
        <w:rPr>
          <w:rFonts w:ascii="Courier New" w:eastAsia="Courier New" w:hAnsi="Courier New" w:cs="Courier New"/>
          <w:color w:val="222222"/>
          <w:sz w:val="24"/>
          <w:szCs w:val="24"/>
        </w:rPr>
        <w:t xml:space="preserve">Here, while the URT may have some characteristics of a transaction tax, as contended by the appellant, such as </w:t>
      </w:r>
      <w:r w:rsidR="002C7AC8">
        <w:rPr>
          <w:rFonts w:ascii="Courier New" w:eastAsia="Courier New" w:hAnsi="Courier New" w:cs="Courier New"/>
          <w:color w:val="222222"/>
          <w:sz w:val="24"/>
          <w:szCs w:val="24"/>
        </w:rPr>
        <w:t xml:space="preserve">an exemption for occasional sales and an exemption for sales transactions with the U.S. government, </w:t>
      </w:r>
      <w:r w:rsidR="002C7AC8" w:rsidRPr="002C7AC8">
        <w:rPr>
          <w:rFonts w:ascii="Courier New" w:eastAsia="Courier New" w:hAnsi="Courier New" w:cs="Courier New"/>
          <w:i/>
          <w:color w:val="222222"/>
          <w:sz w:val="24"/>
          <w:szCs w:val="24"/>
        </w:rPr>
        <w:t>see</w:t>
      </w:r>
      <w:r w:rsidR="002C7AC8">
        <w:rPr>
          <w:rFonts w:ascii="Courier New" w:eastAsia="Courier New" w:hAnsi="Courier New" w:cs="Courier New"/>
          <w:color w:val="222222"/>
          <w:sz w:val="24"/>
          <w:szCs w:val="24"/>
        </w:rPr>
        <w:t xml:space="preserve"> Ind. Code § 6-2.3-4-4 and Ind. Code § 6-2.3-4-1, </w:t>
      </w:r>
      <w:r>
        <w:rPr>
          <w:rFonts w:ascii="Courier New" w:eastAsia="Courier New" w:hAnsi="Courier New" w:cs="Courier New"/>
          <w:color w:val="222222"/>
          <w:sz w:val="24"/>
          <w:szCs w:val="24"/>
        </w:rPr>
        <w:t xml:space="preserve">on balance the URT is more akin to “taxes on or measured by income, franchise taxes measured by net income, franchise taxes for the privilege of doing business and capital stock taxes imposed by any state,” the types of tax disallowed by G.L. c. 63, § 30(4)(iii). </w:t>
      </w:r>
    </w:p>
    <w:p w:rsidR="007C2967" w:rsidRDefault="007C2967" w:rsidP="007C2967">
      <w:pPr>
        <w:pStyle w:val="Normal1"/>
        <w:spacing w:line="480" w:lineRule="auto"/>
        <w:ind w:firstLine="720"/>
        <w:jc w:val="both"/>
        <w:rPr>
          <w:rFonts w:ascii="Courier New" w:eastAsia="Courier New" w:hAnsi="Courier New" w:cs="Courier New"/>
          <w:color w:val="222222"/>
          <w:sz w:val="24"/>
          <w:szCs w:val="24"/>
        </w:rPr>
      </w:pPr>
      <w:r>
        <w:rPr>
          <w:rFonts w:ascii="Courier New" w:eastAsia="Courier New" w:hAnsi="Courier New" w:cs="Courier New"/>
          <w:color w:val="222222"/>
          <w:sz w:val="24"/>
          <w:szCs w:val="24"/>
        </w:rPr>
        <w:t xml:space="preserve">The URT is not imposed strictly upon receipts from sales, but also upon legal settlements and judgments pursuant to Ind. </w:t>
      </w:r>
      <w:r>
        <w:rPr>
          <w:rFonts w:ascii="Courier New" w:eastAsia="Courier New" w:hAnsi="Courier New" w:cs="Courier New"/>
          <w:color w:val="222222"/>
          <w:sz w:val="24"/>
          <w:szCs w:val="24"/>
        </w:rPr>
        <w:lastRenderedPageBreak/>
        <w:t>Code § 6-2.3-3-3, thus more indicative of a tax measured by income. Indiana has a sales tax pursuant to Ind. Code § 6-2.5-2-1 that is similar to the Massachusetts sales tax statute at G.L.</w:t>
      </w:r>
      <w:r w:rsidR="0010740E">
        <w:rPr>
          <w:rFonts w:ascii="Courier New" w:eastAsia="Courier New" w:hAnsi="Courier New" w:cs="Courier New"/>
          <w:color w:val="222222"/>
          <w:sz w:val="24"/>
          <w:szCs w:val="24"/>
        </w:rPr>
        <w:t> </w:t>
      </w:r>
      <w:r>
        <w:rPr>
          <w:rFonts w:ascii="Courier New" w:eastAsia="Courier New" w:hAnsi="Courier New" w:cs="Courier New"/>
          <w:color w:val="222222"/>
          <w:sz w:val="24"/>
          <w:szCs w:val="24"/>
        </w:rPr>
        <w:t xml:space="preserve">c. 64H, and the appellant collects this Indiana sales tax at 7 percent on utility sales. </w:t>
      </w:r>
      <w:r w:rsidR="00D602BE">
        <w:rPr>
          <w:rFonts w:ascii="Courier New" w:eastAsia="Courier New" w:hAnsi="Courier New" w:cs="Courier New"/>
          <w:color w:val="222222"/>
          <w:sz w:val="24"/>
          <w:szCs w:val="24"/>
        </w:rPr>
        <w:t xml:space="preserve">Ind. Code § 6-2.5-2-2. </w:t>
      </w:r>
      <w:r>
        <w:rPr>
          <w:rFonts w:ascii="Courier New" w:eastAsia="Courier New" w:hAnsi="Courier New" w:cs="Courier New"/>
          <w:color w:val="222222"/>
          <w:sz w:val="24"/>
          <w:szCs w:val="24"/>
        </w:rPr>
        <w:t xml:space="preserve">The particular language of the URT statute (imposed upon the “receipt of” taxable gross receipts rather than “imposed on retail transactions” as in the Indiana sales tax statute) more strongly suggests that the URT uses the receipts on sales as a measurement indicator for the privilege of doing business as a utility company and not as a means of directly taxing individual transactions for a transaction-based tax like the sales tax. Moreover, the URT is paid in minimum quarterly payments of estimated tax liability, similar to the collection of income tax from corporations in Massachusetts, which is also paid in quarterly payments of estimated taxes. </w:t>
      </w:r>
      <w:r w:rsidR="00D602BE">
        <w:rPr>
          <w:rFonts w:ascii="Courier New" w:eastAsia="Courier New" w:hAnsi="Courier New" w:cs="Courier New"/>
          <w:color w:val="222222"/>
          <w:sz w:val="24"/>
          <w:szCs w:val="24"/>
        </w:rPr>
        <w:t xml:space="preserve">Ind. Code § 6-2.3-6-1; </w:t>
      </w:r>
      <w:r>
        <w:rPr>
          <w:rFonts w:ascii="Courier New" w:eastAsia="Courier New" w:hAnsi="Courier New" w:cs="Courier New"/>
          <w:color w:val="222222"/>
          <w:sz w:val="24"/>
          <w:szCs w:val="24"/>
        </w:rPr>
        <w:t>G.L. c. 63B, § 3; Form URT-2220: Underpayment of Estimated Utility Receipts Tax</w:t>
      </w:r>
      <w:r w:rsidR="00D602BE">
        <w:rPr>
          <w:rFonts w:ascii="Courier New" w:eastAsia="Courier New" w:hAnsi="Courier New" w:cs="Courier New"/>
          <w:color w:val="222222"/>
          <w:sz w:val="24"/>
          <w:szCs w:val="24"/>
        </w:rPr>
        <w:t xml:space="preserve"> (“Form URT-2220”)</w:t>
      </w:r>
      <w:r>
        <w:rPr>
          <w:rFonts w:ascii="Courier New" w:eastAsia="Courier New" w:hAnsi="Courier New" w:cs="Courier New"/>
          <w:color w:val="222222"/>
          <w:sz w:val="24"/>
          <w:szCs w:val="24"/>
        </w:rPr>
        <w:t>. Underpayments of the quarterly estimated liability for the URT incur a penalty of 10 percent</w:t>
      </w:r>
      <w:r w:rsidR="00D602BE">
        <w:rPr>
          <w:rFonts w:ascii="Courier New" w:eastAsia="Courier New" w:hAnsi="Courier New" w:cs="Courier New"/>
          <w:color w:val="222222"/>
          <w:sz w:val="24"/>
          <w:szCs w:val="24"/>
        </w:rPr>
        <w:t xml:space="preserve"> of the total quarterly underpayments. </w:t>
      </w:r>
      <w:r w:rsidR="00D602BE" w:rsidRPr="00D602BE">
        <w:rPr>
          <w:rFonts w:ascii="Courier New" w:eastAsia="Courier New" w:hAnsi="Courier New" w:cs="Courier New"/>
          <w:i/>
          <w:color w:val="222222"/>
          <w:sz w:val="24"/>
          <w:szCs w:val="24"/>
        </w:rPr>
        <w:t>See</w:t>
      </w:r>
      <w:r w:rsidR="00D602BE">
        <w:rPr>
          <w:rFonts w:ascii="Courier New" w:eastAsia="Courier New" w:hAnsi="Courier New" w:cs="Courier New"/>
          <w:color w:val="222222"/>
          <w:sz w:val="24"/>
          <w:szCs w:val="24"/>
        </w:rPr>
        <w:t xml:space="preserve"> Form URT-2220.</w:t>
      </w:r>
      <w:r>
        <w:rPr>
          <w:rFonts w:ascii="Courier New" w:eastAsia="Courier New" w:hAnsi="Courier New" w:cs="Courier New"/>
          <w:color w:val="222222"/>
          <w:sz w:val="24"/>
          <w:szCs w:val="24"/>
        </w:rPr>
        <w:t xml:space="preserve"> Massachusetts also imposes an additional amount on underpayments of estimated taxes. G.L. c. 63B, § 3; G.L. c. 62C, § 32. The method of collection of the URT and the penalty on underpayments </w:t>
      </w:r>
      <w:r>
        <w:rPr>
          <w:rFonts w:ascii="Courier New" w:eastAsia="Courier New" w:hAnsi="Courier New" w:cs="Courier New"/>
          <w:color w:val="222222"/>
          <w:sz w:val="24"/>
          <w:szCs w:val="24"/>
        </w:rPr>
        <w:lastRenderedPageBreak/>
        <w:t>is similar to the collection and penalization on underpayments of corporate income tax in Massachusetts.</w:t>
      </w:r>
    </w:p>
    <w:p w:rsidR="008A3727" w:rsidRDefault="00D0425F">
      <w:pPr>
        <w:pStyle w:val="Normal1"/>
        <w:spacing w:line="480" w:lineRule="auto"/>
        <w:ind w:firstLine="720"/>
        <w:jc w:val="both"/>
        <w:rPr>
          <w:rFonts w:ascii="Courier New" w:eastAsia="Courier New" w:hAnsi="Courier New" w:cs="Courier New"/>
          <w:color w:val="222222"/>
          <w:sz w:val="24"/>
          <w:szCs w:val="24"/>
        </w:rPr>
      </w:pPr>
      <w:r>
        <w:rPr>
          <w:rFonts w:ascii="Courier New" w:eastAsia="Courier New" w:hAnsi="Courier New" w:cs="Courier New"/>
          <w:color w:val="222222"/>
          <w:sz w:val="24"/>
          <w:szCs w:val="24"/>
        </w:rPr>
        <w:t xml:space="preserve">Further, the </w:t>
      </w:r>
      <w:r w:rsidR="008A3727">
        <w:rPr>
          <w:rFonts w:ascii="Courier New" w:eastAsia="Courier New" w:hAnsi="Courier New" w:cs="Courier New"/>
          <w:color w:val="222222"/>
          <w:sz w:val="24"/>
          <w:szCs w:val="24"/>
        </w:rPr>
        <w:t xml:space="preserve">Board agreed with the Commissioner’s argument </w:t>
      </w:r>
      <w:r>
        <w:rPr>
          <w:rFonts w:ascii="Courier New" w:eastAsia="Courier New" w:hAnsi="Courier New" w:cs="Courier New"/>
          <w:color w:val="222222"/>
          <w:sz w:val="24"/>
          <w:szCs w:val="24"/>
        </w:rPr>
        <w:t xml:space="preserve">that relevant language in Ind. Code § 6-2.3-8-2, specifically that “the tax imposed by this article </w:t>
      </w:r>
      <w:r w:rsidRPr="007C2967">
        <w:rPr>
          <w:rFonts w:ascii="Courier New" w:eastAsia="Courier New" w:hAnsi="Courier New" w:cs="Courier New"/>
          <w:color w:val="222222"/>
          <w:sz w:val="24"/>
          <w:szCs w:val="24"/>
        </w:rPr>
        <w:t>is in addition to all other</w:t>
      </w:r>
      <w:r>
        <w:rPr>
          <w:rFonts w:ascii="Courier New" w:eastAsia="Courier New" w:hAnsi="Courier New" w:cs="Courier New"/>
          <w:color w:val="222222"/>
          <w:sz w:val="24"/>
          <w:szCs w:val="24"/>
        </w:rPr>
        <w:t xml:space="preserve"> licenses and taxes imposed by law as a condition precedent to engaging in any business, privilege, occupation, or activity that is taxable under such other license or tax,” makes clear that the URT is a tax on th</w:t>
      </w:r>
      <w:r w:rsidR="007C2967">
        <w:rPr>
          <w:rFonts w:ascii="Courier New" w:eastAsia="Courier New" w:hAnsi="Courier New" w:cs="Courier New"/>
          <w:color w:val="222222"/>
          <w:sz w:val="24"/>
          <w:szCs w:val="24"/>
        </w:rPr>
        <w:t xml:space="preserve">e privilege of doing business. </w:t>
      </w:r>
      <w:r>
        <w:rPr>
          <w:rFonts w:ascii="Courier New" w:eastAsia="Courier New" w:hAnsi="Courier New" w:cs="Courier New"/>
          <w:color w:val="222222"/>
          <w:sz w:val="24"/>
          <w:szCs w:val="24"/>
        </w:rPr>
        <w:t xml:space="preserve">The word “other” in this phrase demonstrates that the URT is itself one of the other taxes imposed “as a condition precedent” to the privilege of doing business. </w:t>
      </w:r>
    </w:p>
    <w:p w:rsidR="008A3727" w:rsidRDefault="00D0425F">
      <w:pPr>
        <w:pStyle w:val="Normal1"/>
        <w:spacing w:line="480" w:lineRule="auto"/>
        <w:ind w:firstLine="720"/>
        <w:jc w:val="both"/>
        <w:rPr>
          <w:rFonts w:ascii="Courier New" w:eastAsia="Courier New" w:hAnsi="Courier New" w:cs="Courier New"/>
          <w:color w:val="222222"/>
          <w:sz w:val="24"/>
          <w:szCs w:val="24"/>
        </w:rPr>
      </w:pPr>
      <w:r>
        <w:rPr>
          <w:rFonts w:ascii="Courier New" w:eastAsia="Courier New" w:hAnsi="Courier New" w:cs="Courier New"/>
          <w:color w:val="222222"/>
          <w:sz w:val="24"/>
          <w:szCs w:val="24"/>
        </w:rPr>
        <w:t xml:space="preserve">The appellant, on the other hand, interpreted the “all other licenses and taxes” language as being the exclusive “condition precedent,” and interpreted that the URT is not part of that group of “all other licenses and taxes imposed by law as a condition precedent.” Thus, the appellant asserts that the URT is not a “condition precedent” tax, unlike the others. </w:t>
      </w:r>
      <w:r w:rsidR="008A3727">
        <w:rPr>
          <w:rFonts w:ascii="Courier New" w:eastAsia="Courier New" w:hAnsi="Courier New" w:cs="Courier New"/>
          <w:color w:val="222222"/>
          <w:sz w:val="24"/>
          <w:szCs w:val="24"/>
        </w:rPr>
        <w:t xml:space="preserve">The Board rejected this strained reading of the statutory language. </w:t>
      </w:r>
    </w:p>
    <w:p w:rsidR="008A3727" w:rsidRDefault="008A3727">
      <w:pPr>
        <w:pStyle w:val="Normal1"/>
        <w:spacing w:line="480" w:lineRule="auto"/>
        <w:ind w:firstLine="720"/>
        <w:jc w:val="both"/>
        <w:rPr>
          <w:rFonts w:ascii="Courier New" w:eastAsia="Courier New" w:hAnsi="Courier New" w:cs="Courier New"/>
          <w:color w:val="212121"/>
          <w:sz w:val="24"/>
          <w:szCs w:val="24"/>
        </w:rPr>
      </w:pPr>
      <w:r>
        <w:rPr>
          <w:rFonts w:ascii="Courier New" w:eastAsia="Courier New" w:hAnsi="Courier New" w:cs="Courier New"/>
          <w:color w:val="222222"/>
          <w:sz w:val="24"/>
          <w:szCs w:val="24"/>
        </w:rPr>
        <w:t>S</w:t>
      </w:r>
      <w:r w:rsidR="00D0425F">
        <w:rPr>
          <w:rFonts w:ascii="Courier New" w:eastAsia="Courier New" w:hAnsi="Courier New" w:cs="Courier New"/>
          <w:color w:val="222222"/>
          <w:sz w:val="24"/>
          <w:szCs w:val="24"/>
        </w:rPr>
        <w:t>tatutory language must be “</w:t>
      </w:r>
      <w:r w:rsidR="00D0425F">
        <w:rPr>
          <w:rFonts w:ascii="Courier New" w:eastAsia="Courier New" w:hAnsi="Courier New" w:cs="Courier New"/>
          <w:color w:val="212121"/>
          <w:sz w:val="24"/>
          <w:szCs w:val="24"/>
        </w:rPr>
        <w:t xml:space="preserve">construed according to [its] natural and ordinary meaning” upon a plain reading. </w:t>
      </w:r>
      <w:r w:rsidR="00D0425F">
        <w:rPr>
          <w:rFonts w:ascii="Courier New" w:eastAsia="Courier New" w:hAnsi="Courier New" w:cs="Courier New"/>
          <w:b/>
          <w:i/>
          <w:color w:val="212121"/>
          <w:sz w:val="24"/>
          <w:szCs w:val="24"/>
        </w:rPr>
        <w:t>Chatham Corporation v. State Tax Commission</w:t>
      </w:r>
      <w:r w:rsidR="00D0425F">
        <w:rPr>
          <w:rFonts w:ascii="Courier New" w:eastAsia="Courier New" w:hAnsi="Courier New" w:cs="Courier New"/>
          <w:color w:val="212121"/>
          <w:sz w:val="24"/>
          <w:szCs w:val="24"/>
        </w:rPr>
        <w:t xml:space="preserve">, 362 Mass. 216, 219 (1972); </w:t>
      </w:r>
      <w:r w:rsidR="00D0425F">
        <w:rPr>
          <w:rFonts w:ascii="Courier New" w:eastAsia="Courier New" w:hAnsi="Courier New" w:cs="Courier New"/>
          <w:i/>
          <w:color w:val="212121"/>
          <w:sz w:val="24"/>
          <w:szCs w:val="24"/>
        </w:rPr>
        <w:t>see also</w:t>
      </w:r>
      <w:r w:rsidR="00D0425F">
        <w:rPr>
          <w:rFonts w:ascii="Courier New" w:eastAsia="Courier New" w:hAnsi="Courier New" w:cs="Courier New"/>
          <w:color w:val="212121"/>
          <w:sz w:val="24"/>
          <w:szCs w:val="24"/>
        </w:rPr>
        <w:t xml:space="preserve"> </w:t>
      </w:r>
      <w:r w:rsidR="00D0425F">
        <w:rPr>
          <w:rFonts w:ascii="Courier New" w:eastAsia="Courier New" w:hAnsi="Courier New" w:cs="Courier New"/>
          <w:b/>
          <w:i/>
          <w:color w:val="212121"/>
          <w:sz w:val="24"/>
          <w:szCs w:val="24"/>
        </w:rPr>
        <w:t>Bronstein v. Prudential Ins. Co.</w:t>
      </w:r>
      <w:r w:rsidR="00D0425F">
        <w:rPr>
          <w:rFonts w:ascii="Courier New" w:eastAsia="Courier New" w:hAnsi="Courier New" w:cs="Courier New"/>
          <w:i/>
          <w:color w:val="212121"/>
          <w:sz w:val="24"/>
          <w:szCs w:val="24"/>
        </w:rPr>
        <w:t>,</w:t>
      </w:r>
      <w:r w:rsidR="00D0425F">
        <w:rPr>
          <w:rFonts w:ascii="Courier New" w:eastAsia="Courier New" w:hAnsi="Courier New" w:cs="Courier New"/>
          <w:color w:val="212121"/>
          <w:sz w:val="24"/>
          <w:szCs w:val="24"/>
        </w:rPr>
        <w:t xml:space="preserve"> </w:t>
      </w:r>
      <w:r w:rsidR="00D0425F">
        <w:rPr>
          <w:rFonts w:ascii="Courier New" w:eastAsia="Courier New" w:hAnsi="Courier New" w:cs="Courier New"/>
          <w:color w:val="252525"/>
          <w:sz w:val="24"/>
          <w:szCs w:val="24"/>
        </w:rPr>
        <w:t>390 Mass. 701</w:t>
      </w:r>
      <w:r w:rsidR="00D0425F">
        <w:rPr>
          <w:rFonts w:ascii="Courier New" w:eastAsia="Courier New" w:hAnsi="Courier New" w:cs="Courier New"/>
          <w:color w:val="212121"/>
          <w:sz w:val="24"/>
          <w:szCs w:val="24"/>
        </w:rPr>
        <w:t xml:space="preserve"> (1984). </w:t>
      </w:r>
      <w:r w:rsidR="00D0425F">
        <w:rPr>
          <w:rFonts w:ascii="Courier New" w:eastAsia="Courier New" w:hAnsi="Courier New" w:cs="Courier New"/>
          <w:color w:val="212121"/>
          <w:sz w:val="24"/>
          <w:szCs w:val="24"/>
          <w:highlight w:val="white"/>
        </w:rPr>
        <w:t xml:space="preserve">The Supreme Judicial Court also provided that “[a] statute or </w:t>
      </w:r>
      <w:r w:rsidR="00D0425F">
        <w:rPr>
          <w:rFonts w:ascii="Courier New" w:eastAsia="Courier New" w:hAnsi="Courier New" w:cs="Courier New"/>
          <w:color w:val="212121"/>
          <w:sz w:val="24"/>
          <w:szCs w:val="24"/>
          <w:highlight w:val="white"/>
        </w:rPr>
        <w:lastRenderedPageBreak/>
        <w:t xml:space="preserve">ordinance should not be construed in a way that produces absurd or unreasonable results when a sensible construction is readily available.” </w:t>
      </w:r>
      <w:r w:rsidR="00D0425F">
        <w:rPr>
          <w:rFonts w:ascii="Courier New" w:eastAsia="Courier New" w:hAnsi="Courier New" w:cs="Courier New"/>
          <w:b/>
          <w:i/>
          <w:color w:val="212121"/>
          <w:sz w:val="24"/>
          <w:szCs w:val="24"/>
        </w:rPr>
        <w:t>Manning v. Boston Redevelopment Authority,</w:t>
      </w:r>
      <w:r w:rsidR="00D0425F">
        <w:rPr>
          <w:rFonts w:ascii="Courier New" w:eastAsia="Courier New" w:hAnsi="Courier New" w:cs="Courier New"/>
          <w:color w:val="212121"/>
          <w:sz w:val="24"/>
          <w:szCs w:val="24"/>
          <w:highlight w:val="white"/>
        </w:rPr>
        <w:t xml:space="preserve"> 400 Mass. 444, 453 (1987). Further, </w:t>
      </w:r>
      <w:r w:rsidR="00D0425F">
        <w:rPr>
          <w:rFonts w:ascii="Courier New" w:eastAsia="Courier New" w:hAnsi="Courier New" w:cs="Courier New"/>
          <w:color w:val="212121"/>
          <w:sz w:val="24"/>
          <w:szCs w:val="24"/>
        </w:rPr>
        <w:t xml:space="preserve">“[t]ax laws ‘should be construed and interpreted as far as possible so as to be susceptible of easy comprehension and not likely to become pitfalls for the unwary.’” </w:t>
      </w:r>
      <w:r w:rsidR="00D0425F">
        <w:rPr>
          <w:rFonts w:ascii="Courier New" w:eastAsia="Courier New" w:hAnsi="Courier New" w:cs="Courier New"/>
          <w:b/>
          <w:i/>
          <w:color w:val="212121"/>
          <w:sz w:val="24"/>
          <w:szCs w:val="24"/>
        </w:rPr>
        <w:t>Assessors of Brookline v. Prudential Ins</w:t>
      </w:r>
      <w:r w:rsidR="00D602BE">
        <w:rPr>
          <w:rFonts w:ascii="Courier New" w:eastAsia="Courier New" w:hAnsi="Courier New" w:cs="Courier New"/>
          <w:b/>
          <w:i/>
          <w:color w:val="212121"/>
          <w:sz w:val="24"/>
          <w:szCs w:val="24"/>
        </w:rPr>
        <w:t>.</w:t>
      </w:r>
      <w:r w:rsidR="00D0425F">
        <w:rPr>
          <w:rFonts w:ascii="Courier New" w:eastAsia="Courier New" w:hAnsi="Courier New" w:cs="Courier New"/>
          <w:b/>
          <w:i/>
          <w:color w:val="212121"/>
          <w:sz w:val="24"/>
          <w:szCs w:val="24"/>
        </w:rPr>
        <w:t xml:space="preserve"> Co.</w:t>
      </w:r>
      <w:r w:rsidR="00D0425F">
        <w:rPr>
          <w:rFonts w:ascii="Courier New" w:eastAsia="Courier New" w:hAnsi="Courier New" w:cs="Courier New"/>
          <w:color w:val="212121"/>
          <w:sz w:val="24"/>
          <w:szCs w:val="24"/>
        </w:rPr>
        <w:t>, 310</w:t>
      </w:r>
      <w:r w:rsidR="0010740E">
        <w:rPr>
          <w:rFonts w:ascii="Courier New" w:eastAsia="Courier New" w:hAnsi="Courier New" w:cs="Courier New"/>
          <w:color w:val="212121"/>
          <w:sz w:val="24"/>
          <w:szCs w:val="24"/>
        </w:rPr>
        <w:t> </w:t>
      </w:r>
      <w:r w:rsidR="00D0425F">
        <w:rPr>
          <w:rFonts w:ascii="Courier New" w:eastAsia="Courier New" w:hAnsi="Courier New" w:cs="Courier New"/>
          <w:color w:val="212121"/>
          <w:sz w:val="24"/>
          <w:szCs w:val="24"/>
        </w:rPr>
        <w:t xml:space="preserve">Mass. 300, 313 (1941) (quoting </w:t>
      </w:r>
      <w:r w:rsidR="00D0425F">
        <w:rPr>
          <w:rFonts w:ascii="Courier New" w:eastAsia="Courier New" w:hAnsi="Courier New" w:cs="Courier New"/>
          <w:b/>
          <w:i/>
          <w:color w:val="212121"/>
          <w:sz w:val="24"/>
          <w:szCs w:val="24"/>
        </w:rPr>
        <w:t>Hemenway v. Milton</w:t>
      </w:r>
      <w:r w:rsidR="00D0425F">
        <w:rPr>
          <w:rFonts w:ascii="Courier New" w:eastAsia="Courier New" w:hAnsi="Courier New" w:cs="Courier New"/>
          <w:color w:val="212121"/>
          <w:sz w:val="24"/>
          <w:szCs w:val="24"/>
        </w:rPr>
        <w:t xml:space="preserve">, 217 Mass. 230, 233 (1914)). “[I]t is ‘[c]onspicuously important’ to construe the language of a tax law according to its ‘common and ordinary meaning.’” </w:t>
      </w:r>
      <w:r w:rsidR="00D0425F">
        <w:rPr>
          <w:rFonts w:ascii="Courier New" w:eastAsia="Courier New" w:hAnsi="Courier New" w:cs="Courier New"/>
          <w:b/>
          <w:i/>
          <w:color w:val="212121"/>
          <w:sz w:val="24"/>
          <w:szCs w:val="24"/>
        </w:rPr>
        <w:t>County of Middlesex v. Newton</w:t>
      </w:r>
      <w:r w:rsidR="00D0425F">
        <w:rPr>
          <w:rFonts w:ascii="Courier New" w:eastAsia="Courier New" w:hAnsi="Courier New" w:cs="Courier New"/>
          <w:color w:val="212121"/>
          <w:sz w:val="24"/>
          <w:szCs w:val="24"/>
        </w:rPr>
        <w:t xml:space="preserve">, 13 Mass. App. Ct. 538, 542 (1982) (quoting C. Sands &amp; N. Singer, </w:t>
      </w:r>
      <w:r w:rsidR="00D0425F">
        <w:rPr>
          <w:rFonts w:ascii="Courier New" w:eastAsia="Courier New" w:hAnsi="Courier New" w:cs="Courier New"/>
          <w:b/>
          <w:i/>
          <w:color w:val="212121"/>
          <w:sz w:val="24"/>
          <w:szCs w:val="24"/>
        </w:rPr>
        <w:t xml:space="preserve">Sutherland </w:t>
      </w:r>
      <w:r w:rsidR="00D0425F">
        <w:rPr>
          <w:rFonts w:ascii="Courier New" w:eastAsia="Courier New" w:hAnsi="Courier New" w:cs="Courier New"/>
          <w:b/>
          <w:i/>
          <w:color w:val="252525"/>
          <w:sz w:val="24"/>
          <w:szCs w:val="24"/>
        </w:rPr>
        <w:t>Statutory</w:t>
      </w:r>
      <w:r w:rsidR="00D0425F">
        <w:rPr>
          <w:rFonts w:ascii="Courier New" w:eastAsia="Courier New" w:hAnsi="Courier New" w:cs="Courier New"/>
          <w:b/>
          <w:i/>
          <w:color w:val="212121"/>
          <w:sz w:val="24"/>
          <w:szCs w:val="24"/>
        </w:rPr>
        <w:t xml:space="preserve"> </w:t>
      </w:r>
      <w:r w:rsidR="00D0425F">
        <w:rPr>
          <w:rFonts w:ascii="Courier New" w:eastAsia="Courier New" w:hAnsi="Courier New" w:cs="Courier New"/>
          <w:b/>
          <w:i/>
          <w:color w:val="252525"/>
          <w:sz w:val="24"/>
          <w:szCs w:val="24"/>
        </w:rPr>
        <w:t>Construction</w:t>
      </w:r>
      <w:r w:rsidR="00D0425F">
        <w:rPr>
          <w:rFonts w:ascii="Courier New" w:eastAsia="Courier New" w:hAnsi="Courier New" w:cs="Courier New"/>
          <w:color w:val="252525"/>
          <w:sz w:val="24"/>
          <w:szCs w:val="24"/>
        </w:rPr>
        <w:t xml:space="preserve"> </w:t>
      </w:r>
      <w:r w:rsidR="00D0425F">
        <w:rPr>
          <w:rFonts w:ascii="Courier New" w:eastAsia="Courier New" w:hAnsi="Courier New" w:cs="Courier New"/>
          <w:color w:val="212121"/>
          <w:sz w:val="24"/>
          <w:szCs w:val="24"/>
        </w:rPr>
        <w:t xml:space="preserve">188 (4th ed. 1974)), </w:t>
      </w:r>
      <w:r w:rsidR="00D0425F">
        <w:rPr>
          <w:rFonts w:ascii="Courier New" w:eastAsia="Courier New" w:hAnsi="Courier New" w:cs="Courier New"/>
          <w:i/>
          <w:color w:val="212121"/>
          <w:sz w:val="24"/>
          <w:szCs w:val="24"/>
        </w:rPr>
        <w:t>further appellate review denied</w:t>
      </w:r>
      <w:r w:rsidR="00D0425F">
        <w:rPr>
          <w:rFonts w:ascii="Courier New" w:eastAsia="Courier New" w:hAnsi="Courier New" w:cs="Courier New"/>
          <w:color w:val="212121"/>
          <w:sz w:val="24"/>
          <w:szCs w:val="24"/>
        </w:rPr>
        <w:t xml:space="preserve">, 386 Mass. 1104 (1982). </w:t>
      </w:r>
    </w:p>
    <w:p w:rsidR="0036081A" w:rsidRDefault="00D0425F">
      <w:pPr>
        <w:pStyle w:val="Normal1"/>
        <w:spacing w:line="480" w:lineRule="auto"/>
        <w:ind w:firstLine="720"/>
        <w:jc w:val="both"/>
        <w:rPr>
          <w:rFonts w:ascii="Courier New" w:eastAsia="Courier New" w:hAnsi="Courier New" w:cs="Courier New"/>
          <w:color w:val="222222"/>
          <w:sz w:val="24"/>
          <w:szCs w:val="24"/>
        </w:rPr>
      </w:pPr>
      <w:r>
        <w:rPr>
          <w:rFonts w:ascii="Courier New" w:eastAsia="Courier New" w:hAnsi="Courier New" w:cs="Courier New"/>
          <w:color w:val="212121"/>
          <w:sz w:val="24"/>
          <w:szCs w:val="24"/>
        </w:rPr>
        <w:t>In the present case, t</w:t>
      </w:r>
      <w:r>
        <w:rPr>
          <w:rFonts w:ascii="Courier New" w:eastAsia="Courier New" w:hAnsi="Courier New" w:cs="Courier New"/>
          <w:color w:val="222222"/>
          <w:sz w:val="24"/>
          <w:szCs w:val="24"/>
        </w:rPr>
        <w:t xml:space="preserve">he Board determined that the “in addition to all other” language in Ind. Code § 6-2.3-8-2 encompassed the URT based upon a plain language reading of the statute. </w:t>
      </w:r>
      <w:r>
        <w:rPr>
          <w:rFonts w:ascii="Courier New" w:eastAsia="Courier New" w:hAnsi="Courier New" w:cs="Courier New"/>
          <w:i/>
          <w:color w:val="212121"/>
          <w:sz w:val="24"/>
          <w:szCs w:val="24"/>
        </w:rPr>
        <w:t>See, e.g</w:t>
      </w:r>
      <w:r>
        <w:rPr>
          <w:rFonts w:ascii="Courier New" w:eastAsia="Courier New" w:hAnsi="Courier New" w:cs="Courier New"/>
          <w:color w:val="212121"/>
          <w:sz w:val="24"/>
          <w:szCs w:val="24"/>
          <w:highlight w:val="white"/>
        </w:rPr>
        <w:t xml:space="preserve">., </w:t>
      </w:r>
      <w:r>
        <w:rPr>
          <w:rFonts w:ascii="Courier New" w:eastAsia="Courier New" w:hAnsi="Courier New" w:cs="Courier New"/>
          <w:b/>
          <w:i/>
          <w:color w:val="212121"/>
          <w:sz w:val="24"/>
          <w:szCs w:val="24"/>
        </w:rPr>
        <w:t>White v. Boston</w:t>
      </w:r>
      <w:r>
        <w:rPr>
          <w:rFonts w:ascii="Courier New" w:eastAsia="Courier New" w:hAnsi="Courier New" w:cs="Courier New"/>
          <w:color w:val="212121"/>
          <w:sz w:val="24"/>
          <w:szCs w:val="24"/>
          <w:highlight w:val="white"/>
        </w:rPr>
        <w:t>, 428 Mass. 250 (1998)</w:t>
      </w:r>
      <w:r>
        <w:rPr>
          <w:rFonts w:ascii="Courier New" w:eastAsia="Courier New" w:hAnsi="Courier New" w:cs="Courier New"/>
          <w:color w:val="222222"/>
          <w:sz w:val="24"/>
          <w:szCs w:val="24"/>
        </w:rPr>
        <w:t xml:space="preserve">. The </w:t>
      </w:r>
      <w:r w:rsidR="008A3727">
        <w:rPr>
          <w:rFonts w:ascii="Courier New" w:eastAsia="Courier New" w:hAnsi="Courier New" w:cs="Courier New"/>
          <w:color w:val="222222"/>
          <w:sz w:val="24"/>
          <w:szCs w:val="24"/>
        </w:rPr>
        <w:t xml:space="preserve">plain </w:t>
      </w:r>
      <w:r>
        <w:rPr>
          <w:rFonts w:ascii="Courier New" w:eastAsia="Courier New" w:hAnsi="Courier New" w:cs="Courier New"/>
          <w:color w:val="222222"/>
          <w:sz w:val="24"/>
          <w:szCs w:val="24"/>
        </w:rPr>
        <w:t xml:space="preserve">language “the [URT] . . . is in addition to all other licenses and taxes imposed by law as a condition precedent” includes the URT in that group of “licenses and taxes imposed by law as a condition precedent.” Ind. Code § 6-2.3-8-2. The opposite conclusion, advanced by the appellant, that the URT is </w:t>
      </w:r>
      <w:r>
        <w:rPr>
          <w:rFonts w:ascii="Courier New" w:eastAsia="Courier New" w:hAnsi="Courier New" w:cs="Courier New"/>
          <w:color w:val="222222"/>
          <w:sz w:val="24"/>
          <w:szCs w:val="24"/>
        </w:rPr>
        <w:lastRenderedPageBreak/>
        <w:t xml:space="preserve">excluded from this group, would render the word “other” </w:t>
      </w:r>
      <w:r w:rsidR="007C2967">
        <w:rPr>
          <w:rFonts w:ascii="Courier New" w:eastAsia="Courier New" w:hAnsi="Courier New" w:cs="Courier New"/>
          <w:color w:val="222222"/>
          <w:sz w:val="24"/>
          <w:szCs w:val="24"/>
        </w:rPr>
        <w:t>as superfluous.</w:t>
      </w:r>
    </w:p>
    <w:p w:rsidR="008A3727" w:rsidRDefault="00D0425F">
      <w:pPr>
        <w:pStyle w:val="Normal1"/>
        <w:spacing w:line="480" w:lineRule="auto"/>
        <w:ind w:firstLine="720"/>
        <w:jc w:val="both"/>
        <w:rPr>
          <w:rFonts w:ascii="Courier New" w:eastAsia="Courier New" w:hAnsi="Courier New" w:cs="Courier New"/>
          <w:color w:val="222222"/>
          <w:sz w:val="24"/>
          <w:szCs w:val="24"/>
        </w:rPr>
      </w:pPr>
      <w:r>
        <w:rPr>
          <w:rFonts w:ascii="Courier New" w:eastAsia="Courier New" w:hAnsi="Courier New" w:cs="Courier New"/>
          <w:color w:val="222222"/>
          <w:sz w:val="24"/>
          <w:szCs w:val="24"/>
        </w:rPr>
        <w:t xml:space="preserve">The appellant </w:t>
      </w:r>
      <w:r w:rsidR="009249FC">
        <w:rPr>
          <w:rFonts w:ascii="Courier New" w:eastAsia="Courier New" w:hAnsi="Courier New" w:cs="Courier New"/>
          <w:color w:val="222222"/>
          <w:sz w:val="24"/>
          <w:szCs w:val="24"/>
        </w:rPr>
        <w:t xml:space="preserve">also </w:t>
      </w:r>
      <w:r>
        <w:rPr>
          <w:rFonts w:ascii="Courier New" w:eastAsia="Courier New" w:hAnsi="Courier New" w:cs="Courier New"/>
          <w:color w:val="222222"/>
          <w:sz w:val="24"/>
          <w:szCs w:val="24"/>
        </w:rPr>
        <w:t>presented several constitutional arguments. It contended that disallowance of the URT deduction would be discriminatory b</w:t>
      </w:r>
      <w:r w:rsidR="00DA6184">
        <w:rPr>
          <w:rFonts w:ascii="Courier New" w:eastAsia="Courier New" w:hAnsi="Courier New" w:cs="Courier New"/>
          <w:color w:val="222222"/>
          <w:sz w:val="24"/>
          <w:szCs w:val="24"/>
        </w:rPr>
        <w:t xml:space="preserve">y </w:t>
      </w:r>
      <w:r>
        <w:rPr>
          <w:rFonts w:ascii="Courier New" w:eastAsia="Courier New" w:hAnsi="Courier New" w:cs="Courier New"/>
          <w:color w:val="222222"/>
          <w:sz w:val="24"/>
          <w:szCs w:val="24"/>
        </w:rPr>
        <w:t>favoring in-state operations over out-of-state operations. The appellant also contended that G.L.</w:t>
      </w:r>
      <w:r w:rsidR="0010740E">
        <w:rPr>
          <w:rFonts w:ascii="Courier New" w:eastAsia="Courier New" w:hAnsi="Courier New" w:cs="Courier New"/>
          <w:color w:val="222222"/>
          <w:sz w:val="24"/>
          <w:szCs w:val="24"/>
        </w:rPr>
        <w:t> </w:t>
      </w:r>
      <w:r>
        <w:rPr>
          <w:rFonts w:ascii="Courier New" w:eastAsia="Courier New" w:hAnsi="Courier New" w:cs="Courier New"/>
          <w:color w:val="222222"/>
          <w:sz w:val="24"/>
          <w:szCs w:val="24"/>
        </w:rPr>
        <w:t xml:space="preserve">c. 63, § 30(4)(iii) is unconstitutional as applied here because it applies to the transaction taxes of another state but not to the transaction taxes of Massachusetts. </w:t>
      </w:r>
      <w:r w:rsidR="00DA6184">
        <w:rPr>
          <w:rFonts w:ascii="Courier New" w:eastAsia="Courier New" w:hAnsi="Courier New" w:cs="Courier New"/>
          <w:color w:val="222222"/>
          <w:sz w:val="24"/>
          <w:szCs w:val="24"/>
        </w:rPr>
        <w:t xml:space="preserve">The Board determined that both constitutional arguments were </w:t>
      </w:r>
      <w:r w:rsidR="00D165C7">
        <w:rPr>
          <w:rFonts w:ascii="Courier New" w:eastAsia="Courier New" w:hAnsi="Courier New" w:cs="Courier New"/>
          <w:color w:val="222222"/>
          <w:sz w:val="24"/>
          <w:szCs w:val="24"/>
        </w:rPr>
        <w:t>without merit</w:t>
      </w:r>
      <w:r w:rsidR="00DA6184">
        <w:rPr>
          <w:rFonts w:ascii="Courier New" w:eastAsia="Courier New" w:hAnsi="Courier New" w:cs="Courier New"/>
          <w:color w:val="222222"/>
          <w:sz w:val="24"/>
          <w:szCs w:val="24"/>
        </w:rPr>
        <w:t>.</w:t>
      </w:r>
      <w:r w:rsidR="00D165C7">
        <w:rPr>
          <w:rFonts w:ascii="Courier New" w:eastAsia="Courier New" w:hAnsi="Courier New" w:cs="Courier New"/>
          <w:color w:val="222222"/>
          <w:sz w:val="24"/>
          <w:szCs w:val="24"/>
        </w:rPr>
        <w:t xml:space="preserve"> </w:t>
      </w:r>
      <w:bookmarkStart w:id="1" w:name="_gjdgxs" w:colFirst="0" w:colLast="0"/>
      <w:bookmarkEnd w:id="1"/>
    </w:p>
    <w:p w:rsidR="0036081A" w:rsidRDefault="00D0425F">
      <w:pPr>
        <w:pStyle w:val="Normal1"/>
        <w:spacing w:line="480" w:lineRule="auto"/>
        <w:ind w:firstLine="720"/>
        <w:jc w:val="both"/>
        <w:rPr>
          <w:rFonts w:ascii="Courier New" w:eastAsia="Courier New" w:hAnsi="Courier New" w:cs="Courier New"/>
          <w:color w:val="212121"/>
          <w:sz w:val="24"/>
          <w:szCs w:val="24"/>
        </w:rPr>
      </w:pPr>
      <w:r>
        <w:rPr>
          <w:rFonts w:ascii="Courier New" w:eastAsia="Courier New" w:hAnsi="Courier New" w:cs="Courier New"/>
          <w:color w:val="212121"/>
          <w:sz w:val="24"/>
          <w:szCs w:val="24"/>
        </w:rPr>
        <w:t xml:space="preserve">“A tax measure is presumed valid and is entitled to the benefit of any constitutional doubt, and the burden of proving its invalidity falls on those who challenge the measure.” </w:t>
      </w:r>
      <w:r>
        <w:rPr>
          <w:rFonts w:ascii="Courier New" w:eastAsia="Courier New" w:hAnsi="Courier New" w:cs="Courier New"/>
          <w:b/>
          <w:i/>
          <w:color w:val="212121"/>
          <w:sz w:val="24"/>
          <w:szCs w:val="24"/>
        </w:rPr>
        <w:t>Daley v. State Tax Commission</w:t>
      </w:r>
      <w:r>
        <w:rPr>
          <w:rFonts w:ascii="Courier New" w:eastAsia="Courier New" w:hAnsi="Courier New" w:cs="Courier New"/>
          <w:color w:val="212121"/>
          <w:sz w:val="24"/>
          <w:szCs w:val="24"/>
        </w:rPr>
        <w:t>, 376 Mass. 861, 865–66 (1978).</w:t>
      </w:r>
      <w:r>
        <w:rPr>
          <w:rFonts w:ascii="Courier New" w:eastAsia="Courier New" w:hAnsi="Courier New" w:cs="Courier New"/>
          <w:color w:val="222222"/>
          <w:sz w:val="24"/>
          <w:szCs w:val="24"/>
        </w:rPr>
        <w:t xml:space="preserve"> </w:t>
      </w:r>
      <w:r w:rsidR="00D165C7" w:rsidRPr="00D165C7">
        <w:rPr>
          <w:rFonts w:ascii="Courier New" w:eastAsia="Courier New" w:hAnsi="Courier New" w:cs="Courier New"/>
          <w:i/>
          <w:color w:val="222222"/>
          <w:sz w:val="24"/>
          <w:szCs w:val="24"/>
        </w:rPr>
        <w:t>See</w:t>
      </w:r>
      <w:r w:rsidR="00D165C7">
        <w:rPr>
          <w:rFonts w:ascii="Courier New" w:eastAsia="Courier New" w:hAnsi="Courier New" w:cs="Courier New"/>
          <w:color w:val="222222"/>
          <w:sz w:val="24"/>
          <w:szCs w:val="24"/>
        </w:rPr>
        <w:t xml:space="preserve"> </w:t>
      </w:r>
      <w:r w:rsidR="00D165C7">
        <w:rPr>
          <w:rFonts w:ascii="Courier New" w:eastAsia="Courier New" w:hAnsi="Courier New" w:cs="Courier New"/>
          <w:b/>
          <w:i/>
          <w:color w:val="222222"/>
          <w:sz w:val="24"/>
          <w:szCs w:val="24"/>
        </w:rPr>
        <w:t>Gene</w:t>
      </w:r>
      <w:r w:rsidR="00417D42">
        <w:rPr>
          <w:rFonts w:ascii="Courier New" w:eastAsia="Courier New" w:hAnsi="Courier New" w:cs="Courier New"/>
          <w:b/>
          <w:i/>
          <w:color w:val="222222"/>
          <w:sz w:val="24"/>
          <w:szCs w:val="24"/>
        </w:rPr>
        <w:t>n</w:t>
      </w:r>
      <w:r w:rsidR="00D165C7">
        <w:rPr>
          <w:rFonts w:ascii="Courier New" w:eastAsia="Courier New" w:hAnsi="Courier New" w:cs="Courier New"/>
          <w:b/>
          <w:i/>
          <w:color w:val="222222"/>
          <w:sz w:val="24"/>
          <w:szCs w:val="24"/>
        </w:rPr>
        <w:t>tech, Inc. v. Commissioner of Revenue</w:t>
      </w:r>
      <w:r w:rsidR="00D165C7">
        <w:rPr>
          <w:rFonts w:ascii="Courier New" w:eastAsia="Courier New" w:hAnsi="Courier New" w:cs="Courier New"/>
          <w:color w:val="222222"/>
          <w:sz w:val="24"/>
          <w:szCs w:val="24"/>
        </w:rPr>
        <w:t>, 476 Mass 258, 272 (2017) (“[W]hat the commerce clause forbids as discriminatory is a State tax measure that ‘tax[es] a transaction or incident more heavily when it crosses state lines than when it occur</w:t>
      </w:r>
      <w:r w:rsidR="008A3727">
        <w:rPr>
          <w:rFonts w:ascii="Courier New" w:eastAsia="Courier New" w:hAnsi="Courier New" w:cs="Courier New"/>
          <w:color w:val="222222"/>
          <w:sz w:val="24"/>
          <w:szCs w:val="24"/>
        </w:rPr>
        <w:t>s entirely within the State.’”)</w:t>
      </w:r>
      <w:r>
        <w:rPr>
          <w:rFonts w:ascii="Courier New" w:eastAsia="Courier New" w:hAnsi="Courier New" w:cs="Courier New"/>
          <w:color w:val="222222"/>
          <w:sz w:val="24"/>
          <w:szCs w:val="24"/>
        </w:rPr>
        <w:t>.</w:t>
      </w:r>
      <w:r w:rsidR="00D165C7">
        <w:rPr>
          <w:rFonts w:ascii="Courier New" w:eastAsia="Courier New" w:hAnsi="Courier New" w:cs="Courier New"/>
          <w:color w:val="222222"/>
          <w:sz w:val="24"/>
          <w:szCs w:val="24"/>
        </w:rPr>
        <w:t xml:space="preserve"> General Laws c. 63, § 30(4)(iii) applies to any tax levied by any state, including Massachusetts, that falls under the types of tax that are disallowed under the statute. E</w:t>
      </w:r>
      <w:r>
        <w:rPr>
          <w:rFonts w:ascii="Courier New" w:eastAsia="Courier New" w:hAnsi="Courier New" w:cs="Courier New"/>
          <w:color w:val="222222"/>
          <w:sz w:val="24"/>
          <w:szCs w:val="24"/>
        </w:rPr>
        <w:t>very corporation that takes deductions for Massachusetts corporate excise purposes is treated the same.</w:t>
      </w:r>
      <w:r>
        <w:rPr>
          <w:rFonts w:ascii="Courier New" w:eastAsia="Courier New" w:hAnsi="Courier New" w:cs="Courier New"/>
          <w:color w:val="212121"/>
          <w:sz w:val="24"/>
          <w:szCs w:val="24"/>
        </w:rPr>
        <w:t xml:space="preserve"> </w:t>
      </w:r>
      <w:r w:rsidR="00CA0791">
        <w:rPr>
          <w:rFonts w:ascii="Courier New" w:eastAsia="Courier New" w:hAnsi="Courier New" w:cs="Courier New"/>
          <w:color w:val="212121"/>
          <w:sz w:val="24"/>
          <w:szCs w:val="24"/>
        </w:rPr>
        <w:lastRenderedPageBreak/>
        <w:t>Further, the Board’s determination that the URT is not a transaction tax renders moot the appellant’s argument that the transaction taxes of Indiana versus Massachusetts are treated differently for purposes of G.L. c. 63,</w:t>
      </w:r>
      <w:r w:rsidR="00CA0791" w:rsidRPr="00CA0791">
        <w:rPr>
          <w:rFonts w:ascii="Courier New" w:eastAsia="Courier New" w:hAnsi="Courier New" w:cs="Courier New"/>
          <w:color w:val="222222"/>
          <w:sz w:val="24"/>
          <w:szCs w:val="24"/>
        </w:rPr>
        <w:t xml:space="preserve"> </w:t>
      </w:r>
      <w:r w:rsidR="00CA0791">
        <w:rPr>
          <w:rFonts w:ascii="Courier New" w:eastAsia="Courier New" w:hAnsi="Courier New" w:cs="Courier New"/>
          <w:color w:val="222222"/>
          <w:sz w:val="24"/>
          <w:szCs w:val="24"/>
        </w:rPr>
        <w:t>§ 30(4)(iii).</w:t>
      </w:r>
      <w:r w:rsidR="00CA0791">
        <w:rPr>
          <w:rFonts w:ascii="Courier New" w:eastAsia="Courier New" w:hAnsi="Courier New" w:cs="Courier New"/>
          <w:color w:val="212121"/>
          <w:sz w:val="24"/>
          <w:szCs w:val="24"/>
        </w:rPr>
        <w:t xml:space="preserve"> </w:t>
      </w:r>
    </w:p>
    <w:p w:rsidR="0036081A" w:rsidRDefault="00D0425F">
      <w:pPr>
        <w:pStyle w:val="Normal1"/>
        <w:spacing w:line="480" w:lineRule="auto"/>
        <w:ind w:firstLine="720"/>
        <w:jc w:val="both"/>
        <w:rPr>
          <w:rFonts w:ascii="Courier New" w:eastAsia="Courier New" w:hAnsi="Courier New" w:cs="Courier New"/>
          <w:color w:val="222222"/>
          <w:sz w:val="24"/>
          <w:szCs w:val="24"/>
        </w:rPr>
      </w:pPr>
      <w:r>
        <w:rPr>
          <w:rFonts w:ascii="Courier New" w:eastAsia="Courier New" w:hAnsi="Courier New" w:cs="Courier New"/>
          <w:color w:val="222222"/>
          <w:sz w:val="24"/>
          <w:szCs w:val="24"/>
        </w:rPr>
        <w:t xml:space="preserve">Based upon the foregoing, the Board determined that while the URT has some characteristics of a transaction tax, on balance, more factors indicated that the URT is not a transaction tax, but rather a tax encompassing a tax type for which a deduction is disallowed under G.L. c. 63, § 30(4)(iii). </w:t>
      </w:r>
      <w:r w:rsidR="0052477E">
        <w:rPr>
          <w:rFonts w:ascii="Courier New" w:eastAsia="Courier New" w:hAnsi="Courier New" w:cs="Courier New"/>
          <w:color w:val="222222"/>
          <w:sz w:val="24"/>
          <w:szCs w:val="24"/>
        </w:rPr>
        <w:t>Accordingly</w:t>
      </w:r>
      <w:r>
        <w:rPr>
          <w:rFonts w:ascii="Courier New" w:eastAsia="Courier New" w:hAnsi="Courier New" w:cs="Courier New"/>
          <w:color w:val="222222"/>
          <w:sz w:val="24"/>
          <w:szCs w:val="24"/>
        </w:rPr>
        <w:t xml:space="preserve">, the Board </w:t>
      </w:r>
      <w:r w:rsidR="00E50657">
        <w:rPr>
          <w:rFonts w:ascii="Courier New" w:eastAsia="Courier New" w:hAnsi="Courier New" w:cs="Courier New"/>
          <w:color w:val="222222"/>
          <w:sz w:val="24"/>
          <w:szCs w:val="24"/>
        </w:rPr>
        <w:t>granted</w:t>
      </w:r>
      <w:r>
        <w:rPr>
          <w:rFonts w:ascii="Courier New" w:eastAsia="Courier New" w:hAnsi="Courier New" w:cs="Courier New"/>
          <w:color w:val="222222"/>
          <w:sz w:val="24"/>
          <w:szCs w:val="24"/>
        </w:rPr>
        <w:t xml:space="preserve"> the Commissioner’s Cross Motion for Summary Judgment in part, and issued a decision in favor of the Commissioner on the URT Issue.</w:t>
      </w:r>
    </w:p>
    <w:p w:rsidR="0036081A" w:rsidRPr="007C5740" w:rsidRDefault="00D0425F">
      <w:pPr>
        <w:pStyle w:val="Normal1"/>
        <w:spacing w:line="480" w:lineRule="auto"/>
        <w:rPr>
          <w:rFonts w:ascii="Courier New" w:eastAsia="Courier New" w:hAnsi="Courier New" w:cs="Courier New"/>
          <w:b/>
          <w:color w:val="222222"/>
          <w:sz w:val="24"/>
          <w:szCs w:val="24"/>
        </w:rPr>
      </w:pPr>
      <w:r w:rsidRPr="007C5740">
        <w:rPr>
          <w:rFonts w:ascii="Courier New" w:eastAsia="Courier New" w:hAnsi="Courier New" w:cs="Courier New"/>
          <w:b/>
          <w:color w:val="222222"/>
          <w:sz w:val="24"/>
          <w:szCs w:val="24"/>
        </w:rPr>
        <w:t>II. The Penalties Issue</w:t>
      </w:r>
    </w:p>
    <w:p w:rsidR="0003241B" w:rsidRDefault="0003241B" w:rsidP="0091062B">
      <w:pPr>
        <w:pStyle w:val="Normal1"/>
        <w:spacing w:line="480" w:lineRule="auto"/>
        <w:ind w:firstLine="720"/>
        <w:jc w:val="both"/>
        <w:rPr>
          <w:rFonts w:ascii="Courier New" w:eastAsia="Courier New" w:hAnsi="Courier New" w:cs="Courier New"/>
          <w:sz w:val="24"/>
          <w:szCs w:val="24"/>
        </w:rPr>
      </w:pPr>
      <w:r>
        <w:rPr>
          <w:rFonts w:ascii="Courier New" w:eastAsia="Courier New" w:hAnsi="Courier New" w:cs="Courier New"/>
          <w:sz w:val="24"/>
          <w:szCs w:val="24"/>
        </w:rPr>
        <w:t>The Commissioner assessed penalties under G.L. c. 62C, §</w:t>
      </w:r>
      <w:r w:rsidR="0010740E">
        <w:rPr>
          <w:rFonts w:ascii="Courier New" w:eastAsia="Courier New" w:hAnsi="Courier New" w:cs="Courier New"/>
          <w:sz w:val="24"/>
          <w:szCs w:val="24"/>
        </w:rPr>
        <w:t> </w:t>
      </w:r>
      <w:r>
        <w:rPr>
          <w:rFonts w:ascii="Courier New" w:eastAsia="Courier New" w:hAnsi="Courier New" w:cs="Courier New"/>
          <w:sz w:val="24"/>
          <w:szCs w:val="24"/>
        </w:rPr>
        <w:t>35A, but later sought to amend his answer to include G.L.</w:t>
      </w:r>
      <w:r w:rsidR="0010740E">
        <w:rPr>
          <w:rFonts w:ascii="Courier New" w:eastAsia="Courier New" w:hAnsi="Courier New" w:cs="Courier New"/>
          <w:sz w:val="24"/>
          <w:szCs w:val="24"/>
        </w:rPr>
        <w:t> </w:t>
      </w:r>
      <w:r>
        <w:rPr>
          <w:rFonts w:ascii="Courier New" w:eastAsia="Courier New" w:hAnsi="Courier New" w:cs="Courier New"/>
          <w:sz w:val="24"/>
          <w:szCs w:val="24"/>
        </w:rPr>
        <w:t>c.</w:t>
      </w:r>
      <w:r w:rsidR="0010740E">
        <w:rPr>
          <w:rFonts w:ascii="Courier New" w:eastAsia="Courier New" w:hAnsi="Courier New" w:cs="Courier New"/>
          <w:sz w:val="24"/>
          <w:szCs w:val="24"/>
        </w:rPr>
        <w:t> </w:t>
      </w:r>
      <w:r>
        <w:rPr>
          <w:rFonts w:ascii="Courier New" w:eastAsia="Courier New" w:hAnsi="Courier New" w:cs="Courier New"/>
          <w:sz w:val="24"/>
          <w:szCs w:val="24"/>
        </w:rPr>
        <w:t xml:space="preserve">62C, § 35D as an alternative basis for penalties. General Laws </w:t>
      </w:r>
      <w:r w:rsidR="00D0425F">
        <w:rPr>
          <w:rFonts w:ascii="Courier New" w:eastAsia="Courier New" w:hAnsi="Courier New" w:cs="Courier New"/>
          <w:sz w:val="24"/>
          <w:szCs w:val="24"/>
        </w:rPr>
        <w:t xml:space="preserve">c. 62C, § 35A and § 35D are </w:t>
      </w:r>
      <w:r>
        <w:rPr>
          <w:rFonts w:ascii="Courier New" w:eastAsia="Courier New" w:hAnsi="Courier New" w:cs="Courier New"/>
          <w:sz w:val="24"/>
          <w:szCs w:val="24"/>
        </w:rPr>
        <w:t xml:space="preserve">not </w:t>
      </w:r>
      <w:r w:rsidR="00D0425F">
        <w:rPr>
          <w:rFonts w:ascii="Courier New" w:eastAsia="Courier New" w:hAnsi="Courier New" w:cs="Courier New"/>
          <w:sz w:val="24"/>
          <w:szCs w:val="24"/>
        </w:rPr>
        <w:t xml:space="preserve">interchangeable methods of penalization. Each </w:t>
      </w:r>
      <w:r>
        <w:rPr>
          <w:rFonts w:ascii="Courier New" w:eastAsia="Courier New" w:hAnsi="Courier New" w:cs="Courier New"/>
          <w:sz w:val="24"/>
          <w:szCs w:val="24"/>
        </w:rPr>
        <w:t>statute</w:t>
      </w:r>
      <w:r w:rsidR="00D0425F">
        <w:rPr>
          <w:rFonts w:ascii="Courier New" w:eastAsia="Courier New" w:hAnsi="Courier New" w:cs="Courier New"/>
          <w:sz w:val="24"/>
          <w:szCs w:val="24"/>
        </w:rPr>
        <w:t xml:space="preserve"> sets forth a specific mechanism for </w:t>
      </w:r>
      <w:r>
        <w:rPr>
          <w:rFonts w:ascii="Courier New" w:eastAsia="Courier New" w:hAnsi="Courier New" w:cs="Courier New"/>
          <w:sz w:val="24"/>
          <w:szCs w:val="24"/>
        </w:rPr>
        <w:t xml:space="preserve">the </w:t>
      </w:r>
      <w:r w:rsidR="00D0425F">
        <w:rPr>
          <w:rFonts w:ascii="Courier New" w:eastAsia="Courier New" w:hAnsi="Courier New" w:cs="Courier New"/>
          <w:sz w:val="24"/>
          <w:szCs w:val="24"/>
        </w:rPr>
        <w:t xml:space="preserve">calculation of penalties based upon differing scenarios triggering the penalty. General Laws c. 62C, § 35A is a 20 percent underpayment penalty, whereas G.L. c. 62C, § 35D is an inconsistent position penalty </w:t>
      </w:r>
      <w:r w:rsidR="000974CD">
        <w:rPr>
          <w:rFonts w:ascii="Courier New" w:eastAsia="Courier New" w:hAnsi="Courier New" w:cs="Courier New"/>
          <w:sz w:val="24"/>
          <w:szCs w:val="24"/>
        </w:rPr>
        <w:t>“</w:t>
      </w:r>
      <w:r w:rsidR="00D0425F">
        <w:rPr>
          <w:rFonts w:ascii="Courier New" w:eastAsia="Courier New" w:hAnsi="Courier New" w:cs="Courier New"/>
          <w:sz w:val="24"/>
          <w:szCs w:val="24"/>
        </w:rPr>
        <w:t xml:space="preserve">equal to the amount of tax attributable to the inconsistency.” Notably, the penalty under G.L. c. 62C, § 35D “shall be in addition to all other penalties </w:t>
      </w:r>
      <w:r w:rsidR="00D0425F">
        <w:rPr>
          <w:rFonts w:ascii="Courier New" w:eastAsia="Courier New" w:hAnsi="Courier New" w:cs="Courier New"/>
          <w:sz w:val="24"/>
          <w:szCs w:val="24"/>
        </w:rPr>
        <w:lastRenderedPageBreak/>
        <w:t>that may apply</w:t>
      </w:r>
      <w:r w:rsidR="000974CD">
        <w:rPr>
          <w:rFonts w:ascii="Courier New" w:eastAsia="Courier New" w:hAnsi="Courier New" w:cs="Courier New"/>
          <w:sz w:val="24"/>
          <w:szCs w:val="24"/>
        </w:rPr>
        <w:t>,</w:t>
      </w:r>
      <w:r w:rsidR="00D0425F">
        <w:rPr>
          <w:rFonts w:ascii="Courier New" w:eastAsia="Courier New" w:hAnsi="Courier New" w:cs="Courier New"/>
          <w:sz w:val="24"/>
          <w:szCs w:val="24"/>
        </w:rPr>
        <w:t xml:space="preserve">” </w:t>
      </w:r>
      <w:r w:rsidR="000974CD">
        <w:rPr>
          <w:rFonts w:ascii="Courier New" w:eastAsia="Courier New" w:hAnsi="Courier New" w:cs="Courier New"/>
          <w:sz w:val="24"/>
          <w:szCs w:val="24"/>
        </w:rPr>
        <w:t xml:space="preserve">not in lieu of other penalties. </w:t>
      </w:r>
      <w:r w:rsidR="00D0425F">
        <w:rPr>
          <w:rFonts w:ascii="Courier New" w:eastAsia="Courier New" w:hAnsi="Courier New" w:cs="Courier New"/>
          <w:sz w:val="24"/>
          <w:szCs w:val="24"/>
        </w:rPr>
        <w:t xml:space="preserve">The Commissioner may waive or abate </w:t>
      </w:r>
      <w:r w:rsidR="000974CD">
        <w:rPr>
          <w:rFonts w:ascii="Courier New" w:eastAsia="Courier New" w:hAnsi="Courier New" w:cs="Courier New"/>
          <w:sz w:val="24"/>
          <w:szCs w:val="24"/>
        </w:rPr>
        <w:t>a</w:t>
      </w:r>
      <w:r w:rsidR="00D0425F">
        <w:rPr>
          <w:rFonts w:ascii="Courier New" w:eastAsia="Courier New" w:hAnsi="Courier New" w:cs="Courier New"/>
          <w:sz w:val="24"/>
          <w:szCs w:val="24"/>
        </w:rPr>
        <w:t xml:space="preserve"> penalty</w:t>
      </w:r>
      <w:r w:rsidR="000974CD">
        <w:rPr>
          <w:rFonts w:ascii="Courier New" w:eastAsia="Courier New" w:hAnsi="Courier New" w:cs="Courier New"/>
          <w:sz w:val="24"/>
          <w:szCs w:val="24"/>
        </w:rPr>
        <w:t xml:space="preserve"> but he </w:t>
      </w:r>
      <w:r w:rsidR="001A4D20">
        <w:rPr>
          <w:rFonts w:ascii="Courier New" w:eastAsia="Courier New" w:hAnsi="Courier New" w:cs="Courier New"/>
          <w:sz w:val="24"/>
          <w:szCs w:val="24"/>
        </w:rPr>
        <w:t>cannot impose a penalty in his a</w:t>
      </w:r>
      <w:r w:rsidR="000974CD">
        <w:rPr>
          <w:rFonts w:ascii="Courier New" w:eastAsia="Courier New" w:hAnsi="Courier New" w:cs="Courier New"/>
          <w:sz w:val="24"/>
          <w:szCs w:val="24"/>
        </w:rPr>
        <w:t xml:space="preserve">nswer as an alternative to support the amount already </w:t>
      </w:r>
      <w:r w:rsidR="00D0425F">
        <w:rPr>
          <w:rFonts w:ascii="Courier New" w:eastAsia="Courier New" w:hAnsi="Courier New" w:cs="Courier New"/>
          <w:sz w:val="24"/>
          <w:szCs w:val="24"/>
        </w:rPr>
        <w:t xml:space="preserve">assessed under G.L. c. 62C, § 35A, </w:t>
      </w:r>
      <w:r w:rsidR="00D0425F">
        <w:rPr>
          <w:rFonts w:ascii="Courier New" w:eastAsia="Courier New" w:hAnsi="Courier New" w:cs="Courier New"/>
          <w:i/>
          <w:sz w:val="24"/>
          <w:szCs w:val="24"/>
        </w:rPr>
        <w:t>i.e.</w:t>
      </w:r>
      <w:r w:rsidR="00D0425F">
        <w:rPr>
          <w:rFonts w:ascii="Courier New" w:eastAsia="Courier New" w:hAnsi="Courier New" w:cs="Courier New"/>
          <w:sz w:val="24"/>
          <w:szCs w:val="24"/>
        </w:rPr>
        <w:t xml:space="preserve">, the penalty is either imposed at the amount specified by the statute or not at all, not at or up to the amount assessed under another penalty statute. </w:t>
      </w:r>
    </w:p>
    <w:p w:rsidR="0003241B" w:rsidRDefault="00D0425F" w:rsidP="0091062B">
      <w:pPr>
        <w:pStyle w:val="Normal1"/>
        <w:spacing w:line="480" w:lineRule="auto"/>
        <w:ind w:firstLine="720"/>
        <w:jc w:val="both"/>
        <w:rPr>
          <w:rFonts w:ascii="Courier New" w:eastAsia="Courier New" w:hAnsi="Courier New" w:cs="Courier New"/>
          <w:sz w:val="24"/>
          <w:szCs w:val="24"/>
        </w:rPr>
      </w:pPr>
      <w:r>
        <w:rPr>
          <w:rFonts w:ascii="Courier New" w:eastAsia="Courier New" w:hAnsi="Courier New" w:cs="Courier New"/>
          <w:sz w:val="24"/>
          <w:szCs w:val="24"/>
        </w:rPr>
        <w:t xml:space="preserve">Additionally, the Commissioner’s own guidance under Administrative Procedure 633 states as follows: “Penalties are not intended as a source of revenue. Rather, penalties are meant to provide taxpayers with an incentive to comply voluntarily with their tax obligations. To promote voluntary compliance, and to foster public confidence in the integrity and effectiveness of the taxation process, penalties must be administered in a fair and consistent manner.” Seeking to impose a penalty under a new section at this stage indicates a </w:t>
      </w:r>
      <w:r w:rsidR="000974CD">
        <w:rPr>
          <w:rFonts w:ascii="Courier New" w:eastAsia="Courier New" w:hAnsi="Courier New" w:cs="Courier New"/>
          <w:sz w:val="24"/>
          <w:szCs w:val="24"/>
        </w:rPr>
        <w:t xml:space="preserve">defensive, </w:t>
      </w:r>
      <w:r>
        <w:rPr>
          <w:rFonts w:ascii="Courier New" w:eastAsia="Courier New" w:hAnsi="Courier New" w:cs="Courier New"/>
          <w:sz w:val="24"/>
          <w:szCs w:val="24"/>
        </w:rPr>
        <w:t xml:space="preserve">revenue-seeking motive rather than to promote voluntary compliance. </w:t>
      </w:r>
    </w:p>
    <w:p w:rsidR="0036081A" w:rsidRDefault="0003241B">
      <w:pPr>
        <w:pStyle w:val="Normal1"/>
        <w:spacing w:line="480" w:lineRule="auto"/>
        <w:ind w:firstLine="720"/>
        <w:jc w:val="both"/>
        <w:rPr>
          <w:rFonts w:ascii="Courier New" w:eastAsia="Courier New" w:hAnsi="Courier New" w:cs="Courier New"/>
          <w:sz w:val="24"/>
          <w:szCs w:val="24"/>
        </w:rPr>
      </w:pPr>
      <w:r>
        <w:rPr>
          <w:rFonts w:ascii="Courier New" w:eastAsia="Courier New" w:hAnsi="Courier New" w:cs="Courier New"/>
          <w:sz w:val="24"/>
          <w:szCs w:val="24"/>
        </w:rPr>
        <w:t xml:space="preserve">Regardless, the Board determined that the penalty imposed under </w:t>
      </w:r>
      <w:r w:rsidR="00D0425F">
        <w:rPr>
          <w:rFonts w:ascii="Courier New" w:eastAsia="Courier New" w:hAnsi="Courier New" w:cs="Courier New"/>
          <w:sz w:val="24"/>
          <w:szCs w:val="24"/>
        </w:rPr>
        <w:t xml:space="preserve">G.L. c. 62C, § 35A </w:t>
      </w:r>
      <w:r>
        <w:rPr>
          <w:rFonts w:ascii="Courier New" w:eastAsia="Courier New" w:hAnsi="Courier New" w:cs="Courier New"/>
          <w:sz w:val="24"/>
          <w:szCs w:val="24"/>
        </w:rPr>
        <w:t xml:space="preserve">was without merit. </w:t>
      </w:r>
      <w:r w:rsidR="00D0425F">
        <w:rPr>
          <w:rFonts w:ascii="Courier New" w:eastAsia="Courier New" w:hAnsi="Courier New" w:cs="Courier New"/>
          <w:sz w:val="24"/>
          <w:szCs w:val="24"/>
        </w:rPr>
        <w:t>Pursuant to</w:t>
      </w:r>
      <w:r w:rsidR="0010740E">
        <w:rPr>
          <w:rFonts w:ascii="Courier New" w:eastAsia="Courier New" w:hAnsi="Courier New" w:cs="Courier New"/>
          <w:sz w:val="24"/>
          <w:szCs w:val="24"/>
        </w:rPr>
        <w:t> </w:t>
      </w:r>
      <w:r w:rsidR="00D0425F">
        <w:rPr>
          <w:rFonts w:ascii="Courier New" w:eastAsia="Courier New" w:hAnsi="Courier New" w:cs="Courier New"/>
          <w:sz w:val="24"/>
          <w:szCs w:val="24"/>
        </w:rPr>
        <w:t>G.L.</w:t>
      </w:r>
      <w:r w:rsidR="0010740E">
        <w:rPr>
          <w:rFonts w:ascii="Courier New" w:eastAsia="Courier New" w:hAnsi="Courier New" w:cs="Courier New"/>
          <w:sz w:val="24"/>
          <w:szCs w:val="24"/>
        </w:rPr>
        <w:t> </w:t>
      </w:r>
      <w:r w:rsidR="00D0425F">
        <w:rPr>
          <w:rFonts w:ascii="Courier New" w:eastAsia="Courier New" w:hAnsi="Courier New" w:cs="Courier New"/>
          <w:sz w:val="24"/>
          <w:szCs w:val="24"/>
        </w:rPr>
        <w:t>c.</w:t>
      </w:r>
      <w:r w:rsidR="0010740E">
        <w:rPr>
          <w:rFonts w:ascii="Courier New" w:eastAsia="Courier New" w:hAnsi="Courier New" w:cs="Courier New"/>
          <w:sz w:val="24"/>
          <w:szCs w:val="24"/>
        </w:rPr>
        <w:t>  </w:t>
      </w:r>
      <w:r w:rsidR="00D0425F">
        <w:rPr>
          <w:rFonts w:ascii="Courier New" w:eastAsia="Courier New" w:hAnsi="Courier New" w:cs="Courier New"/>
          <w:sz w:val="24"/>
          <w:szCs w:val="24"/>
        </w:rPr>
        <w:t xml:space="preserve">62C, § 35B, “[a] penalty shall not be imposed under section 35A with respect to any portion of an underpayment if it is shown that there was reasonable cause for such portion and that the taxpayer acted in good faith with respect to such portion.” </w:t>
      </w:r>
      <w:r w:rsidR="00D0425F">
        <w:rPr>
          <w:rFonts w:ascii="Courier New" w:eastAsia="Courier New" w:hAnsi="Courier New" w:cs="Courier New"/>
          <w:i/>
          <w:sz w:val="24"/>
          <w:szCs w:val="24"/>
        </w:rPr>
        <w:t xml:space="preserve">See </w:t>
      </w:r>
      <w:r w:rsidR="00D0425F">
        <w:rPr>
          <w:rFonts w:ascii="Courier New" w:eastAsia="Courier New" w:hAnsi="Courier New" w:cs="Courier New"/>
          <w:sz w:val="24"/>
          <w:szCs w:val="24"/>
        </w:rPr>
        <w:t xml:space="preserve">Directive 12-7: Section 35A Penalty for </w:t>
      </w:r>
      <w:r w:rsidR="00D0425F">
        <w:rPr>
          <w:rFonts w:ascii="Courier New" w:eastAsia="Courier New" w:hAnsi="Courier New" w:cs="Courier New"/>
          <w:sz w:val="24"/>
          <w:szCs w:val="24"/>
        </w:rPr>
        <w:lastRenderedPageBreak/>
        <w:t>Underpayment of Tax Required to Be Shown on Return; Technical Information Release 06-5: New Penalties Under G.L. c. 62C, §§</w:t>
      </w:r>
      <w:r w:rsidR="0010740E">
        <w:rPr>
          <w:rFonts w:ascii="Courier New" w:eastAsia="Courier New" w:hAnsi="Courier New" w:cs="Courier New"/>
          <w:sz w:val="24"/>
          <w:szCs w:val="24"/>
        </w:rPr>
        <w:t> </w:t>
      </w:r>
      <w:r w:rsidR="00D0425F">
        <w:rPr>
          <w:rFonts w:ascii="Courier New" w:eastAsia="Courier New" w:hAnsi="Courier New" w:cs="Courier New"/>
          <w:sz w:val="24"/>
          <w:szCs w:val="24"/>
        </w:rPr>
        <w:t>35A-35E.</w:t>
      </w:r>
    </w:p>
    <w:p w:rsidR="00203462" w:rsidRDefault="00D0425F">
      <w:pPr>
        <w:pStyle w:val="Normal1"/>
        <w:spacing w:line="480" w:lineRule="auto"/>
        <w:ind w:firstLine="720"/>
        <w:jc w:val="both"/>
        <w:rPr>
          <w:rFonts w:ascii="Courier New" w:eastAsia="Courier New" w:hAnsi="Courier New" w:cs="Courier New"/>
          <w:sz w:val="24"/>
          <w:szCs w:val="24"/>
        </w:rPr>
      </w:pPr>
      <w:r>
        <w:rPr>
          <w:rFonts w:ascii="Courier New" w:eastAsia="Courier New" w:hAnsi="Courier New" w:cs="Courier New"/>
          <w:sz w:val="24"/>
          <w:szCs w:val="24"/>
        </w:rPr>
        <w:t xml:space="preserve">In this matter, while the Board found and ruled that the URT is a disallowed deduction under G.L. c. 63, § 30(4)(iii), the relevant </w:t>
      </w:r>
      <w:r w:rsidR="0084495F">
        <w:rPr>
          <w:rFonts w:ascii="Courier New" w:eastAsia="Courier New" w:hAnsi="Courier New" w:cs="Courier New"/>
          <w:sz w:val="24"/>
          <w:szCs w:val="24"/>
        </w:rPr>
        <w:t xml:space="preserve">legal provisions </w:t>
      </w:r>
      <w:r>
        <w:rPr>
          <w:rFonts w:ascii="Courier New" w:eastAsia="Courier New" w:hAnsi="Courier New" w:cs="Courier New"/>
          <w:sz w:val="24"/>
          <w:szCs w:val="24"/>
        </w:rPr>
        <w:t xml:space="preserve">and the Commissioner’s public written statements </w:t>
      </w:r>
      <w:r w:rsidR="000974CD">
        <w:rPr>
          <w:rFonts w:ascii="Courier New" w:eastAsia="Courier New" w:hAnsi="Courier New" w:cs="Courier New"/>
          <w:sz w:val="24"/>
          <w:szCs w:val="24"/>
        </w:rPr>
        <w:t>do not clearly provide for the proper treatment of the URT</w:t>
      </w:r>
      <w:r w:rsidR="0084495F">
        <w:rPr>
          <w:rFonts w:ascii="Courier New" w:eastAsia="Courier New" w:hAnsi="Courier New" w:cs="Courier New"/>
          <w:sz w:val="24"/>
          <w:szCs w:val="24"/>
        </w:rPr>
        <w:t xml:space="preserve">. </w:t>
      </w:r>
      <w:r>
        <w:rPr>
          <w:rFonts w:ascii="Courier New" w:eastAsia="Courier New" w:hAnsi="Courier New" w:cs="Courier New"/>
          <w:sz w:val="24"/>
          <w:szCs w:val="24"/>
        </w:rPr>
        <w:t xml:space="preserve">Directive 99-9 sets forth an illustrative list of state taxes subject to disallowance but acknowledges that “[t]he legislature has not statutorily identified specific taxes of other states that must be added back. Instead, it has chosen broad language to describe the </w:t>
      </w:r>
      <w:r w:rsidRPr="00417D42">
        <w:rPr>
          <w:rFonts w:ascii="Courier New" w:eastAsia="Courier New" w:hAnsi="Courier New" w:cs="Courier New"/>
          <w:i/>
          <w:sz w:val="24"/>
          <w:szCs w:val="24"/>
        </w:rPr>
        <w:t>types</w:t>
      </w:r>
      <w:r w:rsidRPr="00180709">
        <w:rPr>
          <w:rFonts w:ascii="Courier New" w:eastAsia="Courier New" w:hAnsi="Courier New" w:cs="Courier New"/>
          <w:sz w:val="24"/>
          <w:szCs w:val="24"/>
        </w:rPr>
        <w:t xml:space="preserve"> </w:t>
      </w:r>
      <w:r>
        <w:rPr>
          <w:rFonts w:ascii="Courier New" w:eastAsia="Courier New" w:hAnsi="Courier New" w:cs="Courier New"/>
          <w:sz w:val="24"/>
          <w:szCs w:val="24"/>
        </w:rPr>
        <w:t xml:space="preserve">of state tax that must be added back in calculating Massachusetts corporate net income.” </w:t>
      </w:r>
      <w:r w:rsidR="003D30E4">
        <w:rPr>
          <w:rFonts w:ascii="Courier New" w:eastAsia="Courier New" w:hAnsi="Courier New" w:cs="Courier New"/>
          <w:sz w:val="24"/>
          <w:szCs w:val="24"/>
        </w:rPr>
        <w:t xml:space="preserve">Directive 99-9; </w:t>
      </w:r>
      <w:r w:rsidR="003D30E4">
        <w:rPr>
          <w:rFonts w:ascii="Courier New" w:eastAsia="Courier New" w:hAnsi="Courier New" w:cs="Courier New"/>
          <w:i/>
          <w:sz w:val="24"/>
          <w:szCs w:val="24"/>
        </w:rPr>
        <w:t>s</w:t>
      </w:r>
      <w:r>
        <w:rPr>
          <w:rFonts w:ascii="Courier New" w:eastAsia="Courier New" w:hAnsi="Courier New" w:cs="Courier New"/>
          <w:i/>
          <w:sz w:val="24"/>
          <w:szCs w:val="24"/>
        </w:rPr>
        <w:t>ee also</w:t>
      </w:r>
      <w:r>
        <w:rPr>
          <w:rFonts w:ascii="Courier New" w:eastAsia="Courier New" w:hAnsi="Courier New" w:cs="Courier New"/>
          <w:sz w:val="24"/>
          <w:szCs w:val="24"/>
        </w:rPr>
        <w:t xml:space="preserve"> Directive 08-7.</w:t>
      </w:r>
      <w:r w:rsidR="003D30E4">
        <w:rPr>
          <w:rFonts w:ascii="Courier New" w:eastAsia="Courier New" w:hAnsi="Courier New" w:cs="Courier New"/>
          <w:sz w:val="24"/>
          <w:szCs w:val="24"/>
        </w:rPr>
        <w:t xml:space="preserve"> The Commissioner himself </w:t>
      </w:r>
      <w:r w:rsidR="00E50657">
        <w:rPr>
          <w:rFonts w:ascii="Courier New" w:eastAsia="Courier New" w:hAnsi="Courier New" w:cs="Courier New"/>
          <w:sz w:val="24"/>
          <w:szCs w:val="24"/>
        </w:rPr>
        <w:t>came to different interpretations, initially contending that the URT</w:t>
      </w:r>
      <w:r>
        <w:rPr>
          <w:rFonts w:ascii="Courier New" w:eastAsia="Courier New" w:hAnsi="Courier New" w:cs="Courier New"/>
          <w:sz w:val="24"/>
          <w:szCs w:val="24"/>
        </w:rPr>
        <w:t xml:space="preserve"> is an income tax </w:t>
      </w:r>
      <w:r w:rsidR="00E50657">
        <w:rPr>
          <w:rFonts w:ascii="Courier New" w:eastAsia="Courier New" w:hAnsi="Courier New" w:cs="Courier New"/>
          <w:sz w:val="24"/>
          <w:szCs w:val="24"/>
        </w:rPr>
        <w:t xml:space="preserve">and later contending that it is </w:t>
      </w:r>
      <w:r>
        <w:rPr>
          <w:rFonts w:ascii="Courier New" w:eastAsia="Courier New" w:hAnsi="Courier New" w:cs="Courier New"/>
          <w:sz w:val="24"/>
          <w:szCs w:val="24"/>
        </w:rPr>
        <w:t xml:space="preserve">a franchise tax. If the answer were so apparent, the Commissioner’s position would have been consistent. Consequently, the Board </w:t>
      </w:r>
      <w:r w:rsidR="00E50657">
        <w:rPr>
          <w:rFonts w:ascii="Courier New" w:eastAsia="Courier New" w:hAnsi="Courier New" w:cs="Courier New"/>
          <w:sz w:val="24"/>
          <w:szCs w:val="24"/>
        </w:rPr>
        <w:t>granted the appellant’s Motion for Summary Judgment in part, granting an</w:t>
      </w:r>
      <w:r w:rsidR="009249FC">
        <w:rPr>
          <w:rFonts w:ascii="Courier New" w:eastAsia="Courier New" w:hAnsi="Courier New" w:cs="Courier New"/>
          <w:sz w:val="24"/>
          <w:szCs w:val="24"/>
        </w:rPr>
        <w:t xml:space="preserve"> </w:t>
      </w:r>
      <w:r w:rsidR="00E50657">
        <w:rPr>
          <w:rFonts w:ascii="Courier New" w:eastAsia="Courier New" w:hAnsi="Courier New" w:cs="Courier New"/>
          <w:sz w:val="24"/>
          <w:szCs w:val="24"/>
        </w:rPr>
        <w:t>abatement on the Penalties Issue.</w:t>
      </w:r>
    </w:p>
    <w:p w:rsidR="0036081A" w:rsidRDefault="00A62719">
      <w:pPr>
        <w:pStyle w:val="Normal1"/>
        <w:spacing w:line="480" w:lineRule="auto"/>
        <w:ind w:firstLine="720"/>
        <w:jc w:val="both"/>
        <w:rPr>
          <w:rFonts w:ascii="Courier New" w:eastAsia="Courier New" w:hAnsi="Courier New" w:cs="Courier New"/>
          <w:sz w:val="24"/>
          <w:szCs w:val="24"/>
        </w:rPr>
      </w:pPr>
      <w:r>
        <w:rPr>
          <w:rFonts w:ascii="Courier New" w:eastAsia="Courier New" w:hAnsi="Courier New" w:cs="Courier New"/>
          <w:sz w:val="24"/>
          <w:szCs w:val="24"/>
        </w:rPr>
        <w:t xml:space="preserve"> </w:t>
      </w:r>
    </w:p>
    <w:p w:rsidR="0010740E" w:rsidRDefault="0010740E">
      <w:pPr>
        <w:rPr>
          <w:rFonts w:ascii="Courier New" w:eastAsia="Courier New" w:hAnsi="Courier New" w:cs="Courier New"/>
          <w:b/>
          <w:sz w:val="24"/>
          <w:szCs w:val="24"/>
        </w:rPr>
      </w:pPr>
      <w:r>
        <w:rPr>
          <w:rFonts w:ascii="Courier New" w:eastAsia="Courier New" w:hAnsi="Courier New" w:cs="Courier New"/>
          <w:b/>
          <w:sz w:val="24"/>
          <w:szCs w:val="24"/>
        </w:rPr>
        <w:br w:type="page"/>
      </w:r>
    </w:p>
    <w:p w:rsidR="0036081A" w:rsidRDefault="00D0425F">
      <w:pPr>
        <w:pStyle w:val="Normal1"/>
        <w:spacing w:line="480" w:lineRule="auto"/>
        <w:jc w:val="center"/>
        <w:rPr>
          <w:rFonts w:ascii="Courier New" w:eastAsia="Courier New" w:hAnsi="Courier New" w:cs="Courier New"/>
          <w:b/>
          <w:sz w:val="24"/>
          <w:szCs w:val="24"/>
        </w:rPr>
      </w:pPr>
      <w:r>
        <w:rPr>
          <w:rFonts w:ascii="Courier New" w:eastAsia="Courier New" w:hAnsi="Courier New" w:cs="Courier New"/>
          <w:b/>
          <w:sz w:val="24"/>
          <w:szCs w:val="24"/>
        </w:rPr>
        <w:lastRenderedPageBreak/>
        <w:t>CONCLUSION</w:t>
      </w:r>
    </w:p>
    <w:p w:rsidR="0036081A" w:rsidRDefault="00203462">
      <w:pPr>
        <w:pStyle w:val="Normal1"/>
        <w:spacing w:line="480" w:lineRule="auto"/>
        <w:ind w:firstLine="720"/>
        <w:jc w:val="both"/>
        <w:rPr>
          <w:rFonts w:ascii="Courier New" w:eastAsia="Courier New" w:hAnsi="Courier New" w:cs="Courier New"/>
          <w:sz w:val="24"/>
          <w:szCs w:val="24"/>
        </w:rPr>
      </w:pPr>
      <w:r>
        <w:rPr>
          <w:rFonts w:ascii="Courier New" w:eastAsia="Courier New" w:hAnsi="Courier New" w:cs="Courier New"/>
          <w:sz w:val="24"/>
          <w:szCs w:val="24"/>
        </w:rPr>
        <w:t xml:space="preserve">Based upon the foregoing, </w:t>
      </w:r>
      <w:r w:rsidR="00D0425F">
        <w:rPr>
          <w:rFonts w:ascii="Courier New" w:eastAsia="Courier New" w:hAnsi="Courier New" w:cs="Courier New"/>
          <w:sz w:val="24"/>
          <w:szCs w:val="24"/>
        </w:rPr>
        <w:t xml:space="preserve">the Board found and ruled that the URT falls within a tax type for which a deduction is disallowed under G.L. c. 63, § 30(4)(iii). The Board also found and ruled that the Commissioner was not allowed to contend that G.L. c. 62C, § 35A and § 35D </w:t>
      </w:r>
      <w:r>
        <w:rPr>
          <w:rFonts w:ascii="Courier New" w:eastAsia="Courier New" w:hAnsi="Courier New" w:cs="Courier New"/>
          <w:sz w:val="24"/>
          <w:szCs w:val="24"/>
        </w:rPr>
        <w:t>are</w:t>
      </w:r>
      <w:r w:rsidR="00D0425F">
        <w:rPr>
          <w:rFonts w:ascii="Courier New" w:eastAsia="Courier New" w:hAnsi="Courier New" w:cs="Courier New"/>
          <w:sz w:val="24"/>
          <w:szCs w:val="24"/>
        </w:rPr>
        <w:t xml:space="preserve"> alternative methods of penalization, and that imposition of penalties under G.L.</w:t>
      </w:r>
      <w:r w:rsidR="0010740E">
        <w:rPr>
          <w:rFonts w:ascii="Courier New" w:eastAsia="Courier New" w:hAnsi="Courier New" w:cs="Courier New"/>
          <w:sz w:val="24"/>
          <w:szCs w:val="24"/>
        </w:rPr>
        <w:t> </w:t>
      </w:r>
      <w:r w:rsidR="00D0425F">
        <w:rPr>
          <w:rFonts w:ascii="Courier New" w:eastAsia="Courier New" w:hAnsi="Courier New" w:cs="Courier New"/>
          <w:sz w:val="24"/>
          <w:szCs w:val="24"/>
        </w:rPr>
        <w:t>c.</w:t>
      </w:r>
      <w:r w:rsidR="0010740E">
        <w:rPr>
          <w:rFonts w:ascii="Courier New" w:eastAsia="Courier New" w:hAnsi="Courier New" w:cs="Courier New"/>
          <w:sz w:val="24"/>
          <w:szCs w:val="24"/>
        </w:rPr>
        <w:t> </w:t>
      </w:r>
      <w:r w:rsidR="00D0425F">
        <w:rPr>
          <w:rFonts w:ascii="Courier New" w:eastAsia="Courier New" w:hAnsi="Courier New" w:cs="Courier New"/>
          <w:sz w:val="24"/>
          <w:szCs w:val="24"/>
        </w:rPr>
        <w:t>62C, § 35A was improper regardless. Accordingly, the Board issued a decision for the Commissioner in part, denying an abatement of corporate excise on the URT Issue, and for the appellant in part, abating penalties on the Penalties Issue.</w:t>
      </w:r>
    </w:p>
    <w:p w:rsidR="0010740E" w:rsidRDefault="0010740E">
      <w:pPr>
        <w:pStyle w:val="Normal1"/>
        <w:spacing w:line="480" w:lineRule="auto"/>
        <w:ind w:firstLine="720"/>
        <w:jc w:val="both"/>
        <w:rPr>
          <w:rFonts w:ascii="Courier New" w:eastAsia="Courier New" w:hAnsi="Courier New" w:cs="Courier New"/>
          <w:sz w:val="24"/>
          <w:szCs w:val="24"/>
        </w:rPr>
      </w:pPr>
    </w:p>
    <w:p w:rsidR="0010740E" w:rsidRDefault="0010740E" w:rsidP="0052477E">
      <w:pPr>
        <w:pStyle w:val="Normal1"/>
        <w:spacing w:line="480" w:lineRule="auto"/>
        <w:ind w:left="4320" w:firstLine="720"/>
        <w:rPr>
          <w:rFonts w:ascii="Courier New" w:eastAsia="Courier New" w:hAnsi="Courier New" w:cs="Courier New"/>
          <w:sz w:val="24"/>
          <w:szCs w:val="24"/>
        </w:rPr>
      </w:pPr>
    </w:p>
    <w:p w:rsidR="0052477E" w:rsidRDefault="0010740E" w:rsidP="0010740E">
      <w:pPr>
        <w:pStyle w:val="Normal1"/>
        <w:spacing w:line="480" w:lineRule="auto"/>
        <w:rPr>
          <w:rFonts w:ascii="Courier New" w:eastAsia="Courier New" w:hAnsi="Courier New" w:cs="Courier New"/>
          <w:b/>
          <w:sz w:val="24"/>
          <w:szCs w:val="24"/>
        </w:rPr>
      </w:pPr>
      <w:r>
        <w:rPr>
          <w:rFonts w:ascii="Courier New" w:eastAsia="Courier New" w:hAnsi="Courier New" w:cs="Courier New"/>
          <w:b/>
          <w:sz w:val="24"/>
          <w:szCs w:val="24"/>
        </w:rPr>
        <w:t>                               T</w:t>
      </w:r>
      <w:r w:rsidR="0052477E">
        <w:rPr>
          <w:rFonts w:ascii="Courier New" w:eastAsia="Courier New" w:hAnsi="Courier New" w:cs="Courier New"/>
          <w:b/>
          <w:sz w:val="24"/>
          <w:szCs w:val="24"/>
        </w:rPr>
        <w:t>HE APPELLATE TAX BOARD</w:t>
      </w:r>
    </w:p>
    <w:p w:rsidR="0010740E" w:rsidRDefault="0010740E" w:rsidP="0010740E">
      <w:pPr>
        <w:pStyle w:val="Normal1"/>
        <w:spacing w:line="480" w:lineRule="auto"/>
        <w:rPr>
          <w:rFonts w:ascii="Courier New" w:eastAsia="Courier New" w:hAnsi="Courier New" w:cs="Courier New"/>
          <w:b/>
          <w:sz w:val="24"/>
          <w:szCs w:val="24"/>
        </w:rPr>
      </w:pPr>
    </w:p>
    <w:p w:rsidR="0052477E" w:rsidRDefault="0052477E" w:rsidP="0052477E">
      <w:pPr>
        <w:pStyle w:val="Normal1"/>
        <w:spacing w:line="240" w:lineRule="auto"/>
        <w:jc w:val="both"/>
        <w:rPr>
          <w:rFonts w:ascii="Courier New" w:eastAsia="Courier New" w:hAnsi="Courier New" w:cs="Courier New"/>
          <w:b/>
          <w:sz w:val="24"/>
          <w:szCs w:val="24"/>
        </w:rPr>
      </w:pPr>
      <w:r>
        <w:rPr>
          <w:rFonts w:ascii="Courier New" w:eastAsia="Courier New" w:hAnsi="Courier New" w:cs="Courier New"/>
          <w:b/>
          <w:sz w:val="24"/>
          <w:szCs w:val="24"/>
        </w:rPr>
        <w:t xml:space="preserve">  </w:t>
      </w:r>
    </w:p>
    <w:p w:rsidR="0052477E" w:rsidRDefault="0052477E" w:rsidP="0052477E">
      <w:pPr>
        <w:pStyle w:val="Normal1"/>
        <w:spacing w:line="240" w:lineRule="auto"/>
        <w:jc w:val="both"/>
        <w:rPr>
          <w:rFonts w:ascii="Courier New" w:eastAsia="Courier New" w:hAnsi="Courier New" w:cs="Courier New"/>
          <w:b/>
          <w:sz w:val="24"/>
          <w:szCs w:val="24"/>
        </w:rPr>
      </w:pPr>
      <w:r>
        <w:rPr>
          <w:rFonts w:ascii="Courier New" w:eastAsia="Courier New" w:hAnsi="Courier New" w:cs="Courier New"/>
          <w:b/>
          <w:sz w:val="24"/>
          <w:szCs w:val="24"/>
        </w:rPr>
        <w:t xml:space="preserve">      </w:t>
      </w:r>
      <w:r>
        <w:rPr>
          <w:rFonts w:ascii="Courier New" w:eastAsia="Courier New" w:hAnsi="Courier New" w:cs="Courier New"/>
          <w:b/>
          <w:sz w:val="24"/>
          <w:szCs w:val="24"/>
        </w:rPr>
        <w:tab/>
        <w:t xml:space="preserve">    </w:t>
      </w:r>
    </w:p>
    <w:p w:rsidR="0052477E" w:rsidRDefault="0052477E" w:rsidP="0052477E">
      <w:pPr>
        <w:pStyle w:val="Normal1"/>
        <w:spacing w:line="240" w:lineRule="auto"/>
        <w:ind w:left="3600"/>
        <w:jc w:val="both"/>
        <w:rPr>
          <w:rFonts w:ascii="Courier New" w:eastAsia="Courier New" w:hAnsi="Courier New" w:cs="Courier New"/>
          <w:b/>
          <w:sz w:val="24"/>
          <w:szCs w:val="24"/>
          <w:u w:val="single"/>
        </w:rPr>
      </w:pPr>
      <w:r>
        <w:rPr>
          <w:rFonts w:ascii="Courier New" w:eastAsia="Courier New" w:hAnsi="Courier New" w:cs="Courier New"/>
          <w:b/>
          <w:sz w:val="24"/>
          <w:szCs w:val="24"/>
        </w:rPr>
        <w:t xml:space="preserve">  By: </w:t>
      </w:r>
      <w:r>
        <w:rPr>
          <w:rFonts w:ascii="Courier New" w:eastAsia="Courier New" w:hAnsi="Courier New" w:cs="Courier New"/>
          <w:b/>
          <w:sz w:val="24"/>
          <w:szCs w:val="24"/>
          <w:u w:val="single"/>
        </w:rPr>
        <w:t>_________________________________</w:t>
      </w:r>
    </w:p>
    <w:p w:rsidR="0052477E" w:rsidRDefault="0052477E" w:rsidP="0052477E">
      <w:pPr>
        <w:pStyle w:val="Normal1"/>
        <w:spacing w:line="240" w:lineRule="auto"/>
        <w:ind w:left="3600" w:firstLine="720"/>
        <w:jc w:val="both"/>
        <w:rPr>
          <w:rFonts w:ascii="Courier New" w:eastAsia="Courier New" w:hAnsi="Courier New" w:cs="Courier New"/>
          <w:b/>
          <w:sz w:val="24"/>
          <w:szCs w:val="24"/>
        </w:rPr>
      </w:pPr>
      <w:r>
        <w:rPr>
          <w:rFonts w:ascii="Courier New" w:eastAsia="Courier New" w:hAnsi="Courier New" w:cs="Courier New"/>
          <w:b/>
          <w:sz w:val="24"/>
          <w:szCs w:val="24"/>
        </w:rPr>
        <w:t xml:space="preserve"> Thomas W. Hammond, Jr., Chairman</w:t>
      </w:r>
    </w:p>
    <w:p w:rsidR="00297AF9" w:rsidRDefault="00297AF9" w:rsidP="00297AF9">
      <w:pPr>
        <w:pStyle w:val="Normal1"/>
        <w:spacing w:line="480" w:lineRule="auto"/>
        <w:jc w:val="both"/>
        <w:rPr>
          <w:rFonts w:ascii="Courier New" w:eastAsia="Courier New" w:hAnsi="Courier New" w:cs="Courier New"/>
          <w:b/>
          <w:sz w:val="24"/>
          <w:szCs w:val="24"/>
        </w:rPr>
      </w:pPr>
    </w:p>
    <w:p w:rsidR="00297AF9" w:rsidRDefault="00297AF9" w:rsidP="00297AF9">
      <w:pPr>
        <w:pStyle w:val="Normal1"/>
        <w:spacing w:line="480" w:lineRule="auto"/>
        <w:jc w:val="both"/>
        <w:rPr>
          <w:rFonts w:ascii="Courier New" w:eastAsia="Courier New" w:hAnsi="Courier New" w:cs="Courier New"/>
          <w:b/>
          <w:sz w:val="24"/>
          <w:szCs w:val="24"/>
        </w:rPr>
      </w:pPr>
      <w:r>
        <w:rPr>
          <w:rFonts w:ascii="Courier New" w:eastAsia="Courier New" w:hAnsi="Courier New" w:cs="Courier New"/>
          <w:b/>
          <w:sz w:val="24"/>
          <w:szCs w:val="24"/>
        </w:rPr>
        <w:t>A true copy,</w:t>
      </w:r>
    </w:p>
    <w:p w:rsidR="00297AF9" w:rsidRDefault="00297AF9" w:rsidP="00297AF9">
      <w:pPr>
        <w:pStyle w:val="Normal1"/>
        <w:spacing w:line="240" w:lineRule="auto"/>
        <w:jc w:val="both"/>
        <w:rPr>
          <w:rFonts w:ascii="Courier New" w:eastAsia="Courier New" w:hAnsi="Courier New" w:cs="Courier New"/>
          <w:b/>
          <w:sz w:val="24"/>
          <w:szCs w:val="24"/>
        </w:rPr>
      </w:pPr>
      <w:r>
        <w:rPr>
          <w:rFonts w:ascii="Courier New" w:eastAsia="Courier New" w:hAnsi="Courier New" w:cs="Courier New"/>
          <w:b/>
          <w:sz w:val="24"/>
          <w:szCs w:val="24"/>
        </w:rPr>
        <w:t xml:space="preserve"> </w:t>
      </w:r>
    </w:p>
    <w:p w:rsidR="00297AF9" w:rsidRDefault="00297AF9" w:rsidP="00297AF9">
      <w:pPr>
        <w:pStyle w:val="Normal1"/>
        <w:spacing w:line="240" w:lineRule="auto"/>
        <w:jc w:val="both"/>
        <w:rPr>
          <w:rFonts w:ascii="Courier New" w:eastAsia="Courier New" w:hAnsi="Courier New" w:cs="Courier New"/>
          <w:b/>
          <w:sz w:val="24"/>
          <w:szCs w:val="24"/>
        </w:rPr>
      </w:pPr>
      <w:r>
        <w:rPr>
          <w:rFonts w:ascii="Courier New" w:eastAsia="Courier New" w:hAnsi="Courier New" w:cs="Courier New"/>
          <w:b/>
          <w:sz w:val="24"/>
          <w:szCs w:val="24"/>
        </w:rPr>
        <w:t xml:space="preserve"> </w:t>
      </w:r>
    </w:p>
    <w:p w:rsidR="00297AF9" w:rsidRDefault="00297AF9" w:rsidP="00297AF9">
      <w:pPr>
        <w:pStyle w:val="Normal1"/>
        <w:spacing w:line="240" w:lineRule="auto"/>
        <w:jc w:val="both"/>
        <w:rPr>
          <w:rFonts w:ascii="Courier New" w:eastAsia="Courier New" w:hAnsi="Courier New" w:cs="Courier New"/>
          <w:b/>
          <w:sz w:val="24"/>
          <w:szCs w:val="24"/>
          <w:u w:val="single"/>
        </w:rPr>
      </w:pPr>
      <w:r>
        <w:rPr>
          <w:rFonts w:ascii="Courier New" w:eastAsia="Courier New" w:hAnsi="Courier New" w:cs="Courier New"/>
          <w:b/>
          <w:sz w:val="24"/>
          <w:szCs w:val="24"/>
        </w:rPr>
        <w:t xml:space="preserve">Attest:  </w:t>
      </w:r>
      <w:r>
        <w:rPr>
          <w:rFonts w:ascii="Courier New" w:eastAsia="Courier New" w:hAnsi="Courier New" w:cs="Courier New"/>
          <w:b/>
          <w:sz w:val="24"/>
          <w:szCs w:val="24"/>
          <w:u w:val="single"/>
        </w:rPr>
        <w:t>________________________</w:t>
      </w:r>
    </w:p>
    <w:p w:rsidR="00297AF9" w:rsidRDefault="00297AF9" w:rsidP="00297AF9">
      <w:pPr>
        <w:pStyle w:val="Normal1"/>
        <w:spacing w:line="240" w:lineRule="auto"/>
        <w:jc w:val="both"/>
        <w:rPr>
          <w:rFonts w:ascii="Courier New" w:eastAsia="Courier New" w:hAnsi="Courier New" w:cs="Courier New"/>
          <w:color w:val="222222"/>
          <w:sz w:val="24"/>
          <w:szCs w:val="24"/>
        </w:rPr>
      </w:pPr>
      <w:r>
        <w:rPr>
          <w:rFonts w:ascii="Courier New" w:eastAsia="Courier New" w:hAnsi="Courier New" w:cs="Courier New"/>
          <w:b/>
          <w:sz w:val="24"/>
          <w:szCs w:val="24"/>
        </w:rPr>
        <w:t xml:space="preserve"> </w:t>
      </w:r>
      <w:r>
        <w:rPr>
          <w:rFonts w:ascii="Courier New" w:eastAsia="Courier New" w:hAnsi="Courier New" w:cs="Courier New"/>
          <w:b/>
          <w:sz w:val="24"/>
          <w:szCs w:val="24"/>
        </w:rPr>
        <w:tab/>
        <w:t xml:space="preserve">     Clerk of the Board</w:t>
      </w:r>
    </w:p>
    <w:p w:rsidR="0052477E" w:rsidRDefault="0052477E" w:rsidP="0052477E">
      <w:pPr>
        <w:pStyle w:val="Normal1"/>
        <w:spacing w:line="480" w:lineRule="auto"/>
        <w:jc w:val="both"/>
        <w:rPr>
          <w:rFonts w:ascii="Courier New" w:eastAsia="Courier New" w:hAnsi="Courier New" w:cs="Courier New"/>
          <w:b/>
          <w:sz w:val="24"/>
          <w:szCs w:val="24"/>
        </w:rPr>
      </w:pPr>
    </w:p>
    <w:sectPr w:rsidR="0052477E" w:rsidSect="00297AF9">
      <w:footerReference w:type="default" r:id="rId7"/>
      <w:footerReference w:type="first" r:id="rId8"/>
      <w:pgSz w:w="12240" w:h="15840"/>
      <w:pgMar w:top="1440" w:right="1440" w:bottom="1440" w:left="1440" w:header="0" w:footer="720" w:gutter="0"/>
      <w:pgNumType w:start="49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A0F" w:rsidRDefault="00093A0F">
      <w:pPr>
        <w:spacing w:line="240" w:lineRule="auto"/>
      </w:pPr>
      <w:r>
        <w:separator/>
      </w:r>
    </w:p>
  </w:endnote>
  <w:endnote w:type="continuationSeparator" w:id="0">
    <w:p w:rsidR="00093A0F" w:rsidRDefault="00093A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81A" w:rsidRPr="00297AF9" w:rsidRDefault="00297AF9">
    <w:pPr>
      <w:pStyle w:val="Normal1"/>
      <w:jc w:val="center"/>
      <w:rPr>
        <w:rFonts w:ascii="Courier New" w:eastAsia="Courier New" w:hAnsi="Courier New" w:cs="Courier New"/>
        <w:b/>
        <w:sz w:val="24"/>
        <w:szCs w:val="24"/>
      </w:rPr>
    </w:pPr>
    <w:r w:rsidRPr="00297AF9">
      <w:rPr>
        <w:rFonts w:ascii="Courier New" w:eastAsia="Courier New" w:hAnsi="Courier New" w:cs="Courier New"/>
        <w:b/>
        <w:sz w:val="24"/>
        <w:szCs w:val="24"/>
      </w:rPr>
      <w:t>ATB 2018-</w:t>
    </w:r>
    <w:r w:rsidR="00D0425F" w:rsidRPr="00297AF9">
      <w:rPr>
        <w:rFonts w:ascii="Courier New" w:eastAsia="Courier New" w:hAnsi="Courier New" w:cs="Courier New"/>
        <w:b/>
        <w:sz w:val="24"/>
        <w:szCs w:val="24"/>
      </w:rPr>
      <w:fldChar w:fldCharType="begin"/>
    </w:r>
    <w:r w:rsidR="00D0425F" w:rsidRPr="00297AF9">
      <w:rPr>
        <w:rFonts w:ascii="Courier New" w:eastAsia="Courier New" w:hAnsi="Courier New" w:cs="Courier New"/>
        <w:b/>
        <w:sz w:val="24"/>
        <w:szCs w:val="24"/>
      </w:rPr>
      <w:instrText>PAGE</w:instrText>
    </w:r>
    <w:r w:rsidR="00D0425F" w:rsidRPr="00297AF9">
      <w:rPr>
        <w:rFonts w:ascii="Courier New" w:eastAsia="Courier New" w:hAnsi="Courier New" w:cs="Courier New"/>
        <w:b/>
        <w:sz w:val="24"/>
        <w:szCs w:val="24"/>
      </w:rPr>
      <w:fldChar w:fldCharType="separate"/>
    </w:r>
    <w:r w:rsidR="008C0D65">
      <w:rPr>
        <w:rFonts w:ascii="Courier New" w:eastAsia="Courier New" w:hAnsi="Courier New" w:cs="Courier New"/>
        <w:b/>
        <w:noProof/>
        <w:sz w:val="24"/>
        <w:szCs w:val="24"/>
      </w:rPr>
      <w:t>494</w:t>
    </w:r>
    <w:r w:rsidR="00D0425F" w:rsidRPr="00297AF9">
      <w:rPr>
        <w:rFonts w:ascii="Courier New" w:eastAsia="Courier New" w:hAnsi="Courier New" w:cs="Courier New"/>
        <w:b/>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81A" w:rsidRDefault="00D0425F">
    <w:pPr>
      <w:pStyle w:val="Normal1"/>
      <w:jc w:val="center"/>
    </w:pPr>
    <w:r>
      <w:fldChar w:fldCharType="begin"/>
    </w:r>
    <w:r>
      <w:instrText>PAGE</w:instrTex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A0F" w:rsidRDefault="00093A0F">
      <w:pPr>
        <w:spacing w:line="240" w:lineRule="auto"/>
      </w:pPr>
      <w:r>
        <w:separator/>
      </w:r>
    </w:p>
  </w:footnote>
  <w:footnote w:type="continuationSeparator" w:id="0">
    <w:p w:rsidR="00093A0F" w:rsidRDefault="00093A0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6081A"/>
    <w:rsid w:val="00004C29"/>
    <w:rsid w:val="00011DBD"/>
    <w:rsid w:val="0003241B"/>
    <w:rsid w:val="00093A0F"/>
    <w:rsid w:val="000974CD"/>
    <w:rsid w:val="0010740E"/>
    <w:rsid w:val="00180709"/>
    <w:rsid w:val="001A4D20"/>
    <w:rsid w:val="0020285E"/>
    <w:rsid w:val="00203462"/>
    <w:rsid w:val="002134B1"/>
    <w:rsid w:val="00237B05"/>
    <w:rsid w:val="0027750C"/>
    <w:rsid w:val="002938A0"/>
    <w:rsid w:val="00297AF9"/>
    <w:rsid w:val="002C7AC8"/>
    <w:rsid w:val="003368AC"/>
    <w:rsid w:val="0036081A"/>
    <w:rsid w:val="0039032A"/>
    <w:rsid w:val="003D30E4"/>
    <w:rsid w:val="003D4F27"/>
    <w:rsid w:val="00417D42"/>
    <w:rsid w:val="0049294C"/>
    <w:rsid w:val="004A0DD5"/>
    <w:rsid w:val="0052477E"/>
    <w:rsid w:val="00530F08"/>
    <w:rsid w:val="00547C33"/>
    <w:rsid w:val="00586CEF"/>
    <w:rsid w:val="00592744"/>
    <w:rsid w:val="005954D1"/>
    <w:rsid w:val="005A1937"/>
    <w:rsid w:val="006016F1"/>
    <w:rsid w:val="00633B9D"/>
    <w:rsid w:val="0064580E"/>
    <w:rsid w:val="006F763A"/>
    <w:rsid w:val="00724DCD"/>
    <w:rsid w:val="00792EA9"/>
    <w:rsid w:val="007C2967"/>
    <w:rsid w:val="007C5740"/>
    <w:rsid w:val="008426D2"/>
    <w:rsid w:val="0084495F"/>
    <w:rsid w:val="008458A9"/>
    <w:rsid w:val="00861B40"/>
    <w:rsid w:val="00862FD6"/>
    <w:rsid w:val="008A3727"/>
    <w:rsid w:val="008C0D65"/>
    <w:rsid w:val="008E0F73"/>
    <w:rsid w:val="0091062B"/>
    <w:rsid w:val="009249FC"/>
    <w:rsid w:val="009374DA"/>
    <w:rsid w:val="009B69AD"/>
    <w:rsid w:val="009F4600"/>
    <w:rsid w:val="00A027EF"/>
    <w:rsid w:val="00A03FFA"/>
    <w:rsid w:val="00A62719"/>
    <w:rsid w:val="00C324E8"/>
    <w:rsid w:val="00C34A72"/>
    <w:rsid w:val="00C467BF"/>
    <w:rsid w:val="00C7475D"/>
    <w:rsid w:val="00CA0791"/>
    <w:rsid w:val="00D0425F"/>
    <w:rsid w:val="00D165C7"/>
    <w:rsid w:val="00D602BE"/>
    <w:rsid w:val="00DA6184"/>
    <w:rsid w:val="00DC15E9"/>
    <w:rsid w:val="00E50657"/>
    <w:rsid w:val="00E60A6D"/>
    <w:rsid w:val="00EA59E9"/>
    <w:rsid w:val="00F82A91"/>
    <w:rsid w:val="00FD00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paragraph" w:styleId="Header">
    <w:name w:val="header"/>
    <w:basedOn w:val="Normal"/>
    <w:link w:val="HeaderChar"/>
    <w:uiPriority w:val="99"/>
    <w:unhideWhenUsed/>
    <w:rsid w:val="0052477E"/>
    <w:pPr>
      <w:tabs>
        <w:tab w:val="center" w:pos="4680"/>
        <w:tab w:val="right" w:pos="9360"/>
      </w:tabs>
      <w:spacing w:line="240" w:lineRule="auto"/>
    </w:pPr>
  </w:style>
  <w:style w:type="character" w:customStyle="1" w:styleId="HeaderChar">
    <w:name w:val="Header Char"/>
    <w:basedOn w:val="DefaultParagraphFont"/>
    <w:link w:val="Header"/>
    <w:uiPriority w:val="99"/>
    <w:rsid w:val="0052477E"/>
  </w:style>
  <w:style w:type="paragraph" w:styleId="Footer">
    <w:name w:val="footer"/>
    <w:basedOn w:val="Normal"/>
    <w:link w:val="FooterChar"/>
    <w:uiPriority w:val="99"/>
    <w:unhideWhenUsed/>
    <w:rsid w:val="0052477E"/>
    <w:pPr>
      <w:tabs>
        <w:tab w:val="center" w:pos="4680"/>
        <w:tab w:val="right" w:pos="9360"/>
      </w:tabs>
      <w:spacing w:line="240" w:lineRule="auto"/>
    </w:pPr>
  </w:style>
  <w:style w:type="character" w:customStyle="1" w:styleId="FooterChar">
    <w:name w:val="Footer Char"/>
    <w:basedOn w:val="DefaultParagraphFont"/>
    <w:link w:val="Footer"/>
    <w:uiPriority w:val="99"/>
    <w:rsid w:val="0052477E"/>
  </w:style>
  <w:style w:type="paragraph" w:styleId="BalloonText">
    <w:name w:val="Balloon Text"/>
    <w:basedOn w:val="Normal"/>
    <w:link w:val="BalloonTextChar"/>
    <w:uiPriority w:val="99"/>
    <w:semiHidden/>
    <w:unhideWhenUsed/>
    <w:rsid w:val="0010740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4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paragraph" w:styleId="Header">
    <w:name w:val="header"/>
    <w:basedOn w:val="Normal"/>
    <w:link w:val="HeaderChar"/>
    <w:uiPriority w:val="99"/>
    <w:unhideWhenUsed/>
    <w:rsid w:val="0052477E"/>
    <w:pPr>
      <w:tabs>
        <w:tab w:val="center" w:pos="4680"/>
        <w:tab w:val="right" w:pos="9360"/>
      </w:tabs>
      <w:spacing w:line="240" w:lineRule="auto"/>
    </w:pPr>
  </w:style>
  <w:style w:type="character" w:customStyle="1" w:styleId="HeaderChar">
    <w:name w:val="Header Char"/>
    <w:basedOn w:val="DefaultParagraphFont"/>
    <w:link w:val="Header"/>
    <w:uiPriority w:val="99"/>
    <w:rsid w:val="0052477E"/>
  </w:style>
  <w:style w:type="paragraph" w:styleId="Footer">
    <w:name w:val="footer"/>
    <w:basedOn w:val="Normal"/>
    <w:link w:val="FooterChar"/>
    <w:uiPriority w:val="99"/>
    <w:unhideWhenUsed/>
    <w:rsid w:val="0052477E"/>
    <w:pPr>
      <w:tabs>
        <w:tab w:val="center" w:pos="4680"/>
        <w:tab w:val="right" w:pos="9360"/>
      </w:tabs>
      <w:spacing w:line="240" w:lineRule="auto"/>
    </w:pPr>
  </w:style>
  <w:style w:type="character" w:customStyle="1" w:styleId="FooterChar">
    <w:name w:val="Footer Char"/>
    <w:basedOn w:val="DefaultParagraphFont"/>
    <w:link w:val="Footer"/>
    <w:uiPriority w:val="99"/>
    <w:rsid w:val="0052477E"/>
  </w:style>
  <w:style w:type="paragraph" w:styleId="BalloonText">
    <w:name w:val="Balloon Text"/>
    <w:basedOn w:val="Normal"/>
    <w:link w:val="BalloonTextChar"/>
    <w:uiPriority w:val="99"/>
    <w:semiHidden/>
    <w:unhideWhenUsed/>
    <w:rsid w:val="0010740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4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3127</Words>
  <Characters>17828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Tulane University</Company>
  <LinksUpToDate>false</LinksUpToDate>
  <CharactersWithSpaces>20914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Hristov, Anne (ATB)</dc:creator>
  <cp:lastModifiedBy>ANF</cp:lastModifiedBy>
  <cp:revision>2</cp:revision>
  <cp:lastPrinted>2018-10-23T14:28:00Z</cp:lastPrinted>
  <dcterms:created xsi:type="dcterms:W3CDTF">2018-10-23T14:29:00Z</dcterms:created>
  <dcterms:modified xsi:type="dcterms:W3CDTF">2018-10-23T14:29:00Z</dcterms:modified>
</cp:coreProperties>
</file>