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B5D" w:rsidRDefault="00611B5D" w:rsidP="00611B5D">
      <w:pPr>
        <w:spacing w:line="240" w:lineRule="auto"/>
        <w:rPr>
          <w:rFonts w:ascii="Palatino Linotype" w:hAnsi="Palatino Linotype"/>
          <w:b/>
        </w:rPr>
      </w:pPr>
      <w:bookmarkStart w:id="0" w:name="_GoBack"/>
      <w:bookmarkEnd w:id="0"/>
      <w:r>
        <w:rPr>
          <w:rFonts w:ascii="Palatino Linotype" w:hAnsi="Palatino Linotype"/>
        </w:rPr>
        <w:t>March 3, 2017</w:t>
      </w:r>
    </w:p>
    <w:p w:rsidR="0016040E" w:rsidRPr="00611B5D" w:rsidRDefault="00611B5D" w:rsidP="0016040E">
      <w:pPr>
        <w:spacing w:after="0" w:line="240" w:lineRule="auto"/>
        <w:rPr>
          <w:rFonts w:ascii="Palatino Linotype" w:hAnsi="Palatino Linotype"/>
        </w:rPr>
      </w:pPr>
      <w:r w:rsidRPr="00611B5D">
        <w:rPr>
          <w:rFonts w:ascii="Palatino Linotype" w:hAnsi="Palatino Linotype"/>
        </w:rPr>
        <w:t>George Zachos</w:t>
      </w:r>
    </w:p>
    <w:p w:rsidR="00611B5D" w:rsidRPr="00611B5D" w:rsidRDefault="00611B5D" w:rsidP="0016040E">
      <w:pPr>
        <w:spacing w:after="0" w:line="240" w:lineRule="auto"/>
        <w:rPr>
          <w:rFonts w:ascii="Palatino Linotype" w:hAnsi="Palatino Linotype"/>
        </w:rPr>
      </w:pPr>
      <w:r w:rsidRPr="00611B5D">
        <w:rPr>
          <w:rFonts w:ascii="Palatino Linotype" w:hAnsi="Palatino Linotype"/>
        </w:rPr>
        <w:t>Executive Director</w:t>
      </w:r>
    </w:p>
    <w:p w:rsidR="0016040E" w:rsidRPr="00611B5D" w:rsidRDefault="00611B5D" w:rsidP="00611B5D">
      <w:pPr>
        <w:spacing w:after="0" w:line="240" w:lineRule="auto"/>
        <w:rPr>
          <w:rFonts w:ascii="Palatino Linotype" w:hAnsi="Palatino Linotype"/>
        </w:rPr>
      </w:pPr>
      <w:r w:rsidRPr="00611B5D">
        <w:rPr>
          <w:rFonts w:ascii="Palatino Linotype" w:hAnsi="Palatino Linotype"/>
        </w:rPr>
        <w:t>Massachusetts Board of Registration in Medicine</w:t>
      </w:r>
    </w:p>
    <w:p w:rsidR="0016040E" w:rsidRDefault="0016040E" w:rsidP="0016040E">
      <w:pPr>
        <w:spacing w:after="0" w:line="240" w:lineRule="auto"/>
        <w:rPr>
          <w:rFonts w:ascii="Palatino Linotype" w:hAnsi="Palatino Linotype"/>
        </w:rPr>
      </w:pPr>
      <w:r>
        <w:rPr>
          <w:rFonts w:ascii="Palatino Linotype" w:hAnsi="Palatino Linotype"/>
        </w:rPr>
        <w:t>2</w:t>
      </w:r>
      <w:r w:rsidR="00631957">
        <w:rPr>
          <w:rFonts w:ascii="Palatino Linotype" w:hAnsi="Palatino Linotype"/>
        </w:rPr>
        <w:t>00 Harvard Mill Square, Suite 33</w:t>
      </w:r>
      <w:r>
        <w:rPr>
          <w:rFonts w:ascii="Palatino Linotype" w:hAnsi="Palatino Linotype"/>
        </w:rPr>
        <w:t>0</w:t>
      </w:r>
    </w:p>
    <w:p w:rsidR="0016040E" w:rsidRDefault="0016040E" w:rsidP="0016040E">
      <w:pPr>
        <w:spacing w:after="0" w:line="240" w:lineRule="auto"/>
        <w:rPr>
          <w:rFonts w:ascii="Palatino Linotype" w:hAnsi="Palatino Linotype"/>
        </w:rPr>
      </w:pPr>
      <w:r>
        <w:rPr>
          <w:rFonts w:ascii="Palatino Linotype" w:hAnsi="Palatino Linotype"/>
        </w:rPr>
        <w:t>Wakefield, MA 01880</w:t>
      </w:r>
    </w:p>
    <w:p w:rsidR="0016040E" w:rsidRDefault="0016040E" w:rsidP="0016040E">
      <w:pPr>
        <w:spacing w:after="0" w:line="240" w:lineRule="auto"/>
        <w:rPr>
          <w:rFonts w:ascii="Palatino Linotype" w:hAnsi="Palatino Linotype"/>
        </w:rPr>
      </w:pPr>
    </w:p>
    <w:p w:rsidR="00115D5F" w:rsidRDefault="0016040E" w:rsidP="00611B5D">
      <w:pPr>
        <w:spacing w:after="0" w:line="240" w:lineRule="auto"/>
        <w:rPr>
          <w:rFonts w:ascii="Palatino Linotype" w:hAnsi="Palatino Linotype"/>
          <w:b/>
        </w:rPr>
      </w:pPr>
      <w:r>
        <w:rPr>
          <w:rFonts w:ascii="Palatino Linotype" w:hAnsi="Palatino Linotype"/>
        </w:rPr>
        <w:tab/>
      </w:r>
      <w:r>
        <w:rPr>
          <w:rFonts w:ascii="Palatino Linotype" w:hAnsi="Palatino Linotype"/>
          <w:b/>
        </w:rPr>
        <w:t>Re:</w:t>
      </w:r>
      <w:r>
        <w:rPr>
          <w:rFonts w:ascii="Palatino Linotype" w:hAnsi="Palatino Linotype"/>
          <w:b/>
        </w:rPr>
        <w:tab/>
      </w:r>
      <w:r w:rsidR="00611B5D">
        <w:rPr>
          <w:rFonts w:ascii="Palatino Linotype" w:hAnsi="Palatino Linotype"/>
          <w:b/>
        </w:rPr>
        <w:t>Proposed Amendments to 243 CMR 1.00 and 3.00</w:t>
      </w:r>
    </w:p>
    <w:p w:rsidR="0016040E" w:rsidRDefault="0016040E" w:rsidP="0016040E">
      <w:pPr>
        <w:spacing w:after="0" w:line="240" w:lineRule="auto"/>
        <w:rPr>
          <w:rFonts w:ascii="Palatino Linotype" w:hAnsi="Palatino Linotype"/>
          <w:b/>
        </w:rPr>
      </w:pPr>
    </w:p>
    <w:p w:rsidR="0016040E" w:rsidRDefault="0016040E" w:rsidP="00611B5D">
      <w:pPr>
        <w:spacing w:after="0" w:line="240" w:lineRule="auto"/>
        <w:rPr>
          <w:rFonts w:ascii="Palatino Linotype" w:hAnsi="Palatino Linotype"/>
        </w:rPr>
      </w:pPr>
      <w:r>
        <w:rPr>
          <w:rFonts w:ascii="Palatino Linotype" w:hAnsi="Palatino Linotype"/>
        </w:rPr>
        <w:t xml:space="preserve">Dear </w:t>
      </w:r>
      <w:r w:rsidR="00611B5D">
        <w:rPr>
          <w:rFonts w:ascii="Palatino Linotype" w:hAnsi="Palatino Linotype"/>
        </w:rPr>
        <w:t>Executive Director Zachos</w:t>
      </w:r>
      <w:r>
        <w:rPr>
          <w:rFonts w:ascii="Palatino Linotype" w:hAnsi="Palatino Linotype"/>
        </w:rPr>
        <w:t xml:space="preserve">: </w:t>
      </w:r>
    </w:p>
    <w:p w:rsidR="0016040E" w:rsidRDefault="0016040E" w:rsidP="00E11BEA">
      <w:pPr>
        <w:spacing w:after="0" w:line="240" w:lineRule="auto"/>
        <w:rPr>
          <w:rFonts w:ascii="Palatino Linotype" w:hAnsi="Palatino Linotype"/>
        </w:rPr>
      </w:pPr>
    </w:p>
    <w:p w:rsidR="00E11BEA" w:rsidRDefault="00E11BEA" w:rsidP="002057D3">
      <w:pPr>
        <w:spacing w:after="0" w:line="240" w:lineRule="auto"/>
        <w:ind w:firstLine="720"/>
        <w:rPr>
          <w:rFonts w:ascii="Palatino Linotype" w:hAnsi="Palatino Linotype" w:cs="Times New Roman"/>
          <w:iCs/>
        </w:rPr>
      </w:pPr>
      <w:r w:rsidRPr="00E11BEA">
        <w:rPr>
          <w:rFonts w:ascii="Palatino Linotype" w:hAnsi="Palatino Linotype" w:cs="Times New Roman"/>
          <w:iCs/>
        </w:rPr>
        <w:t xml:space="preserve">Baystate Health, Inc. </w:t>
      </w:r>
      <w:r w:rsidR="007D3163">
        <w:rPr>
          <w:rFonts w:ascii="Palatino Linotype" w:hAnsi="Palatino Linotype" w:cs="Times New Roman"/>
          <w:iCs/>
        </w:rPr>
        <w:t xml:space="preserve">(“Baystate”) </w:t>
      </w:r>
      <w:r w:rsidRPr="00E11BEA">
        <w:rPr>
          <w:rFonts w:ascii="Palatino Linotype" w:hAnsi="Palatino Linotype" w:cs="Times New Roman"/>
          <w:iCs/>
        </w:rPr>
        <w:t xml:space="preserve">is a not-for-profit, integrated health care system serving over 800,000 people throughout western New England.  The Baystate system includes Baystate Medical Center, a teaching hospital </w:t>
      </w:r>
      <w:r w:rsidR="00776884">
        <w:rPr>
          <w:rFonts w:ascii="Palatino Linotype" w:hAnsi="Palatino Linotype" w:cs="Times New Roman"/>
          <w:iCs/>
        </w:rPr>
        <w:t xml:space="preserve">with residency and fellowship programs accredited by the Accreditation Council for Graduate Medical Education </w:t>
      </w:r>
      <w:r w:rsidR="001474B6">
        <w:rPr>
          <w:rFonts w:ascii="Palatino Linotype" w:hAnsi="Palatino Linotype" w:cs="Times New Roman"/>
          <w:iCs/>
        </w:rPr>
        <w:t xml:space="preserve">(“ACGME”) </w:t>
      </w:r>
      <w:r w:rsidRPr="00E11BEA">
        <w:rPr>
          <w:rFonts w:ascii="Palatino Linotype" w:hAnsi="Palatino Linotype" w:cs="Times New Roman"/>
          <w:iCs/>
        </w:rPr>
        <w:t>and the region’s only Level 1 trauma center; three community hospitals – Baystate Franklin Medical Center in Greenfield, Baystate Wing Hospital in Palmer, and Baystate Noble Hospital in Westfield</w:t>
      </w:r>
      <w:r w:rsidR="00776884">
        <w:rPr>
          <w:rFonts w:ascii="Palatino Linotype" w:hAnsi="Palatino Linotype" w:cs="Times New Roman"/>
          <w:iCs/>
        </w:rPr>
        <w:t xml:space="preserve">; and </w:t>
      </w:r>
      <w:r w:rsidRPr="00E11BEA">
        <w:rPr>
          <w:rFonts w:ascii="Palatino Linotype" w:hAnsi="Palatino Linotype" w:cs="Times New Roman"/>
          <w:iCs/>
        </w:rPr>
        <w:t>a network of more than 80 medical practices</w:t>
      </w:r>
      <w:r w:rsidR="007D3163">
        <w:rPr>
          <w:rFonts w:ascii="Palatino Linotype" w:hAnsi="Palatino Linotype" w:cs="Times New Roman"/>
          <w:iCs/>
        </w:rPr>
        <w:t xml:space="preserve">.  </w:t>
      </w:r>
    </w:p>
    <w:p w:rsidR="00776884" w:rsidRDefault="00776884" w:rsidP="00E11BEA">
      <w:pPr>
        <w:spacing w:after="0" w:line="240" w:lineRule="auto"/>
        <w:rPr>
          <w:rFonts w:ascii="Palatino Linotype" w:hAnsi="Palatino Linotype"/>
        </w:rPr>
      </w:pPr>
    </w:p>
    <w:p w:rsidR="00E11BEA" w:rsidRPr="00E11BEA" w:rsidRDefault="00E11BEA" w:rsidP="002057D3">
      <w:pPr>
        <w:spacing w:after="0" w:line="240" w:lineRule="auto"/>
        <w:ind w:firstLine="720"/>
        <w:rPr>
          <w:rFonts w:ascii="Palatino Linotype" w:hAnsi="Palatino Linotype"/>
        </w:rPr>
      </w:pPr>
      <w:r w:rsidRPr="00E11BEA">
        <w:rPr>
          <w:rFonts w:ascii="Palatino Linotype" w:hAnsi="Palatino Linotype"/>
        </w:rPr>
        <w:t xml:space="preserve">I am writing to submit comments </w:t>
      </w:r>
      <w:r w:rsidR="006F75C3">
        <w:rPr>
          <w:rFonts w:ascii="Palatino Linotype" w:hAnsi="Palatino Linotype"/>
        </w:rPr>
        <w:t>to the Board of Registration in Medicine (</w:t>
      </w:r>
      <w:r w:rsidR="001474B6">
        <w:rPr>
          <w:rFonts w:ascii="Palatino Linotype" w:hAnsi="Palatino Linotype"/>
        </w:rPr>
        <w:t>“</w:t>
      </w:r>
      <w:r w:rsidR="006F75C3">
        <w:rPr>
          <w:rFonts w:ascii="Palatino Linotype" w:hAnsi="Palatino Linotype"/>
        </w:rPr>
        <w:t xml:space="preserve">Board”) </w:t>
      </w:r>
      <w:r w:rsidRPr="00E11BEA">
        <w:rPr>
          <w:rFonts w:ascii="Palatino Linotype" w:hAnsi="Palatino Linotype"/>
        </w:rPr>
        <w:t xml:space="preserve">on behalf of Baystate </w:t>
      </w:r>
      <w:r>
        <w:rPr>
          <w:rFonts w:ascii="Palatino Linotype" w:hAnsi="Palatino Linotype"/>
        </w:rPr>
        <w:t xml:space="preserve">concerning </w:t>
      </w:r>
      <w:r w:rsidRPr="00E11BEA">
        <w:rPr>
          <w:rFonts w:ascii="Palatino Linotype" w:hAnsi="Palatino Linotype"/>
        </w:rPr>
        <w:t xml:space="preserve">the proposed amendments to </w:t>
      </w:r>
      <w:r>
        <w:rPr>
          <w:rFonts w:ascii="Palatino Linotype" w:hAnsi="Palatino Linotype"/>
        </w:rPr>
        <w:t>243 CMR 1.00 (Disciplinary Proc</w:t>
      </w:r>
      <w:r w:rsidR="00ED59F4">
        <w:rPr>
          <w:rFonts w:ascii="Palatino Linotype" w:hAnsi="Palatino Linotype"/>
        </w:rPr>
        <w:t xml:space="preserve">eedings for Physicians) and 243 </w:t>
      </w:r>
      <w:r>
        <w:rPr>
          <w:rFonts w:ascii="Palatino Linotype" w:hAnsi="Palatino Linotype"/>
        </w:rPr>
        <w:t>CMR 3.00 (Patient Care Assessment Programs)</w:t>
      </w:r>
      <w:r w:rsidRPr="00E11BEA">
        <w:rPr>
          <w:rFonts w:ascii="Palatino Linotype" w:hAnsi="Palatino Linotype"/>
        </w:rPr>
        <w:t>.</w:t>
      </w:r>
    </w:p>
    <w:p w:rsidR="00E11BEA" w:rsidRPr="00E11BEA" w:rsidRDefault="00E11BEA" w:rsidP="00E11BEA">
      <w:pPr>
        <w:spacing w:after="0" w:line="240" w:lineRule="auto"/>
        <w:rPr>
          <w:rFonts w:ascii="Palatino Linotype" w:hAnsi="Palatino Linotype"/>
        </w:rPr>
      </w:pPr>
    </w:p>
    <w:p w:rsidR="00E11BEA" w:rsidRPr="00E11BEA" w:rsidRDefault="00E11BEA" w:rsidP="002057D3">
      <w:pPr>
        <w:spacing w:after="0" w:line="240" w:lineRule="auto"/>
        <w:ind w:firstLine="720"/>
        <w:rPr>
          <w:rFonts w:ascii="Palatino Linotype" w:hAnsi="Palatino Linotype"/>
        </w:rPr>
      </w:pPr>
      <w:r w:rsidRPr="00E11BEA">
        <w:rPr>
          <w:rFonts w:ascii="Palatino Linotype" w:hAnsi="Palatino Linotype"/>
        </w:rPr>
        <w:t xml:space="preserve">We have read and support the comments of the Massachusetts Health &amp; Hospital Association (“MHA”) on </w:t>
      </w:r>
      <w:r w:rsidR="00776884">
        <w:rPr>
          <w:rFonts w:ascii="Palatino Linotype" w:hAnsi="Palatino Linotype"/>
        </w:rPr>
        <w:t>the proposed amendments and offer the following additional comments</w:t>
      </w:r>
      <w:r w:rsidR="002057D3">
        <w:rPr>
          <w:rFonts w:ascii="Palatino Linotype" w:hAnsi="Palatino Linotype"/>
        </w:rPr>
        <w:t xml:space="preserve"> to highlight specific areas</w:t>
      </w:r>
      <w:r w:rsidR="00776884">
        <w:rPr>
          <w:rFonts w:ascii="Palatino Linotype" w:hAnsi="Palatino Linotype"/>
        </w:rPr>
        <w:t>.</w:t>
      </w:r>
      <w:r w:rsidR="00EF7909">
        <w:rPr>
          <w:rFonts w:ascii="Palatino Linotype" w:hAnsi="Palatino Linotype"/>
        </w:rPr>
        <w:t xml:space="preserve">  </w:t>
      </w:r>
    </w:p>
    <w:p w:rsidR="00611B5D" w:rsidRDefault="00611B5D" w:rsidP="00776884">
      <w:pPr>
        <w:spacing w:after="0" w:line="240" w:lineRule="auto"/>
        <w:rPr>
          <w:rFonts w:ascii="Palatino Linotype" w:hAnsi="Palatino Linotype"/>
        </w:rPr>
      </w:pPr>
    </w:p>
    <w:p w:rsidR="00776884" w:rsidRPr="00012E8F" w:rsidRDefault="00776884" w:rsidP="00776884">
      <w:pPr>
        <w:spacing w:after="0" w:line="240" w:lineRule="auto"/>
        <w:rPr>
          <w:rFonts w:ascii="Palatino Linotype" w:hAnsi="Palatino Linotype"/>
          <w:b/>
          <w:i/>
          <w:u w:val="single"/>
        </w:rPr>
      </w:pPr>
      <w:r w:rsidRPr="00012E8F">
        <w:rPr>
          <w:rFonts w:ascii="Palatino Linotype" w:hAnsi="Palatino Linotype"/>
          <w:b/>
          <w:i/>
          <w:u w:val="single"/>
        </w:rPr>
        <w:t xml:space="preserve">Section 1.00 00 </w:t>
      </w:r>
      <w:r w:rsidR="00012E8F">
        <w:rPr>
          <w:rFonts w:ascii="Palatino Linotype" w:hAnsi="Palatino Linotype"/>
          <w:b/>
          <w:i/>
          <w:u w:val="single"/>
        </w:rPr>
        <w:t xml:space="preserve">– Disciplinary </w:t>
      </w:r>
      <w:r w:rsidRPr="00012E8F">
        <w:rPr>
          <w:rFonts w:ascii="Palatino Linotype" w:hAnsi="Palatino Linotype"/>
          <w:b/>
          <w:i/>
          <w:u w:val="single"/>
        </w:rPr>
        <w:t>Proceedings for Physicians</w:t>
      </w:r>
    </w:p>
    <w:p w:rsidR="00012E8F" w:rsidRDefault="00012E8F" w:rsidP="00776884">
      <w:pPr>
        <w:spacing w:after="0" w:line="240" w:lineRule="auto"/>
        <w:rPr>
          <w:rFonts w:ascii="Palatino Linotype" w:hAnsi="Palatino Linotype"/>
          <w:b/>
          <w:i/>
        </w:rPr>
      </w:pPr>
    </w:p>
    <w:p w:rsidR="00012E8F" w:rsidRPr="0078518B" w:rsidRDefault="00012E8F" w:rsidP="00776884">
      <w:pPr>
        <w:spacing w:after="0" w:line="240" w:lineRule="auto"/>
        <w:rPr>
          <w:rFonts w:ascii="Palatino Linotype" w:hAnsi="Palatino Linotype"/>
          <w:b/>
          <w:i/>
        </w:rPr>
      </w:pPr>
      <w:r>
        <w:rPr>
          <w:rFonts w:ascii="Palatino Linotype" w:hAnsi="Palatino Linotype"/>
          <w:b/>
          <w:i/>
        </w:rPr>
        <w:tab/>
        <w:t>Section 1.01(02) (Definition of “Disciplinary Action”)</w:t>
      </w:r>
      <w:r w:rsidR="00ED59F4">
        <w:rPr>
          <w:rFonts w:ascii="Palatino Linotype" w:hAnsi="Palatino Linotype"/>
          <w:b/>
          <w:i/>
        </w:rPr>
        <w:t>:</w:t>
      </w:r>
    </w:p>
    <w:p w:rsidR="00776884" w:rsidRDefault="00776884" w:rsidP="00776884">
      <w:pPr>
        <w:spacing w:after="0" w:line="240" w:lineRule="auto"/>
        <w:rPr>
          <w:rFonts w:ascii="Palatino Linotype" w:hAnsi="Palatino Linotype"/>
          <w:b/>
        </w:rPr>
      </w:pPr>
    </w:p>
    <w:p w:rsidR="001C34D1" w:rsidRDefault="00776884" w:rsidP="002057D3">
      <w:pPr>
        <w:spacing w:after="0" w:line="240" w:lineRule="auto"/>
        <w:ind w:firstLine="720"/>
        <w:rPr>
          <w:rFonts w:ascii="Palatino Linotype" w:hAnsi="Palatino Linotype"/>
        </w:rPr>
      </w:pPr>
      <w:r>
        <w:rPr>
          <w:rFonts w:ascii="Palatino Linotype" w:hAnsi="Palatino Linotype"/>
        </w:rPr>
        <w:t>The proposed amendments would expand the definition of “Disciplinary Action”</w:t>
      </w:r>
      <w:r w:rsidR="006F75C3">
        <w:rPr>
          <w:rFonts w:ascii="Palatino Linotype" w:hAnsi="Palatino Linotype"/>
        </w:rPr>
        <w:t xml:space="preserve"> to </w:t>
      </w:r>
      <w:r>
        <w:rPr>
          <w:rFonts w:ascii="Palatino Linotype" w:hAnsi="Palatino Linotype"/>
        </w:rPr>
        <w:t>include both “</w:t>
      </w:r>
      <w:r w:rsidR="0078518B">
        <w:rPr>
          <w:rFonts w:ascii="Palatino Linotype" w:hAnsi="Palatino Linotype"/>
        </w:rPr>
        <w:t>R</w:t>
      </w:r>
      <w:r>
        <w:rPr>
          <w:rFonts w:ascii="Palatino Linotype" w:hAnsi="Palatino Linotype"/>
        </w:rPr>
        <w:t>emediation” and “</w:t>
      </w:r>
      <w:r w:rsidR="0078518B">
        <w:rPr>
          <w:rFonts w:ascii="Palatino Linotype" w:hAnsi="Palatino Linotype"/>
        </w:rPr>
        <w:t>P</w:t>
      </w:r>
      <w:r>
        <w:rPr>
          <w:rFonts w:ascii="Palatino Linotype" w:hAnsi="Palatino Linotype"/>
        </w:rPr>
        <w:t>robation</w:t>
      </w:r>
      <w:r w:rsidR="0078518B">
        <w:rPr>
          <w:rFonts w:ascii="Palatino Linotype" w:hAnsi="Palatino Linotype"/>
        </w:rPr>
        <w:t xml:space="preserve">, including academic probation.” </w:t>
      </w:r>
      <w:r w:rsidR="001C34D1">
        <w:rPr>
          <w:rFonts w:ascii="Palatino Linotype" w:hAnsi="Palatino Linotype"/>
        </w:rPr>
        <w:t xml:space="preserve"> As a threshold matter, neither term is defined in the regulations, and “Probation, including </w:t>
      </w:r>
      <w:r w:rsidR="00ED59F4">
        <w:rPr>
          <w:rFonts w:ascii="Palatino Linotype" w:hAnsi="Palatino Linotype"/>
        </w:rPr>
        <w:t>academic probation</w:t>
      </w:r>
      <w:r w:rsidR="001C34D1">
        <w:rPr>
          <w:rFonts w:ascii="Palatino Linotype" w:hAnsi="Palatino Linotype"/>
        </w:rPr>
        <w:t xml:space="preserve">” is not limited to actions related to the licensee’s competence or a complaint or allegation of a violation of law, regulation, or facility bylaws.  In any event, the proposed addition of these two categories of “Disciplinary Action” creates a number of concerns, and we request that the Board remove these proposed </w:t>
      </w:r>
      <w:r w:rsidR="00ED59F4">
        <w:rPr>
          <w:rFonts w:ascii="Palatino Linotype" w:hAnsi="Palatino Linotype"/>
        </w:rPr>
        <w:t>amendments</w:t>
      </w:r>
      <w:r w:rsidR="001C34D1">
        <w:rPr>
          <w:rFonts w:ascii="Palatino Linotype" w:hAnsi="Palatino Linotype"/>
        </w:rPr>
        <w:t xml:space="preserve">.  </w:t>
      </w:r>
    </w:p>
    <w:p w:rsidR="001C34D1" w:rsidRDefault="001C34D1" w:rsidP="002057D3">
      <w:pPr>
        <w:spacing w:after="0" w:line="240" w:lineRule="auto"/>
        <w:ind w:firstLine="720"/>
        <w:rPr>
          <w:rFonts w:ascii="Palatino Linotype" w:hAnsi="Palatino Linotype"/>
        </w:rPr>
      </w:pPr>
    </w:p>
    <w:p w:rsidR="00776884" w:rsidRDefault="001C34D1" w:rsidP="002057D3">
      <w:pPr>
        <w:spacing w:after="0" w:line="240" w:lineRule="auto"/>
        <w:ind w:firstLine="720"/>
        <w:rPr>
          <w:rFonts w:ascii="Palatino Linotype" w:hAnsi="Palatino Linotype"/>
        </w:rPr>
      </w:pPr>
      <w:r>
        <w:rPr>
          <w:rFonts w:ascii="Palatino Linotype" w:hAnsi="Palatino Linotype"/>
        </w:rPr>
        <w:lastRenderedPageBreak/>
        <w:t>G</w:t>
      </w:r>
      <w:r w:rsidR="001474B6">
        <w:rPr>
          <w:rFonts w:ascii="Palatino Linotype" w:hAnsi="Palatino Linotype"/>
        </w:rPr>
        <w:t>iven that “Disciplinary Action” is reportable to the Board, the</w:t>
      </w:r>
      <w:r w:rsidR="006F75C3">
        <w:rPr>
          <w:rFonts w:ascii="Palatino Linotype" w:hAnsi="Palatino Linotype"/>
        </w:rPr>
        <w:t xml:space="preserve"> proposed </w:t>
      </w:r>
      <w:r w:rsidR="001474B6">
        <w:rPr>
          <w:rFonts w:ascii="Palatino Linotype" w:hAnsi="Palatino Linotype"/>
        </w:rPr>
        <w:t>ex</w:t>
      </w:r>
      <w:r w:rsidR="006F75C3">
        <w:rPr>
          <w:rFonts w:ascii="Palatino Linotype" w:hAnsi="Palatino Linotype"/>
        </w:rPr>
        <w:t>pansion</w:t>
      </w:r>
      <w:r w:rsidR="001474B6">
        <w:rPr>
          <w:rFonts w:ascii="Palatino Linotype" w:hAnsi="Palatino Linotype"/>
        </w:rPr>
        <w:t xml:space="preserve"> of th</w:t>
      </w:r>
      <w:r w:rsidR="00ED283A">
        <w:rPr>
          <w:rFonts w:ascii="Palatino Linotype" w:hAnsi="Palatino Linotype"/>
        </w:rPr>
        <w:t>is</w:t>
      </w:r>
      <w:r w:rsidR="001474B6">
        <w:rPr>
          <w:rFonts w:ascii="Palatino Linotype" w:hAnsi="Palatino Linotype"/>
        </w:rPr>
        <w:t xml:space="preserve"> </w:t>
      </w:r>
      <w:r w:rsidR="008027FD">
        <w:rPr>
          <w:rFonts w:ascii="Palatino Linotype" w:hAnsi="Palatino Linotype"/>
        </w:rPr>
        <w:t>definition</w:t>
      </w:r>
      <w:r w:rsidR="006F75C3">
        <w:rPr>
          <w:rFonts w:ascii="Palatino Linotype" w:hAnsi="Palatino Linotype"/>
        </w:rPr>
        <w:t xml:space="preserve"> </w:t>
      </w:r>
      <w:r>
        <w:rPr>
          <w:rFonts w:ascii="Palatino Linotype" w:hAnsi="Palatino Linotype"/>
        </w:rPr>
        <w:t xml:space="preserve">would </w:t>
      </w:r>
      <w:r w:rsidR="001474B6">
        <w:rPr>
          <w:rFonts w:ascii="Palatino Linotype" w:hAnsi="Palatino Linotype"/>
        </w:rPr>
        <w:t>undermine efforts to improve the quality and safety of patient care in the hospitals of the Commonwealth</w:t>
      </w:r>
      <w:r w:rsidR="006F75C3">
        <w:rPr>
          <w:rFonts w:ascii="Palatino Linotype" w:hAnsi="Palatino Linotype"/>
        </w:rPr>
        <w:t xml:space="preserve">.  </w:t>
      </w:r>
      <w:r w:rsidR="00B26708">
        <w:rPr>
          <w:rFonts w:ascii="Palatino Linotype" w:hAnsi="Palatino Linotype"/>
        </w:rPr>
        <w:t xml:space="preserve">In promulgating 243 CMR 3.00, the Board had, “as its primary goal, ensuring that patients </w:t>
      </w:r>
      <w:r w:rsidR="006644C7">
        <w:rPr>
          <w:rFonts w:ascii="Palatino Linotype" w:hAnsi="Palatino Linotype"/>
        </w:rPr>
        <w:t xml:space="preserve">… </w:t>
      </w:r>
      <w:r w:rsidR="00B26708">
        <w:rPr>
          <w:rFonts w:ascii="Palatino Linotype" w:hAnsi="Palatino Linotype"/>
        </w:rPr>
        <w:t>receive optimal care</w:t>
      </w:r>
      <w:r w:rsidR="00ED283A">
        <w:rPr>
          <w:rFonts w:ascii="Palatino Linotype" w:hAnsi="Palatino Linotype"/>
        </w:rPr>
        <w:t xml:space="preserve">.”  This section of the regulations was “intended to assist the physicians and health care institutions of the Commonwealth in their efforts to identify problems in practice before they occur and to put in place preventive measures designed to minimize and eliminate substandard practice.”  </w:t>
      </w:r>
      <w:r w:rsidR="002057D3">
        <w:rPr>
          <w:rFonts w:ascii="Palatino Linotype" w:hAnsi="Palatino Linotype"/>
          <w:i/>
        </w:rPr>
        <w:t>See</w:t>
      </w:r>
      <w:r w:rsidR="002057D3">
        <w:rPr>
          <w:rFonts w:ascii="Palatino Linotype" w:hAnsi="Palatino Linotype"/>
        </w:rPr>
        <w:t xml:space="preserve"> </w:t>
      </w:r>
      <w:r w:rsidR="00ED283A">
        <w:rPr>
          <w:rFonts w:ascii="Palatino Linotype" w:hAnsi="Palatino Linotype"/>
        </w:rPr>
        <w:t xml:space="preserve">243 CMR 3.01.  </w:t>
      </w:r>
      <w:r w:rsidR="001474B6">
        <w:rPr>
          <w:rFonts w:ascii="Palatino Linotype" w:hAnsi="Palatino Linotype"/>
        </w:rPr>
        <w:t>I</w:t>
      </w:r>
      <w:r w:rsidR="00ED283A">
        <w:rPr>
          <w:rFonts w:ascii="Palatino Linotype" w:hAnsi="Palatino Linotype"/>
        </w:rPr>
        <w:t>n this spirit, i</w:t>
      </w:r>
      <w:r w:rsidR="001474B6">
        <w:rPr>
          <w:rFonts w:ascii="Palatino Linotype" w:hAnsi="Palatino Linotype"/>
        </w:rPr>
        <w:t>t is crit</w:t>
      </w:r>
      <w:r w:rsidR="00ED283A">
        <w:rPr>
          <w:rFonts w:ascii="Palatino Linotype" w:hAnsi="Palatino Linotype"/>
        </w:rPr>
        <w:t xml:space="preserve">ical that hospitals have the ability to </w:t>
      </w:r>
      <w:r w:rsidR="002057D3">
        <w:rPr>
          <w:rFonts w:ascii="Palatino Linotype" w:hAnsi="Palatino Linotype"/>
        </w:rPr>
        <w:t xml:space="preserve">implement </w:t>
      </w:r>
      <w:r w:rsidR="00ED283A">
        <w:rPr>
          <w:rFonts w:ascii="Palatino Linotype" w:hAnsi="Palatino Linotype"/>
        </w:rPr>
        <w:t xml:space="preserve">measures to </w:t>
      </w:r>
      <w:r w:rsidR="002057D3">
        <w:rPr>
          <w:rFonts w:ascii="Palatino Linotype" w:hAnsi="Palatino Linotype"/>
        </w:rPr>
        <w:t>improve</w:t>
      </w:r>
      <w:r w:rsidR="00ED283A">
        <w:rPr>
          <w:rFonts w:ascii="Palatino Linotype" w:hAnsi="Palatino Linotype"/>
        </w:rPr>
        <w:t xml:space="preserve"> physician performance</w:t>
      </w:r>
      <w:r w:rsidR="00EF7909">
        <w:rPr>
          <w:rFonts w:ascii="Palatino Linotype" w:hAnsi="Palatino Linotype"/>
        </w:rPr>
        <w:t xml:space="preserve"> without stigma</w:t>
      </w:r>
      <w:r w:rsidR="001474B6">
        <w:rPr>
          <w:rFonts w:ascii="Palatino Linotype" w:hAnsi="Palatino Linotype"/>
        </w:rPr>
        <w:t>.</w:t>
      </w:r>
      <w:r w:rsidR="002057D3">
        <w:rPr>
          <w:rFonts w:ascii="Palatino Linotype" w:hAnsi="Palatino Linotype"/>
        </w:rPr>
        <w:t xml:space="preserve">  Remediation, by its very nature, is intended to be constructive and not punitive. </w:t>
      </w:r>
      <w:r>
        <w:rPr>
          <w:rFonts w:ascii="Palatino Linotype" w:hAnsi="Palatino Linotype"/>
        </w:rPr>
        <w:t xml:space="preserve"> If the definition of “Disciplinary Action” were revised as proposed, virtually any efforts by a hospital to improve a physician’s performance could be deemed reportable, which </w:t>
      </w:r>
      <w:r w:rsidR="006644C7">
        <w:rPr>
          <w:rFonts w:ascii="Palatino Linotype" w:hAnsi="Palatino Linotype"/>
        </w:rPr>
        <w:t xml:space="preserve">well could </w:t>
      </w:r>
      <w:r>
        <w:rPr>
          <w:rFonts w:ascii="Palatino Linotype" w:hAnsi="Palatino Linotype"/>
        </w:rPr>
        <w:t>discourage efforts to improve physician performance.  Such an outcome would not serve patients or physicians, and is not in keeping with the stated goals of 243 CMR 3.00.</w:t>
      </w:r>
      <w:r w:rsidR="002057D3">
        <w:rPr>
          <w:rFonts w:ascii="Palatino Linotype" w:hAnsi="Palatino Linotype"/>
        </w:rPr>
        <w:t xml:space="preserve"> </w:t>
      </w:r>
      <w:r w:rsidR="001474B6">
        <w:rPr>
          <w:rFonts w:ascii="Palatino Linotype" w:hAnsi="Palatino Linotype"/>
        </w:rPr>
        <w:t xml:space="preserve">    </w:t>
      </w:r>
    </w:p>
    <w:p w:rsidR="001474B6" w:rsidRDefault="001474B6" w:rsidP="00776884">
      <w:pPr>
        <w:spacing w:after="0" w:line="240" w:lineRule="auto"/>
        <w:rPr>
          <w:rFonts w:ascii="Palatino Linotype" w:hAnsi="Palatino Linotype"/>
        </w:rPr>
      </w:pPr>
    </w:p>
    <w:p w:rsidR="00A60DA5" w:rsidRDefault="001474B6" w:rsidP="001C34D1">
      <w:pPr>
        <w:spacing w:after="0" w:line="240" w:lineRule="auto"/>
        <w:ind w:firstLine="720"/>
        <w:rPr>
          <w:rFonts w:ascii="Palatino Linotype" w:hAnsi="Palatino Linotype"/>
        </w:rPr>
      </w:pPr>
      <w:r>
        <w:rPr>
          <w:rFonts w:ascii="Palatino Linotype" w:hAnsi="Palatino Linotype"/>
        </w:rPr>
        <w:t xml:space="preserve">The proposed expansion of the definition of “Disciplinary Action” is particularly concerning as it relates to physicians enrolled in graduate medical education programs. </w:t>
      </w:r>
      <w:r w:rsidR="008027FD">
        <w:rPr>
          <w:rFonts w:ascii="Palatino Linotype" w:hAnsi="Palatino Linotype"/>
        </w:rPr>
        <w:t xml:space="preserve"> Residents and fellows</w:t>
      </w:r>
      <w:r w:rsidR="009A7366">
        <w:rPr>
          <w:rFonts w:ascii="Palatino Linotype" w:hAnsi="Palatino Linotype"/>
        </w:rPr>
        <w:t xml:space="preserve">, still in training </w:t>
      </w:r>
      <w:r w:rsidR="001C34D1">
        <w:rPr>
          <w:rFonts w:ascii="Palatino Linotype" w:hAnsi="Palatino Linotype"/>
        </w:rPr>
        <w:t xml:space="preserve">and </w:t>
      </w:r>
      <w:r w:rsidR="009A7366">
        <w:rPr>
          <w:rFonts w:ascii="Palatino Linotype" w:hAnsi="Palatino Linotype"/>
        </w:rPr>
        <w:t xml:space="preserve">at the </w:t>
      </w:r>
      <w:r w:rsidR="00A60DA5">
        <w:rPr>
          <w:rFonts w:ascii="Palatino Linotype" w:hAnsi="Palatino Linotype"/>
        </w:rPr>
        <w:t>beginning of their careers, should be encouraged to come forward when they need help, and attending physicians who supervise them should be encouraged to identify areas for improvement.  Early and frequent intervention, including constructive feedback and varying degrees of remediation</w:t>
      </w:r>
      <w:r w:rsidR="00C14239">
        <w:rPr>
          <w:rFonts w:ascii="Palatino Linotype" w:hAnsi="Palatino Linotype"/>
        </w:rPr>
        <w:t>,</w:t>
      </w:r>
      <w:r w:rsidR="00A60DA5">
        <w:rPr>
          <w:rFonts w:ascii="Palatino Linotype" w:hAnsi="Palatino Linotype"/>
        </w:rPr>
        <w:t xml:space="preserve"> are at the heart of </w:t>
      </w:r>
      <w:r w:rsidR="00C14239">
        <w:rPr>
          <w:rFonts w:ascii="Palatino Linotype" w:hAnsi="Palatino Linotype"/>
        </w:rPr>
        <w:t>residency and fellowship training</w:t>
      </w:r>
      <w:r w:rsidR="00A60DA5">
        <w:rPr>
          <w:rFonts w:ascii="Palatino Linotype" w:hAnsi="Palatino Linotype"/>
        </w:rPr>
        <w:t xml:space="preserve"> programs.  Residents </w:t>
      </w:r>
      <w:r w:rsidR="00C14239">
        <w:rPr>
          <w:rFonts w:ascii="Palatino Linotype" w:hAnsi="Palatino Linotype"/>
        </w:rPr>
        <w:t xml:space="preserve">and fellows </w:t>
      </w:r>
      <w:r w:rsidR="00A60DA5">
        <w:rPr>
          <w:rFonts w:ascii="Palatino Linotype" w:hAnsi="Palatino Linotype"/>
        </w:rPr>
        <w:t>who encounter difficulties in their training should be encouraged and supported in their efforts to improve their performance, without fear that such efforts might be r</w:t>
      </w:r>
      <w:r w:rsidR="00C14239">
        <w:rPr>
          <w:rFonts w:ascii="Palatino Linotype" w:hAnsi="Palatino Linotype"/>
        </w:rPr>
        <w:t>eportable to the Board as disciplinary action</w:t>
      </w:r>
      <w:r w:rsidR="00A60DA5">
        <w:rPr>
          <w:rFonts w:ascii="Palatino Linotype" w:hAnsi="Palatino Linotype"/>
        </w:rPr>
        <w:t xml:space="preserve">.  </w:t>
      </w:r>
      <w:r w:rsidR="00ED59F4">
        <w:rPr>
          <w:rFonts w:ascii="Palatino Linotype" w:hAnsi="Palatino Linotype"/>
        </w:rPr>
        <w:t xml:space="preserve">In the educational environment of a residency training program, remediation frequently results from an isolated </w:t>
      </w:r>
      <w:r w:rsidR="006644C7">
        <w:rPr>
          <w:rFonts w:ascii="Palatino Linotype" w:hAnsi="Palatino Linotype"/>
        </w:rPr>
        <w:t xml:space="preserve">low </w:t>
      </w:r>
      <w:r w:rsidR="00ED59F4">
        <w:rPr>
          <w:rFonts w:ascii="Palatino Linotype" w:hAnsi="Palatino Linotype"/>
        </w:rPr>
        <w:t>score on an in-service examination.  Remediation is vital to ensuring that residents stay on track in their professional development and should be encouraged.  Such a routine aspect of professional training is not viewed as disciplinary action by institutions, and it should not be reportable to the Board as such.</w:t>
      </w:r>
    </w:p>
    <w:p w:rsidR="00A60DA5" w:rsidRDefault="00A60DA5" w:rsidP="00776884">
      <w:pPr>
        <w:spacing w:after="0" w:line="240" w:lineRule="auto"/>
        <w:rPr>
          <w:rFonts w:ascii="Palatino Linotype" w:hAnsi="Palatino Linotype"/>
        </w:rPr>
      </w:pPr>
    </w:p>
    <w:p w:rsidR="001474B6" w:rsidRDefault="00A60DA5" w:rsidP="00C14239">
      <w:pPr>
        <w:spacing w:after="0" w:line="240" w:lineRule="auto"/>
        <w:ind w:firstLine="720"/>
        <w:rPr>
          <w:rFonts w:ascii="Palatino Linotype" w:hAnsi="Palatino Linotype"/>
        </w:rPr>
      </w:pPr>
      <w:r>
        <w:rPr>
          <w:rFonts w:ascii="Palatino Linotype" w:hAnsi="Palatino Linotype"/>
        </w:rPr>
        <w:t xml:space="preserve">Apart from the potential adverse consequences for physician performance, the proposed expansion of the definition of “Disciplinary Action” is not necessary.  The practice and performance of residents and fellows is closely supervised by fully licensed physicians, by clinical competency committees within </w:t>
      </w:r>
      <w:r w:rsidR="006644C7">
        <w:rPr>
          <w:rFonts w:ascii="Palatino Linotype" w:hAnsi="Palatino Linotype"/>
        </w:rPr>
        <w:t xml:space="preserve">each </w:t>
      </w:r>
      <w:r>
        <w:rPr>
          <w:rFonts w:ascii="Palatino Linotype" w:hAnsi="Palatino Linotype"/>
        </w:rPr>
        <w:t>prog</w:t>
      </w:r>
      <w:r w:rsidR="002A6CF7">
        <w:rPr>
          <w:rFonts w:ascii="Palatino Linotype" w:hAnsi="Palatino Linotype"/>
        </w:rPr>
        <w:t xml:space="preserve">ram, and ultimately by </w:t>
      </w:r>
      <w:r>
        <w:rPr>
          <w:rFonts w:ascii="Palatino Linotype" w:hAnsi="Palatino Linotype"/>
        </w:rPr>
        <w:t>specialty boards</w:t>
      </w:r>
      <w:r w:rsidR="002A6CF7">
        <w:rPr>
          <w:rFonts w:ascii="Palatino Linotype" w:hAnsi="Palatino Linotype"/>
        </w:rPr>
        <w:t xml:space="preserve"> and the ACGME (including reports every 6 months concerning the progress of trainees in each program)</w:t>
      </w:r>
      <w:r>
        <w:rPr>
          <w:rFonts w:ascii="Palatino Linotype" w:hAnsi="Palatino Linotype"/>
        </w:rPr>
        <w:t>.  In addition,</w:t>
      </w:r>
      <w:r w:rsidR="00C14239">
        <w:rPr>
          <w:rFonts w:ascii="Palatino Linotype" w:hAnsi="Palatino Linotype"/>
        </w:rPr>
        <w:t xml:space="preserve"> the Board</w:t>
      </w:r>
      <w:r w:rsidR="002A6CF7">
        <w:rPr>
          <w:rFonts w:ascii="Palatino Linotype" w:hAnsi="Palatino Linotype"/>
        </w:rPr>
        <w:t xml:space="preserve"> already has a vehicle for identifying and monitoring residents and fellows </w:t>
      </w:r>
      <w:r w:rsidR="006644C7">
        <w:rPr>
          <w:rFonts w:ascii="Palatino Linotype" w:hAnsi="Palatino Linotype"/>
        </w:rPr>
        <w:t xml:space="preserve">who are </w:t>
      </w:r>
      <w:r w:rsidR="002A6CF7">
        <w:rPr>
          <w:rFonts w:ascii="Palatino Linotype" w:hAnsi="Palatino Linotype"/>
        </w:rPr>
        <w:t>engaged in remediation.  The renewal application for limited licensees specifically asks whether the physician’s training</w:t>
      </w:r>
      <w:r>
        <w:rPr>
          <w:rFonts w:ascii="Palatino Linotype" w:hAnsi="Palatino Linotype"/>
        </w:rPr>
        <w:t xml:space="preserve"> </w:t>
      </w:r>
      <w:r w:rsidR="002A6CF7">
        <w:rPr>
          <w:rFonts w:ascii="Palatino Linotype" w:hAnsi="Palatino Linotype"/>
        </w:rPr>
        <w:t xml:space="preserve">has been extended for any period of time, and if the answer is yes, the Board follows up with requests for specific information from the Program Director and the resident or fellow.  The Licensing Division of the Board, rather than </w:t>
      </w:r>
      <w:r w:rsidR="002A6CF7">
        <w:rPr>
          <w:rFonts w:ascii="Palatino Linotype" w:hAnsi="Palatino Linotype"/>
        </w:rPr>
        <w:lastRenderedPageBreak/>
        <w:t>the Enforcement Division, is the appropriate vehicle for identifying and addressing issues regarding residents and fellows engaged in remediation.</w:t>
      </w:r>
      <w:r w:rsidR="002A6CF7">
        <w:rPr>
          <w:rStyle w:val="FootnoteReference"/>
          <w:rFonts w:ascii="Palatino Linotype" w:hAnsi="Palatino Linotype"/>
        </w:rPr>
        <w:footnoteReference w:id="1"/>
      </w:r>
      <w:r w:rsidR="002A6CF7">
        <w:rPr>
          <w:rFonts w:ascii="Palatino Linotype" w:hAnsi="Palatino Linotype"/>
        </w:rPr>
        <w:t xml:space="preserve"> </w:t>
      </w:r>
      <w:r>
        <w:rPr>
          <w:rFonts w:ascii="Palatino Linotype" w:hAnsi="Palatino Linotype"/>
        </w:rPr>
        <w:t xml:space="preserve"> </w:t>
      </w:r>
    </w:p>
    <w:p w:rsidR="001474B6" w:rsidRDefault="001474B6" w:rsidP="00776884">
      <w:pPr>
        <w:spacing w:after="0" w:line="240" w:lineRule="auto"/>
        <w:rPr>
          <w:rFonts w:ascii="Palatino Linotype" w:hAnsi="Palatino Linotype"/>
        </w:rPr>
      </w:pPr>
    </w:p>
    <w:p w:rsidR="003864E2" w:rsidRDefault="000B2C5F" w:rsidP="00776884">
      <w:pPr>
        <w:spacing w:after="0" w:line="240" w:lineRule="auto"/>
        <w:rPr>
          <w:rFonts w:ascii="Palatino Linotype" w:hAnsi="Palatino Linotype"/>
        </w:rPr>
      </w:pPr>
      <w:r>
        <w:rPr>
          <w:rFonts w:ascii="Palatino Linotype" w:hAnsi="Palatino Linotype"/>
        </w:rPr>
        <w:tab/>
        <w:t>Further, t</w:t>
      </w:r>
      <w:r w:rsidR="003864E2">
        <w:rPr>
          <w:rFonts w:ascii="Palatino Linotype" w:hAnsi="Palatino Linotype"/>
        </w:rPr>
        <w:t>he Board does not need to receive reports of remediation or academic probation in order to serve its mission of protecting the public.  If a course of remediation or period of academic probation does not succeed to improve a physician’s performance, additional action would be taken concerning the physician – including, for example, termination or non-renewal of a graduate medical education contract with a resident or fellow or the restriction or termination of a physician’s medical staff membership or clinical privileges – which would be reportable to the Board under its current regulations.  For all of the reasons stated, we ask that the Board remove “Remediation” and “Probation, including academic probation” from the definition of “Disciplinary Action” in the proposed amendments.</w:t>
      </w:r>
    </w:p>
    <w:p w:rsidR="003864E2" w:rsidRPr="00776884" w:rsidRDefault="003864E2" w:rsidP="00776884">
      <w:pPr>
        <w:spacing w:after="0" w:line="240" w:lineRule="auto"/>
        <w:rPr>
          <w:rFonts w:ascii="Palatino Linotype" w:hAnsi="Palatino Linotype"/>
        </w:rPr>
      </w:pPr>
    </w:p>
    <w:p w:rsidR="00012E8F" w:rsidRDefault="00012E8F" w:rsidP="00012E8F">
      <w:pPr>
        <w:spacing w:after="0" w:line="240" w:lineRule="auto"/>
        <w:ind w:firstLine="720"/>
        <w:rPr>
          <w:rFonts w:ascii="Palatino Linotype" w:hAnsi="Palatino Linotype"/>
          <w:b/>
          <w:i/>
        </w:rPr>
      </w:pPr>
      <w:r>
        <w:rPr>
          <w:rFonts w:ascii="Palatino Linotype" w:hAnsi="Palatino Linotype"/>
          <w:b/>
          <w:i/>
        </w:rPr>
        <w:t>Section 1.03 (5) (Grounds for Complaint):</w:t>
      </w:r>
    </w:p>
    <w:p w:rsidR="00012E8F" w:rsidRDefault="00012E8F" w:rsidP="00012E8F">
      <w:pPr>
        <w:spacing w:after="0" w:line="240" w:lineRule="auto"/>
        <w:rPr>
          <w:rFonts w:ascii="Palatino Linotype" w:hAnsi="Palatino Linotype"/>
          <w:b/>
          <w:i/>
        </w:rPr>
      </w:pPr>
    </w:p>
    <w:p w:rsidR="00611B5D" w:rsidRDefault="00012E8F" w:rsidP="00012E8F">
      <w:pPr>
        <w:spacing w:after="0" w:line="240" w:lineRule="auto"/>
        <w:rPr>
          <w:rFonts w:ascii="Palatino Linotype" w:hAnsi="Palatino Linotype"/>
        </w:rPr>
      </w:pPr>
      <w:r>
        <w:rPr>
          <w:rFonts w:ascii="Palatino Linotype" w:hAnsi="Palatino Linotype"/>
        </w:rPr>
        <w:tab/>
        <w:t>The addition of “conduct which is in violation of the ethical standards of the profession” to the grounds for complaint is problematic</w:t>
      </w:r>
      <w:r w:rsidR="0076462C">
        <w:rPr>
          <w:rFonts w:ascii="Palatino Linotype" w:hAnsi="Palatino Linotype"/>
        </w:rPr>
        <w:t xml:space="preserve"> in that</w:t>
      </w:r>
      <w:r>
        <w:rPr>
          <w:rFonts w:ascii="Palatino Linotype" w:hAnsi="Palatino Linotype"/>
        </w:rPr>
        <w:t xml:space="preserve"> the term is vague</w:t>
      </w:r>
      <w:r w:rsidR="0076462C">
        <w:rPr>
          <w:rFonts w:ascii="Palatino Linotype" w:hAnsi="Palatino Linotype"/>
        </w:rPr>
        <w:t xml:space="preserve"> and</w:t>
      </w:r>
      <w:r>
        <w:rPr>
          <w:rFonts w:ascii="Palatino Linotype" w:hAnsi="Palatino Linotype"/>
        </w:rPr>
        <w:t xml:space="preserve"> contains no parameters.  Changing the grounds from “gross negligence on repeated occasions” to simply “negligence” conflicts with the enabling statute, MGL c. 112, § 5, which mirrors the language proposed to be removed from the current regulations.  Removing all qualifiers on “negligence” means that one instance of negligence could result in discipline, which goes beyond the plain language and apparent intent of the statute.  </w:t>
      </w:r>
    </w:p>
    <w:p w:rsidR="00012E8F" w:rsidRDefault="00012E8F" w:rsidP="00012E8F">
      <w:pPr>
        <w:spacing w:after="0" w:line="240" w:lineRule="auto"/>
        <w:rPr>
          <w:rFonts w:ascii="Palatino Linotype" w:hAnsi="Palatino Linotype"/>
        </w:rPr>
      </w:pPr>
    </w:p>
    <w:p w:rsidR="00012E8F" w:rsidRDefault="00012E8F" w:rsidP="00012E8F">
      <w:pPr>
        <w:spacing w:after="0" w:line="240" w:lineRule="auto"/>
        <w:rPr>
          <w:rFonts w:ascii="Palatino Linotype" w:hAnsi="Palatino Linotype"/>
        </w:rPr>
      </w:pPr>
      <w:r>
        <w:rPr>
          <w:rFonts w:ascii="Palatino Linotype" w:hAnsi="Palatino Linotype"/>
          <w:b/>
          <w:i/>
          <w:u w:val="single"/>
        </w:rPr>
        <w:t>243 CMR 3.00 – Patient Care Assessment Programs</w:t>
      </w:r>
    </w:p>
    <w:p w:rsidR="00012E8F" w:rsidRDefault="00012E8F" w:rsidP="00012E8F">
      <w:pPr>
        <w:spacing w:after="0" w:line="240" w:lineRule="auto"/>
        <w:rPr>
          <w:rFonts w:ascii="Palatino Linotype" w:hAnsi="Palatino Linotype"/>
        </w:rPr>
      </w:pPr>
    </w:p>
    <w:p w:rsidR="00012E8F" w:rsidRDefault="00012E8F" w:rsidP="00012E8F">
      <w:pPr>
        <w:spacing w:after="0" w:line="240" w:lineRule="auto"/>
        <w:rPr>
          <w:rFonts w:ascii="Palatino Linotype" w:hAnsi="Palatino Linotype"/>
          <w:b/>
          <w:i/>
        </w:rPr>
      </w:pPr>
      <w:r>
        <w:rPr>
          <w:rFonts w:ascii="Palatino Linotype" w:hAnsi="Palatino Linotype"/>
        </w:rPr>
        <w:tab/>
      </w:r>
      <w:r>
        <w:rPr>
          <w:rFonts w:ascii="Palatino Linotype" w:hAnsi="Palatino Linotype"/>
          <w:b/>
          <w:i/>
        </w:rPr>
        <w:t>Section 3.05 (Credentialing):</w:t>
      </w:r>
    </w:p>
    <w:p w:rsidR="00012E8F" w:rsidRDefault="00012E8F" w:rsidP="00012E8F">
      <w:pPr>
        <w:spacing w:after="0" w:line="240" w:lineRule="auto"/>
        <w:rPr>
          <w:rFonts w:ascii="Palatino Linotype" w:hAnsi="Palatino Linotype"/>
          <w:b/>
          <w:i/>
        </w:rPr>
      </w:pPr>
    </w:p>
    <w:p w:rsidR="00012E8F" w:rsidRDefault="00012E8F" w:rsidP="00012E8F">
      <w:pPr>
        <w:spacing w:after="0" w:line="240" w:lineRule="auto"/>
        <w:rPr>
          <w:rFonts w:ascii="Palatino Linotype" w:hAnsi="Palatino Linotype"/>
        </w:rPr>
      </w:pPr>
      <w:r>
        <w:rPr>
          <w:rFonts w:ascii="Palatino Linotype" w:hAnsi="Palatino Linotype"/>
        </w:rPr>
        <w:tab/>
        <w:t>The proposal in Sections (3)(c) and (</w:t>
      </w:r>
      <w:r w:rsidR="004570B6">
        <w:rPr>
          <w:rFonts w:ascii="Palatino Linotype" w:hAnsi="Palatino Linotype"/>
        </w:rPr>
        <w:t>i</w:t>
      </w:r>
      <w:r>
        <w:rPr>
          <w:rFonts w:ascii="Palatino Linotype" w:hAnsi="Palatino Linotype"/>
        </w:rPr>
        <w:t>) to remove the references to “the previous ten years” will result in significant additional burden on health care facilities, without corresponding benefit.  The ten-year qualifier regarding health care facilities with which the licensee previously</w:t>
      </w:r>
      <w:r w:rsidR="00AA3C36">
        <w:rPr>
          <w:rFonts w:ascii="Palatino Linotype" w:hAnsi="Palatino Linotype"/>
        </w:rPr>
        <w:t xml:space="preserve"> has</w:t>
      </w:r>
      <w:r>
        <w:rPr>
          <w:rFonts w:ascii="Palatino Linotype" w:hAnsi="Palatino Linotype"/>
        </w:rPr>
        <w:t xml:space="preserve"> been affiliated should be </w:t>
      </w:r>
      <w:r w:rsidR="004570B6">
        <w:rPr>
          <w:rFonts w:ascii="Palatino Linotype" w:hAnsi="Palatino Linotype"/>
        </w:rPr>
        <w:t>left in the regulation</w:t>
      </w:r>
      <w:r w:rsidR="00AA3C36">
        <w:rPr>
          <w:rFonts w:ascii="Palatino Linotype" w:hAnsi="Palatino Linotype"/>
        </w:rPr>
        <w:t xml:space="preserve">.  We note that a parallel </w:t>
      </w:r>
      <w:r w:rsidR="004570B6">
        <w:rPr>
          <w:rFonts w:ascii="Palatino Linotype" w:hAnsi="Palatino Linotype"/>
        </w:rPr>
        <w:t xml:space="preserve">requirement </w:t>
      </w:r>
      <w:r w:rsidR="00AA3C36">
        <w:rPr>
          <w:rFonts w:ascii="Palatino Linotype" w:hAnsi="Palatino Linotype"/>
        </w:rPr>
        <w:t xml:space="preserve">in Section (3)(e) </w:t>
      </w:r>
      <w:r w:rsidR="004570B6">
        <w:rPr>
          <w:rFonts w:ascii="Palatino Linotype" w:hAnsi="Palatino Linotype"/>
        </w:rPr>
        <w:t>concerning what carrie</w:t>
      </w:r>
      <w:r w:rsidR="00AA3C36">
        <w:rPr>
          <w:rFonts w:ascii="Palatino Linotype" w:hAnsi="Palatino Linotype"/>
        </w:rPr>
        <w:t xml:space="preserve">rs are to provide </w:t>
      </w:r>
      <w:r w:rsidR="006644C7">
        <w:rPr>
          <w:rFonts w:ascii="Palatino Linotype" w:hAnsi="Palatino Linotype"/>
        </w:rPr>
        <w:t xml:space="preserve">in the credentialing process </w:t>
      </w:r>
      <w:r w:rsidR="00AA3C36">
        <w:rPr>
          <w:rFonts w:ascii="Palatino Linotype" w:hAnsi="Palatino Linotype"/>
        </w:rPr>
        <w:t>was left undisturbed</w:t>
      </w:r>
      <w:r w:rsidR="004570B6">
        <w:rPr>
          <w:rFonts w:ascii="Palatino Linotype" w:hAnsi="Palatino Linotype"/>
        </w:rPr>
        <w:t xml:space="preserve">.  </w:t>
      </w:r>
      <w:r>
        <w:rPr>
          <w:rFonts w:ascii="Palatino Linotype" w:hAnsi="Palatino Linotype"/>
        </w:rPr>
        <w:t xml:space="preserve"> </w:t>
      </w:r>
    </w:p>
    <w:p w:rsidR="004570B6" w:rsidRDefault="004570B6" w:rsidP="00012E8F">
      <w:pPr>
        <w:spacing w:after="0" w:line="240" w:lineRule="auto"/>
        <w:rPr>
          <w:rFonts w:ascii="Palatino Linotype" w:hAnsi="Palatino Linotype"/>
        </w:rPr>
      </w:pPr>
    </w:p>
    <w:p w:rsidR="004570B6" w:rsidRDefault="004570B6" w:rsidP="00012E8F">
      <w:pPr>
        <w:spacing w:after="0" w:line="240" w:lineRule="auto"/>
        <w:rPr>
          <w:rFonts w:ascii="Palatino Linotype" w:hAnsi="Palatino Linotype"/>
        </w:rPr>
      </w:pPr>
      <w:r>
        <w:rPr>
          <w:rFonts w:ascii="Palatino Linotype" w:hAnsi="Palatino Linotype"/>
        </w:rPr>
        <w:tab/>
      </w:r>
      <w:r w:rsidRPr="004570B6">
        <w:rPr>
          <w:rFonts w:ascii="Palatino Linotype" w:hAnsi="Palatino Linotype"/>
          <w:b/>
          <w:i/>
        </w:rPr>
        <w:t>Section 3.10 (Informed Consent):</w:t>
      </w:r>
    </w:p>
    <w:p w:rsidR="004570B6" w:rsidRDefault="004570B6" w:rsidP="00012E8F">
      <w:pPr>
        <w:spacing w:after="0" w:line="240" w:lineRule="auto"/>
        <w:rPr>
          <w:rFonts w:ascii="Palatino Linotype" w:hAnsi="Palatino Linotype"/>
        </w:rPr>
      </w:pPr>
    </w:p>
    <w:p w:rsidR="006C6F05" w:rsidRDefault="004570B6" w:rsidP="00012E8F">
      <w:pPr>
        <w:spacing w:after="0" w:line="240" w:lineRule="auto"/>
        <w:rPr>
          <w:rFonts w:ascii="Palatino Linotype" w:hAnsi="Palatino Linotype"/>
        </w:rPr>
      </w:pPr>
      <w:r>
        <w:rPr>
          <w:rFonts w:ascii="Palatino Linotype" w:hAnsi="Palatino Linotype"/>
        </w:rPr>
        <w:tab/>
        <w:t xml:space="preserve">The proposed amendments to this section raise significant concerns.  The removal of the word “major” in Section (1) before “diagnostic, therapeutic, or invasive procedures” is problematic in that it </w:t>
      </w:r>
      <w:r w:rsidR="00685DF2">
        <w:rPr>
          <w:rFonts w:ascii="Palatino Linotype" w:hAnsi="Palatino Linotype"/>
        </w:rPr>
        <w:t>appears to drastically expand</w:t>
      </w:r>
      <w:r>
        <w:rPr>
          <w:rFonts w:ascii="Palatino Linotype" w:hAnsi="Palatino Linotype"/>
        </w:rPr>
        <w:t xml:space="preserve"> the scope of events requiring consent and</w:t>
      </w:r>
      <w:r w:rsidR="00685DF2">
        <w:rPr>
          <w:rFonts w:ascii="Palatino Linotype" w:hAnsi="Palatino Linotype"/>
        </w:rPr>
        <w:t xml:space="preserve">, at a minimum, </w:t>
      </w:r>
      <w:r>
        <w:rPr>
          <w:rFonts w:ascii="Palatino Linotype" w:hAnsi="Palatino Linotype"/>
        </w:rPr>
        <w:t xml:space="preserve">creates uncertainty as to the scope of the informed consent requirement.  The </w:t>
      </w:r>
      <w:r w:rsidR="00EF7909">
        <w:rPr>
          <w:rFonts w:ascii="Palatino Linotype" w:hAnsi="Palatino Linotype"/>
        </w:rPr>
        <w:t xml:space="preserve">numerous </w:t>
      </w:r>
      <w:r>
        <w:rPr>
          <w:rFonts w:ascii="Palatino Linotype" w:hAnsi="Palatino Linotype"/>
        </w:rPr>
        <w:t>additional requirements imposed by the proposed amendments</w:t>
      </w:r>
      <w:r w:rsidR="00EF7909">
        <w:rPr>
          <w:rFonts w:ascii="Palatino Linotype" w:hAnsi="Palatino Linotype"/>
        </w:rPr>
        <w:t xml:space="preserve"> would add to the burdens on members of the health care team and will negatively impact efficiencies, education, and team care without corresponding benefits.  </w:t>
      </w:r>
      <w:r w:rsidR="00685DF2">
        <w:rPr>
          <w:rFonts w:ascii="Palatino Linotype" w:hAnsi="Palatino Linotype"/>
        </w:rPr>
        <w:t>Overall, given that this section of the proposed amendments raises a number of significant concerns, we support MHA’s request that the Board remove this section in its entirety and form a representative stakeholder group to develop meaningful and appropriate informed consent requirements.</w:t>
      </w:r>
      <w:r w:rsidR="006C6F05">
        <w:rPr>
          <w:rFonts w:ascii="Palatino Linotype" w:hAnsi="Palatino Linotype"/>
        </w:rPr>
        <w:tab/>
      </w:r>
    </w:p>
    <w:p w:rsidR="006C6F05" w:rsidRDefault="006C6F05" w:rsidP="00012E8F">
      <w:pPr>
        <w:spacing w:after="0" w:line="240" w:lineRule="auto"/>
        <w:rPr>
          <w:rFonts w:ascii="Palatino Linotype" w:hAnsi="Palatino Linotype"/>
        </w:rPr>
      </w:pPr>
    </w:p>
    <w:p w:rsidR="00685DF2" w:rsidRPr="004570B6" w:rsidRDefault="006C6F05" w:rsidP="006C6F05">
      <w:pPr>
        <w:spacing w:after="0" w:line="240" w:lineRule="auto"/>
        <w:ind w:firstLine="720"/>
        <w:rPr>
          <w:rFonts w:ascii="Palatino Linotype" w:hAnsi="Palatino Linotype"/>
        </w:rPr>
      </w:pPr>
      <w:r>
        <w:rPr>
          <w:rFonts w:ascii="Palatino Linotype" w:hAnsi="Palatino Linotype"/>
        </w:rPr>
        <w:t>We appreciate this opportunity to provide these comments and would welcome the opportunity to work with the Board to further develop the proposed regulations.</w:t>
      </w:r>
    </w:p>
    <w:p w:rsidR="002A6CF7" w:rsidRDefault="0016040E" w:rsidP="0016040E">
      <w:pPr>
        <w:spacing w:after="0" w:line="240" w:lineRule="auto"/>
        <w:ind w:left="360" w:firstLine="36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p>
    <w:p w:rsidR="002A6CF7" w:rsidRDefault="002A6CF7" w:rsidP="0016040E">
      <w:pPr>
        <w:spacing w:after="0" w:line="240" w:lineRule="auto"/>
        <w:ind w:left="360" w:firstLine="360"/>
        <w:rPr>
          <w:rFonts w:ascii="Palatino Linotype" w:hAnsi="Palatino Linotype"/>
        </w:rPr>
      </w:pPr>
    </w:p>
    <w:p w:rsidR="0016040E" w:rsidRDefault="0016040E" w:rsidP="002A6CF7">
      <w:pPr>
        <w:spacing w:after="0" w:line="240" w:lineRule="auto"/>
        <w:ind w:left="3240" w:firstLine="360"/>
        <w:rPr>
          <w:rFonts w:ascii="Palatino Linotype" w:hAnsi="Palatino Linotype"/>
        </w:rPr>
      </w:pPr>
      <w:r>
        <w:rPr>
          <w:rFonts w:ascii="Palatino Linotype" w:hAnsi="Palatino Linotype"/>
        </w:rPr>
        <w:t>Very truly yours,</w:t>
      </w:r>
    </w:p>
    <w:p w:rsidR="0016040E" w:rsidRDefault="0016040E" w:rsidP="0016040E">
      <w:pPr>
        <w:spacing w:after="0" w:line="240" w:lineRule="auto"/>
        <w:ind w:left="360" w:firstLine="360"/>
        <w:rPr>
          <w:rFonts w:ascii="Palatino Linotype" w:hAnsi="Palatino Linotype"/>
        </w:rPr>
      </w:pPr>
    </w:p>
    <w:p w:rsidR="0016040E" w:rsidRDefault="00D63A69" w:rsidP="0016040E">
      <w:pPr>
        <w:spacing w:after="0" w:line="240" w:lineRule="auto"/>
        <w:ind w:left="360" w:firstLine="36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/s/</w:t>
      </w:r>
    </w:p>
    <w:p w:rsidR="0016040E" w:rsidRDefault="0016040E" w:rsidP="0016040E">
      <w:pPr>
        <w:spacing w:after="0" w:line="240" w:lineRule="auto"/>
        <w:ind w:left="360" w:firstLine="360"/>
        <w:rPr>
          <w:rFonts w:ascii="Palatino Linotype" w:hAnsi="Palatino Linotype"/>
        </w:rPr>
      </w:pPr>
    </w:p>
    <w:p w:rsidR="0016040E" w:rsidRDefault="0016040E" w:rsidP="0016040E">
      <w:pPr>
        <w:spacing w:after="0" w:line="240" w:lineRule="auto"/>
        <w:ind w:left="360" w:firstLine="36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Vanessa L. Smith</w:t>
      </w:r>
    </w:p>
    <w:p w:rsidR="0016040E" w:rsidRDefault="0016040E" w:rsidP="0016040E">
      <w:pPr>
        <w:spacing w:after="0" w:line="240" w:lineRule="auto"/>
        <w:ind w:left="360" w:firstLine="360"/>
        <w:rPr>
          <w:rFonts w:ascii="Palatino Linotype" w:hAnsi="Palatino Linotype"/>
        </w:rPr>
      </w:pP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t>Associate General Counsel</w:t>
      </w:r>
    </w:p>
    <w:p w:rsidR="0016040E" w:rsidRDefault="0016040E" w:rsidP="0016040E">
      <w:pPr>
        <w:spacing w:after="0" w:line="240" w:lineRule="auto"/>
        <w:rPr>
          <w:rFonts w:ascii="Palatino Linotype" w:hAnsi="Palatino Linotype"/>
        </w:rPr>
      </w:pPr>
    </w:p>
    <w:p w:rsidR="0016040E" w:rsidRDefault="0016040E" w:rsidP="0016040E">
      <w:pPr>
        <w:spacing w:after="0" w:line="240" w:lineRule="auto"/>
        <w:rPr>
          <w:rFonts w:ascii="Palatino Linotype" w:hAnsi="Palatino Linotype"/>
        </w:rPr>
      </w:pPr>
    </w:p>
    <w:sectPr w:rsidR="0016040E" w:rsidSect="00C22767">
      <w:headerReference w:type="default" r:id="rId9"/>
      <w:footerReference w:type="default" r:id="rId10"/>
      <w:headerReference w:type="first" r:id="rId11"/>
      <w:footerReference w:type="first" r:id="rId12"/>
      <w:pgSz w:w="12240" w:h="15840"/>
      <w:pgMar w:top="1440" w:right="1440" w:bottom="1440" w:left="1440" w:header="576" w:footer="14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67" w:rsidRDefault="00C22767" w:rsidP="00C22767">
      <w:pPr>
        <w:spacing w:after="0" w:line="240" w:lineRule="auto"/>
      </w:pPr>
      <w:r>
        <w:separator/>
      </w:r>
    </w:p>
  </w:endnote>
  <w:endnote w:type="continuationSeparator" w:id="0">
    <w:p w:rsidR="00C22767" w:rsidRDefault="00C22767" w:rsidP="00C22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587571"/>
      <w:docPartObj>
        <w:docPartGallery w:val="Page Numbers (Bottom of Page)"/>
        <w:docPartUnique/>
      </w:docPartObj>
    </w:sdtPr>
    <w:sdtEndPr>
      <w:rPr>
        <w:rFonts w:ascii="Palatino Linotype" w:hAnsi="Palatino Linotype"/>
        <w:noProof/>
      </w:rPr>
    </w:sdtEndPr>
    <w:sdtContent>
      <w:p w:rsidR="00AA3C36" w:rsidRPr="00AA3C36" w:rsidRDefault="00AA3C36">
        <w:pPr>
          <w:pStyle w:val="Footer"/>
          <w:jc w:val="center"/>
          <w:rPr>
            <w:rFonts w:ascii="Palatino Linotype" w:hAnsi="Palatino Linotype"/>
          </w:rPr>
        </w:pPr>
        <w:r w:rsidRPr="00AA3C36">
          <w:rPr>
            <w:rFonts w:ascii="Palatino Linotype" w:hAnsi="Palatino Linotype"/>
          </w:rPr>
          <w:fldChar w:fldCharType="begin"/>
        </w:r>
        <w:r w:rsidRPr="00AA3C36">
          <w:rPr>
            <w:rFonts w:ascii="Palatino Linotype" w:hAnsi="Palatino Linotype"/>
          </w:rPr>
          <w:instrText xml:space="preserve"> PAGE   \* MERGEFORMAT </w:instrText>
        </w:r>
        <w:r w:rsidRPr="00AA3C36">
          <w:rPr>
            <w:rFonts w:ascii="Palatino Linotype" w:hAnsi="Palatino Linotype"/>
          </w:rPr>
          <w:fldChar w:fldCharType="separate"/>
        </w:r>
        <w:r w:rsidR="00420882">
          <w:rPr>
            <w:rFonts w:ascii="Palatino Linotype" w:hAnsi="Palatino Linotype"/>
            <w:noProof/>
          </w:rPr>
          <w:t>4</w:t>
        </w:r>
        <w:r w:rsidRPr="00AA3C36">
          <w:rPr>
            <w:rFonts w:ascii="Palatino Linotype" w:hAnsi="Palatino Linotype"/>
            <w:noProof/>
          </w:rPr>
          <w:fldChar w:fldCharType="end"/>
        </w:r>
      </w:p>
    </w:sdtContent>
  </w:sdt>
  <w:p w:rsidR="00AA3C36" w:rsidRDefault="00AA3C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67" w:rsidRPr="003621AA" w:rsidRDefault="00C22767" w:rsidP="00C22767">
    <w:pPr>
      <w:pStyle w:val="Footer"/>
      <w:pBdr>
        <w:top w:val="single" w:sz="4" w:space="1" w:color="auto"/>
      </w:pBdr>
      <w:jc w:val="center"/>
      <w:rPr>
        <w:sz w:val="20"/>
      </w:rPr>
    </w:pPr>
    <w:r>
      <w:rPr>
        <w:sz w:val="20"/>
      </w:rPr>
      <w:t>Law Department</w:t>
    </w:r>
    <w:r w:rsidRPr="003621AA">
      <w:rPr>
        <w:sz w:val="20"/>
      </w:rPr>
      <w:t xml:space="preserve">, 280 Chestnut Street, </w:t>
    </w:r>
    <w:r w:rsidR="006A13AF" w:rsidRPr="003621AA">
      <w:rPr>
        <w:sz w:val="20"/>
      </w:rPr>
      <w:t>6</w:t>
    </w:r>
    <w:r w:rsidR="006A13AF" w:rsidRPr="003621AA">
      <w:rPr>
        <w:sz w:val="20"/>
        <w:vertAlign w:val="superscript"/>
      </w:rPr>
      <w:t>th</w:t>
    </w:r>
    <w:r w:rsidR="006A13AF" w:rsidRPr="003621AA">
      <w:rPr>
        <w:sz w:val="20"/>
      </w:rPr>
      <w:t xml:space="preserve"> Floor </w:t>
    </w:r>
    <w:r w:rsidR="006A13AF">
      <w:rPr>
        <w:sz w:val="20"/>
      </w:rPr>
      <w:t>Springfield, MA  01199</w:t>
    </w:r>
  </w:p>
  <w:p w:rsidR="00C22767" w:rsidRPr="003621AA" w:rsidRDefault="00C22767" w:rsidP="00C22767">
    <w:pPr>
      <w:pStyle w:val="Footer"/>
      <w:pBdr>
        <w:top w:val="single" w:sz="4" w:space="1" w:color="auto"/>
      </w:pBdr>
      <w:jc w:val="center"/>
      <w:rPr>
        <w:sz w:val="20"/>
      </w:rPr>
    </w:pPr>
    <w:r w:rsidRPr="003621AA">
      <w:rPr>
        <w:sz w:val="20"/>
      </w:rPr>
      <w:t>Phone:  (413) 794-</w:t>
    </w:r>
    <w:r>
      <w:rPr>
        <w:sz w:val="20"/>
      </w:rPr>
      <w:t xml:space="preserve">7659 </w:t>
    </w:r>
    <w:r w:rsidRPr="003621AA">
      <w:rPr>
        <w:sz w:val="20"/>
      </w:rPr>
      <w:t xml:space="preserve"> </w:t>
    </w:r>
    <w:r>
      <w:rPr>
        <w:sz w:val="20"/>
      </w:rPr>
      <w:t xml:space="preserve">  </w:t>
    </w:r>
    <w:r w:rsidRPr="003621AA">
      <w:rPr>
        <w:sz w:val="20"/>
      </w:rPr>
      <w:t xml:space="preserve"> Fax:  (413) </w:t>
    </w:r>
    <w:r>
      <w:rPr>
        <w:sz w:val="20"/>
      </w:rPr>
      <w:t>787-5003</w:t>
    </w:r>
  </w:p>
  <w:p w:rsidR="00C22767" w:rsidRDefault="00C22767" w:rsidP="00C22767">
    <w:pPr>
      <w:pStyle w:val="Footer"/>
    </w:pPr>
  </w:p>
  <w:p w:rsidR="00C22767" w:rsidRDefault="00C22767">
    <w:pPr>
      <w:pStyle w:val="Footer"/>
    </w:pPr>
  </w:p>
  <w:p w:rsidR="00C22767" w:rsidRDefault="00C2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67" w:rsidRDefault="00C22767" w:rsidP="00C22767">
      <w:pPr>
        <w:spacing w:after="0" w:line="240" w:lineRule="auto"/>
      </w:pPr>
      <w:r>
        <w:separator/>
      </w:r>
    </w:p>
  </w:footnote>
  <w:footnote w:type="continuationSeparator" w:id="0">
    <w:p w:rsidR="00C22767" w:rsidRDefault="00C22767" w:rsidP="00C22767">
      <w:pPr>
        <w:spacing w:after="0" w:line="240" w:lineRule="auto"/>
      </w:pPr>
      <w:r>
        <w:continuationSeparator/>
      </w:r>
    </w:p>
  </w:footnote>
  <w:footnote w:id="1">
    <w:p w:rsidR="002A6CF7" w:rsidRDefault="002A6CF7" w:rsidP="002A6CF7">
      <w:pPr>
        <w:spacing w:after="0" w:line="240" w:lineRule="auto"/>
        <w:rPr>
          <w:rFonts w:ascii="Palatino Linotype" w:hAnsi="Palatino Linotype"/>
        </w:rPr>
      </w:pPr>
      <w:r>
        <w:rPr>
          <w:rStyle w:val="FootnoteReference"/>
        </w:rPr>
        <w:footnoteRef/>
      </w:r>
      <w:r>
        <w:t xml:space="preserve">  </w:t>
      </w:r>
      <w:r w:rsidRPr="002A6CF7">
        <w:rPr>
          <w:rFonts w:ascii="Palatino Linotype" w:hAnsi="Palatino Linotype"/>
          <w:sz w:val="20"/>
          <w:szCs w:val="20"/>
        </w:rPr>
        <w:t>Additionally, the current definition of “Disciplinary Action” is quite broad and already includes a number of measures that qualify as remediation, such as a “course of education, training, counseling, or monitoring,” if such a course arose out of the filing of a complaint or other formal charges.</w:t>
      </w:r>
      <w:r>
        <w:rPr>
          <w:rFonts w:ascii="Palatino Linotype" w:hAnsi="Palatino Linotype"/>
          <w:sz w:val="20"/>
          <w:szCs w:val="20"/>
        </w:rPr>
        <w:t xml:space="preserve">  The current language arguably strikes a balance that encourages</w:t>
      </w:r>
      <w:r w:rsidR="00EF7909">
        <w:rPr>
          <w:rFonts w:ascii="Palatino Linotype" w:hAnsi="Palatino Linotype"/>
          <w:sz w:val="20"/>
          <w:szCs w:val="20"/>
        </w:rPr>
        <w:t xml:space="preserve"> and allows for</w:t>
      </w:r>
      <w:r>
        <w:rPr>
          <w:rFonts w:ascii="Palatino Linotype" w:hAnsi="Palatino Linotype"/>
          <w:sz w:val="20"/>
          <w:szCs w:val="20"/>
        </w:rPr>
        <w:t xml:space="preserve"> remediation</w:t>
      </w:r>
      <w:r w:rsidR="00EF7909">
        <w:rPr>
          <w:rFonts w:ascii="Palatino Linotype" w:hAnsi="Palatino Linotype"/>
          <w:sz w:val="20"/>
          <w:szCs w:val="20"/>
        </w:rPr>
        <w:t xml:space="preserve"> wi</w:t>
      </w:r>
      <w:r w:rsidR="00685DF2">
        <w:rPr>
          <w:rFonts w:ascii="Palatino Linotype" w:hAnsi="Palatino Linotype"/>
          <w:sz w:val="20"/>
          <w:szCs w:val="20"/>
        </w:rPr>
        <w:t>thout reporting.</w:t>
      </w:r>
      <w:r>
        <w:rPr>
          <w:rFonts w:ascii="Palatino Linotype" w:hAnsi="Palatino Linotype"/>
        </w:rPr>
        <w:t xml:space="preserve">    </w:t>
      </w:r>
    </w:p>
    <w:p w:rsidR="002A6CF7" w:rsidRDefault="002A6CF7" w:rsidP="002A6CF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9F4" w:rsidRPr="00ED59F4" w:rsidRDefault="00ED59F4">
    <w:pPr>
      <w:pStyle w:val="Header"/>
      <w:rPr>
        <w:rFonts w:ascii="Palatino Linotype" w:hAnsi="Palatino Linotype"/>
      </w:rPr>
    </w:pPr>
    <w:r w:rsidRPr="00ED59F4">
      <w:rPr>
        <w:rFonts w:ascii="Palatino Linotype" w:hAnsi="Palatino Linotype"/>
      </w:rPr>
      <w:t>George Zachos, Executive Director</w:t>
    </w:r>
    <w:r w:rsidRPr="00ED59F4">
      <w:rPr>
        <w:rFonts w:ascii="Palatino Linotype" w:hAnsi="Palatino Linotype"/>
      </w:rPr>
      <w:tab/>
    </w:r>
    <w:r w:rsidRPr="00ED59F4">
      <w:rPr>
        <w:rFonts w:ascii="Palatino Linotype" w:hAnsi="Palatino Linotype"/>
      </w:rPr>
      <w:tab/>
      <w:t>March 3, 2017</w:t>
    </w:r>
  </w:p>
  <w:p w:rsidR="00ED59F4" w:rsidRDefault="00ED59F4">
    <w:pPr>
      <w:pStyle w:val="Header"/>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767" w:rsidRDefault="00C22767" w:rsidP="00C22767">
    <w:pPr>
      <w:pStyle w:val="Header"/>
      <w:jc w:val="center"/>
    </w:pPr>
    <w:r>
      <w:rPr>
        <w:noProof/>
      </w:rPr>
      <w:drawing>
        <wp:inline distT="0" distB="0" distL="0" distR="0" wp14:anchorId="1AE3B881" wp14:editId="2D29E91B">
          <wp:extent cx="3629025" cy="587655"/>
          <wp:effectExtent l="0" t="0" r="0" b="3175"/>
          <wp:docPr id="4" name="Picture 4" descr="C:\Users\en16257\AppData\Local\Microsoft\Windows\Temporary Internet Files\Content.IE5\CLWAU0AE\Baystate_Health_1L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16257\AppData\Local\Microsoft\Windows\Temporary Internet Files\Content.IE5\CLWAU0AE\Baystate_Health_1L_bl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7445" cy="590638"/>
                  </a:xfrm>
                  <a:prstGeom prst="rect">
                    <a:avLst/>
                  </a:prstGeom>
                  <a:noFill/>
                  <a:ln>
                    <a:noFill/>
                  </a:ln>
                </pic:spPr>
              </pic:pic>
            </a:graphicData>
          </a:graphic>
        </wp:inline>
      </w:drawing>
    </w:r>
  </w:p>
  <w:p w:rsidR="00C22767" w:rsidRDefault="00C22767" w:rsidP="00C22767">
    <w:pPr>
      <w:pStyle w:val="Header"/>
      <w:jc w:val="center"/>
      <w:rPr>
        <w:b/>
        <w:i/>
        <w:sz w:val="24"/>
      </w:rPr>
    </w:pPr>
    <w:r>
      <w:rPr>
        <w:noProof/>
      </w:rPr>
      <mc:AlternateContent>
        <mc:Choice Requires="wps">
          <w:drawing>
            <wp:anchor distT="0" distB="0" distL="114300" distR="114300" simplePos="0" relativeHeight="251661312" behindDoc="0" locked="0" layoutInCell="1" allowOverlap="1" wp14:anchorId="3BE08C26" wp14:editId="306D5164">
              <wp:simplePos x="0" y="0"/>
              <wp:positionH relativeFrom="column">
                <wp:posOffset>466725</wp:posOffset>
              </wp:positionH>
              <wp:positionV relativeFrom="paragraph">
                <wp:posOffset>95885</wp:posOffset>
              </wp:positionV>
              <wp:extent cx="5124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124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75pt,7.55pt" to="440.2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" strokecolor="black [3213]"/>
          </w:pict>
        </mc:Fallback>
      </mc:AlternateContent>
    </w:r>
  </w:p>
  <w:p w:rsidR="00C22767" w:rsidRPr="00C7170D" w:rsidRDefault="00C22767" w:rsidP="00C22767">
    <w:pPr>
      <w:pStyle w:val="Header"/>
      <w:jc w:val="center"/>
      <w:rPr>
        <w:b/>
        <w:i/>
        <w:sz w:val="24"/>
      </w:rPr>
    </w:pPr>
    <w:r w:rsidRPr="00C7170D">
      <w:rPr>
        <w:b/>
        <w:i/>
        <w:sz w:val="24"/>
      </w:rPr>
      <w:t>Office of the Senior Vice President &amp; Chief General Counsel</w:t>
    </w:r>
  </w:p>
  <w:p w:rsidR="00C22767" w:rsidRDefault="00C227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D3177"/>
    <w:multiLevelType w:val="hybridMultilevel"/>
    <w:tmpl w:val="E4D45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88B"/>
    <w:rsid w:val="00012E8F"/>
    <w:rsid w:val="00046C14"/>
    <w:rsid w:val="000B2C5F"/>
    <w:rsid w:val="000C4EAA"/>
    <w:rsid w:val="00115D5F"/>
    <w:rsid w:val="001474B6"/>
    <w:rsid w:val="0016040E"/>
    <w:rsid w:val="001C34D1"/>
    <w:rsid w:val="001D16A0"/>
    <w:rsid w:val="001F1D42"/>
    <w:rsid w:val="002057D3"/>
    <w:rsid w:val="002535CF"/>
    <w:rsid w:val="002A6CF7"/>
    <w:rsid w:val="003864E2"/>
    <w:rsid w:val="00405C43"/>
    <w:rsid w:val="00420882"/>
    <w:rsid w:val="004570B6"/>
    <w:rsid w:val="004D42B7"/>
    <w:rsid w:val="005E2C08"/>
    <w:rsid w:val="00611B5D"/>
    <w:rsid w:val="00631957"/>
    <w:rsid w:val="006644C7"/>
    <w:rsid w:val="00685DF2"/>
    <w:rsid w:val="006A13AF"/>
    <w:rsid w:val="006C6F05"/>
    <w:rsid w:val="006F75C3"/>
    <w:rsid w:val="0074630A"/>
    <w:rsid w:val="0076462C"/>
    <w:rsid w:val="00776884"/>
    <w:rsid w:val="0078518B"/>
    <w:rsid w:val="007D3163"/>
    <w:rsid w:val="007D3C06"/>
    <w:rsid w:val="007F5408"/>
    <w:rsid w:val="008027FD"/>
    <w:rsid w:val="00844D69"/>
    <w:rsid w:val="00881B50"/>
    <w:rsid w:val="008A530D"/>
    <w:rsid w:val="00970DF2"/>
    <w:rsid w:val="009A69CC"/>
    <w:rsid w:val="009A7366"/>
    <w:rsid w:val="00A60DA5"/>
    <w:rsid w:val="00AA3C36"/>
    <w:rsid w:val="00B26708"/>
    <w:rsid w:val="00B300AD"/>
    <w:rsid w:val="00B75F92"/>
    <w:rsid w:val="00BD388B"/>
    <w:rsid w:val="00C14239"/>
    <w:rsid w:val="00C15B6F"/>
    <w:rsid w:val="00C22767"/>
    <w:rsid w:val="00CA5F07"/>
    <w:rsid w:val="00D63A69"/>
    <w:rsid w:val="00E11BEA"/>
    <w:rsid w:val="00ED283A"/>
    <w:rsid w:val="00ED59F4"/>
    <w:rsid w:val="00EF7909"/>
    <w:rsid w:val="00F1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67"/>
  </w:style>
  <w:style w:type="paragraph" w:styleId="Footer">
    <w:name w:val="footer"/>
    <w:basedOn w:val="Normal"/>
    <w:link w:val="FooterChar"/>
    <w:uiPriority w:val="99"/>
    <w:unhideWhenUsed/>
    <w:rsid w:val="00C22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67"/>
  </w:style>
  <w:style w:type="paragraph" w:styleId="BalloonText">
    <w:name w:val="Balloon Text"/>
    <w:basedOn w:val="Normal"/>
    <w:link w:val="BalloonTextChar"/>
    <w:uiPriority w:val="99"/>
    <w:semiHidden/>
    <w:unhideWhenUsed/>
    <w:rsid w:val="00C2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67"/>
    <w:rPr>
      <w:rFonts w:ascii="Tahoma" w:hAnsi="Tahoma" w:cs="Tahoma"/>
      <w:sz w:val="16"/>
      <w:szCs w:val="16"/>
    </w:rPr>
  </w:style>
  <w:style w:type="paragraph" w:styleId="ListParagraph">
    <w:name w:val="List Paragraph"/>
    <w:basedOn w:val="Normal"/>
    <w:uiPriority w:val="34"/>
    <w:qFormat/>
    <w:rsid w:val="00CA5F07"/>
    <w:pPr>
      <w:ind w:left="720"/>
      <w:contextualSpacing/>
    </w:pPr>
  </w:style>
  <w:style w:type="paragraph" w:styleId="FootnoteText">
    <w:name w:val="footnote text"/>
    <w:basedOn w:val="Normal"/>
    <w:link w:val="FootnoteTextChar"/>
    <w:uiPriority w:val="99"/>
    <w:semiHidden/>
    <w:unhideWhenUsed/>
    <w:rsid w:val="001C3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4D1"/>
    <w:rPr>
      <w:sz w:val="20"/>
      <w:szCs w:val="20"/>
    </w:rPr>
  </w:style>
  <w:style w:type="character" w:styleId="FootnoteReference">
    <w:name w:val="footnote reference"/>
    <w:basedOn w:val="DefaultParagraphFont"/>
    <w:uiPriority w:val="99"/>
    <w:semiHidden/>
    <w:unhideWhenUsed/>
    <w:rsid w:val="001C34D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767"/>
  </w:style>
  <w:style w:type="paragraph" w:styleId="Footer">
    <w:name w:val="footer"/>
    <w:basedOn w:val="Normal"/>
    <w:link w:val="FooterChar"/>
    <w:uiPriority w:val="99"/>
    <w:unhideWhenUsed/>
    <w:rsid w:val="00C22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767"/>
  </w:style>
  <w:style w:type="paragraph" w:styleId="BalloonText">
    <w:name w:val="Balloon Text"/>
    <w:basedOn w:val="Normal"/>
    <w:link w:val="BalloonTextChar"/>
    <w:uiPriority w:val="99"/>
    <w:semiHidden/>
    <w:unhideWhenUsed/>
    <w:rsid w:val="00C22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767"/>
    <w:rPr>
      <w:rFonts w:ascii="Tahoma" w:hAnsi="Tahoma" w:cs="Tahoma"/>
      <w:sz w:val="16"/>
      <w:szCs w:val="16"/>
    </w:rPr>
  </w:style>
  <w:style w:type="paragraph" w:styleId="ListParagraph">
    <w:name w:val="List Paragraph"/>
    <w:basedOn w:val="Normal"/>
    <w:uiPriority w:val="34"/>
    <w:qFormat/>
    <w:rsid w:val="00CA5F07"/>
    <w:pPr>
      <w:ind w:left="720"/>
      <w:contextualSpacing/>
    </w:pPr>
  </w:style>
  <w:style w:type="paragraph" w:styleId="FootnoteText">
    <w:name w:val="footnote text"/>
    <w:basedOn w:val="Normal"/>
    <w:link w:val="FootnoteTextChar"/>
    <w:uiPriority w:val="99"/>
    <w:semiHidden/>
    <w:unhideWhenUsed/>
    <w:rsid w:val="001C34D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34D1"/>
    <w:rPr>
      <w:sz w:val="20"/>
      <w:szCs w:val="20"/>
    </w:rPr>
  </w:style>
  <w:style w:type="character" w:styleId="FootnoteReference">
    <w:name w:val="footnote reference"/>
    <w:basedOn w:val="DefaultParagraphFont"/>
    <w:uiPriority w:val="99"/>
    <w:semiHidden/>
    <w:unhideWhenUsed/>
    <w:rsid w:val="001C3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1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CFD15-F83F-47DF-92A7-8C4B650DE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1300</Words>
  <Characters>7413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8696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2017-03-06T15:43:00Z</dcterms:created>
  <dc:creator>Smith, Vanessa</dc:creator>
  <lastModifiedBy/>
  <lastPrinted>2017-03-03T16:21:00Z</lastPrinted>
  <dcterms:modified xsi:type="dcterms:W3CDTF">2017-03-06T15:43:00Z</dcterms:modified>
  <revision>2</revision>
</coreProperties>
</file>