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16E21" w14:textId="698C284A" w:rsidR="00610134" w:rsidRDefault="00610134" w:rsidP="00610134">
      <w:r>
        <w:t>BDI-3 Q &amp; A</w:t>
      </w:r>
      <w:r>
        <w:t xml:space="preserve"> (9.19.24)</w:t>
      </w:r>
    </w:p>
    <w:tbl>
      <w:tblPr>
        <w:tblStyle w:val="TableGrid"/>
        <w:tblW w:w="0" w:type="auto"/>
        <w:tblLook w:val="04A0" w:firstRow="1" w:lastRow="0" w:firstColumn="1" w:lastColumn="0" w:noHBand="0" w:noVBand="1"/>
      </w:tblPr>
      <w:tblGrid>
        <w:gridCol w:w="3235"/>
        <w:gridCol w:w="6115"/>
      </w:tblGrid>
      <w:tr w:rsidR="00610134" w14:paraId="6259BA8D" w14:textId="77777777" w:rsidTr="00547BD3">
        <w:tc>
          <w:tcPr>
            <w:tcW w:w="3235" w:type="dxa"/>
            <w:shd w:val="clear" w:color="auto" w:fill="D9D9D9" w:themeFill="background1" w:themeFillShade="D9"/>
          </w:tcPr>
          <w:p w14:paraId="053AB3F8" w14:textId="77777777" w:rsidR="00610134" w:rsidRDefault="00610134" w:rsidP="00547BD3">
            <w:r>
              <w:t>Question</w:t>
            </w:r>
          </w:p>
        </w:tc>
        <w:tc>
          <w:tcPr>
            <w:tcW w:w="6115" w:type="dxa"/>
            <w:shd w:val="clear" w:color="auto" w:fill="D9D9D9" w:themeFill="background1" w:themeFillShade="D9"/>
          </w:tcPr>
          <w:p w14:paraId="3816EB9D" w14:textId="77777777" w:rsidR="00610134" w:rsidRDefault="00610134" w:rsidP="00547BD3">
            <w:r>
              <w:t>Answer</w:t>
            </w:r>
          </w:p>
        </w:tc>
      </w:tr>
      <w:tr w:rsidR="00610134" w14:paraId="3F1B7A28" w14:textId="77777777" w:rsidTr="00547BD3">
        <w:tc>
          <w:tcPr>
            <w:tcW w:w="3235" w:type="dxa"/>
          </w:tcPr>
          <w:p w14:paraId="2756AF3B" w14:textId="77777777" w:rsidR="00610134" w:rsidRDefault="00610134" w:rsidP="00547BD3">
            <w:r>
              <w:t>How many initial BDI-3 materials purchased?</w:t>
            </w:r>
          </w:p>
        </w:tc>
        <w:tc>
          <w:tcPr>
            <w:tcW w:w="6115" w:type="dxa"/>
          </w:tcPr>
          <w:p w14:paraId="438D3583" w14:textId="77777777" w:rsidR="00610134" w:rsidRDefault="00610134" w:rsidP="00547BD3">
            <w:r>
              <w:t>The EI division purchased a total of:</w:t>
            </w:r>
          </w:p>
          <w:p w14:paraId="1B4ABC95" w14:textId="77777777" w:rsidR="00610134" w:rsidRDefault="00610134" w:rsidP="00547BD3">
            <w:r>
              <w:t>197 BDI-3 kits</w:t>
            </w:r>
          </w:p>
          <w:p w14:paraId="1D315960" w14:textId="77777777" w:rsidR="00610134" w:rsidRDefault="00610134" w:rsidP="00547BD3">
            <w:r>
              <w:t>1,815 access keys</w:t>
            </w:r>
          </w:p>
          <w:p w14:paraId="093E8907" w14:textId="77777777" w:rsidR="00610134" w:rsidRDefault="00610134" w:rsidP="00547BD3">
            <w:r>
              <w:t>402 packages of ERFs</w:t>
            </w:r>
          </w:p>
        </w:tc>
      </w:tr>
      <w:tr w:rsidR="00610134" w14:paraId="12884F4D" w14:textId="77777777" w:rsidTr="00547BD3">
        <w:tc>
          <w:tcPr>
            <w:tcW w:w="3235" w:type="dxa"/>
          </w:tcPr>
          <w:p w14:paraId="1C2A153E" w14:textId="77777777" w:rsidR="00610134" w:rsidRDefault="00610134" w:rsidP="00547BD3">
            <w:r>
              <w:t>Will the EI division purchase additional BDI-3 materials?</w:t>
            </w:r>
          </w:p>
        </w:tc>
        <w:tc>
          <w:tcPr>
            <w:tcW w:w="6115" w:type="dxa"/>
          </w:tcPr>
          <w:p w14:paraId="157DB4A8" w14:textId="77777777" w:rsidR="00610134" w:rsidRDefault="00610134" w:rsidP="00547BD3">
            <w:r>
              <w:t xml:space="preserve">No, the EI division </w:t>
            </w:r>
            <w:r w:rsidRPr="00AE5356">
              <w:t>will not be purchasing any additional BDI-3 materials</w:t>
            </w:r>
          </w:p>
        </w:tc>
      </w:tr>
      <w:tr w:rsidR="00610134" w14:paraId="126F3F57" w14:textId="77777777" w:rsidTr="00547BD3">
        <w:tc>
          <w:tcPr>
            <w:tcW w:w="3235" w:type="dxa"/>
          </w:tcPr>
          <w:p w14:paraId="1256EE47" w14:textId="77777777" w:rsidR="00610134" w:rsidRDefault="00610134" w:rsidP="00547BD3">
            <w:r>
              <w:t>How can my EIS program purchase additional BDI-3 materials?</w:t>
            </w:r>
          </w:p>
        </w:tc>
        <w:tc>
          <w:tcPr>
            <w:tcW w:w="6115" w:type="dxa"/>
          </w:tcPr>
          <w:p w14:paraId="2BFFE134" w14:textId="77777777" w:rsidR="00610134" w:rsidRDefault="00610134" w:rsidP="00547BD3">
            <w:r>
              <w:t>EIS programs can order their own BDI-3 materials by using the ordering form provided. Please note this form MUST be used to order BDI-3 materials to let Riverside know you are part of the Massachusetts Early Intervention system; otherwise, a duplicate program will be created and would need to be merged.</w:t>
            </w:r>
          </w:p>
        </w:tc>
      </w:tr>
      <w:tr w:rsidR="00610134" w14:paraId="1E016F2F" w14:textId="77777777" w:rsidTr="00547BD3">
        <w:tc>
          <w:tcPr>
            <w:tcW w:w="3235" w:type="dxa"/>
          </w:tcPr>
          <w:p w14:paraId="50DDAFF7" w14:textId="77777777" w:rsidR="00610134" w:rsidRDefault="00610134" w:rsidP="00547BD3">
            <w:r>
              <w:t>How will personnel be trained on the BDI-3?</w:t>
            </w:r>
          </w:p>
        </w:tc>
        <w:tc>
          <w:tcPr>
            <w:tcW w:w="6115" w:type="dxa"/>
          </w:tcPr>
          <w:p w14:paraId="63B47BE2" w14:textId="77777777" w:rsidR="00610134" w:rsidRDefault="00610134" w:rsidP="00547BD3">
            <w:r>
              <w:t xml:space="preserve">The EI division has purchased a limited number of BDI-3 </w:t>
            </w:r>
            <w:proofErr w:type="gramStart"/>
            <w:r>
              <w:t>trainings</w:t>
            </w:r>
            <w:proofErr w:type="gramEnd"/>
            <w:r>
              <w:t>. The link to access the online BDI-3 trainings for your staff, along with the suggested number of trainings slots available for each EIS program to use, will be emailed by mid-October.</w:t>
            </w:r>
          </w:p>
        </w:tc>
      </w:tr>
      <w:tr w:rsidR="00610134" w14:paraId="77A0DB0A" w14:textId="77777777" w:rsidTr="00547BD3">
        <w:tc>
          <w:tcPr>
            <w:tcW w:w="3235" w:type="dxa"/>
          </w:tcPr>
          <w:p w14:paraId="38132EFF" w14:textId="77777777" w:rsidR="00610134" w:rsidRDefault="00610134" w:rsidP="00547BD3">
            <w:r>
              <w:t>How do the access keys work?</w:t>
            </w:r>
          </w:p>
        </w:tc>
        <w:tc>
          <w:tcPr>
            <w:tcW w:w="6115" w:type="dxa"/>
          </w:tcPr>
          <w:p w14:paraId="52FECD12" w14:textId="77777777" w:rsidR="00610134" w:rsidRPr="00B97A7A" w:rsidRDefault="00610134" w:rsidP="00547BD3">
            <w:r>
              <w:t>Despite how it sounds, these are not alphanumeric codes that you will be given to use to create a log in.  These are essentially just the number of user log ins each EIS program has available to use.  When the Program Director logs in to the Riverside dashboard, the number of log ins (access keys) available will be shown</w:t>
            </w:r>
            <w:r w:rsidRPr="00B97A7A">
              <w:t xml:space="preserve">. As </w:t>
            </w:r>
            <w:r>
              <w:t>more users are assigned,</w:t>
            </w:r>
            <w:r w:rsidRPr="00B97A7A">
              <w:t xml:space="preserve"> that number will decrease. As </w:t>
            </w:r>
            <w:r>
              <w:t>more access keys are</w:t>
            </w:r>
            <w:r w:rsidRPr="00B97A7A">
              <w:t xml:space="preserve"> purchase</w:t>
            </w:r>
            <w:r>
              <w:t>d</w:t>
            </w:r>
            <w:r w:rsidRPr="00B97A7A">
              <w:t xml:space="preserve">, that number will increase. </w:t>
            </w:r>
          </w:p>
          <w:p w14:paraId="140DFC9D" w14:textId="77777777" w:rsidR="00610134" w:rsidRDefault="00610134" w:rsidP="00547BD3">
            <w:r w:rsidRPr="00B97A7A">
              <w:t>Access keys are valid for one year from time of activation</w:t>
            </w:r>
          </w:p>
        </w:tc>
      </w:tr>
      <w:tr w:rsidR="00610134" w14:paraId="110E4BCB" w14:textId="77777777" w:rsidTr="00547BD3">
        <w:tc>
          <w:tcPr>
            <w:tcW w:w="3235" w:type="dxa"/>
          </w:tcPr>
          <w:p w14:paraId="70FFFDD3" w14:textId="77777777" w:rsidR="00610134" w:rsidRDefault="00610134" w:rsidP="00547BD3">
            <w:r>
              <w:t>How do the Electronic Record Forms (ERFs) work?</w:t>
            </w:r>
          </w:p>
        </w:tc>
        <w:tc>
          <w:tcPr>
            <w:tcW w:w="6115" w:type="dxa"/>
          </w:tcPr>
          <w:p w14:paraId="27B976C6" w14:textId="77777777" w:rsidR="00610134" w:rsidRDefault="00610134" w:rsidP="00547BD3">
            <w:r>
              <w:t xml:space="preserve">Like the access keys, the number of ERF packages that each EIS program was allocated will be visible on the Program Director’s dashboard. As ERFs are used, the number available will decrease. As more are purchased, that number will increase. </w:t>
            </w:r>
          </w:p>
        </w:tc>
      </w:tr>
      <w:tr w:rsidR="00610134" w14:paraId="4161D5A3" w14:textId="77777777" w:rsidTr="00547BD3">
        <w:tc>
          <w:tcPr>
            <w:tcW w:w="3235" w:type="dxa"/>
          </w:tcPr>
          <w:p w14:paraId="6C7E779F" w14:textId="77777777" w:rsidR="00610134" w:rsidRDefault="00610134" w:rsidP="00547BD3">
            <w:r>
              <w:t>Are the ERFs per child or per evaluation?</w:t>
            </w:r>
          </w:p>
        </w:tc>
        <w:tc>
          <w:tcPr>
            <w:tcW w:w="6115" w:type="dxa"/>
          </w:tcPr>
          <w:p w14:paraId="4ABFF689" w14:textId="77777777" w:rsidR="00610134" w:rsidRPr="00E4340B" w:rsidRDefault="00610134" w:rsidP="00547BD3">
            <w:pPr>
              <w:rPr>
                <w:color w:val="FF0000"/>
              </w:rPr>
            </w:pPr>
            <w:r>
              <w:t>The ERFs are per child/per evaluation. Each child needs a separate ERF each time an evaluation is given. If multiple providers use an ERF for one child’s single evaluation, those ERFs can be merged into one ERF.</w:t>
            </w:r>
          </w:p>
        </w:tc>
      </w:tr>
      <w:tr w:rsidR="00610134" w14:paraId="01FFF544" w14:textId="77777777" w:rsidTr="00547BD3">
        <w:tc>
          <w:tcPr>
            <w:tcW w:w="3235" w:type="dxa"/>
          </w:tcPr>
          <w:p w14:paraId="614DAF52" w14:textId="77777777" w:rsidR="00610134" w:rsidRDefault="00610134" w:rsidP="00547BD3">
            <w:r>
              <w:t>When will EIS programs be required to implement the BDI-3?</w:t>
            </w:r>
          </w:p>
        </w:tc>
        <w:tc>
          <w:tcPr>
            <w:tcW w:w="6115" w:type="dxa"/>
          </w:tcPr>
          <w:p w14:paraId="7C4BC636" w14:textId="77777777" w:rsidR="00610134" w:rsidRDefault="00610134" w:rsidP="00547BD3">
            <w:r>
              <w:t>The BDI-3 implementation is Monday, January 6, 2025.</w:t>
            </w:r>
          </w:p>
        </w:tc>
      </w:tr>
      <w:tr w:rsidR="00610134" w14:paraId="0C7B16AE" w14:textId="77777777" w:rsidTr="00547BD3">
        <w:tc>
          <w:tcPr>
            <w:tcW w:w="3235" w:type="dxa"/>
          </w:tcPr>
          <w:p w14:paraId="5370D7B1" w14:textId="77777777" w:rsidR="00610134" w:rsidRDefault="00610134" w:rsidP="00547BD3">
            <w:r>
              <w:t>Can we start using the BDI-3 as soon as we receive the kit?</w:t>
            </w:r>
          </w:p>
        </w:tc>
        <w:tc>
          <w:tcPr>
            <w:tcW w:w="6115" w:type="dxa"/>
          </w:tcPr>
          <w:p w14:paraId="2B0F7EAA" w14:textId="77777777" w:rsidR="00610134" w:rsidRDefault="00610134" w:rsidP="00547BD3">
            <w:r>
              <w:t>No, EIS programs must wait until the implementation date (January 6, 2025).</w:t>
            </w:r>
          </w:p>
        </w:tc>
      </w:tr>
      <w:tr w:rsidR="00610134" w14:paraId="050F0BAF" w14:textId="77777777" w:rsidTr="00547BD3">
        <w:tc>
          <w:tcPr>
            <w:tcW w:w="3235" w:type="dxa"/>
          </w:tcPr>
          <w:p w14:paraId="6921B94C" w14:textId="77777777" w:rsidR="00610134" w:rsidRDefault="00610134" w:rsidP="00547BD3">
            <w:r>
              <w:lastRenderedPageBreak/>
              <w:t>When will the BDI-2 be phased out?</w:t>
            </w:r>
          </w:p>
        </w:tc>
        <w:tc>
          <w:tcPr>
            <w:tcW w:w="6115" w:type="dxa"/>
          </w:tcPr>
          <w:p w14:paraId="4DCE7944" w14:textId="77777777" w:rsidR="00610134" w:rsidRDefault="00610134" w:rsidP="00547BD3">
            <w:r>
              <w:t>BDI-2 evaluations should not be completed on a child on or after January 6, 2025, unless it’s to complete a BDI-2 evaluation that was already started.</w:t>
            </w:r>
          </w:p>
        </w:tc>
      </w:tr>
      <w:tr w:rsidR="00610134" w14:paraId="60F89229" w14:textId="77777777" w:rsidTr="00547BD3">
        <w:tc>
          <w:tcPr>
            <w:tcW w:w="3235" w:type="dxa"/>
          </w:tcPr>
          <w:p w14:paraId="2D3FF438" w14:textId="77777777" w:rsidR="00610134" w:rsidRDefault="00610134" w:rsidP="00547BD3">
            <w:r>
              <w:t>If a child has an entry score using the BDI-</w:t>
            </w:r>
            <w:proofErr w:type="gramStart"/>
            <w:r>
              <w:t>2</w:t>
            </w:r>
            <w:proofErr w:type="gramEnd"/>
            <w:r>
              <w:t xml:space="preserve"> can we use the BDI-3 for exit?</w:t>
            </w:r>
          </w:p>
        </w:tc>
        <w:tc>
          <w:tcPr>
            <w:tcW w:w="6115" w:type="dxa"/>
          </w:tcPr>
          <w:p w14:paraId="0988D24D" w14:textId="77777777" w:rsidR="00610134" w:rsidRDefault="00610134" w:rsidP="00547BD3">
            <w:r>
              <w:t xml:space="preserve">Yes, you will have to use the BDI-3 after the January 6 cutoff date regardless of which BDI the child was initially evaluated with. This child will not be able to be included in outcome data since the two BDI’s are not comparable, but the evaluation is still necessary. </w:t>
            </w:r>
          </w:p>
        </w:tc>
      </w:tr>
      <w:tr w:rsidR="00610134" w14:paraId="444385D8" w14:textId="77777777" w:rsidTr="00547BD3">
        <w:tc>
          <w:tcPr>
            <w:tcW w:w="3235" w:type="dxa"/>
          </w:tcPr>
          <w:p w14:paraId="3B0C25F5" w14:textId="77777777" w:rsidR="00610134" w:rsidRDefault="00610134" w:rsidP="00547BD3">
            <w:r>
              <w:t>Will EIS programs be able to use the BDI-2 materials, or will we have to purchase new manipulative kits?</w:t>
            </w:r>
          </w:p>
        </w:tc>
        <w:tc>
          <w:tcPr>
            <w:tcW w:w="6115" w:type="dxa"/>
          </w:tcPr>
          <w:p w14:paraId="5C18F388" w14:textId="77777777" w:rsidR="00610134" w:rsidRDefault="00610134" w:rsidP="00547BD3">
            <w:r>
              <w:t xml:space="preserve">Many of the manipulatives in the BDI-3 kit were also in the BDI-2 kit. A crosswalk of the materials can be found here: </w:t>
            </w:r>
            <w:hyperlink r:id="rId5" w:history="1">
              <w:r>
                <w:rPr>
                  <w:rStyle w:val="Hyperlink"/>
                </w:rPr>
                <w:t>Battelle Developmental Inventory-3 Implementation | Mass.gov</w:t>
              </w:r>
            </w:hyperlink>
          </w:p>
        </w:tc>
      </w:tr>
      <w:tr w:rsidR="00610134" w14:paraId="151D2F40" w14:textId="77777777" w:rsidTr="00547BD3">
        <w:tc>
          <w:tcPr>
            <w:tcW w:w="3235" w:type="dxa"/>
          </w:tcPr>
          <w:p w14:paraId="6D727659" w14:textId="77777777" w:rsidR="00610134" w:rsidRPr="00592CEE" w:rsidRDefault="00610134" w:rsidP="00547BD3">
            <w:r w:rsidRPr="00592CEE">
              <w:t>What is the EIS Program Director’s responsibility?</w:t>
            </w:r>
          </w:p>
        </w:tc>
        <w:tc>
          <w:tcPr>
            <w:tcW w:w="6115" w:type="dxa"/>
          </w:tcPr>
          <w:p w14:paraId="5B332E17" w14:textId="77777777" w:rsidR="00610134" w:rsidRPr="00592CEE" w:rsidRDefault="00610134" w:rsidP="00547BD3">
            <w:r w:rsidRPr="00592CEE">
              <w:t xml:space="preserve">Each EIS Program Director will: </w:t>
            </w:r>
          </w:p>
          <w:p w14:paraId="557C08A3" w14:textId="77777777" w:rsidR="00610134" w:rsidRPr="00592CEE" w:rsidRDefault="00610134" w:rsidP="00610134">
            <w:pPr>
              <w:pStyle w:val="ListParagraph"/>
              <w:numPr>
                <w:ilvl w:val="0"/>
                <w:numId w:val="1"/>
              </w:numPr>
            </w:pPr>
            <w:r w:rsidRPr="00592CEE">
              <w:t>Manage staff (only those who enter data should have access, as child confidentiality is a priority)</w:t>
            </w:r>
          </w:p>
          <w:p w14:paraId="12643EB8" w14:textId="77777777" w:rsidR="00610134" w:rsidRPr="00592CEE" w:rsidRDefault="00610134" w:rsidP="00610134">
            <w:pPr>
              <w:pStyle w:val="ListParagraph"/>
              <w:numPr>
                <w:ilvl w:val="0"/>
                <w:numId w:val="1"/>
              </w:numPr>
            </w:pPr>
            <w:r w:rsidRPr="00592CEE">
              <w:t xml:space="preserve">Create a process in EIS program for evaluations to be conducted using Riverside’s Mobile Data Solution (MDS) as required. </w:t>
            </w:r>
          </w:p>
          <w:p w14:paraId="2AC6C2BB" w14:textId="77777777" w:rsidR="00610134" w:rsidRPr="00592CEE" w:rsidRDefault="00610134" w:rsidP="00610134">
            <w:pPr>
              <w:pStyle w:val="ListParagraph"/>
              <w:numPr>
                <w:ilvl w:val="0"/>
                <w:numId w:val="1"/>
              </w:numPr>
            </w:pPr>
            <w:r w:rsidRPr="00592CEE">
              <w:t>Manage ERFs (purchasing and distributing)</w:t>
            </w:r>
          </w:p>
          <w:p w14:paraId="26294804" w14:textId="77777777" w:rsidR="00610134" w:rsidRPr="00592CEE" w:rsidRDefault="00610134" w:rsidP="00610134">
            <w:pPr>
              <w:pStyle w:val="ListParagraph"/>
              <w:numPr>
                <w:ilvl w:val="0"/>
                <w:numId w:val="1"/>
              </w:numPr>
            </w:pPr>
            <w:r w:rsidRPr="00592CEE">
              <w:t>Manage Access Keys (purchasing and distributing)</w:t>
            </w:r>
          </w:p>
          <w:p w14:paraId="18BC9141" w14:textId="77777777" w:rsidR="00610134" w:rsidRPr="00592CEE" w:rsidRDefault="00610134" w:rsidP="00547BD3">
            <w:r w:rsidRPr="00592CEE">
              <w:t xml:space="preserve">Ensure timely and accurate data entry of BDI-3 required data into EICS. </w:t>
            </w:r>
          </w:p>
        </w:tc>
      </w:tr>
    </w:tbl>
    <w:p w14:paraId="1BAA6C6A" w14:textId="77777777" w:rsidR="00610134" w:rsidRDefault="00610134" w:rsidP="00610134"/>
    <w:p w14:paraId="6D3CE22F" w14:textId="77777777" w:rsidR="00610134" w:rsidRDefault="00610134"/>
    <w:sectPr w:rsidR="006101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615BF"/>
    <w:multiLevelType w:val="hybridMultilevel"/>
    <w:tmpl w:val="8B9C7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6128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134"/>
    <w:rsid w:val="00610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70C36"/>
  <w15:chartTrackingRefBased/>
  <w15:docId w15:val="{C9A47BD5-5ED1-4C4B-8732-87A6789B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134"/>
  </w:style>
  <w:style w:type="paragraph" w:styleId="Heading1">
    <w:name w:val="heading 1"/>
    <w:basedOn w:val="Normal"/>
    <w:next w:val="Normal"/>
    <w:link w:val="Heading1Char"/>
    <w:uiPriority w:val="9"/>
    <w:qFormat/>
    <w:rsid w:val="00610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0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01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1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1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1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1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1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1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1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1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1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1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1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1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1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1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134"/>
    <w:rPr>
      <w:rFonts w:eastAsiaTheme="majorEastAsia" w:cstheme="majorBidi"/>
      <w:color w:val="272727" w:themeColor="text1" w:themeTint="D8"/>
    </w:rPr>
  </w:style>
  <w:style w:type="paragraph" w:styleId="Title">
    <w:name w:val="Title"/>
    <w:basedOn w:val="Normal"/>
    <w:next w:val="Normal"/>
    <w:link w:val="TitleChar"/>
    <w:uiPriority w:val="10"/>
    <w:qFormat/>
    <w:rsid w:val="00610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1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1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1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134"/>
    <w:pPr>
      <w:spacing w:before="160"/>
      <w:jc w:val="center"/>
    </w:pPr>
    <w:rPr>
      <w:i/>
      <w:iCs/>
      <w:color w:val="404040" w:themeColor="text1" w:themeTint="BF"/>
    </w:rPr>
  </w:style>
  <w:style w:type="character" w:customStyle="1" w:styleId="QuoteChar">
    <w:name w:val="Quote Char"/>
    <w:basedOn w:val="DefaultParagraphFont"/>
    <w:link w:val="Quote"/>
    <w:uiPriority w:val="29"/>
    <w:rsid w:val="00610134"/>
    <w:rPr>
      <w:i/>
      <w:iCs/>
      <w:color w:val="404040" w:themeColor="text1" w:themeTint="BF"/>
    </w:rPr>
  </w:style>
  <w:style w:type="paragraph" w:styleId="ListParagraph">
    <w:name w:val="List Paragraph"/>
    <w:basedOn w:val="Normal"/>
    <w:uiPriority w:val="34"/>
    <w:qFormat/>
    <w:rsid w:val="00610134"/>
    <w:pPr>
      <w:ind w:left="720"/>
      <w:contextualSpacing/>
    </w:pPr>
  </w:style>
  <w:style w:type="character" w:styleId="IntenseEmphasis">
    <w:name w:val="Intense Emphasis"/>
    <w:basedOn w:val="DefaultParagraphFont"/>
    <w:uiPriority w:val="21"/>
    <w:qFormat/>
    <w:rsid w:val="00610134"/>
    <w:rPr>
      <w:i/>
      <w:iCs/>
      <w:color w:val="0F4761" w:themeColor="accent1" w:themeShade="BF"/>
    </w:rPr>
  </w:style>
  <w:style w:type="paragraph" w:styleId="IntenseQuote">
    <w:name w:val="Intense Quote"/>
    <w:basedOn w:val="Normal"/>
    <w:next w:val="Normal"/>
    <w:link w:val="IntenseQuoteChar"/>
    <w:uiPriority w:val="30"/>
    <w:qFormat/>
    <w:rsid w:val="00610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134"/>
    <w:rPr>
      <w:i/>
      <w:iCs/>
      <w:color w:val="0F4761" w:themeColor="accent1" w:themeShade="BF"/>
    </w:rPr>
  </w:style>
  <w:style w:type="character" w:styleId="IntenseReference">
    <w:name w:val="Intense Reference"/>
    <w:basedOn w:val="DefaultParagraphFont"/>
    <w:uiPriority w:val="32"/>
    <w:qFormat/>
    <w:rsid w:val="00610134"/>
    <w:rPr>
      <w:b/>
      <w:bCs/>
      <w:smallCaps/>
      <w:color w:val="0F4761" w:themeColor="accent1" w:themeShade="BF"/>
      <w:spacing w:val="5"/>
    </w:rPr>
  </w:style>
  <w:style w:type="table" w:styleId="TableGrid">
    <w:name w:val="Table Grid"/>
    <w:basedOn w:val="TableNormal"/>
    <w:uiPriority w:val="39"/>
    <w:rsid w:val="00610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101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ss.gov/lists/battelle-developmental-inventory-3-implement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3137</Characters>
  <Application>Microsoft Office Word</Application>
  <DocSecurity>0</DocSecurity>
  <Lines>26</Lines>
  <Paragraphs>7</Paragraphs>
  <ScaleCrop>false</ScaleCrop>
  <Company>Commonwealth of Massachusetts</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Mitrano, Leslie A (DPH)</dc:creator>
  <cp:keywords/>
  <dc:description/>
  <cp:lastModifiedBy>Mitrano, Leslie A (DPH)</cp:lastModifiedBy>
  <cp:revision>1</cp:revision>
  <dcterms:created xsi:type="dcterms:W3CDTF">2024-09-19T15:30:00Z</dcterms:created>
  <dcterms:modified xsi:type="dcterms:W3CDTF">2024-09-19T15:31:00Z</dcterms:modified>
</cp:coreProperties>
</file>