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0CDC" w14:textId="77777777" w:rsidR="00C9717D" w:rsidRDefault="00C9717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14:paraId="4374C917" w14:textId="49B7BA03" w:rsidR="00AA1234" w:rsidRDefault="002B3A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BHS</w:t>
      </w:r>
      <w:r w:rsidR="002627D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Patient Panel</w:t>
      </w:r>
      <w:r w:rsidR="00B63CC6">
        <w:rPr>
          <w:b/>
          <w:color w:val="000000"/>
          <w:sz w:val="24"/>
          <w:szCs w:val="24"/>
        </w:rPr>
        <w:t xml:space="preserve"> </w:t>
      </w:r>
    </w:p>
    <w:p w14:paraId="2867E66C" w14:textId="44E83153" w:rsidR="00CB6A72" w:rsidRDefault="00CB6A72" w:rsidP="00CB6A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14:paraId="1AB90E9A" w14:textId="77777777" w:rsidR="00CB6A72" w:rsidRDefault="00CB6A72" w:rsidP="00CB6A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14:paraId="725343A1" w14:textId="77777777" w:rsidR="00AA1234" w:rsidRDefault="002B3A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Unique Patients Served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5"/>
        <w:gridCol w:w="2446"/>
        <w:gridCol w:w="2307"/>
        <w:gridCol w:w="2658"/>
      </w:tblGrid>
      <w:tr w:rsidR="00A40FFD" w14:paraId="07604453" w14:textId="0574DC4C" w:rsidTr="000C0001">
        <w:tc>
          <w:tcPr>
            <w:tcW w:w="1267" w:type="pct"/>
          </w:tcPr>
          <w:p w14:paraId="7F56743E" w14:textId="77777777" w:rsidR="00A40FFD" w:rsidRDefault="00A40FFD" w:rsidP="00CA51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14:paraId="32B658FF" w14:textId="77777777" w:rsidR="00A40FFD" w:rsidRDefault="00A40FFD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1162" w:type="pct"/>
          </w:tcPr>
          <w:p w14:paraId="18810CD3" w14:textId="77777777" w:rsidR="00A40FFD" w:rsidRDefault="00A40FFD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339" w:type="pct"/>
          </w:tcPr>
          <w:p w14:paraId="29D5BA7E" w14:textId="77777777" w:rsidR="00A40FFD" w:rsidRDefault="00A40FFD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A40FFD" w14:paraId="76B0B307" w14:textId="53D2C809" w:rsidTr="000C0001">
        <w:tc>
          <w:tcPr>
            <w:tcW w:w="1267" w:type="pct"/>
          </w:tcPr>
          <w:p w14:paraId="1329E1BF" w14:textId="77777777" w:rsidR="00A40FFD" w:rsidRPr="006C4B95" w:rsidRDefault="00A40FF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Unique Patients </w:t>
            </w:r>
          </w:p>
        </w:tc>
        <w:tc>
          <w:tcPr>
            <w:tcW w:w="1232" w:type="pct"/>
          </w:tcPr>
          <w:p w14:paraId="48C61BB3" w14:textId="09667FA8" w:rsidR="00A40FFD" w:rsidRDefault="00A40FFD" w:rsidP="00CA51AC">
            <w:pPr>
              <w:spacing w:after="0"/>
              <w:jc w:val="center"/>
            </w:pPr>
            <w:r>
              <w:t>146,286</w:t>
            </w:r>
          </w:p>
        </w:tc>
        <w:tc>
          <w:tcPr>
            <w:tcW w:w="1162" w:type="pct"/>
          </w:tcPr>
          <w:p w14:paraId="73218E85" w14:textId="13CC5C79" w:rsidR="00A40FFD" w:rsidRDefault="00A40FFD" w:rsidP="00CA51AC">
            <w:pPr>
              <w:spacing w:after="0"/>
              <w:jc w:val="center"/>
            </w:pPr>
            <w:r>
              <w:t>134,592</w:t>
            </w:r>
          </w:p>
        </w:tc>
        <w:tc>
          <w:tcPr>
            <w:tcW w:w="1339" w:type="pct"/>
          </w:tcPr>
          <w:p w14:paraId="6965851E" w14:textId="535D40D8" w:rsidR="00A40FFD" w:rsidRDefault="00A40FFD" w:rsidP="00CA51AC">
            <w:pPr>
              <w:spacing w:after="0"/>
              <w:jc w:val="center"/>
            </w:pPr>
            <w:r>
              <w:t>132,669</w:t>
            </w:r>
          </w:p>
        </w:tc>
      </w:tr>
    </w:tbl>
    <w:p w14:paraId="16CF75FF" w14:textId="26CA23E8" w:rsidR="002D1904" w:rsidRPr="008F66F1" w:rsidRDefault="001D0CCC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0"/>
          <w:szCs w:val="20"/>
        </w:rPr>
      </w:pPr>
      <w:r w:rsidRPr="008F66F1">
        <w:rPr>
          <w:bCs/>
          <w:color w:val="000000"/>
          <w:sz w:val="20"/>
          <w:szCs w:val="20"/>
        </w:rPr>
        <w:t xml:space="preserve">This represents all </w:t>
      </w:r>
      <w:r w:rsidR="00D14E9F" w:rsidRPr="008F66F1">
        <w:rPr>
          <w:bCs/>
          <w:color w:val="000000"/>
          <w:sz w:val="20"/>
          <w:szCs w:val="20"/>
        </w:rPr>
        <w:t xml:space="preserve">unique </w:t>
      </w:r>
      <w:r w:rsidRPr="008F66F1">
        <w:rPr>
          <w:bCs/>
          <w:color w:val="000000"/>
          <w:sz w:val="20"/>
          <w:szCs w:val="20"/>
        </w:rPr>
        <w:t xml:space="preserve">patients who </w:t>
      </w:r>
      <w:r w:rsidR="00A14924" w:rsidRPr="008F66F1">
        <w:rPr>
          <w:bCs/>
          <w:color w:val="000000"/>
          <w:sz w:val="20"/>
          <w:szCs w:val="20"/>
        </w:rPr>
        <w:t>have visited</w:t>
      </w:r>
      <w:r w:rsidR="00D14E9F" w:rsidRPr="008F66F1">
        <w:rPr>
          <w:bCs/>
          <w:color w:val="000000"/>
          <w:sz w:val="20"/>
          <w:szCs w:val="20"/>
        </w:rPr>
        <w:t xml:space="preserve"> any BHS</w:t>
      </w:r>
      <w:r w:rsidR="000C56C9">
        <w:rPr>
          <w:bCs/>
          <w:color w:val="000000"/>
          <w:sz w:val="20"/>
          <w:szCs w:val="20"/>
        </w:rPr>
        <w:t xml:space="preserve"> </w:t>
      </w:r>
      <w:r w:rsidR="00D14E9F" w:rsidRPr="008F66F1">
        <w:rPr>
          <w:bCs/>
          <w:color w:val="000000"/>
          <w:sz w:val="20"/>
          <w:szCs w:val="20"/>
        </w:rPr>
        <w:t>location.</w:t>
      </w:r>
      <w:r w:rsidR="004639C8">
        <w:rPr>
          <w:bCs/>
          <w:color w:val="000000"/>
          <w:sz w:val="20"/>
          <w:szCs w:val="20"/>
        </w:rPr>
        <w:t xml:space="preserve"> </w:t>
      </w:r>
    </w:p>
    <w:p w14:paraId="35E6521B" w14:textId="77777777" w:rsidR="00721D8B" w:rsidRDefault="00721D8B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2F8A5DD" w14:textId="77777777" w:rsidR="00AA1234" w:rsidRDefault="002B3A4B" w:rsidP="00CA51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Gender </w:t>
      </w:r>
    </w:p>
    <w:p w14:paraId="3445572E" w14:textId="77777777" w:rsidR="00795331" w:rsidRDefault="00795331" w:rsidP="007953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5"/>
        <w:gridCol w:w="1326"/>
        <w:gridCol w:w="1120"/>
        <w:gridCol w:w="1120"/>
        <w:gridCol w:w="1189"/>
        <w:gridCol w:w="1328"/>
        <w:gridCol w:w="1328"/>
      </w:tblGrid>
      <w:tr w:rsidR="00A40FFD" w14:paraId="79338D32" w14:textId="1D2C84E3" w:rsidTr="00731DE1">
        <w:trPr>
          <w:cantSplit/>
          <w:trHeight w:val="332"/>
          <w:tblHeader/>
        </w:trPr>
        <w:tc>
          <w:tcPr>
            <w:tcW w:w="1267" w:type="pct"/>
          </w:tcPr>
          <w:p w14:paraId="11D9988A" w14:textId="7117E686" w:rsidR="00A40FFD" w:rsidRPr="00357164" w:rsidRDefault="00731DE1" w:rsidP="00CA51AC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>Gender</w:t>
            </w:r>
          </w:p>
        </w:tc>
        <w:tc>
          <w:tcPr>
            <w:tcW w:w="668" w:type="pct"/>
          </w:tcPr>
          <w:p w14:paraId="5C2A8164" w14:textId="33879EDA" w:rsidR="00A40FFD" w:rsidRPr="00357164" w:rsidRDefault="00731DE1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A40FFD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65B2C380" w14:textId="3051AE27" w:rsidR="00A40FFD" w:rsidRPr="00357164" w:rsidRDefault="00731DE1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A40FFD" w:rsidRPr="00357164">
              <w:rPr>
                <w:b/>
                <w:bCs/>
              </w:rPr>
              <w:t>Percent</w:t>
            </w:r>
          </w:p>
        </w:tc>
        <w:tc>
          <w:tcPr>
            <w:tcW w:w="564" w:type="pct"/>
          </w:tcPr>
          <w:p w14:paraId="1602EE1A" w14:textId="4EAE9AF0" w:rsidR="00A40FFD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A40FFD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097524CE" w14:textId="517B9F7D" w:rsidR="00A40FFD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A40FFD" w:rsidRPr="00357164">
              <w:rPr>
                <w:b/>
                <w:bCs/>
              </w:rPr>
              <w:t>Percent</w:t>
            </w:r>
          </w:p>
        </w:tc>
        <w:tc>
          <w:tcPr>
            <w:tcW w:w="669" w:type="pct"/>
          </w:tcPr>
          <w:p w14:paraId="6E119FA4" w14:textId="6186A2AF" w:rsidR="00A40FFD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A40FFD" w:rsidRPr="00357164">
              <w:rPr>
                <w:b/>
                <w:bCs/>
              </w:rPr>
              <w:t>Number</w:t>
            </w:r>
          </w:p>
        </w:tc>
        <w:tc>
          <w:tcPr>
            <w:tcW w:w="669" w:type="pct"/>
          </w:tcPr>
          <w:p w14:paraId="629B41AE" w14:textId="1B72AD0E" w:rsidR="00A40FFD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A40FFD" w:rsidRPr="00357164">
              <w:rPr>
                <w:b/>
                <w:bCs/>
              </w:rPr>
              <w:t>Percent</w:t>
            </w:r>
          </w:p>
        </w:tc>
      </w:tr>
      <w:tr w:rsidR="00A40FFD" w14:paraId="680040E6" w14:textId="65542505" w:rsidTr="00731DE1">
        <w:trPr>
          <w:cantSplit/>
        </w:trPr>
        <w:tc>
          <w:tcPr>
            <w:tcW w:w="1267" w:type="pct"/>
          </w:tcPr>
          <w:p w14:paraId="01E77854" w14:textId="77777777" w:rsidR="00A40FFD" w:rsidRPr="006C4B95" w:rsidRDefault="00A40FF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Male</w:t>
            </w:r>
          </w:p>
        </w:tc>
        <w:tc>
          <w:tcPr>
            <w:tcW w:w="668" w:type="pct"/>
          </w:tcPr>
          <w:p w14:paraId="67D94843" w14:textId="464CB0AE" w:rsidR="00A40FFD" w:rsidRDefault="00A40FFD" w:rsidP="00CA51AC">
            <w:pPr>
              <w:spacing w:after="0"/>
              <w:jc w:val="center"/>
            </w:pPr>
            <w:r>
              <w:t>64,745</w:t>
            </w:r>
          </w:p>
        </w:tc>
        <w:tc>
          <w:tcPr>
            <w:tcW w:w="564" w:type="pct"/>
          </w:tcPr>
          <w:p w14:paraId="15B628F4" w14:textId="6F8EE106" w:rsidR="00A40FFD" w:rsidRDefault="00A40FFD" w:rsidP="00CA51AC">
            <w:pPr>
              <w:spacing w:after="0"/>
              <w:jc w:val="center"/>
            </w:pPr>
            <w:r>
              <w:t>44.26%</w:t>
            </w:r>
          </w:p>
        </w:tc>
        <w:tc>
          <w:tcPr>
            <w:tcW w:w="564" w:type="pct"/>
          </w:tcPr>
          <w:p w14:paraId="084DE0BA" w14:textId="650F6C0E" w:rsidR="00A40FFD" w:rsidRDefault="00A40FFD" w:rsidP="00CA51AC">
            <w:pPr>
              <w:spacing w:after="0"/>
              <w:jc w:val="center"/>
            </w:pPr>
            <w:r>
              <w:t>62,279</w:t>
            </w:r>
          </w:p>
        </w:tc>
        <w:tc>
          <w:tcPr>
            <w:tcW w:w="599" w:type="pct"/>
          </w:tcPr>
          <w:p w14:paraId="2EB2E902" w14:textId="22E8F942" w:rsidR="00A40FFD" w:rsidRDefault="00A40FFD" w:rsidP="00CA51AC">
            <w:pPr>
              <w:spacing w:after="0"/>
              <w:jc w:val="center"/>
            </w:pPr>
            <w:r>
              <w:t>46.27%</w:t>
            </w:r>
          </w:p>
        </w:tc>
        <w:tc>
          <w:tcPr>
            <w:tcW w:w="669" w:type="pct"/>
          </w:tcPr>
          <w:p w14:paraId="20A1B65D" w14:textId="76376467" w:rsidR="00A40FFD" w:rsidRDefault="00A40FFD" w:rsidP="00CA51AC">
            <w:pPr>
              <w:spacing w:after="0"/>
              <w:jc w:val="center"/>
            </w:pPr>
            <w:r>
              <w:t>61,430</w:t>
            </w:r>
          </w:p>
        </w:tc>
        <w:tc>
          <w:tcPr>
            <w:tcW w:w="669" w:type="pct"/>
          </w:tcPr>
          <w:p w14:paraId="3037CEAB" w14:textId="63B90E5E" w:rsidR="00A40FFD" w:rsidRDefault="00A40FFD" w:rsidP="00CA51AC">
            <w:pPr>
              <w:spacing w:after="0"/>
              <w:jc w:val="center"/>
            </w:pPr>
            <w:r>
              <w:t>49.30%</w:t>
            </w:r>
          </w:p>
        </w:tc>
      </w:tr>
      <w:tr w:rsidR="00A40FFD" w14:paraId="57481BB3" w14:textId="66CB4ADF" w:rsidTr="00731DE1">
        <w:trPr>
          <w:cantSplit/>
        </w:trPr>
        <w:tc>
          <w:tcPr>
            <w:tcW w:w="1267" w:type="pct"/>
          </w:tcPr>
          <w:p w14:paraId="6CC69C08" w14:textId="77777777" w:rsidR="00A40FFD" w:rsidRPr="006C4B95" w:rsidRDefault="00A40FF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Female</w:t>
            </w:r>
          </w:p>
        </w:tc>
        <w:tc>
          <w:tcPr>
            <w:tcW w:w="668" w:type="pct"/>
          </w:tcPr>
          <w:p w14:paraId="2FA5E768" w14:textId="1C6A47F6" w:rsidR="00A40FFD" w:rsidRDefault="00A40FFD" w:rsidP="00CA51AC">
            <w:pPr>
              <w:spacing w:after="0"/>
              <w:jc w:val="center"/>
            </w:pPr>
            <w:r>
              <w:t>81,503</w:t>
            </w:r>
          </w:p>
        </w:tc>
        <w:tc>
          <w:tcPr>
            <w:tcW w:w="564" w:type="pct"/>
          </w:tcPr>
          <w:p w14:paraId="0AAB53BB" w14:textId="6AB56B93" w:rsidR="00A40FFD" w:rsidRDefault="00A40FFD" w:rsidP="00CA51AC">
            <w:pPr>
              <w:spacing w:after="0"/>
              <w:jc w:val="center"/>
            </w:pPr>
            <w:r>
              <w:t>55.26%</w:t>
            </w:r>
          </w:p>
        </w:tc>
        <w:tc>
          <w:tcPr>
            <w:tcW w:w="564" w:type="pct"/>
          </w:tcPr>
          <w:p w14:paraId="69B7E354" w14:textId="5E386CCF" w:rsidR="00A40FFD" w:rsidRDefault="00A40FFD" w:rsidP="00CA51AC">
            <w:pPr>
              <w:spacing w:after="0"/>
              <w:jc w:val="center"/>
            </w:pPr>
            <w:r>
              <w:t>71,976</w:t>
            </w:r>
          </w:p>
        </w:tc>
        <w:tc>
          <w:tcPr>
            <w:tcW w:w="599" w:type="pct"/>
          </w:tcPr>
          <w:p w14:paraId="4E9908C6" w14:textId="2793BE83" w:rsidR="00A40FFD" w:rsidRDefault="00A40FFD" w:rsidP="00CA51AC">
            <w:pPr>
              <w:spacing w:after="0"/>
              <w:jc w:val="center"/>
            </w:pPr>
            <w:r>
              <w:t>53.48%</w:t>
            </w:r>
          </w:p>
        </w:tc>
        <w:tc>
          <w:tcPr>
            <w:tcW w:w="669" w:type="pct"/>
          </w:tcPr>
          <w:p w14:paraId="5FF2660D" w14:textId="34E981CE" w:rsidR="00A40FFD" w:rsidRDefault="00A40FFD" w:rsidP="00CA51AC">
            <w:pPr>
              <w:spacing w:after="0"/>
              <w:jc w:val="center"/>
            </w:pPr>
            <w:r>
              <w:t>71,047</w:t>
            </w:r>
          </w:p>
        </w:tc>
        <w:tc>
          <w:tcPr>
            <w:tcW w:w="669" w:type="pct"/>
          </w:tcPr>
          <w:p w14:paraId="7E38775D" w14:textId="1BEF0276" w:rsidR="00A40FFD" w:rsidRDefault="00A40FFD" w:rsidP="00CA51AC">
            <w:pPr>
              <w:spacing w:after="0"/>
              <w:jc w:val="center"/>
            </w:pPr>
            <w:r>
              <w:t>53.55%</w:t>
            </w:r>
          </w:p>
        </w:tc>
      </w:tr>
      <w:tr w:rsidR="00A40FFD" w14:paraId="74D713AE" w14:textId="78B7B599" w:rsidTr="00731DE1">
        <w:trPr>
          <w:cantSplit/>
        </w:trPr>
        <w:tc>
          <w:tcPr>
            <w:tcW w:w="1267" w:type="pct"/>
          </w:tcPr>
          <w:p w14:paraId="045B980B" w14:textId="77777777" w:rsidR="00A40FFD" w:rsidRPr="006C4B95" w:rsidRDefault="00A40FF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Other/Unspecified</w:t>
            </w:r>
          </w:p>
        </w:tc>
        <w:tc>
          <w:tcPr>
            <w:tcW w:w="668" w:type="pct"/>
          </w:tcPr>
          <w:p w14:paraId="49933770" w14:textId="34D28FBD" w:rsidR="00A40FFD" w:rsidRDefault="00A40FFD" w:rsidP="00CA51AC">
            <w:pPr>
              <w:spacing w:after="0"/>
              <w:jc w:val="center"/>
            </w:pPr>
            <w:r>
              <w:t>38</w:t>
            </w:r>
          </w:p>
        </w:tc>
        <w:tc>
          <w:tcPr>
            <w:tcW w:w="564" w:type="pct"/>
          </w:tcPr>
          <w:p w14:paraId="2FC2A46C" w14:textId="7AC1044E" w:rsidR="00A40FFD" w:rsidRDefault="00A40FFD" w:rsidP="00CA51AC">
            <w:pPr>
              <w:spacing w:after="0"/>
              <w:jc w:val="center"/>
            </w:pPr>
            <w:r>
              <w:t>0.03%</w:t>
            </w:r>
          </w:p>
        </w:tc>
        <w:tc>
          <w:tcPr>
            <w:tcW w:w="564" w:type="pct"/>
          </w:tcPr>
          <w:p w14:paraId="592A89D1" w14:textId="35C5DE01" w:rsidR="00A40FFD" w:rsidRDefault="00A40FFD" w:rsidP="00CA51AC">
            <w:pPr>
              <w:spacing w:after="0"/>
              <w:jc w:val="center"/>
            </w:pPr>
            <w:r>
              <w:t>337</w:t>
            </w:r>
          </w:p>
        </w:tc>
        <w:tc>
          <w:tcPr>
            <w:tcW w:w="599" w:type="pct"/>
          </w:tcPr>
          <w:p w14:paraId="4FF5F4CF" w14:textId="054C624A" w:rsidR="00A40FFD" w:rsidRDefault="00A40FFD" w:rsidP="00CA51AC">
            <w:pPr>
              <w:spacing w:after="0"/>
              <w:jc w:val="center"/>
            </w:pPr>
            <w:r>
              <w:t>0.25%</w:t>
            </w:r>
          </w:p>
        </w:tc>
        <w:tc>
          <w:tcPr>
            <w:tcW w:w="669" w:type="pct"/>
          </w:tcPr>
          <w:p w14:paraId="29BD99E5" w14:textId="34659C68" w:rsidR="00A40FFD" w:rsidRDefault="00A40FFD" w:rsidP="00CA51AC">
            <w:pPr>
              <w:spacing w:after="0"/>
              <w:jc w:val="center"/>
            </w:pPr>
            <w:r>
              <w:t>192</w:t>
            </w:r>
          </w:p>
        </w:tc>
        <w:tc>
          <w:tcPr>
            <w:tcW w:w="669" w:type="pct"/>
          </w:tcPr>
          <w:p w14:paraId="3CCBE32D" w14:textId="64718A05" w:rsidR="00A40FFD" w:rsidRDefault="00A40FFD" w:rsidP="00CA51AC">
            <w:pPr>
              <w:spacing w:after="0"/>
              <w:jc w:val="center"/>
            </w:pPr>
            <w:r>
              <w:t>0.14%</w:t>
            </w:r>
          </w:p>
        </w:tc>
      </w:tr>
      <w:tr w:rsidR="00A40FFD" w14:paraId="6715DCFE" w14:textId="7F8B721B" w:rsidTr="00731DE1">
        <w:trPr>
          <w:cantSplit/>
        </w:trPr>
        <w:tc>
          <w:tcPr>
            <w:tcW w:w="1267" w:type="pct"/>
          </w:tcPr>
          <w:p w14:paraId="7A1AEE59" w14:textId="77777777" w:rsidR="00A40FFD" w:rsidRPr="006C4B95" w:rsidRDefault="00A40FF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668" w:type="pct"/>
          </w:tcPr>
          <w:p w14:paraId="0DA98E90" w14:textId="4D333E6F" w:rsidR="00A40FFD" w:rsidRDefault="00A40FFD" w:rsidP="00CA51AC">
            <w:pPr>
              <w:spacing w:after="0"/>
              <w:jc w:val="center"/>
            </w:pPr>
            <w:r>
              <w:t>146,286</w:t>
            </w:r>
          </w:p>
        </w:tc>
        <w:tc>
          <w:tcPr>
            <w:tcW w:w="564" w:type="pct"/>
          </w:tcPr>
          <w:p w14:paraId="3CCEDF4A" w14:textId="01BA1C6E" w:rsidR="00A40FFD" w:rsidRDefault="00A40FFD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564" w:type="pct"/>
          </w:tcPr>
          <w:p w14:paraId="6758DD77" w14:textId="1DDE0389" w:rsidR="00A40FFD" w:rsidRDefault="00A40FFD" w:rsidP="00CA51AC">
            <w:pPr>
              <w:spacing w:after="0"/>
              <w:jc w:val="center"/>
            </w:pPr>
            <w:r>
              <w:t>134,592</w:t>
            </w:r>
          </w:p>
        </w:tc>
        <w:tc>
          <w:tcPr>
            <w:tcW w:w="599" w:type="pct"/>
          </w:tcPr>
          <w:p w14:paraId="5735184A" w14:textId="14D1B326" w:rsidR="00A40FFD" w:rsidRDefault="00A40FFD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69" w:type="pct"/>
          </w:tcPr>
          <w:p w14:paraId="2AF1A49A" w14:textId="2B61F757" w:rsidR="00A40FFD" w:rsidRDefault="00A40FFD" w:rsidP="00CA51AC">
            <w:pPr>
              <w:spacing w:after="0"/>
              <w:jc w:val="center"/>
            </w:pPr>
            <w:r>
              <w:t>132,669</w:t>
            </w:r>
          </w:p>
        </w:tc>
        <w:tc>
          <w:tcPr>
            <w:tcW w:w="669" w:type="pct"/>
          </w:tcPr>
          <w:p w14:paraId="734632C0" w14:textId="5F270703" w:rsidR="00A40FFD" w:rsidRDefault="00A40FFD" w:rsidP="00CA51AC">
            <w:pPr>
              <w:spacing w:after="0"/>
              <w:jc w:val="center"/>
            </w:pPr>
            <w:r>
              <w:t>100.00%</w:t>
            </w:r>
          </w:p>
        </w:tc>
      </w:tr>
    </w:tbl>
    <w:p w14:paraId="3351B06F" w14:textId="3F43C72C" w:rsidR="005D5A24" w:rsidRPr="008F66F1" w:rsidRDefault="005D5A24" w:rsidP="005D5A24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>The capture of other/unspecified gender is something that is done consistently, and education is being provided to make sure this is more accurate in the future.</w:t>
      </w:r>
      <w:r w:rsidR="00713135">
        <w:rPr>
          <w:bCs/>
          <w:sz w:val="20"/>
          <w:szCs w:val="20"/>
        </w:rPr>
        <w:t xml:space="preserve"> </w:t>
      </w:r>
    </w:p>
    <w:p w14:paraId="4CCBF62E" w14:textId="77777777" w:rsidR="00AA1234" w:rsidRDefault="00AA1234" w:rsidP="00CA51AC">
      <w:pPr>
        <w:spacing w:after="0"/>
        <w:rPr>
          <w:b/>
        </w:rPr>
      </w:pPr>
    </w:p>
    <w:p w14:paraId="4AD3C158" w14:textId="77777777" w:rsidR="00795331" w:rsidRDefault="00795331" w:rsidP="00CA51AC">
      <w:pPr>
        <w:spacing w:after="0"/>
        <w:rPr>
          <w:b/>
        </w:rPr>
      </w:pPr>
    </w:p>
    <w:p w14:paraId="47B030DB" w14:textId="77777777" w:rsidR="00AA1234" w:rsidRDefault="002B3A4B" w:rsidP="00CA51AC">
      <w:pPr>
        <w:numPr>
          <w:ilvl w:val="0"/>
          <w:numId w:val="8"/>
        </w:numPr>
        <w:spacing w:after="0"/>
        <w:rPr>
          <w:b/>
        </w:rPr>
      </w:pPr>
      <w:r>
        <w:rPr>
          <w:b/>
        </w:rPr>
        <w:t>Age</w:t>
      </w:r>
    </w:p>
    <w:p w14:paraId="676E7115" w14:textId="77777777" w:rsidR="00795331" w:rsidRDefault="00795331" w:rsidP="00795331">
      <w:pPr>
        <w:spacing w:after="0"/>
        <w:ind w:left="72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0"/>
        <w:gridCol w:w="1453"/>
        <w:gridCol w:w="1408"/>
        <w:gridCol w:w="1453"/>
        <w:gridCol w:w="1408"/>
        <w:gridCol w:w="1453"/>
        <w:gridCol w:w="1408"/>
      </w:tblGrid>
      <w:tr w:rsidR="00D706C6" w14:paraId="1966DF18" w14:textId="42C6520A" w:rsidTr="00E86A77">
        <w:trPr>
          <w:cantSplit/>
          <w:trHeight w:val="269"/>
          <w:tblHeader/>
        </w:trPr>
        <w:tc>
          <w:tcPr>
            <w:tcW w:w="0" w:type="auto"/>
          </w:tcPr>
          <w:p w14:paraId="4D41E964" w14:textId="2287A7BB" w:rsidR="00D706C6" w:rsidRDefault="00731DE1" w:rsidP="00CA51AC">
            <w:pPr>
              <w:spacing w:after="0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0" w:type="auto"/>
          </w:tcPr>
          <w:p w14:paraId="4D1E1B10" w14:textId="670E5EEC" w:rsidR="00D706C6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D706C6" w:rsidRPr="00357164">
              <w:rPr>
                <w:b/>
                <w:bCs/>
              </w:rPr>
              <w:t>Number</w:t>
            </w:r>
          </w:p>
        </w:tc>
        <w:tc>
          <w:tcPr>
            <w:tcW w:w="0" w:type="auto"/>
          </w:tcPr>
          <w:p w14:paraId="170114F3" w14:textId="4CE8D1C7" w:rsidR="00D706C6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D706C6" w:rsidRPr="00357164">
              <w:rPr>
                <w:b/>
                <w:bCs/>
              </w:rPr>
              <w:t>Percent</w:t>
            </w:r>
          </w:p>
        </w:tc>
        <w:tc>
          <w:tcPr>
            <w:tcW w:w="0" w:type="auto"/>
          </w:tcPr>
          <w:p w14:paraId="1F8D637B" w14:textId="599B53C6" w:rsidR="00D706C6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D706C6" w:rsidRPr="00357164">
              <w:rPr>
                <w:b/>
                <w:bCs/>
              </w:rPr>
              <w:t>Number</w:t>
            </w:r>
          </w:p>
        </w:tc>
        <w:tc>
          <w:tcPr>
            <w:tcW w:w="0" w:type="auto"/>
          </w:tcPr>
          <w:p w14:paraId="0E2E17D0" w14:textId="408CB119" w:rsidR="00D706C6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D706C6" w:rsidRPr="00357164">
              <w:rPr>
                <w:b/>
                <w:bCs/>
              </w:rPr>
              <w:t>Percent</w:t>
            </w:r>
          </w:p>
        </w:tc>
        <w:tc>
          <w:tcPr>
            <w:tcW w:w="0" w:type="auto"/>
          </w:tcPr>
          <w:p w14:paraId="19544DE6" w14:textId="6AEC92AF" w:rsidR="00D706C6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D706C6" w:rsidRPr="00357164">
              <w:rPr>
                <w:b/>
                <w:bCs/>
              </w:rPr>
              <w:t>Number</w:t>
            </w:r>
          </w:p>
        </w:tc>
        <w:tc>
          <w:tcPr>
            <w:tcW w:w="0" w:type="auto"/>
          </w:tcPr>
          <w:p w14:paraId="192772AC" w14:textId="69D7492E" w:rsidR="00D706C6" w:rsidRDefault="00731DE1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D706C6" w:rsidRPr="00357164">
              <w:rPr>
                <w:b/>
                <w:bCs/>
              </w:rPr>
              <w:t>Percent</w:t>
            </w:r>
          </w:p>
        </w:tc>
      </w:tr>
      <w:tr w:rsidR="00D706C6" w14:paraId="70871377" w14:textId="6841037C" w:rsidTr="00E86A77">
        <w:trPr>
          <w:cantSplit/>
        </w:trPr>
        <w:tc>
          <w:tcPr>
            <w:tcW w:w="0" w:type="auto"/>
          </w:tcPr>
          <w:p w14:paraId="2DBA15A3" w14:textId="281960A8" w:rsidR="00D706C6" w:rsidRPr="006C4B95" w:rsidRDefault="00D706C6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0-18</w:t>
            </w:r>
          </w:p>
        </w:tc>
        <w:tc>
          <w:tcPr>
            <w:tcW w:w="0" w:type="auto"/>
          </w:tcPr>
          <w:p w14:paraId="137A21F7" w14:textId="122ABD94" w:rsidR="00D706C6" w:rsidRDefault="00D706C6" w:rsidP="00CA51AC">
            <w:pPr>
              <w:spacing w:after="0"/>
              <w:jc w:val="center"/>
            </w:pPr>
            <w:r>
              <w:t>16,802</w:t>
            </w:r>
          </w:p>
        </w:tc>
        <w:tc>
          <w:tcPr>
            <w:tcW w:w="0" w:type="auto"/>
          </w:tcPr>
          <w:p w14:paraId="4F75CCDB" w14:textId="5CA7D2C9" w:rsidR="00D706C6" w:rsidRDefault="00D706C6" w:rsidP="00CA51AC">
            <w:pPr>
              <w:spacing w:after="0"/>
              <w:jc w:val="center"/>
            </w:pPr>
            <w:r>
              <w:t>11.49%</w:t>
            </w:r>
          </w:p>
        </w:tc>
        <w:tc>
          <w:tcPr>
            <w:tcW w:w="0" w:type="auto"/>
          </w:tcPr>
          <w:p w14:paraId="7540DC60" w14:textId="347EB437" w:rsidR="00D706C6" w:rsidRDefault="00D706C6" w:rsidP="00CA51AC">
            <w:pPr>
              <w:spacing w:after="0"/>
              <w:jc w:val="center"/>
            </w:pPr>
            <w:r>
              <w:t>20,776</w:t>
            </w:r>
          </w:p>
        </w:tc>
        <w:tc>
          <w:tcPr>
            <w:tcW w:w="0" w:type="auto"/>
          </w:tcPr>
          <w:p w14:paraId="54534184" w14:textId="2EBD5C69" w:rsidR="00D706C6" w:rsidRDefault="00D706C6" w:rsidP="00CA51AC">
            <w:pPr>
              <w:spacing w:after="0"/>
              <w:jc w:val="center"/>
            </w:pPr>
            <w:r>
              <w:t>15.44%</w:t>
            </w:r>
          </w:p>
        </w:tc>
        <w:tc>
          <w:tcPr>
            <w:tcW w:w="0" w:type="auto"/>
          </w:tcPr>
          <w:p w14:paraId="19053B7F" w14:textId="6008E378" w:rsidR="00D706C6" w:rsidRDefault="00D706C6" w:rsidP="00CA51AC">
            <w:pPr>
              <w:spacing w:after="0"/>
              <w:jc w:val="center"/>
            </w:pPr>
            <w:r>
              <w:t>20,871</w:t>
            </w:r>
          </w:p>
        </w:tc>
        <w:tc>
          <w:tcPr>
            <w:tcW w:w="0" w:type="auto"/>
          </w:tcPr>
          <w:p w14:paraId="0D938CA3" w14:textId="0F8FF4D3" w:rsidR="00D706C6" w:rsidRDefault="00D706C6" w:rsidP="00CA51AC">
            <w:pPr>
              <w:spacing w:after="0"/>
              <w:jc w:val="center"/>
            </w:pPr>
            <w:r>
              <w:t>15.73%</w:t>
            </w:r>
          </w:p>
        </w:tc>
      </w:tr>
      <w:tr w:rsidR="00D706C6" w14:paraId="5D3BF4E8" w14:textId="26A39888" w:rsidTr="00E86A77">
        <w:trPr>
          <w:cantSplit/>
          <w:trHeight w:val="70"/>
        </w:trPr>
        <w:tc>
          <w:tcPr>
            <w:tcW w:w="0" w:type="auto"/>
          </w:tcPr>
          <w:p w14:paraId="0902BCA9" w14:textId="4B3A5664" w:rsidR="00D706C6" w:rsidRPr="006C4B95" w:rsidRDefault="00D706C6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19-49</w:t>
            </w:r>
          </w:p>
        </w:tc>
        <w:tc>
          <w:tcPr>
            <w:tcW w:w="0" w:type="auto"/>
          </w:tcPr>
          <w:p w14:paraId="6BD753F8" w14:textId="4D65EE96" w:rsidR="00D706C6" w:rsidRDefault="00D706C6" w:rsidP="00CA51AC">
            <w:pPr>
              <w:spacing w:after="0"/>
              <w:jc w:val="center"/>
            </w:pPr>
            <w:r>
              <w:t>47,222</w:t>
            </w:r>
          </w:p>
        </w:tc>
        <w:tc>
          <w:tcPr>
            <w:tcW w:w="0" w:type="auto"/>
          </w:tcPr>
          <w:p w14:paraId="3EBD4F33" w14:textId="21181B00" w:rsidR="00D706C6" w:rsidRDefault="00D706C6" w:rsidP="00CA51AC">
            <w:pPr>
              <w:spacing w:after="0"/>
              <w:jc w:val="center"/>
            </w:pPr>
            <w:r>
              <w:t>32.28%</w:t>
            </w:r>
          </w:p>
        </w:tc>
        <w:tc>
          <w:tcPr>
            <w:tcW w:w="0" w:type="auto"/>
          </w:tcPr>
          <w:p w14:paraId="7F9425F9" w14:textId="49A8255D" w:rsidR="00D706C6" w:rsidRDefault="00D706C6" w:rsidP="00CA51AC">
            <w:pPr>
              <w:spacing w:after="0"/>
              <w:jc w:val="center"/>
            </w:pPr>
            <w:r>
              <w:t>46,473</w:t>
            </w:r>
          </w:p>
        </w:tc>
        <w:tc>
          <w:tcPr>
            <w:tcW w:w="0" w:type="auto"/>
          </w:tcPr>
          <w:p w14:paraId="7181C87A" w14:textId="0F34478C" w:rsidR="00D706C6" w:rsidRDefault="00D706C6" w:rsidP="00CA51AC">
            <w:pPr>
              <w:spacing w:after="0"/>
              <w:jc w:val="center"/>
            </w:pPr>
            <w:r>
              <w:t>34.53%</w:t>
            </w:r>
          </w:p>
        </w:tc>
        <w:tc>
          <w:tcPr>
            <w:tcW w:w="0" w:type="auto"/>
          </w:tcPr>
          <w:p w14:paraId="1AF4D673" w14:textId="15CD292E" w:rsidR="00D706C6" w:rsidRDefault="00D706C6" w:rsidP="00CA51AC">
            <w:pPr>
              <w:spacing w:after="0"/>
              <w:jc w:val="center"/>
            </w:pPr>
            <w:r>
              <w:t>44,488</w:t>
            </w:r>
          </w:p>
        </w:tc>
        <w:tc>
          <w:tcPr>
            <w:tcW w:w="0" w:type="auto"/>
          </w:tcPr>
          <w:p w14:paraId="10606629" w14:textId="79DC584E" w:rsidR="00D706C6" w:rsidRDefault="00D706C6" w:rsidP="00CA51AC">
            <w:pPr>
              <w:spacing w:after="0"/>
              <w:jc w:val="center"/>
            </w:pPr>
            <w:r>
              <w:t>33.53%</w:t>
            </w:r>
          </w:p>
        </w:tc>
      </w:tr>
      <w:tr w:rsidR="00D706C6" w14:paraId="06CC3E34" w14:textId="73E12CB6" w:rsidTr="00E86A77">
        <w:trPr>
          <w:cantSplit/>
        </w:trPr>
        <w:tc>
          <w:tcPr>
            <w:tcW w:w="0" w:type="auto"/>
          </w:tcPr>
          <w:p w14:paraId="2976C6BA" w14:textId="45F08332" w:rsidR="00D706C6" w:rsidRPr="006C4B95" w:rsidRDefault="00D706C6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50-64</w:t>
            </w:r>
          </w:p>
        </w:tc>
        <w:tc>
          <w:tcPr>
            <w:tcW w:w="0" w:type="auto"/>
          </w:tcPr>
          <w:p w14:paraId="4CB2993F" w14:textId="65329B0A" w:rsidR="00D706C6" w:rsidRDefault="00D706C6" w:rsidP="00CA51AC">
            <w:pPr>
              <w:spacing w:after="0"/>
              <w:jc w:val="center"/>
            </w:pPr>
            <w:r>
              <w:t>36,546</w:t>
            </w:r>
          </w:p>
        </w:tc>
        <w:tc>
          <w:tcPr>
            <w:tcW w:w="0" w:type="auto"/>
          </w:tcPr>
          <w:p w14:paraId="7AADF141" w14:textId="205C4931" w:rsidR="00D706C6" w:rsidRDefault="00D706C6" w:rsidP="00CA51AC">
            <w:pPr>
              <w:spacing w:after="0"/>
              <w:jc w:val="center"/>
            </w:pPr>
            <w:r>
              <w:t>24.98%</w:t>
            </w:r>
          </w:p>
        </w:tc>
        <w:tc>
          <w:tcPr>
            <w:tcW w:w="0" w:type="auto"/>
          </w:tcPr>
          <w:p w14:paraId="7E0D55FA" w14:textId="151B6EC0" w:rsidR="00D706C6" w:rsidRDefault="00D706C6" w:rsidP="00CA51AC">
            <w:pPr>
              <w:spacing w:after="0"/>
              <w:jc w:val="center"/>
            </w:pPr>
            <w:r>
              <w:t>30,524</w:t>
            </w:r>
          </w:p>
        </w:tc>
        <w:tc>
          <w:tcPr>
            <w:tcW w:w="0" w:type="auto"/>
          </w:tcPr>
          <w:p w14:paraId="60A85254" w14:textId="7814F46E" w:rsidR="00D706C6" w:rsidRDefault="00D706C6" w:rsidP="00CA51AC">
            <w:pPr>
              <w:spacing w:after="0"/>
              <w:jc w:val="center"/>
            </w:pPr>
            <w:r>
              <w:t>22.68%</w:t>
            </w:r>
          </w:p>
        </w:tc>
        <w:tc>
          <w:tcPr>
            <w:tcW w:w="0" w:type="auto"/>
          </w:tcPr>
          <w:p w14:paraId="346B39C2" w14:textId="1C3E90C2" w:rsidR="00D706C6" w:rsidRDefault="00D706C6" w:rsidP="00CA51AC">
            <w:pPr>
              <w:spacing w:after="0"/>
              <w:jc w:val="center"/>
            </w:pPr>
            <w:r>
              <w:t>29,516</w:t>
            </w:r>
          </w:p>
        </w:tc>
        <w:tc>
          <w:tcPr>
            <w:tcW w:w="0" w:type="auto"/>
          </w:tcPr>
          <w:p w14:paraId="109387C5" w14:textId="41723875" w:rsidR="00D706C6" w:rsidRDefault="00D706C6" w:rsidP="00CA51AC">
            <w:pPr>
              <w:spacing w:after="0"/>
              <w:jc w:val="center"/>
            </w:pPr>
            <w:r>
              <w:t>22.25%</w:t>
            </w:r>
          </w:p>
        </w:tc>
      </w:tr>
      <w:tr w:rsidR="00D706C6" w14:paraId="3C0EB2CE" w14:textId="25FCF783" w:rsidTr="00E86A77">
        <w:trPr>
          <w:cantSplit/>
        </w:trPr>
        <w:tc>
          <w:tcPr>
            <w:tcW w:w="0" w:type="auto"/>
          </w:tcPr>
          <w:p w14:paraId="602F4318" w14:textId="3F0217DA" w:rsidR="00D706C6" w:rsidRPr="006C4B95" w:rsidRDefault="00D706C6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65</w:t>
            </w:r>
            <w:r>
              <w:rPr>
                <w:bCs/>
              </w:rPr>
              <w:t>+</w:t>
            </w:r>
          </w:p>
        </w:tc>
        <w:tc>
          <w:tcPr>
            <w:tcW w:w="0" w:type="auto"/>
          </w:tcPr>
          <w:p w14:paraId="7B80B397" w14:textId="2AEE676F" w:rsidR="00D706C6" w:rsidRDefault="000F29C5" w:rsidP="00CA51AC">
            <w:pPr>
              <w:spacing w:after="0"/>
              <w:jc w:val="center"/>
            </w:pPr>
            <w:r>
              <w:t>45</w:t>
            </w:r>
            <w:r w:rsidR="00D706C6">
              <w:t>,</w:t>
            </w:r>
            <w:r>
              <w:t>686</w:t>
            </w:r>
          </w:p>
        </w:tc>
        <w:tc>
          <w:tcPr>
            <w:tcW w:w="0" w:type="auto"/>
          </w:tcPr>
          <w:p w14:paraId="1376B180" w14:textId="7C845922" w:rsidR="00D706C6" w:rsidRDefault="002E4029" w:rsidP="00CA51AC">
            <w:pPr>
              <w:spacing w:after="0"/>
              <w:jc w:val="center"/>
            </w:pPr>
            <w:r>
              <w:t>31.23</w:t>
            </w:r>
            <w:r w:rsidR="00D706C6">
              <w:t>%</w:t>
            </w:r>
          </w:p>
        </w:tc>
        <w:tc>
          <w:tcPr>
            <w:tcW w:w="0" w:type="auto"/>
          </w:tcPr>
          <w:p w14:paraId="4B8448E7" w14:textId="60AF9645" w:rsidR="00D706C6" w:rsidRDefault="002E4029" w:rsidP="00CA51AC">
            <w:pPr>
              <w:spacing w:after="0"/>
              <w:jc w:val="center"/>
            </w:pPr>
            <w:r>
              <w:t>36</w:t>
            </w:r>
            <w:r w:rsidR="00D706C6">
              <w:t>,</w:t>
            </w:r>
            <w:r>
              <w:t>819</w:t>
            </w:r>
          </w:p>
        </w:tc>
        <w:tc>
          <w:tcPr>
            <w:tcW w:w="0" w:type="auto"/>
          </w:tcPr>
          <w:p w14:paraId="2CED91BF" w14:textId="31A7D1DD" w:rsidR="00D706C6" w:rsidRDefault="00D706C6" w:rsidP="00CA51AC">
            <w:pPr>
              <w:spacing w:after="0"/>
              <w:jc w:val="center"/>
            </w:pPr>
            <w:r>
              <w:t>2</w:t>
            </w:r>
            <w:r w:rsidR="00E76808">
              <w:t>7.3</w:t>
            </w:r>
            <w:r w:rsidR="00067EFB">
              <w:t>5</w:t>
            </w:r>
            <w:r>
              <w:t>%</w:t>
            </w:r>
          </w:p>
        </w:tc>
        <w:tc>
          <w:tcPr>
            <w:tcW w:w="0" w:type="auto"/>
          </w:tcPr>
          <w:p w14:paraId="30FD1F55" w14:textId="66A6EC05" w:rsidR="00D706C6" w:rsidRDefault="00067EFB" w:rsidP="00CA51AC">
            <w:pPr>
              <w:spacing w:after="0"/>
              <w:jc w:val="center"/>
            </w:pPr>
            <w:r>
              <w:t>37</w:t>
            </w:r>
            <w:r w:rsidR="00D706C6">
              <w:t>,</w:t>
            </w:r>
            <w:r>
              <w:t>794</w:t>
            </w:r>
          </w:p>
        </w:tc>
        <w:tc>
          <w:tcPr>
            <w:tcW w:w="0" w:type="auto"/>
          </w:tcPr>
          <w:p w14:paraId="412ED0D8" w14:textId="260B09FA" w:rsidR="00D706C6" w:rsidRDefault="00D706C6" w:rsidP="00CA51AC">
            <w:pPr>
              <w:spacing w:after="0"/>
              <w:jc w:val="center"/>
            </w:pPr>
            <w:r>
              <w:t>2</w:t>
            </w:r>
            <w:r w:rsidR="00B95F35">
              <w:t>8.49</w:t>
            </w:r>
            <w:r>
              <w:t>%</w:t>
            </w:r>
          </w:p>
        </w:tc>
      </w:tr>
      <w:tr w:rsidR="00D706C6" w14:paraId="5C3267FE" w14:textId="6C16CE96" w:rsidTr="00E86A77">
        <w:trPr>
          <w:cantSplit/>
        </w:trPr>
        <w:tc>
          <w:tcPr>
            <w:tcW w:w="0" w:type="auto"/>
          </w:tcPr>
          <w:p w14:paraId="1AEE557D" w14:textId="77777777" w:rsidR="00D706C6" w:rsidRPr="006C4B95" w:rsidRDefault="00D706C6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0" w:type="auto"/>
          </w:tcPr>
          <w:p w14:paraId="72734FC4" w14:textId="46EB14F0" w:rsidR="00D706C6" w:rsidRDefault="00D706C6" w:rsidP="00CA51AC">
            <w:pPr>
              <w:spacing w:after="0"/>
              <w:jc w:val="center"/>
            </w:pPr>
            <w:r>
              <w:t>146,286</w:t>
            </w:r>
          </w:p>
        </w:tc>
        <w:tc>
          <w:tcPr>
            <w:tcW w:w="0" w:type="auto"/>
          </w:tcPr>
          <w:p w14:paraId="4CC81507" w14:textId="3988CDE9" w:rsidR="00D706C6" w:rsidRDefault="00D706C6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0" w:type="auto"/>
          </w:tcPr>
          <w:p w14:paraId="32DB8D14" w14:textId="43614A6B" w:rsidR="00D706C6" w:rsidRDefault="00D706C6" w:rsidP="00CA51AC">
            <w:pPr>
              <w:spacing w:after="0"/>
              <w:jc w:val="center"/>
            </w:pPr>
            <w:r>
              <w:t>134,592</w:t>
            </w:r>
          </w:p>
        </w:tc>
        <w:tc>
          <w:tcPr>
            <w:tcW w:w="0" w:type="auto"/>
          </w:tcPr>
          <w:p w14:paraId="2BC00272" w14:textId="0D713127" w:rsidR="00D706C6" w:rsidRDefault="00D706C6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0" w:type="auto"/>
          </w:tcPr>
          <w:p w14:paraId="002AA284" w14:textId="2A5B04B8" w:rsidR="00D706C6" w:rsidRDefault="00D706C6" w:rsidP="00CA51AC">
            <w:pPr>
              <w:spacing w:after="0"/>
              <w:jc w:val="center"/>
            </w:pPr>
            <w:r>
              <w:t>132,669</w:t>
            </w:r>
          </w:p>
        </w:tc>
        <w:tc>
          <w:tcPr>
            <w:tcW w:w="0" w:type="auto"/>
          </w:tcPr>
          <w:p w14:paraId="460C2D4B" w14:textId="0D745607" w:rsidR="00D706C6" w:rsidRDefault="00D706C6" w:rsidP="00CA51AC">
            <w:pPr>
              <w:spacing w:after="0"/>
              <w:jc w:val="center"/>
            </w:pPr>
            <w:r>
              <w:t>100.00%</w:t>
            </w:r>
          </w:p>
        </w:tc>
      </w:tr>
    </w:tbl>
    <w:p w14:paraId="3289AD14" w14:textId="2C623E2B" w:rsidR="00795331" w:rsidRPr="00C9717D" w:rsidRDefault="00E14D0C" w:rsidP="00E14D0C">
      <w:pPr>
        <w:rPr>
          <w:bCs/>
          <w:sz w:val="20"/>
        </w:rPr>
      </w:pPr>
      <w:r w:rsidRPr="00C9717D">
        <w:rPr>
          <w:sz w:val="20"/>
        </w:rPr>
        <w:t xml:space="preserve">Berkshire Health System patients </w:t>
      </w:r>
      <w:proofErr w:type="gramStart"/>
      <w:r w:rsidR="00921CB9">
        <w:rPr>
          <w:sz w:val="20"/>
        </w:rPr>
        <w:t>age</w:t>
      </w:r>
      <w:proofErr w:type="gramEnd"/>
      <w:r w:rsidR="00921CB9">
        <w:rPr>
          <w:sz w:val="20"/>
        </w:rPr>
        <w:t xml:space="preserve"> 65 and over reflect a higher percentage of its patient population (31.23%) than of the population at large (</w:t>
      </w:r>
      <w:r w:rsidRPr="00C9717D">
        <w:rPr>
          <w:sz w:val="20"/>
        </w:rPr>
        <w:t>25% of Berkshire County and 18% of the Massachusetts population</w:t>
      </w:r>
      <w:r w:rsidR="00921CB9">
        <w:rPr>
          <w:sz w:val="20"/>
        </w:rPr>
        <w:t>)</w:t>
      </w:r>
      <w:r w:rsidRPr="00C9717D">
        <w:rPr>
          <w:sz w:val="20"/>
        </w:rPr>
        <w:t xml:space="preserve">. </w:t>
      </w:r>
      <w:r w:rsidR="00C9717D" w:rsidRPr="00C9717D">
        <w:rPr>
          <w:bCs/>
          <w:sz w:val="20"/>
        </w:rPr>
        <w:t>The increased 65+ group compared to the county, along with increased severity of illness which based on the Case Mix Index, supports the needs for additional inpatient and observation beds.</w:t>
      </w:r>
    </w:p>
    <w:p w14:paraId="59C6CE47" w14:textId="5596935B" w:rsidR="00E14D0C" w:rsidRDefault="00E14D0C" w:rsidP="00E14D0C">
      <w:pPr>
        <w:rPr>
          <w:bCs/>
        </w:rPr>
      </w:pPr>
    </w:p>
    <w:p w14:paraId="0C9FF6EF" w14:textId="4276E106" w:rsidR="00CB6A72" w:rsidRDefault="00CB6A72" w:rsidP="00E14D0C">
      <w:pPr>
        <w:rPr>
          <w:bCs/>
        </w:rPr>
      </w:pPr>
    </w:p>
    <w:p w14:paraId="65A3754D" w14:textId="243C785D" w:rsidR="00CB6A72" w:rsidRDefault="00CB6A72" w:rsidP="00E14D0C">
      <w:pPr>
        <w:rPr>
          <w:bCs/>
        </w:rPr>
      </w:pPr>
    </w:p>
    <w:p w14:paraId="3EE2575C" w14:textId="63B879C8" w:rsidR="00CB6A72" w:rsidRDefault="00CB6A72" w:rsidP="00E14D0C">
      <w:pPr>
        <w:rPr>
          <w:bCs/>
        </w:rPr>
      </w:pPr>
    </w:p>
    <w:p w14:paraId="3724D8A8" w14:textId="5A4E1325" w:rsidR="00CB6A72" w:rsidRDefault="00CB6A72" w:rsidP="00E14D0C">
      <w:pPr>
        <w:rPr>
          <w:bCs/>
        </w:rPr>
      </w:pPr>
    </w:p>
    <w:p w14:paraId="00416BC1" w14:textId="78BA93C7" w:rsidR="00CB6A72" w:rsidRDefault="00CB6A72" w:rsidP="00E14D0C">
      <w:pPr>
        <w:rPr>
          <w:bCs/>
        </w:rPr>
      </w:pPr>
    </w:p>
    <w:p w14:paraId="3910EAB1" w14:textId="3C0B2CDB" w:rsidR="00CB6A72" w:rsidRPr="00A22941" w:rsidRDefault="00CB6A72" w:rsidP="00E14D0C">
      <w:pPr>
        <w:rPr>
          <w:bCs/>
        </w:rPr>
      </w:pPr>
    </w:p>
    <w:p w14:paraId="6932749A" w14:textId="735C93CC" w:rsidR="00494A11" w:rsidRPr="00494A11" w:rsidRDefault="002B3A4B" w:rsidP="00494A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lastRenderedPageBreak/>
        <w:t xml:space="preserve">Race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9"/>
        <w:gridCol w:w="1232"/>
        <w:gridCol w:w="1218"/>
        <w:gridCol w:w="1232"/>
        <w:gridCol w:w="1218"/>
        <w:gridCol w:w="1232"/>
        <w:gridCol w:w="1245"/>
      </w:tblGrid>
      <w:tr w:rsidR="00C145DD" w14:paraId="66A62120" w14:textId="77777777" w:rsidTr="00464CEF">
        <w:trPr>
          <w:cantSplit/>
          <w:trHeight w:val="269"/>
          <w:tblHeader/>
        </w:trPr>
        <w:tc>
          <w:tcPr>
            <w:tcW w:w="0" w:type="auto"/>
          </w:tcPr>
          <w:p w14:paraId="05AC0048" w14:textId="3C14EFD5" w:rsidR="00C145DD" w:rsidRDefault="000806B9" w:rsidP="00CA51AC">
            <w:pPr>
              <w:spacing w:after="0"/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0" w:type="auto"/>
          </w:tcPr>
          <w:p w14:paraId="3293794A" w14:textId="2BFB0A80" w:rsidR="00C145DD" w:rsidRDefault="000806B9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C145DD" w:rsidRPr="00357164">
              <w:rPr>
                <w:b/>
                <w:bCs/>
              </w:rPr>
              <w:t>Number</w:t>
            </w:r>
          </w:p>
        </w:tc>
        <w:tc>
          <w:tcPr>
            <w:tcW w:w="0" w:type="auto"/>
          </w:tcPr>
          <w:p w14:paraId="5EA0C906" w14:textId="5CB81511" w:rsidR="00C145DD" w:rsidRDefault="000806B9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C145DD" w:rsidRPr="00357164">
              <w:rPr>
                <w:b/>
                <w:bCs/>
              </w:rPr>
              <w:t>Percent</w:t>
            </w:r>
          </w:p>
        </w:tc>
        <w:tc>
          <w:tcPr>
            <w:tcW w:w="0" w:type="auto"/>
          </w:tcPr>
          <w:p w14:paraId="594CCD69" w14:textId="7911C81C" w:rsidR="00C145DD" w:rsidRDefault="008C19C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C145DD" w:rsidRPr="00357164">
              <w:rPr>
                <w:b/>
                <w:bCs/>
              </w:rPr>
              <w:t>Number</w:t>
            </w:r>
          </w:p>
        </w:tc>
        <w:tc>
          <w:tcPr>
            <w:tcW w:w="0" w:type="auto"/>
          </w:tcPr>
          <w:p w14:paraId="72711400" w14:textId="02A2D5E8" w:rsidR="00C145DD" w:rsidRDefault="008C19C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C145DD" w:rsidRPr="00357164">
              <w:rPr>
                <w:b/>
                <w:bCs/>
              </w:rPr>
              <w:t>Percent</w:t>
            </w:r>
          </w:p>
        </w:tc>
        <w:tc>
          <w:tcPr>
            <w:tcW w:w="0" w:type="auto"/>
          </w:tcPr>
          <w:p w14:paraId="7719428D" w14:textId="198D7ED0" w:rsidR="00C145DD" w:rsidRDefault="008C19C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C145DD" w:rsidRPr="00357164">
              <w:rPr>
                <w:b/>
                <w:bCs/>
              </w:rPr>
              <w:t>Number</w:t>
            </w:r>
          </w:p>
        </w:tc>
        <w:tc>
          <w:tcPr>
            <w:tcW w:w="0" w:type="auto"/>
          </w:tcPr>
          <w:p w14:paraId="1F1B137C" w14:textId="796B4237" w:rsidR="00C145DD" w:rsidRDefault="008C19CF" w:rsidP="00CA51AC">
            <w:pPr>
              <w:spacing w:after="0"/>
              <w:jc w:val="center"/>
            </w:pPr>
            <w:r>
              <w:rPr>
                <w:b/>
              </w:rPr>
              <w:t>FY</w:t>
            </w:r>
            <w:proofErr w:type="gramStart"/>
            <w:r>
              <w:rPr>
                <w:b/>
              </w:rPr>
              <w:t xml:space="preserve">22  </w:t>
            </w:r>
            <w:r w:rsidR="00C145DD" w:rsidRPr="00357164">
              <w:rPr>
                <w:b/>
                <w:bCs/>
              </w:rPr>
              <w:t>Percent</w:t>
            </w:r>
            <w:proofErr w:type="gramEnd"/>
          </w:p>
        </w:tc>
      </w:tr>
      <w:tr w:rsidR="00C145DD" w14:paraId="38CEBF75" w14:textId="77777777" w:rsidTr="00464CEF">
        <w:trPr>
          <w:cantSplit/>
        </w:trPr>
        <w:tc>
          <w:tcPr>
            <w:tcW w:w="0" w:type="auto"/>
          </w:tcPr>
          <w:p w14:paraId="0E51B0C7" w14:textId="1B6C9D10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American Indian/Alaska Native</w:t>
            </w:r>
          </w:p>
        </w:tc>
        <w:tc>
          <w:tcPr>
            <w:tcW w:w="0" w:type="auto"/>
          </w:tcPr>
          <w:p w14:paraId="6EF78833" w14:textId="61AF400F" w:rsidR="00C145DD" w:rsidRDefault="00C145DD" w:rsidP="00CA51AC">
            <w:pPr>
              <w:spacing w:after="0"/>
              <w:jc w:val="center"/>
            </w:pPr>
            <w:r>
              <w:t>195</w:t>
            </w:r>
          </w:p>
        </w:tc>
        <w:tc>
          <w:tcPr>
            <w:tcW w:w="0" w:type="auto"/>
          </w:tcPr>
          <w:p w14:paraId="2930F86D" w14:textId="6C0395EF" w:rsidR="00C145DD" w:rsidRDefault="00C145DD" w:rsidP="00CA51AC">
            <w:pPr>
              <w:spacing w:after="0"/>
              <w:jc w:val="center"/>
            </w:pPr>
            <w:r>
              <w:t>0.13%</w:t>
            </w:r>
          </w:p>
        </w:tc>
        <w:tc>
          <w:tcPr>
            <w:tcW w:w="0" w:type="auto"/>
          </w:tcPr>
          <w:p w14:paraId="56B736A7" w14:textId="4998CCE2" w:rsidR="00C145DD" w:rsidRDefault="00C145DD" w:rsidP="00CA51AC">
            <w:pPr>
              <w:spacing w:after="0"/>
              <w:jc w:val="center"/>
            </w:pPr>
            <w:r>
              <w:t>187</w:t>
            </w:r>
          </w:p>
        </w:tc>
        <w:tc>
          <w:tcPr>
            <w:tcW w:w="0" w:type="auto"/>
          </w:tcPr>
          <w:p w14:paraId="4DB88254" w14:textId="4B1B6AD9" w:rsidR="00C145DD" w:rsidRDefault="00C145DD" w:rsidP="00CA51AC">
            <w:pPr>
              <w:spacing w:after="0"/>
              <w:jc w:val="center"/>
            </w:pPr>
            <w:r>
              <w:t>0.13%</w:t>
            </w:r>
          </w:p>
        </w:tc>
        <w:tc>
          <w:tcPr>
            <w:tcW w:w="0" w:type="auto"/>
          </w:tcPr>
          <w:p w14:paraId="3A6CAC4E" w14:textId="4799884B" w:rsidR="00C145DD" w:rsidRDefault="00C145DD" w:rsidP="00CA51AC">
            <w:pPr>
              <w:spacing w:after="0"/>
              <w:jc w:val="center"/>
            </w:pPr>
            <w:r>
              <w:t>190</w:t>
            </w:r>
          </w:p>
        </w:tc>
        <w:tc>
          <w:tcPr>
            <w:tcW w:w="0" w:type="auto"/>
          </w:tcPr>
          <w:p w14:paraId="761AF35D" w14:textId="627406DD" w:rsidR="00C145DD" w:rsidRDefault="00C145DD" w:rsidP="00CA51AC">
            <w:pPr>
              <w:spacing w:after="0"/>
              <w:jc w:val="center"/>
            </w:pPr>
            <w:r>
              <w:t>0.14%</w:t>
            </w:r>
          </w:p>
        </w:tc>
      </w:tr>
      <w:tr w:rsidR="00C145DD" w14:paraId="3144820E" w14:textId="77777777" w:rsidTr="00464CEF">
        <w:trPr>
          <w:cantSplit/>
          <w:trHeight w:val="70"/>
        </w:trPr>
        <w:tc>
          <w:tcPr>
            <w:tcW w:w="0" w:type="auto"/>
          </w:tcPr>
          <w:p w14:paraId="6E93CBB6" w14:textId="0A296F29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Asian</w:t>
            </w:r>
          </w:p>
        </w:tc>
        <w:tc>
          <w:tcPr>
            <w:tcW w:w="0" w:type="auto"/>
          </w:tcPr>
          <w:p w14:paraId="36FAE7A6" w14:textId="5AAA9A2C" w:rsidR="00C145DD" w:rsidRDefault="00C145DD" w:rsidP="00CA51AC">
            <w:pPr>
              <w:spacing w:after="0"/>
              <w:jc w:val="center"/>
            </w:pPr>
            <w:r>
              <w:t>1,325</w:t>
            </w:r>
          </w:p>
        </w:tc>
        <w:tc>
          <w:tcPr>
            <w:tcW w:w="0" w:type="auto"/>
          </w:tcPr>
          <w:p w14:paraId="52959FC0" w14:textId="5F7352A1" w:rsidR="00C145DD" w:rsidRDefault="00C145DD" w:rsidP="00CA51AC">
            <w:pPr>
              <w:spacing w:after="0"/>
              <w:jc w:val="center"/>
            </w:pPr>
            <w:r>
              <w:t>0.91%</w:t>
            </w:r>
          </w:p>
        </w:tc>
        <w:tc>
          <w:tcPr>
            <w:tcW w:w="0" w:type="auto"/>
          </w:tcPr>
          <w:p w14:paraId="511E576D" w14:textId="0E2CB367" w:rsidR="00C145DD" w:rsidRDefault="00C145DD" w:rsidP="00CA51AC">
            <w:pPr>
              <w:spacing w:after="0"/>
              <w:jc w:val="center"/>
            </w:pPr>
            <w:r>
              <w:t>1,429</w:t>
            </w:r>
          </w:p>
        </w:tc>
        <w:tc>
          <w:tcPr>
            <w:tcW w:w="0" w:type="auto"/>
          </w:tcPr>
          <w:p w14:paraId="140CBFCD" w14:textId="65B890CD" w:rsidR="00C145DD" w:rsidRDefault="00C145DD" w:rsidP="00CA51AC">
            <w:pPr>
              <w:spacing w:after="0"/>
              <w:jc w:val="center"/>
            </w:pPr>
            <w:r>
              <w:t>1.06%</w:t>
            </w:r>
          </w:p>
        </w:tc>
        <w:tc>
          <w:tcPr>
            <w:tcW w:w="0" w:type="auto"/>
          </w:tcPr>
          <w:p w14:paraId="4826CEB9" w14:textId="119253C5" w:rsidR="00C145DD" w:rsidRDefault="00C145DD" w:rsidP="00CA51AC">
            <w:pPr>
              <w:spacing w:after="0"/>
              <w:jc w:val="center"/>
            </w:pPr>
            <w:r>
              <w:t>1,418</w:t>
            </w:r>
          </w:p>
        </w:tc>
        <w:tc>
          <w:tcPr>
            <w:tcW w:w="0" w:type="auto"/>
          </w:tcPr>
          <w:p w14:paraId="13D57257" w14:textId="143B83EB" w:rsidR="00C145DD" w:rsidRDefault="00C145DD" w:rsidP="00CA51AC">
            <w:pPr>
              <w:spacing w:after="0"/>
              <w:jc w:val="center"/>
            </w:pPr>
            <w:r>
              <w:t>1.07%</w:t>
            </w:r>
          </w:p>
        </w:tc>
      </w:tr>
      <w:tr w:rsidR="00C145DD" w14:paraId="79185A87" w14:textId="77777777" w:rsidTr="00464CEF">
        <w:trPr>
          <w:cantSplit/>
        </w:trPr>
        <w:tc>
          <w:tcPr>
            <w:tcW w:w="0" w:type="auto"/>
          </w:tcPr>
          <w:p w14:paraId="2C3E1733" w14:textId="1EC6B576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Black/African American</w:t>
            </w:r>
          </w:p>
        </w:tc>
        <w:tc>
          <w:tcPr>
            <w:tcW w:w="0" w:type="auto"/>
          </w:tcPr>
          <w:p w14:paraId="650CB746" w14:textId="53928C9C" w:rsidR="00C145DD" w:rsidRDefault="00C145DD" w:rsidP="00CA51AC">
            <w:pPr>
              <w:spacing w:after="0"/>
              <w:jc w:val="center"/>
            </w:pPr>
            <w:r>
              <w:t>5,200</w:t>
            </w:r>
          </w:p>
        </w:tc>
        <w:tc>
          <w:tcPr>
            <w:tcW w:w="0" w:type="auto"/>
          </w:tcPr>
          <w:p w14:paraId="33DFD7AA" w14:textId="4BA7CD14" w:rsidR="00C145DD" w:rsidRDefault="00C145DD" w:rsidP="00CA51AC">
            <w:pPr>
              <w:spacing w:after="0"/>
              <w:jc w:val="center"/>
            </w:pPr>
            <w:r>
              <w:t>3.55%</w:t>
            </w:r>
          </w:p>
        </w:tc>
        <w:tc>
          <w:tcPr>
            <w:tcW w:w="0" w:type="auto"/>
          </w:tcPr>
          <w:p w14:paraId="2D61696E" w14:textId="72A9900E" w:rsidR="00C145DD" w:rsidRDefault="00C145DD" w:rsidP="00CA51AC">
            <w:pPr>
              <w:spacing w:after="0"/>
              <w:jc w:val="center"/>
            </w:pPr>
            <w:r>
              <w:t>5,010</w:t>
            </w:r>
          </w:p>
        </w:tc>
        <w:tc>
          <w:tcPr>
            <w:tcW w:w="0" w:type="auto"/>
          </w:tcPr>
          <w:p w14:paraId="0D165E2E" w14:textId="70D77E8C" w:rsidR="00C145DD" w:rsidRDefault="00C145DD" w:rsidP="00CA51AC">
            <w:pPr>
              <w:spacing w:after="0"/>
              <w:jc w:val="center"/>
            </w:pPr>
            <w:r>
              <w:t>3.72%</w:t>
            </w:r>
          </w:p>
        </w:tc>
        <w:tc>
          <w:tcPr>
            <w:tcW w:w="0" w:type="auto"/>
          </w:tcPr>
          <w:p w14:paraId="2E27CD8C" w14:textId="09388A5B" w:rsidR="00C145DD" w:rsidRDefault="00C145DD" w:rsidP="00CA51AC">
            <w:pPr>
              <w:spacing w:after="0"/>
              <w:jc w:val="center"/>
            </w:pPr>
            <w:r>
              <w:t>5,221</w:t>
            </w:r>
          </w:p>
        </w:tc>
        <w:tc>
          <w:tcPr>
            <w:tcW w:w="0" w:type="auto"/>
          </w:tcPr>
          <w:p w14:paraId="48054E99" w14:textId="408F19FF" w:rsidR="00C145DD" w:rsidRDefault="00C145DD" w:rsidP="00CA51AC">
            <w:pPr>
              <w:spacing w:after="0"/>
              <w:jc w:val="center"/>
            </w:pPr>
            <w:r>
              <w:t>3.94%</w:t>
            </w:r>
          </w:p>
        </w:tc>
      </w:tr>
      <w:tr w:rsidR="00C145DD" w14:paraId="5D32C823" w14:textId="77777777" w:rsidTr="00464CEF">
        <w:trPr>
          <w:cantSplit/>
        </w:trPr>
        <w:tc>
          <w:tcPr>
            <w:tcW w:w="0" w:type="auto"/>
          </w:tcPr>
          <w:p w14:paraId="3655DB43" w14:textId="6550FF38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Native Hawaiian/Pacific Islander</w:t>
            </w:r>
          </w:p>
        </w:tc>
        <w:tc>
          <w:tcPr>
            <w:tcW w:w="0" w:type="auto"/>
          </w:tcPr>
          <w:p w14:paraId="16C97AAD" w14:textId="098B802B" w:rsidR="00C145DD" w:rsidRDefault="00C145DD" w:rsidP="00CA51AC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4A73F073" w14:textId="7D95D362" w:rsidR="00C145DD" w:rsidRDefault="00C145DD" w:rsidP="00CA51AC">
            <w:pPr>
              <w:spacing w:after="0"/>
              <w:jc w:val="center"/>
            </w:pPr>
            <w:r>
              <w:t>0.02%</w:t>
            </w:r>
          </w:p>
        </w:tc>
        <w:tc>
          <w:tcPr>
            <w:tcW w:w="0" w:type="auto"/>
          </w:tcPr>
          <w:p w14:paraId="5CDC4F0E" w14:textId="4FA89C80" w:rsidR="00C145DD" w:rsidRDefault="00C145DD" w:rsidP="00CA51AC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auto"/>
          </w:tcPr>
          <w:p w14:paraId="0AD1BFC7" w14:textId="4BCBA83B" w:rsidR="00C145DD" w:rsidRDefault="00C145DD" w:rsidP="00CA51AC">
            <w:pPr>
              <w:spacing w:after="0"/>
              <w:jc w:val="center"/>
            </w:pPr>
            <w:r>
              <w:t>0.02%</w:t>
            </w:r>
          </w:p>
        </w:tc>
        <w:tc>
          <w:tcPr>
            <w:tcW w:w="0" w:type="auto"/>
          </w:tcPr>
          <w:p w14:paraId="2BB6FA27" w14:textId="4F15E1EC" w:rsidR="00C145DD" w:rsidRDefault="00C145DD" w:rsidP="00CA51AC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25A7813D" w14:textId="6C4D8028" w:rsidR="00C145DD" w:rsidRDefault="00C145DD" w:rsidP="00CA51AC">
            <w:pPr>
              <w:spacing w:after="0"/>
              <w:jc w:val="center"/>
            </w:pPr>
            <w:r>
              <w:t>0.02%</w:t>
            </w:r>
          </w:p>
        </w:tc>
      </w:tr>
      <w:tr w:rsidR="00C145DD" w14:paraId="3514956A" w14:textId="77777777" w:rsidTr="00464CEF">
        <w:trPr>
          <w:cantSplit/>
        </w:trPr>
        <w:tc>
          <w:tcPr>
            <w:tcW w:w="0" w:type="auto"/>
          </w:tcPr>
          <w:p w14:paraId="0034C1AF" w14:textId="4FFD32CF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White/Caucasian</w:t>
            </w:r>
          </w:p>
        </w:tc>
        <w:tc>
          <w:tcPr>
            <w:tcW w:w="0" w:type="auto"/>
          </w:tcPr>
          <w:p w14:paraId="02F6F752" w14:textId="5D9FD519" w:rsidR="00C145DD" w:rsidRDefault="00C145DD" w:rsidP="00CA51AC">
            <w:pPr>
              <w:spacing w:after="0"/>
              <w:jc w:val="center"/>
            </w:pPr>
            <w:r>
              <w:t>128,836</w:t>
            </w:r>
          </w:p>
        </w:tc>
        <w:tc>
          <w:tcPr>
            <w:tcW w:w="0" w:type="auto"/>
          </w:tcPr>
          <w:p w14:paraId="577AC6BA" w14:textId="20467E88" w:rsidR="00C145DD" w:rsidRDefault="00C145DD" w:rsidP="00CA51AC">
            <w:pPr>
              <w:spacing w:after="0"/>
              <w:jc w:val="center"/>
            </w:pPr>
            <w:r>
              <w:t>88.07%</w:t>
            </w:r>
          </w:p>
        </w:tc>
        <w:tc>
          <w:tcPr>
            <w:tcW w:w="0" w:type="auto"/>
          </w:tcPr>
          <w:p w14:paraId="1C26AFCB" w14:textId="4C8AE6B0" w:rsidR="00C145DD" w:rsidRDefault="00C145DD" w:rsidP="00CA51AC">
            <w:pPr>
              <w:spacing w:after="0"/>
              <w:jc w:val="center"/>
            </w:pPr>
            <w:r>
              <w:t>114,243</w:t>
            </w:r>
          </w:p>
        </w:tc>
        <w:tc>
          <w:tcPr>
            <w:tcW w:w="0" w:type="auto"/>
          </w:tcPr>
          <w:p w14:paraId="1332B752" w14:textId="597C2819" w:rsidR="00C145DD" w:rsidRDefault="00C145DD" w:rsidP="00CA51AC">
            <w:pPr>
              <w:spacing w:after="0"/>
              <w:jc w:val="center"/>
            </w:pPr>
            <w:r>
              <w:t>84.88%</w:t>
            </w:r>
          </w:p>
        </w:tc>
        <w:tc>
          <w:tcPr>
            <w:tcW w:w="0" w:type="auto"/>
          </w:tcPr>
          <w:p w14:paraId="1BAF7D96" w14:textId="7F9D854D" w:rsidR="00C145DD" w:rsidRDefault="00C145DD" w:rsidP="00CA51AC">
            <w:pPr>
              <w:spacing w:after="0"/>
              <w:jc w:val="center"/>
            </w:pPr>
            <w:r>
              <w:t>112,113</w:t>
            </w:r>
          </w:p>
        </w:tc>
        <w:tc>
          <w:tcPr>
            <w:tcW w:w="0" w:type="auto"/>
          </w:tcPr>
          <w:p w14:paraId="3671B132" w14:textId="6847527A" w:rsidR="00C145DD" w:rsidRDefault="00C145DD" w:rsidP="00CA51AC">
            <w:pPr>
              <w:spacing w:after="0"/>
              <w:jc w:val="center"/>
            </w:pPr>
            <w:r>
              <w:t>84.51%</w:t>
            </w:r>
          </w:p>
        </w:tc>
      </w:tr>
      <w:tr w:rsidR="00C145DD" w14:paraId="59596074" w14:textId="77777777" w:rsidTr="00464CEF">
        <w:trPr>
          <w:cantSplit/>
        </w:trPr>
        <w:tc>
          <w:tcPr>
            <w:tcW w:w="0" w:type="auto"/>
          </w:tcPr>
          <w:p w14:paraId="71B4CA50" w14:textId="07920D84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Other</w:t>
            </w:r>
          </w:p>
        </w:tc>
        <w:tc>
          <w:tcPr>
            <w:tcW w:w="0" w:type="auto"/>
          </w:tcPr>
          <w:p w14:paraId="3FC251DA" w14:textId="4F9CCDBB" w:rsidR="00C145DD" w:rsidRDefault="00C145DD" w:rsidP="00CA51AC">
            <w:pPr>
              <w:spacing w:after="0"/>
              <w:jc w:val="center"/>
            </w:pPr>
            <w:r>
              <w:t>3,768</w:t>
            </w:r>
          </w:p>
        </w:tc>
        <w:tc>
          <w:tcPr>
            <w:tcW w:w="0" w:type="auto"/>
          </w:tcPr>
          <w:p w14:paraId="1CCAFC87" w14:textId="4CAFA78B" w:rsidR="00C145DD" w:rsidRDefault="00C145DD" w:rsidP="00CA51AC">
            <w:pPr>
              <w:spacing w:after="0"/>
              <w:jc w:val="center"/>
            </w:pPr>
            <w:r>
              <w:t>2.58%</w:t>
            </w:r>
          </w:p>
        </w:tc>
        <w:tc>
          <w:tcPr>
            <w:tcW w:w="0" w:type="auto"/>
          </w:tcPr>
          <w:p w14:paraId="324682D6" w14:textId="0140C3CE" w:rsidR="00C145DD" w:rsidRDefault="00C145DD" w:rsidP="00CA51AC">
            <w:pPr>
              <w:spacing w:after="0"/>
              <w:jc w:val="center"/>
            </w:pPr>
            <w:r>
              <w:t>4,007</w:t>
            </w:r>
          </w:p>
        </w:tc>
        <w:tc>
          <w:tcPr>
            <w:tcW w:w="0" w:type="auto"/>
          </w:tcPr>
          <w:p w14:paraId="561623A2" w14:textId="3024F284" w:rsidR="00C145DD" w:rsidRDefault="00C145DD" w:rsidP="00CA51AC">
            <w:pPr>
              <w:spacing w:after="0"/>
              <w:jc w:val="center"/>
            </w:pPr>
            <w:r>
              <w:t>2.98%</w:t>
            </w:r>
          </w:p>
        </w:tc>
        <w:tc>
          <w:tcPr>
            <w:tcW w:w="0" w:type="auto"/>
          </w:tcPr>
          <w:p w14:paraId="2A61DA2A" w14:textId="4ED130AF" w:rsidR="00C145DD" w:rsidRDefault="00C145DD" w:rsidP="00CA51AC">
            <w:pPr>
              <w:spacing w:after="0"/>
              <w:jc w:val="center"/>
            </w:pPr>
            <w:r>
              <w:t>4,015</w:t>
            </w:r>
          </w:p>
        </w:tc>
        <w:tc>
          <w:tcPr>
            <w:tcW w:w="0" w:type="auto"/>
          </w:tcPr>
          <w:p w14:paraId="06FB4EB5" w14:textId="38374A19" w:rsidR="00C145DD" w:rsidRDefault="00C145DD" w:rsidP="00CA51AC">
            <w:pPr>
              <w:spacing w:after="0"/>
              <w:jc w:val="center"/>
            </w:pPr>
            <w:r>
              <w:t>3.03%</w:t>
            </w:r>
          </w:p>
        </w:tc>
      </w:tr>
      <w:tr w:rsidR="00C145DD" w14:paraId="7C587026" w14:textId="77777777" w:rsidTr="00464CEF">
        <w:trPr>
          <w:cantSplit/>
        </w:trPr>
        <w:tc>
          <w:tcPr>
            <w:tcW w:w="0" w:type="auto"/>
          </w:tcPr>
          <w:p w14:paraId="7F4359C4" w14:textId="27095CC4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Refused/Unknown </w:t>
            </w:r>
          </w:p>
        </w:tc>
        <w:tc>
          <w:tcPr>
            <w:tcW w:w="0" w:type="auto"/>
          </w:tcPr>
          <w:p w14:paraId="55D7A27F" w14:textId="2573ED59" w:rsidR="00C145DD" w:rsidRDefault="00C145DD" w:rsidP="00CA51AC">
            <w:pPr>
              <w:spacing w:after="0"/>
              <w:jc w:val="center"/>
            </w:pPr>
            <w:r>
              <w:t>6,936</w:t>
            </w:r>
          </w:p>
        </w:tc>
        <w:tc>
          <w:tcPr>
            <w:tcW w:w="0" w:type="auto"/>
          </w:tcPr>
          <w:p w14:paraId="4C81CA5D" w14:textId="7EC1DAF3" w:rsidR="00C145DD" w:rsidRDefault="00C145DD" w:rsidP="00CA51AC">
            <w:pPr>
              <w:spacing w:after="0"/>
              <w:jc w:val="center"/>
            </w:pPr>
            <w:r>
              <w:t>4.74%</w:t>
            </w:r>
          </w:p>
        </w:tc>
        <w:tc>
          <w:tcPr>
            <w:tcW w:w="0" w:type="auto"/>
          </w:tcPr>
          <w:p w14:paraId="2A3D1EAA" w14:textId="3B350A8E" w:rsidR="00C145DD" w:rsidRDefault="00C145DD" w:rsidP="00CA51AC">
            <w:pPr>
              <w:spacing w:after="0"/>
              <w:jc w:val="center"/>
            </w:pPr>
            <w:r>
              <w:t>9,684</w:t>
            </w:r>
          </w:p>
        </w:tc>
        <w:tc>
          <w:tcPr>
            <w:tcW w:w="0" w:type="auto"/>
          </w:tcPr>
          <w:p w14:paraId="05CE212D" w14:textId="00725C81" w:rsidR="00C145DD" w:rsidRDefault="00C145DD" w:rsidP="00CA51AC">
            <w:pPr>
              <w:spacing w:after="0"/>
              <w:jc w:val="center"/>
            </w:pPr>
            <w:r>
              <w:t>7.20%</w:t>
            </w:r>
          </w:p>
        </w:tc>
        <w:tc>
          <w:tcPr>
            <w:tcW w:w="0" w:type="auto"/>
          </w:tcPr>
          <w:p w14:paraId="4FDB5E6A" w14:textId="2E8BA8C1" w:rsidR="00C145DD" w:rsidRDefault="00C145DD" w:rsidP="00CA51AC">
            <w:pPr>
              <w:spacing w:after="0"/>
              <w:jc w:val="center"/>
            </w:pPr>
            <w:r>
              <w:t>9,684</w:t>
            </w:r>
          </w:p>
        </w:tc>
        <w:tc>
          <w:tcPr>
            <w:tcW w:w="0" w:type="auto"/>
          </w:tcPr>
          <w:p w14:paraId="2DC1E2A6" w14:textId="7C1DEAA4" w:rsidR="00C145DD" w:rsidRDefault="00C145DD" w:rsidP="00CA51AC">
            <w:pPr>
              <w:spacing w:after="0"/>
              <w:jc w:val="center"/>
            </w:pPr>
            <w:r>
              <w:t>7.30%</w:t>
            </w:r>
          </w:p>
        </w:tc>
      </w:tr>
      <w:tr w:rsidR="00C145DD" w14:paraId="32B38DB0" w14:textId="77777777" w:rsidTr="00464CEF">
        <w:trPr>
          <w:cantSplit/>
        </w:trPr>
        <w:tc>
          <w:tcPr>
            <w:tcW w:w="0" w:type="auto"/>
          </w:tcPr>
          <w:p w14:paraId="129AEE52" w14:textId="2D388F9D" w:rsidR="00C145DD" w:rsidRPr="006C4B95" w:rsidRDefault="00C145DD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0" w:type="auto"/>
          </w:tcPr>
          <w:p w14:paraId="5CB56913" w14:textId="11386FC9" w:rsidR="00C145DD" w:rsidRDefault="00C145DD" w:rsidP="00CA51AC">
            <w:pPr>
              <w:spacing w:after="0"/>
              <w:jc w:val="center"/>
            </w:pPr>
            <w:r>
              <w:t>146,286</w:t>
            </w:r>
          </w:p>
        </w:tc>
        <w:tc>
          <w:tcPr>
            <w:tcW w:w="0" w:type="auto"/>
          </w:tcPr>
          <w:p w14:paraId="368CDAF7" w14:textId="5707D4B1" w:rsidR="00C145DD" w:rsidRDefault="00C145DD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0" w:type="auto"/>
          </w:tcPr>
          <w:p w14:paraId="54B90022" w14:textId="5E2C59FF" w:rsidR="00C145DD" w:rsidRDefault="00C145DD" w:rsidP="00CA51AC">
            <w:pPr>
              <w:spacing w:after="0"/>
              <w:jc w:val="center"/>
            </w:pPr>
            <w:r>
              <w:t>134,592</w:t>
            </w:r>
          </w:p>
        </w:tc>
        <w:tc>
          <w:tcPr>
            <w:tcW w:w="0" w:type="auto"/>
          </w:tcPr>
          <w:p w14:paraId="5847005A" w14:textId="4E1B7CBF" w:rsidR="00C145DD" w:rsidRDefault="00C145DD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0" w:type="auto"/>
          </w:tcPr>
          <w:p w14:paraId="36E55B08" w14:textId="3C80BA89" w:rsidR="00C145DD" w:rsidRDefault="00C145DD" w:rsidP="00CA51AC">
            <w:pPr>
              <w:spacing w:after="0"/>
              <w:jc w:val="center"/>
            </w:pPr>
            <w:r>
              <w:t>132,669</w:t>
            </w:r>
          </w:p>
        </w:tc>
        <w:tc>
          <w:tcPr>
            <w:tcW w:w="0" w:type="auto"/>
          </w:tcPr>
          <w:p w14:paraId="17E20FAF" w14:textId="0F8D81EF" w:rsidR="00C145DD" w:rsidRDefault="00C145DD" w:rsidP="00CA51AC">
            <w:pPr>
              <w:spacing w:after="0"/>
              <w:jc w:val="center"/>
            </w:pPr>
            <w:r>
              <w:t>100.00%</w:t>
            </w:r>
          </w:p>
        </w:tc>
      </w:tr>
      <w:tr w:rsidR="00C145DD" w14:paraId="26CEF02A" w14:textId="77777777" w:rsidTr="00464CEF">
        <w:trPr>
          <w:cantSplit/>
        </w:trPr>
        <w:tc>
          <w:tcPr>
            <w:tcW w:w="0" w:type="auto"/>
          </w:tcPr>
          <w:p w14:paraId="037F27FC" w14:textId="116240F5" w:rsidR="00C145DD" w:rsidRPr="006C4B95" w:rsidRDefault="00C145DD" w:rsidP="00CA51AC">
            <w:pPr>
              <w:spacing w:after="0"/>
              <w:rPr>
                <w:bCs/>
              </w:rPr>
            </w:pPr>
            <w:r>
              <w:rPr>
                <w:bCs/>
              </w:rPr>
              <w:t>Hispanic Ethnicity</w:t>
            </w:r>
          </w:p>
        </w:tc>
        <w:tc>
          <w:tcPr>
            <w:tcW w:w="0" w:type="auto"/>
          </w:tcPr>
          <w:p w14:paraId="402D90F0" w14:textId="1474A88A" w:rsidR="00C145DD" w:rsidRDefault="002A35BA" w:rsidP="00CA51AC">
            <w:pPr>
              <w:spacing w:after="0"/>
              <w:jc w:val="center"/>
            </w:pPr>
            <w:r>
              <w:t>4,895</w:t>
            </w:r>
          </w:p>
        </w:tc>
        <w:tc>
          <w:tcPr>
            <w:tcW w:w="0" w:type="auto"/>
          </w:tcPr>
          <w:p w14:paraId="2F1E2F57" w14:textId="0DB4C8CC" w:rsidR="00C145DD" w:rsidRDefault="00A04B6C" w:rsidP="00CA51AC">
            <w:pPr>
              <w:spacing w:after="0"/>
              <w:jc w:val="center"/>
            </w:pPr>
            <w:r>
              <w:t>3.35%</w:t>
            </w:r>
          </w:p>
        </w:tc>
        <w:tc>
          <w:tcPr>
            <w:tcW w:w="0" w:type="auto"/>
          </w:tcPr>
          <w:p w14:paraId="340AE284" w14:textId="0AD038B9" w:rsidR="00C145DD" w:rsidRDefault="00817B7B" w:rsidP="00CA51AC">
            <w:pPr>
              <w:spacing w:after="0"/>
              <w:jc w:val="center"/>
            </w:pPr>
            <w:r>
              <w:t>4</w:t>
            </w:r>
            <w:r w:rsidR="00A75EB4">
              <w:t>,864</w:t>
            </w:r>
          </w:p>
        </w:tc>
        <w:tc>
          <w:tcPr>
            <w:tcW w:w="0" w:type="auto"/>
          </w:tcPr>
          <w:p w14:paraId="20A0A77D" w14:textId="7ED8CF05" w:rsidR="00C145DD" w:rsidRDefault="00223EB0" w:rsidP="00CA51AC">
            <w:pPr>
              <w:spacing w:after="0"/>
              <w:jc w:val="center"/>
            </w:pPr>
            <w:r>
              <w:t>3.61</w:t>
            </w:r>
            <w:r w:rsidR="00574788">
              <w:t>%</w:t>
            </w:r>
          </w:p>
        </w:tc>
        <w:tc>
          <w:tcPr>
            <w:tcW w:w="0" w:type="auto"/>
          </w:tcPr>
          <w:p w14:paraId="4E462F77" w14:textId="71726432" w:rsidR="00C145DD" w:rsidRDefault="00DA5A06" w:rsidP="00CA51AC">
            <w:pPr>
              <w:spacing w:after="0"/>
              <w:jc w:val="center"/>
            </w:pPr>
            <w:r>
              <w:t>5,018</w:t>
            </w:r>
          </w:p>
        </w:tc>
        <w:tc>
          <w:tcPr>
            <w:tcW w:w="0" w:type="auto"/>
          </w:tcPr>
          <w:p w14:paraId="7597C5E3" w14:textId="198CCA3D" w:rsidR="00C145DD" w:rsidRDefault="00B46AAE" w:rsidP="00CA51AC">
            <w:pPr>
              <w:spacing w:after="0"/>
              <w:jc w:val="center"/>
            </w:pPr>
            <w:r>
              <w:t>3.78%</w:t>
            </w:r>
          </w:p>
        </w:tc>
      </w:tr>
    </w:tbl>
    <w:p w14:paraId="1DB4B78D" w14:textId="16EAAB09" w:rsidR="00911ED0" w:rsidRPr="008F66F1" w:rsidRDefault="00CB6A72" w:rsidP="00CB6A72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“Other”</w:t>
      </w:r>
      <w:r w:rsidRPr="00CB6A72">
        <w:rPr>
          <w:bCs/>
          <w:sz w:val="20"/>
          <w:szCs w:val="20"/>
        </w:rPr>
        <w:t xml:space="preserve"> is used by patients to represent </w:t>
      </w:r>
      <w:r w:rsidRPr="00147787">
        <w:rPr>
          <w:bCs/>
          <w:sz w:val="20"/>
          <w:szCs w:val="20"/>
        </w:rPr>
        <w:t>multiracial o</w:t>
      </w:r>
      <w:r w:rsidR="00147787" w:rsidRPr="00147787">
        <w:rPr>
          <w:bCs/>
          <w:sz w:val="20"/>
          <w:szCs w:val="20"/>
        </w:rPr>
        <w:t xml:space="preserve">r when </w:t>
      </w:r>
      <w:r w:rsidRPr="00147787">
        <w:rPr>
          <w:bCs/>
          <w:sz w:val="20"/>
          <w:szCs w:val="20"/>
        </w:rPr>
        <w:t>they do not wish to choose one</w:t>
      </w:r>
      <w:r w:rsidR="00147787" w:rsidRPr="00147787">
        <w:rPr>
          <w:bCs/>
          <w:sz w:val="20"/>
          <w:szCs w:val="20"/>
        </w:rPr>
        <w:t xml:space="preserve"> of the </w:t>
      </w:r>
      <w:r w:rsidRPr="00147787">
        <w:rPr>
          <w:bCs/>
          <w:sz w:val="20"/>
          <w:szCs w:val="20"/>
        </w:rPr>
        <w:t>listed options</w:t>
      </w:r>
      <w:r w:rsidR="00860593" w:rsidRPr="00147787">
        <w:rPr>
          <w:bCs/>
          <w:sz w:val="20"/>
          <w:szCs w:val="20"/>
        </w:rPr>
        <w:t>.</w:t>
      </w:r>
      <w:r w:rsidR="00E13FCE" w:rsidRPr="00147787">
        <w:rPr>
          <w:bCs/>
          <w:sz w:val="20"/>
          <w:szCs w:val="20"/>
        </w:rPr>
        <w:t xml:space="preserve"> Hispanic Ethnicity is captured </w:t>
      </w:r>
      <w:r w:rsidR="00BA22A0" w:rsidRPr="00147787">
        <w:rPr>
          <w:bCs/>
          <w:sz w:val="20"/>
          <w:szCs w:val="20"/>
        </w:rPr>
        <w:t xml:space="preserve">separately from the </w:t>
      </w:r>
      <w:r w:rsidR="00E13FCE" w:rsidRPr="00147787">
        <w:rPr>
          <w:bCs/>
          <w:sz w:val="20"/>
          <w:szCs w:val="20"/>
        </w:rPr>
        <w:t>races listed</w:t>
      </w:r>
      <w:r w:rsidR="00BA22A0">
        <w:rPr>
          <w:bCs/>
          <w:sz w:val="20"/>
          <w:szCs w:val="20"/>
        </w:rPr>
        <w:t xml:space="preserve"> and </w:t>
      </w:r>
      <w:r w:rsidR="00AA2D35">
        <w:rPr>
          <w:bCs/>
          <w:sz w:val="20"/>
          <w:szCs w:val="20"/>
        </w:rPr>
        <w:t>would be combined with any of the races listed above.</w:t>
      </w:r>
      <w:r w:rsidR="006356FE">
        <w:rPr>
          <w:bCs/>
          <w:sz w:val="20"/>
          <w:szCs w:val="20"/>
        </w:rPr>
        <w:t xml:space="preserve"> The population of Berkshire County is </w:t>
      </w:r>
      <w:r w:rsidR="00AB15DD">
        <w:rPr>
          <w:bCs/>
          <w:sz w:val="20"/>
          <w:szCs w:val="20"/>
        </w:rPr>
        <w:t xml:space="preserve">5.5% </w:t>
      </w:r>
      <w:r w:rsidR="00B956DC">
        <w:rPr>
          <w:bCs/>
          <w:sz w:val="20"/>
          <w:szCs w:val="20"/>
        </w:rPr>
        <w:t xml:space="preserve">based on data from 7/1/2022 on </w:t>
      </w:r>
      <w:hyperlink r:id="rId10" w:history="1">
        <w:r w:rsidR="006933BF" w:rsidRPr="006D5A52">
          <w:rPr>
            <w:rStyle w:val="Hyperlink"/>
            <w:bCs/>
            <w:sz w:val="20"/>
            <w:szCs w:val="20"/>
          </w:rPr>
          <w:t>www.census.gov</w:t>
        </w:r>
      </w:hyperlink>
      <w:r w:rsidR="00B956DC">
        <w:rPr>
          <w:bCs/>
          <w:sz w:val="20"/>
          <w:szCs w:val="20"/>
        </w:rPr>
        <w:t>.</w:t>
      </w:r>
      <w:r w:rsidR="006933BF">
        <w:rPr>
          <w:bCs/>
          <w:sz w:val="20"/>
          <w:szCs w:val="20"/>
        </w:rPr>
        <w:t xml:space="preserve"> </w:t>
      </w:r>
    </w:p>
    <w:p w14:paraId="6119A4AA" w14:textId="77777777" w:rsidR="00795331" w:rsidRDefault="00795331" w:rsidP="00CA51AC">
      <w:pPr>
        <w:spacing w:after="0"/>
        <w:rPr>
          <w:b/>
        </w:rPr>
      </w:pPr>
    </w:p>
    <w:p w14:paraId="1A0FA661" w14:textId="77777777" w:rsidR="008F66F1" w:rsidRDefault="008F66F1" w:rsidP="00CA51AC">
      <w:pPr>
        <w:spacing w:after="0"/>
        <w:rPr>
          <w:b/>
        </w:rPr>
      </w:pPr>
    </w:p>
    <w:p w14:paraId="53D27743" w14:textId="333B5B7E" w:rsidR="00F77A98" w:rsidRDefault="002B3A4B" w:rsidP="00CA51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Patients by Service Area</w:t>
      </w:r>
      <w:r>
        <w:rPr>
          <w:b/>
        </w:rPr>
        <w:t xml:space="preserve"> - Zip Codes</w:t>
      </w:r>
    </w:p>
    <w:p w14:paraId="32F8E354" w14:textId="77777777" w:rsidR="00795331" w:rsidRPr="00F77A98" w:rsidRDefault="00795331" w:rsidP="007953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5"/>
        <w:gridCol w:w="1326"/>
        <w:gridCol w:w="1189"/>
        <w:gridCol w:w="1048"/>
        <w:gridCol w:w="1189"/>
        <w:gridCol w:w="1259"/>
        <w:gridCol w:w="1400"/>
      </w:tblGrid>
      <w:tr w:rsidR="00464CEF" w14:paraId="71453741" w14:textId="77777777" w:rsidTr="00464CEF">
        <w:trPr>
          <w:cantSplit/>
          <w:trHeight w:val="332"/>
          <w:tblHeader/>
        </w:trPr>
        <w:tc>
          <w:tcPr>
            <w:tcW w:w="1267" w:type="pct"/>
          </w:tcPr>
          <w:p w14:paraId="7FCC66F7" w14:textId="752EC3BE" w:rsidR="00464CEF" w:rsidRPr="00357164" w:rsidRDefault="00464CEF" w:rsidP="00464CEF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>Service Area</w:t>
            </w:r>
          </w:p>
        </w:tc>
        <w:tc>
          <w:tcPr>
            <w:tcW w:w="668" w:type="pct"/>
          </w:tcPr>
          <w:p w14:paraId="5F970B30" w14:textId="281FC013" w:rsidR="00464CEF" w:rsidRPr="00357164" w:rsidRDefault="00464CEF" w:rsidP="00464C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40951B36" w14:textId="76165345" w:rsidR="00464CEF" w:rsidRPr="00357164" w:rsidRDefault="00464CEF" w:rsidP="00464CE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Pr="00357164">
              <w:rPr>
                <w:b/>
                <w:bCs/>
              </w:rPr>
              <w:t>Percent</w:t>
            </w:r>
          </w:p>
        </w:tc>
        <w:tc>
          <w:tcPr>
            <w:tcW w:w="528" w:type="pct"/>
          </w:tcPr>
          <w:p w14:paraId="3341BA3D" w14:textId="5EF51F34" w:rsidR="00464CEF" w:rsidRDefault="00464CEF" w:rsidP="00464CEF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7B9284E8" w14:textId="58EDA18C" w:rsidR="00464CEF" w:rsidRDefault="00464CEF" w:rsidP="00464CEF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Pr="00357164">
              <w:rPr>
                <w:b/>
                <w:bCs/>
              </w:rPr>
              <w:t>Percent</w:t>
            </w:r>
          </w:p>
        </w:tc>
        <w:tc>
          <w:tcPr>
            <w:tcW w:w="634" w:type="pct"/>
          </w:tcPr>
          <w:p w14:paraId="3F01B4D0" w14:textId="388BAFEA" w:rsidR="00464CEF" w:rsidRDefault="00464CEF" w:rsidP="00464CEF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Pr="00357164">
              <w:rPr>
                <w:b/>
                <w:bCs/>
              </w:rPr>
              <w:t>Number</w:t>
            </w:r>
          </w:p>
        </w:tc>
        <w:tc>
          <w:tcPr>
            <w:tcW w:w="705" w:type="pct"/>
          </w:tcPr>
          <w:p w14:paraId="3F826535" w14:textId="5EFCE14D" w:rsidR="00464CEF" w:rsidRDefault="00464CEF" w:rsidP="00464CEF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Pr="00357164">
              <w:rPr>
                <w:b/>
                <w:bCs/>
              </w:rPr>
              <w:t>Percent</w:t>
            </w:r>
          </w:p>
        </w:tc>
      </w:tr>
      <w:tr w:rsidR="00464CEF" w14:paraId="3F0F9783" w14:textId="77777777" w:rsidTr="00464CEF">
        <w:trPr>
          <w:cantSplit/>
        </w:trPr>
        <w:tc>
          <w:tcPr>
            <w:tcW w:w="1267" w:type="pct"/>
          </w:tcPr>
          <w:p w14:paraId="0765B021" w14:textId="3B68D066" w:rsidR="00464CEF" w:rsidRPr="006C4B95" w:rsidRDefault="00464CEF" w:rsidP="00464CEF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Northern Berkshire PSA</w:t>
            </w:r>
          </w:p>
        </w:tc>
        <w:tc>
          <w:tcPr>
            <w:tcW w:w="668" w:type="pct"/>
          </w:tcPr>
          <w:p w14:paraId="6322A19A" w14:textId="7A12D78C" w:rsidR="00464CEF" w:rsidRDefault="00464CEF" w:rsidP="00464CEF">
            <w:pPr>
              <w:spacing w:after="0"/>
              <w:jc w:val="center"/>
            </w:pPr>
            <w:r>
              <w:t>32,384</w:t>
            </w:r>
          </w:p>
        </w:tc>
        <w:tc>
          <w:tcPr>
            <w:tcW w:w="599" w:type="pct"/>
          </w:tcPr>
          <w:p w14:paraId="429E72F4" w14:textId="29D390B8" w:rsidR="00464CEF" w:rsidRDefault="00464CEF" w:rsidP="00464CEF">
            <w:pPr>
              <w:spacing w:after="0"/>
              <w:jc w:val="center"/>
            </w:pPr>
            <w:r>
              <w:t>22.14%</w:t>
            </w:r>
          </w:p>
        </w:tc>
        <w:tc>
          <w:tcPr>
            <w:tcW w:w="528" w:type="pct"/>
          </w:tcPr>
          <w:p w14:paraId="53ACC498" w14:textId="6D781FBC" w:rsidR="00464CEF" w:rsidRDefault="00464CEF" w:rsidP="00464CEF">
            <w:pPr>
              <w:spacing w:after="0"/>
              <w:jc w:val="center"/>
            </w:pPr>
            <w:r>
              <w:t>29,119</w:t>
            </w:r>
          </w:p>
        </w:tc>
        <w:tc>
          <w:tcPr>
            <w:tcW w:w="599" w:type="pct"/>
          </w:tcPr>
          <w:p w14:paraId="25FEDFC6" w14:textId="7E061A77" w:rsidR="00464CEF" w:rsidRDefault="00464CEF" w:rsidP="00464CEF">
            <w:pPr>
              <w:spacing w:after="0"/>
              <w:jc w:val="center"/>
            </w:pPr>
            <w:r>
              <w:t>21.63%</w:t>
            </w:r>
          </w:p>
        </w:tc>
        <w:tc>
          <w:tcPr>
            <w:tcW w:w="634" w:type="pct"/>
          </w:tcPr>
          <w:p w14:paraId="3DDB7FA1" w14:textId="73CB49BC" w:rsidR="00464CEF" w:rsidRDefault="00464CEF" w:rsidP="00464CEF">
            <w:pPr>
              <w:spacing w:after="0"/>
              <w:jc w:val="center"/>
            </w:pPr>
            <w:r>
              <w:t>29,298</w:t>
            </w:r>
          </w:p>
        </w:tc>
        <w:tc>
          <w:tcPr>
            <w:tcW w:w="705" w:type="pct"/>
          </w:tcPr>
          <w:p w14:paraId="28BC0F05" w14:textId="3F579E71" w:rsidR="00464CEF" w:rsidRDefault="00464CEF" w:rsidP="00464CEF">
            <w:pPr>
              <w:spacing w:after="0"/>
              <w:jc w:val="center"/>
            </w:pPr>
            <w:r>
              <w:t>22.09%</w:t>
            </w:r>
          </w:p>
        </w:tc>
      </w:tr>
      <w:tr w:rsidR="00464CEF" w14:paraId="706F99B4" w14:textId="77777777" w:rsidTr="00464CEF">
        <w:trPr>
          <w:cantSplit/>
        </w:trPr>
        <w:tc>
          <w:tcPr>
            <w:tcW w:w="1267" w:type="pct"/>
          </w:tcPr>
          <w:p w14:paraId="54345CDF" w14:textId="59124411" w:rsidR="00464CEF" w:rsidRPr="006C4B95" w:rsidRDefault="00464CEF" w:rsidP="00464CEF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Central Berkshire PSA</w:t>
            </w:r>
          </w:p>
        </w:tc>
        <w:tc>
          <w:tcPr>
            <w:tcW w:w="668" w:type="pct"/>
          </w:tcPr>
          <w:p w14:paraId="77DBC082" w14:textId="14B524BE" w:rsidR="00464CEF" w:rsidRDefault="00464CEF" w:rsidP="00464CEF">
            <w:pPr>
              <w:spacing w:after="0"/>
              <w:jc w:val="center"/>
            </w:pPr>
            <w:r>
              <w:t>77,378</w:t>
            </w:r>
          </w:p>
        </w:tc>
        <w:tc>
          <w:tcPr>
            <w:tcW w:w="599" w:type="pct"/>
          </w:tcPr>
          <w:p w14:paraId="447531D7" w14:textId="75EED520" w:rsidR="00464CEF" w:rsidRDefault="00464CEF" w:rsidP="00464CEF">
            <w:pPr>
              <w:spacing w:after="0"/>
              <w:jc w:val="center"/>
            </w:pPr>
            <w:r>
              <w:t>52.89%</w:t>
            </w:r>
          </w:p>
        </w:tc>
        <w:tc>
          <w:tcPr>
            <w:tcW w:w="528" w:type="pct"/>
          </w:tcPr>
          <w:p w14:paraId="5F05CD43" w14:textId="363B6C23" w:rsidR="00464CEF" w:rsidRDefault="00464CEF" w:rsidP="00464CEF">
            <w:pPr>
              <w:spacing w:after="0"/>
              <w:jc w:val="center"/>
            </w:pPr>
            <w:r>
              <w:t>67,321</w:t>
            </w:r>
          </w:p>
        </w:tc>
        <w:tc>
          <w:tcPr>
            <w:tcW w:w="599" w:type="pct"/>
          </w:tcPr>
          <w:p w14:paraId="7CA05A1A" w14:textId="5B4BBC50" w:rsidR="00464CEF" w:rsidRDefault="00464CEF" w:rsidP="00464CEF">
            <w:pPr>
              <w:spacing w:after="0"/>
              <w:jc w:val="center"/>
            </w:pPr>
            <w:r>
              <w:t>50.02%</w:t>
            </w:r>
          </w:p>
        </w:tc>
        <w:tc>
          <w:tcPr>
            <w:tcW w:w="634" w:type="pct"/>
          </w:tcPr>
          <w:p w14:paraId="2EADA4B0" w14:textId="21C7E5F1" w:rsidR="00464CEF" w:rsidRDefault="00464CEF" w:rsidP="00464CEF">
            <w:pPr>
              <w:spacing w:after="0"/>
              <w:jc w:val="center"/>
            </w:pPr>
            <w:r>
              <w:t>67,880</w:t>
            </w:r>
          </w:p>
        </w:tc>
        <w:tc>
          <w:tcPr>
            <w:tcW w:w="705" w:type="pct"/>
          </w:tcPr>
          <w:p w14:paraId="5693B68C" w14:textId="3E04636D" w:rsidR="00464CEF" w:rsidRDefault="00464CEF" w:rsidP="00464CEF">
            <w:pPr>
              <w:spacing w:after="0"/>
              <w:jc w:val="center"/>
            </w:pPr>
            <w:r>
              <w:t>51.16%</w:t>
            </w:r>
          </w:p>
        </w:tc>
      </w:tr>
      <w:tr w:rsidR="00464CEF" w14:paraId="45D9F308" w14:textId="77777777" w:rsidTr="00464CEF">
        <w:trPr>
          <w:cantSplit/>
        </w:trPr>
        <w:tc>
          <w:tcPr>
            <w:tcW w:w="1267" w:type="pct"/>
          </w:tcPr>
          <w:p w14:paraId="046872A6" w14:textId="6442EFDC" w:rsidR="00464CEF" w:rsidRPr="006C4B95" w:rsidRDefault="00464CEF" w:rsidP="00464CEF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Southern Berkshire PSA</w:t>
            </w:r>
          </w:p>
        </w:tc>
        <w:tc>
          <w:tcPr>
            <w:tcW w:w="668" w:type="pct"/>
          </w:tcPr>
          <w:p w14:paraId="3602FF48" w14:textId="32C3C9B1" w:rsidR="00464CEF" w:rsidRDefault="00464CEF" w:rsidP="00464CEF">
            <w:pPr>
              <w:spacing w:after="0"/>
              <w:jc w:val="center"/>
            </w:pPr>
            <w:r>
              <w:t>16,190</w:t>
            </w:r>
          </w:p>
        </w:tc>
        <w:tc>
          <w:tcPr>
            <w:tcW w:w="599" w:type="pct"/>
          </w:tcPr>
          <w:p w14:paraId="2C0830BE" w14:textId="37A3BA8F" w:rsidR="00464CEF" w:rsidRDefault="00464CEF" w:rsidP="00464CEF">
            <w:pPr>
              <w:spacing w:after="0"/>
              <w:jc w:val="center"/>
            </w:pPr>
            <w:r>
              <w:t>11.07%</w:t>
            </w:r>
          </w:p>
        </w:tc>
        <w:tc>
          <w:tcPr>
            <w:tcW w:w="528" w:type="pct"/>
          </w:tcPr>
          <w:p w14:paraId="5142BCB8" w14:textId="25DCB1F4" w:rsidR="00464CEF" w:rsidRDefault="00464CEF" w:rsidP="00464CEF">
            <w:pPr>
              <w:spacing w:after="0"/>
              <w:jc w:val="center"/>
            </w:pPr>
            <w:r>
              <w:t>16,312</w:t>
            </w:r>
          </w:p>
        </w:tc>
        <w:tc>
          <w:tcPr>
            <w:tcW w:w="599" w:type="pct"/>
          </w:tcPr>
          <w:p w14:paraId="084EB491" w14:textId="6532F239" w:rsidR="00464CEF" w:rsidRDefault="00464CEF" w:rsidP="00464CEF">
            <w:pPr>
              <w:spacing w:after="0"/>
              <w:jc w:val="center"/>
            </w:pPr>
            <w:r>
              <w:t>12.12%</w:t>
            </w:r>
          </w:p>
        </w:tc>
        <w:tc>
          <w:tcPr>
            <w:tcW w:w="634" w:type="pct"/>
          </w:tcPr>
          <w:p w14:paraId="4E71CA5C" w14:textId="34B5FFF6" w:rsidR="00464CEF" w:rsidRDefault="00464CEF" w:rsidP="00464CEF">
            <w:pPr>
              <w:spacing w:after="0"/>
              <w:jc w:val="center"/>
            </w:pPr>
            <w:r>
              <w:t>15,496</w:t>
            </w:r>
          </w:p>
        </w:tc>
        <w:tc>
          <w:tcPr>
            <w:tcW w:w="705" w:type="pct"/>
          </w:tcPr>
          <w:p w14:paraId="7E6D0149" w14:textId="50963353" w:rsidR="00464CEF" w:rsidRDefault="00464CEF" w:rsidP="00464CEF">
            <w:pPr>
              <w:spacing w:after="0"/>
              <w:jc w:val="center"/>
            </w:pPr>
            <w:r>
              <w:t>11.68%</w:t>
            </w:r>
          </w:p>
        </w:tc>
      </w:tr>
      <w:tr w:rsidR="00464CEF" w14:paraId="38673764" w14:textId="77777777" w:rsidTr="00464CEF">
        <w:trPr>
          <w:cantSplit/>
        </w:trPr>
        <w:tc>
          <w:tcPr>
            <w:tcW w:w="1267" w:type="pct"/>
          </w:tcPr>
          <w:p w14:paraId="554D62BB" w14:textId="3E1484A6" w:rsidR="00464CEF" w:rsidRPr="006C4B95" w:rsidRDefault="00464CEF" w:rsidP="00464CEF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PSA Sub-total</w:t>
            </w:r>
          </w:p>
        </w:tc>
        <w:tc>
          <w:tcPr>
            <w:tcW w:w="668" w:type="pct"/>
          </w:tcPr>
          <w:p w14:paraId="14D17E32" w14:textId="73F638E4" w:rsidR="00464CEF" w:rsidRDefault="00464CEF" w:rsidP="00464CEF">
            <w:pPr>
              <w:spacing w:after="0"/>
              <w:jc w:val="center"/>
            </w:pPr>
            <w:r>
              <w:t>125,952</w:t>
            </w:r>
          </w:p>
        </w:tc>
        <w:tc>
          <w:tcPr>
            <w:tcW w:w="599" w:type="pct"/>
          </w:tcPr>
          <w:p w14:paraId="43E30AF9" w14:textId="07B902A2" w:rsidR="00464CEF" w:rsidRDefault="00464CEF" w:rsidP="00464CEF">
            <w:pPr>
              <w:spacing w:after="0"/>
              <w:jc w:val="center"/>
            </w:pPr>
            <w:r>
              <w:t>86.10%</w:t>
            </w:r>
          </w:p>
        </w:tc>
        <w:tc>
          <w:tcPr>
            <w:tcW w:w="528" w:type="pct"/>
          </w:tcPr>
          <w:p w14:paraId="7828BEE1" w14:textId="731B3595" w:rsidR="00464CEF" w:rsidRDefault="00464CEF" w:rsidP="00464CEF">
            <w:pPr>
              <w:spacing w:after="0"/>
              <w:jc w:val="center"/>
            </w:pPr>
            <w:r>
              <w:t>112,752</w:t>
            </w:r>
          </w:p>
        </w:tc>
        <w:tc>
          <w:tcPr>
            <w:tcW w:w="599" w:type="pct"/>
          </w:tcPr>
          <w:p w14:paraId="4E2FC86E" w14:textId="690822FE" w:rsidR="00464CEF" w:rsidRDefault="00464CEF" w:rsidP="00464CEF">
            <w:pPr>
              <w:spacing w:after="0"/>
              <w:jc w:val="center"/>
            </w:pPr>
            <w:r>
              <w:t>83.77%</w:t>
            </w:r>
          </w:p>
        </w:tc>
        <w:tc>
          <w:tcPr>
            <w:tcW w:w="634" w:type="pct"/>
          </w:tcPr>
          <w:p w14:paraId="1A290632" w14:textId="67F86CE1" w:rsidR="00464CEF" w:rsidRDefault="00464CEF" w:rsidP="00464CEF">
            <w:pPr>
              <w:spacing w:after="0"/>
              <w:jc w:val="center"/>
            </w:pPr>
            <w:r>
              <w:t>112,674</w:t>
            </w:r>
          </w:p>
        </w:tc>
        <w:tc>
          <w:tcPr>
            <w:tcW w:w="705" w:type="pct"/>
          </w:tcPr>
          <w:p w14:paraId="32DF64A9" w14:textId="170E6542" w:rsidR="00464CEF" w:rsidRDefault="00464CEF" w:rsidP="00464CEF">
            <w:pPr>
              <w:spacing w:after="0"/>
              <w:jc w:val="center"/>
            </w:pPr>
            <w:r>
              <w:t>84.93%</w:t>
            </w:r>
          </w:p>
        </w:tc>
      </w:tr>
      <w:tr w:rsidR="00464CEF" w14:paraId="6CA197FE" w14:textId="77777777" w:rsidTr="00464CEF">
        <w:trPr>
          <w:cantSplit/>
        </w:trPr>
        <w:tc>
          <w:tcPr>
            <w:tcW w:w="1267" w:type="pct"/>
          </w:tcPr>
          <w:p w14:paraId="501C56E7" w14:textId="22EB4A66" w:rsidR="00464CEF" w:rsidRPr="006C4B95" w:rsidRDefault="00464CEF" w:rsidP="00464CEF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All Other</w:t>
            </w:r>
          </w:p>
        </w:tc>
        <w:tc>
          <w:tcPr>
            <w:tcW w:w="668" w:type="pct"/>
          </w:tcPr>
          <w:p w14:paraId="6A3EACFD" w14:textId="3F633ED5" w:rsidR="00464CEF" w:rsidRDefault="00464CEF" w:rsidP="00464CEF">
            <w:pPr>
              <w:spacing w:after="0"/>
              <w:jc w:val="center"/>
            </w:pPr>
            <w:r>
              <w:t>20,334</w:t>
            </w:r>
          </w:p>
        </w:tc>
        <w:tc>
          <w:tcPr>
            <w:tcW w:w="599" w:type="pct"/>
          </w:tcPr>
          <w:p w14:paraId="017F5449" w14:textId="1AE95863" w:rsidR="00464CEF" w:rsidRDefault="00464CEF" w:rsidP="00464CEF">
            <w:pPr>
              <w:spacing w:after="0"/>
              <w:jc w:val="center"/>
            </w:pPr>
            <w:r>
              <w:t>13.90%</w:t>
            </w:r>
          </w:p>
        </w:tc>
        <w:tc>
          <w:tcPr>
            <w:tcW w:w="528" w:type="pct"/>
          </w:tcPr>
          <w:p w14:paraId="0CD116FD" w14:textId="778A3116" w:rsidR="00464CEF" w:rsidRDefault="00464CEF" w:rsidP="00464CEF">
            <w:pPr>
              <w:spacing w:after="0"/>
              <w:jc w:val="center"/>
            </w:pPr>
            <w:r>
              <w:t>21,840</w:t>
            </w:r>
          </w:p>
        </w:tc>
        <w:tc>
          <w:tcPr>
            <w:tcW w:w="599" w:type="pct"/>
          </w:tcPr>
          <w:p w14:paraId="4C6BB0AB" w14:textId="0E2F7185" w:rsidR="00464CEF" w:rsidRDefault="00464CEF" w:rsidP="00464CEF">
            <w:pPr>
              <w:spacing w:after="0"/>
              <w:jc w:val="center"/>
            </w:pPr>
            <w:r>
              <w:t>16.23%</w:t>
            </w:r>
          </w:p>
        </w:tc>
        <w:tc>
          <w:tcPr>
            <w:tcW w:w="634" w:type="pct"/>
          </w:tcPr>
          <w:p w14:paraId="5A655D69" w14:textId="595A2565" w:rsidR="00464CEF" w:rsidRDefault="00464CEF" w:rsidP="00464CEF">
            <w:pPr>
              <w:spacing w:after="0"/>
              <w:jc w:val="center"/>
            </w:pPr>
            <w:r>
              <w:t>19,995</w:t>
            </w:r>
          </w:p>
        </w:tc>
        <w:tc>
          <w:tcPr>
            <w:tcW w:w="705" w:type="pct"/>
          </w:tcPr>
          <w:p w14:paraId="7DBD59A9" w14:textId="03E85AE3" w:rsidR="00464CEF" w:rsidRDefault="00464CEF" w:rsidP="00464CEF">
            <w:pPr>
              <w:spacing w:after="0"/>
              <w:jc w:val="center"/>
            </w:pPr>
            <w:r>
              <w:t>15.07%</w:t>
            </w:r>
          </w:p>
        </w:tc>
      </w:tr>
    </w:tbl>
    <w:p w14:paraId="206F5DD1" w14:textId="3BB82341" w:rsidR="009833D7" w:rsidRPr="008F66F1" w:rsidRDefault="009833D7" w:rsidP="009833D7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>Zip codes included in these categories can be found in Appendix 1.</w:t>
      </w:r>
      <w:r w:rsidR="00AD2B9C">
        <w:rPr>
          <w:bCs/>
          <w:sz w:val="20"/>
          <w:szCs w:val="20"/>
        </w:rPr>
        <w:t xml:space="preserve"> All Other includes</w:t>
      </w:r>
      <w:r w:rsidR="00750C97">
        <w:rPr>
          <w:bCs/>
          <w:sz w:val="20"/>
          <w:szCs w:val="20"/>
        </w:rPr>
        <w:t>: 1)</w:t>
      </w:r>
      <w:r w:rsidR="00AD2B9C">
        <w:rPr>
          <w:bCs/>
          <w:sz w:val="20"/>
          <w:szCs w:val="20"/>
        </w:rPr>
        <w:t xml:space="preserve"> patients who live </w:t>
      </w:r>
      <w:r w:rsidR="00842E08">
        <w:rPr>
          <w:bCs/>
          <w:sz w:val="20"/>
          <w:szCs w:val="20"/>
        </w:rPr>
        <w:t>in towns in one of the three s</w:t>
      </w:r>
      <w:r w:rsidR="00AD2B9C">
        <w:rPr>
          <w:bCs/>
          <w:sz w:val="20"/>
          <w:szCs w:val="20"/>
        </w:rPr>
        <w:t xml:space="preserve">tates </w:t>
      </w:r>
      <w:r w:rsidR="00750C97">
        <w:rPr>
          <w:bCs/>
          <w:sz w:val="20"/>
          <w:szCs w:val="20"/>
        </w:rPr>
        <w:t xml:space="preserve">or other Massachusetts counties </w:t>
      </w:r>
      <w:r w:rsidR="00AD2B9C">
        <w:rPr>
          <w:bCs/>
          <w:sz w:val="20"/>
          <w:szCs w:val="20"/>
        </w:rPr>
        <w:t xml:space="preserve">that </w:t>
      </w:r>
      <w:r w:rsidR="00842E08">
        <w:rPr>
          <w:bCs/>
          <w:sz w:val="20"/>
          <w:szCs w:val="20"/>
        </w:rPr>
        <w:t xml:space="preserve">boarder Berkshire County, </w:t>
      </w:r>
      <w:r w:rsidR="00407D79">
        <w:rPr>
          <w:bCs/>
          <w:sz w:val="20"/>
          <w:szCs w:val="20"/>
        </w:rPr>
        <w:t xml:space="preserve">2) patients who are part-time residents/second homeowners who use a home address as their out of state address, and 3) </w:t>
      </w:r>
      <w:r w:rsidR="00267B17">
        <w:rPr>
          <w:bCs/>
          <w:sz w:val="20"/>
          <w:szCs w:val="20"/>
        </w:rPr>
        <w:t>patients who come to Berkshire County as a visitor</w:t>
      </w:r>
      <w:r w:rsidR="004576BB">
        <w:rPr>
          <w:bCs/>
          <w:sz w:val="20"/>
          <w:szCs w:val="20"/>
        </w:rPr>
        <w:t>.</w:t>
      </w:r>
    </w:p>
    <w:p w14:paraId="311542B3" w14:textId="76183FE3" w:rsidR="00AA1234" w:rsidRDefault="00AA1234" w:rsidP="00CA51AC">
      <w:pPr>
        <w:spacing w:after="0"/>
        <w:rPr>
          <w:b/>
        </w:rPr>
      </w:pPr>
    </w:p>
    <w:p w14:paraId="1B57F049" w14:textId="366D8988" w:rsidR="004D7867" w:rsidRDefault="004D7867" w:rsidP="00CA51AC">
      <w:pPr>
        <w:spacing w:after="0"/>
        <w:rPr>
          <w:b/>
        </w:rPr>
      </w:pPr>
    </w:p>
    <w:p w14:paraId="2341FAC7" w14:textId="7E4D5F28" w:rsidR="004D7867" w:rsidRDefault="004D7867" w:rsidP="00CA51AC">
      <w:pPr>
        <w:spacing w:after="0"/>
        <w:rPr>
          <w:b/>
        </w:rPr>
      </w:pPr>
    </w:p>
    <w:p w14:paraId="7948731F" w14:textId="6D94B0F7" w:rsidR="004D7867" w:rsidRDefault="004D7867" w:rsidP="00CA51AC">
      <w:pPr>
        <w:spacing w:after="0"/>
        <w:rPr>
          <w:b/>
        </w:rPr>
      </w:pPr>
    </w:p>
    <w:p w14:paraId="7C55DB0E" w14:textId="74D0BD42" w:rsidR="004D7867" w:rsidRDefault="004D7867" w:rsidP="00CA51AC">
      <w:pPr>
        <w:spacing w:after="0"/>
        <w:rPr>
          <w:b/>
        </w:rPr>
      </w:pPr>
    </w:p>
    <w:p w14:paraId="06F9791A" w14:textId="68B0ABB7" w:rsidR="004D7867" w:rsidRDefault="004D7867" w:rsidP="00CA51AC">
      <w:pPr>
        <w:spacing w:after="0"/>
        <w:rPr>
          <w:b/>
        </w:rPr>
      </w:pPr>
    </w:p>
    <w:p w14:paraId="5CB86A1D" w14:textId="54002C66" w:rsidR="004D7867" w:rsidRDefault="004D7867" w:rsidP="00CA51AC">
      <w:pPr>
        <w:spacing w:after="0"/>
        <w:rPr>
          <w:b/>
        </w:rPr>
      </w:pPr>
    </w:p>
    <w:p w14:paraId="25B426FD" w14:textId="065FCD88" w:rsidR="004D7867" w:rsidRDefault="004D7867" w:rsidP="00CA51AC">
      <w:pPr>
        <w:spacing w:after="0"/>
        <w:rPr>
          <w:b/>
        </w:rPr>
      </w:pPr>
    </w:p>
    <w:p w14:paraId="245C82CB" w14:textId="61E77DF4" w:rsidR="004D7867" w:rsidRDefault="004D7867" w:rsidP="00CA51AC">
      <w:pPr>
        <w:spacing w:after="0"/>
        <w:rPr>
          <w:b/>
        </w:rPr>
      </w:pPr>
    </w:p>
    <w:p w14:paraId="08D7E085" w14:textId="78A6AAB0" w:rsidR="004D7867" w:rsidRDefault="004D7867" w:rsidP="00CA51AC">
      <w:pPr>
        <w:spacing w:after="0"/>
        <w:rPr>
          <w:b/>
        </w:rPr>
      </w:pPr>
    </w:p>
    <w:p w14:paraId="2CEF13C1" w14:textId="11E98967" w:rsidR="004D7867" w:rsidRDefault="004D7867" w:rsidP="00CA51AC">
      <w:pPr>
        <w:spacing w:after="0"/>
        <w:rPr>
          <w:b/>
        </w:rPr>
      </w:pPr>
    </w:p>
    <w:p w14:paraId="4748F59B" w14:textId="77777777" w:rsidR="004D7867" w:rsidRDefault="004D7867" w:rsidP="00CA51AC">
      <w:pPr>
        <w:spacing w:after="0"/>
        <w:rPr>
          <w:b/>
        </w:rPr>
      </w:pPr>
    </w:p>
    <w:p w14:paraId="59751D4F" w14:textId="6177DFD8" w:rsidR="00E23155" w:rsidRPr="004576BB" w:rsidRDefault="002B3A4B" w:rsidP="003D215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4576BB">
        <w:rPr>
          <w:b/>
        </w:rPr>
        <w:lastRenderedPageBreak/>
        <w:t xml:space="preserve">Payer Mix </w:t>
      </w:r>
    </w:p>
    <w:p w14:paraId="1B34D93E" w14:textId="77777777" w:rsidR="004576BB" w:rsidRPr="004576BB" w:rsidRDefault="004576BB" w:rsidP="004576B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4"/>
        <w:gridCol w:w="965"/>
        <w:gridCol w:w="966"/>
        <w:gridCol w:w="1080"/>
        <w:gridCol w:w="1170"/>
        <w:gridCol w:w="1260"/>
        <w:gridCol w:w="1350"/>
      </w:tblGrid>
      <w:tr w:rsidR="004576BB" w14:paraId="18D03515" w14:textId="77777777" w:rsidTr="00E006E4">
        <w:trPr>
          <w:cantSplit/>
          <w:trHeight w:val="332"/>
          <w:tblHeader/>
        </w:trPr>
        <w:tc>
          <w:tcPr>
            <w:tcW w:w="3104" w:type="dxa"/>
          </w:tcPr>
          <w:p w14:paraId="10ED020E" w14:textId="26D75703" w:rsidR="004576BB" w:rsidRPr="00357164" w:rsidRDefault="00E23701" w:rsidP="00E2370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Payer Mix</w:t>
            </w:r>
          </w:p>
        </w:tc>
        <w:tc>
          <w:tcPr>
            <w:tcW w:w="965" w:type="dxa"/>
          </w:tcPr>
          <w:p w14:paraId="500993AF" w14:textId="539C9877" w:rsidR="004576BB" w:rsidRPr="00357164" w:rsidRDefault="00E23701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4576BB" w:rsidRPr="00357164">
              <w:rPr>
                <w:b/>
                <w:bCs/>
              </w:rPr>
              <w:t>Number</w:t>
            </w:r>
          </w:p>
        </w:tc>
        <w:tc>
          <w:tcPr>
            <w:tcW w:w="966" w:type="dxa"/>
          </w:tcPr>
          <w:p w14:paraId="1A738847" w14:textId="2D5D4F15" w:rsidR="004576BB" w:rsidRPr="00357164" w:rsidRDefault="00E23701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4576BB" w:rsidRPr="00357164">
              <w:rPr>
                <w:b/>
                <w:bCs/>
              </w:rPr>
              <w:t>Percent</w:t>
            </w:r>
          </w:p>
        </w:tc>
        <w:tc>
          <w:tcPr>
            <w:tcW w:w="1080" w:type="dxa"/>
          </w:tcPr>
          <w:p w14:paraId="5D3FCE41" w14:textId="37C53B72" w:rsidR="004576BB" w:rsidRDefault="00E23701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4576BB" w:rsidRPr="00357164">
              <w:rPr>
                <w:b/>
                <w:bCs/>
              </w:rPr>
              <w:t>Number</w:t>
            </w:r>
          </w:p>
        </w:tc>
        <w:tc>
          <w:tcPr>
            <w:tcW w:w="1170" w:type="dxa"/>
          </w:tcPr>
          <w:p w14:paraId="73D871DF" w14:textId="5292AD02" w:rsidR="004576BB" w:rsidRDefault="00E23701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4576BB" w:rsidRPr="00357164">
              <w:rPr>
                <w:b/>
                <w:bCs/>
              </w:rPr>
              <w:t>Percent</w:t>
            </w:r>
          </w:p>
        </w:tc>
        <w:tc>
          <w:tcPr>
            <w:tcW w:w="1260" w:type="dxa"/>
          </w:tcPr>
          <w:p w14:paraId="5195652E" w14:textId="05B7AD32" w:rsidR="004576BB" w:rsidRDefault="00E23701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4576BB" w:rsidRPr="00357164">
              <w:rPr>
                <w:b/>
                <w:bCs/>
              </w:rPr>
              <w:t>Number</w:t>
            </w:r>
          </w:p>
        </w:tc>
        <w:tc>
          <w:tcPr>
            <w:tcW w:w="1350" w:type="dxa"/>
          </w:tcPr>
          <w:p w14:paraId="6B578893" w14:textId="1D7732D2" w:rsidR="004576BB" w:rsidRDefault="00E23701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4576BB" w:rsidRPr="00357164">
              <w:rPr>
                <w:b/>
                <w:bCs/>
              </w:rPr>
              <w:t>Percent</w:t>
            </w:r>
          </w:p>
        </w:tc>
      </w:tr>
      <w:tr w:rsidR="004576BB" w14:paraId="517CC492" w14:textId="77777777" w:rsidTr="00CE0443">
        <w:tc>
          <w:tcPr>
            <w:tcW w:w="3104" w:type="dxa"/>
          </w:tcPr>
          <w:p w14:paraId="44FC3C99" w14:textId="7DBF0AEE" w:rsidR="004576BB" w:rsidRPr="006C4B95" w:rsidRDefault="004576BB" w:rsidP="00CA51AC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Public/Medicaid/Medicaid MC</w:t>
            </w:r>
          </w:p>
        </w:tc>
        <w:tc>
          <w:tcPr>
            <w:tcW w:w="965" w:type="dxa"/>
          </w:tcPr>
          <w:p w14:paraId="077B114B" w14:textId="4D06C674" w:rsidR="004576BB" w:rsidRDefault="004576BB" w:rsidP="00CA51AC">
            <w:pPr>
              <w:spacing w:after="0"/>
              <w:jc w:val="center"/>
            </w:pPr>
            <w:r>
              <w:t>20,611</w:t>
            </w:r>
          </w:p>
        </w:tc>
        <w:tc>
          <w:tcPr>
            <w:tcW w:w="966" w:type="dxa"/>
          </w:tcPr>
          <w:p w14:paraId="1753309B" w14:textId="2D830EDE" w:rsidR="004576BB" w:rsidRDefault="004576BB" w:rsidP="00CA51AC">
            <w:pPr>
              <w:spacing w:after="0"/>
              <w:jc w:val="center"/>
            </w:pPr>
            <w:r>
              <w:t>14.09%</w:t>
            </w:r>
          </w:p>
        </w:tc>
        <w:tc>
          <w:tcPr>
            <w:tcW w:w="1080" w:type="dxa"/>
          </w:tcPr>
          <w:p w14:paraId="6D7C7349" w14:textId="4DEAC9BE" w:rsidR="004576BB" w:rsidRDefault="004576BB" w:rsidP="00CA51AC">
            <w:pPr>
              <w:spacing w:after="0"/>
              <w:jc w:val="center"/>
            </w:pPr>
            <w:r>
              <w:t>22,698</w:t>
            </w:r>
          </w:p>
        </w:tc>
        <w:tc>
          <w:tcPr>
            <w:tcW w:w="1170" w:type="dxa"/>
          </w:tcPr>
          <w:p w14:paraId="5A5FB493" w14:textId="76F14F0E" w:rsidR="004576BB" w:rsidRDefault="004576BB" w:rsidP="00CA51AC">
            <w:pPr>
              <w:spacing w:after="0"/>
              <w:jc w:val="center"/>
            </w:pPr>
            <w:r>
              <w:t>16.86%</w:t>
            </w:r>
          </w:p>
        </w:tc>
        <w:tc>
          <w:tcPr>
            <w:tcW w:w="1260" w:type="dxa"/>
          </w:tcPr>
          <w:p w14:paraId="249F4B63" w14:textId="2A68D236" w:rsidR="004576BB" w:rsidRDefault="004576BB" w:rsidP="00CA51AC">
            <w:pPr>
              <w:spacing w:after="0"/>
              <w:jc w:val="center"/>
            </w:pPr>
            <w:r>
              <w:t>26,321</w:t>
            </w:r>
          </w:p>
        </w:tc>
        <w:tc>
          <w:tcPr>
            <w:tcW w:w="1350" w:type="dxa"/>
          </w:tcPr>
          <w:p w14:paraId="0E1BE298" w14:textId="2AB77ED5" w:rsidR="004576BB" w:rsidRDefault="004576BB" w:rsidP="00CA51AC">
            <w:pPr>
              <w:spacing w:after="0"/>
              <w:jc w:val="center"/>
            </w:pPr>
            <w:r>
              <w:t>19.84%</w:t>
            </w:r>
          </w:p>
        </w:tc>
      </w:tr>
      <w:tr w:rsidR="004576BB" w14:paraId="3FB4ADD9" w14:textId="77777777" w:rsidTr="00CE0443">
        <w:tc>
          <w:tcPr>
            <w:tcW w:w="3104" w:type="dxa"/>
          </w:tcPr>
          <w:p w14:paraId="2EB38A00" w14:textId="25133E0E" w:rsidR="004576BB" w:rsidRPr="006C4B95" w:rsidRDefault="004576BB" w:rsidP="00CA51AC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Medicare/Medicare MC/Advantage</w:t>
            </w:r>
          </w:p>
        </w:tc>
        <w:tc>
          <w:tcPr>
            <w:tcW w:w="965" w:type="dxa"/>
          </w:tcPr>
          <w:p w14:paraId="757EB7F6" w14:textId="4BB21084" w:rsidR="004576BB" w:rsidRDefault="004576BB" w:rsidP="00CA51AC">
            <w:pPr>
              <w:spacing w:after="0"/>
              <w:jc w:val="center"/>
            </w:pPr>
            <w:r>
              <w:t>47,349</w:t>
            </w:r>
          </w:p>
        </w:tc>
        <w:tc>
          <w:tcPr>
            <w:tcW w:w="966" w:type="dxa"/>
          </w:tcPr>
          <w:p w14:paraId="19646130" w14:textId="67697C34" w:rsidR="004576BB" w:rsidRDefault="004576BB" w:rsidP="00CA51AC">
            <w:pPr>
              <w:spacing w:after="0"/>
              <w:jc w:val="center"/>
            </w:pPr>
            <w:r>
              <w:t>32.37%</w:t>
            </w:r>
          </w:p>
        </w:tc>
        <w:tc>
          <w:tcPr>
            <w:tcW w:w="1080" w:type="dxa"/>
          </w:tcPr>
          <w:p w14:paraId="3AF13BFD" w14:textId="6816A505" w:rsidR="004576BB" w:rsidRDefault="004576BB" w:rsidP="00CA51AC">
            <w:pPr>
              <w:spacing w:after="0"/>
              <w:jc w:val="center"/>
            </w:pPr>
            <w:r>
              <w:t>36,655</w:t>
            </w:r>
          </w:p>
        </w:tc>
        <w:tc>
          <w:tcPr>
            <w:tcW w:w="1170" w:type="dxa"/>
          </w:tcPr>
          <w:p w14:paraId="539732AC" w14:textId="1B90609D" w:rsidR="004576BB" w:rsidRDefault="004576BB" w:rsidP="00CA51AC">
            <w:pPr>
              <w:spacing w:after="0"/>
              <w:jc w:val="center"/>
            </w:pPr>
            <w:r>
              <w:t>27.23%</w:t>
            </w:r>
          </w:p>
        </w:tc>
        <w:tc>
          <w:tcPr>
            <w:tcW w:w="1260" w:type="dxa"/>
          </w:tcPr>
          <w:p w14:paraId="6A7FE18D" w14:textId="46E3C63A" w:rsidR="004576BB" w:rsidRDefault="004576BB" w:rsidP="00CA51AC">
            <w:pPr>
              <w:spacing w:after="0"/>
              <w:jc w:val="center"/>
            </w:pPr>
            <w:r>
              <w:t>37,793</w:t>
            </w:r>
          </w:p>
        </w:tc>
        <w:tc>
          <w:tcPr>
            <w:tcW w:w="1350" w:type="dxa"/>
          </w:tcPr>
          <w:p w14:paraId="46FCBBBC" w14:textId="15DB896C" w:rsidR="004576BB" w:rsidRDefault="004576BB" w:rsidP="00CA51AC">
            <w:pPr>
              <w:spacing w:after="0"/>
              <w:jc w:val="center"/>
            </w:pPr>
            <w:r>
              <w:t>28.49%</w:t>
            </w:r>
          </w:p>
        </w:tc>
      </w:tr>
      <w:tr w:rsidR="004576BB" w14:paraId="456FC077" w14:textId="77777777" w:rsidTr="00CE0443">
        <w:tc>
          <w:tcPr>
            <w:tcW w:w="3104" w:type="dxa"/>
          </w:tcPr>
          <w:p w14:paraId="4A9F3982" w14:textId="6E4060A5" w:rsidR="004576BB" w:rsidRPr="006C4B95" w:rsidRDefault="004576BB" w:rsidP="00CA51AC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Private/Commercial/HMO</w:t>
            </w:r>
          </w:p>
        </w:tc>
        <w:tc>
          <w:tcPr>
            <w:tcW w:w="965" w:type="dxa"/>
          </w:tcPr>
          <w:p w14:paraId="32F0EA3C" w14:textId="12362450" w:rsidR="004576BB" w:rsidRDefault="004576BB" w:rsidP="00CA51AC">
            <w:pPr>
              <w:spacing w:after="0"/>
              <w:jc w:val="center"/>
            </w:pPr>
            <w:r>
              <w:t>68,486</w:t>
            </w:r>
          </w:p>
        </w:tc>
        <w:tc>
          <w:tcPr>
            <w:tcW w:w="966" w:type="dxa"/>
          </w:tcPr>
          <w:p w14:paraId="5F56C960" w14:textId="3A01A24A" w:rsidR="004576BB" w:rsidRDefault="004576BB" w:rsidP="00CA51AC">
            <w:pPr>
              <w:spacing w:after="0"/>
              <w:jc w:val="center"/>
            </w:pPr>
            <w:r>
              <w:t>46.82%</w:t>
            </w:r>
          </w:p>
        </w:tc>
        <w:tc>
          <w:tcPr>
            <w:tcW w:w="1080" w:type="dxa"/>
          </w:tcPr>
          <w:p w14:paraId="1F784FF4" w14:textId="5EEBB6B3" w:rsidR="004576BB" w:rsidRDefault="004576BB" w:rsidP="00CA51AC">
            <w:pPr>
              <w:spacing w:after="0"/>
              <w:jc w:val="center"/>
            </w:pPr>
            <w:r>
              <w:t>68,847</w:t>
            </w:r>
          </w:p>
        </w:tc>
        <w:tc>
          <w:tcPr>
            <w:tcW w:w="1170" w:type="dxa"/>
          </w:tcPr>
          <w:p w14:paraId="65A00294" w14:textId="102DBBE6" w:rsidR="004576BB" w:rsidRDefault="004576BB" w:rsidP="00CA51AC">
            <w:pPr>
              <w:spacing w:after="0"/>
              <w:jc w:val="center"/>
            </w:pPr>
            <w:r>
              <w:t>51.15%</w:t>
            </w:r>
          </w:p>
        </w:tc>
        <w:tc>
          <w:tcPr>
            <w:tcW w:w="1260" w:type="dxa"/>
          </w:tcPr>
          <w:p w14:paraId="468FD7C9" w14:textId="28453A27" w:rsidR="004576BB" w:rsidRDefault="004576BB" w:rsidP="00CA51AC">
            <w:pPr>
              <w:spacing w:after="0"/>
              <w:jc w:val="center"/>
            </w:pPr>
            <w:r>
              <w:t>63,551</w:t>
            </w:r>
          </w:p>
        </w:tc>
        <w:tc>
          <w:tcPr>
            <w:tcW w:w="1350" w:type="dxa"/>
          </w:tcPr>
          <w:p w14:paraId="175602B4" w14:textId="277F7CDD" w:rsidR="004576BB" w:rsidRDefault="004576BB" w:rsidP="00CA51AC">
            <w:pPr>
              <w:spacing w:after="0"/>
              <w:jc w:val="center"/>
            </w:pPr>
            <w:r>
              <w:t>47.90%</w:t>
            </w:r>
          </w:p>
        </w:tc>
      </w:tr>
      <w:tr w:rsidR="004576BB" w14:paraId="077F8D3E" w14:textId="77777777" w:rsidTr="00CE0443">
        <w:tc>
          <w:tcPr>
            <w:tcW w:w="3104" w:type="dxa"/>
          </w:tcPr>
          <w:p w14:paraId="72EF9264" w14:textId="36C897AC" w:rsidR="004576BB" w:rsidRPr="006C4B95" w:rsidRDefault="004576BB" w:rsidP="00CA51AC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Health Safety Net (HSN)</w:t>
            </w:r>
          </w:p>
        </w:tc>
        <w:tc>
          <w:tcPr>
            <w:tcW w:w="965" w:type="dxa"/>
          </w:tcPr>
          <w:p w14:paraId="46B00E1A" w14:textId="42605EFB" w:rsidR="004576BB" w:rsidRDefault="004576BB" w:rsidP="00CA51AC">
            <w:pPr>
              <w:spacing w:after="0"/>
              <w:jc w:val="center"/>
            </w:pPr>
            <w:r>
              <w:t>533</w:t>
            </w:r>
          </w:p>
        </w:tc>
        <w:tc>
          <w:tcPr>
            <w:tcW w:w="966" w:type="dxa"/>
          </w:tcPr>
          <w:p w14:paraId="6B19D56F" w14:textId="303DA1F4" w:rsidR="004576BB" w:rsidRDefault="004576BB" w:rsidP="00CA51AC">
            <w:pPr>
              <w:spacing w:after="0"/>
              <w:jc w:val="center"/>
            </w:pPr>
            <w:r>
              <w:t>0.36%</w:t>
            </w:r>
          </w:p>
        </w:tc>
        <w:tc>
          <w:tcPr>
            <w:tcW w:w="1080" w:type="dxa"/>
          </w:tcPr>
          <w:p w14:paraId="591DE2EE" w14:textId="6C421C89" w:rsidR="004576BB" w:rsidRDefault="004576BB" w:rsidP="00CA51AC">
            <w:pPr>
              <w:spacing w:after="0"/>
              <w:jc w:val="center"/>
            </w:pPr>
            <w:r>
              <w:t>438</w:t>
            </w:r>
          </w:p>
        </w:tc>
        <w:tc>
          <w:tcPr>
            <w:tcW w:w="1170" w:type="dxa"/>
          </w:tcPr>
          <w:p w14:paraId="6A97BBF8" w14:textId="2940E328" w:rsidR="004576BB" w:rsidRDefault="004576BB" w:rsidP="00CA51AC">
            <w:pPr>
              <w:spacing w:after="0"/>
              <w:jc w:val="center"/>
            </w:pPr>
            <w:r>
              <w:t>0.33%</w:t>
            </w:r>
          </w:p>
        </w:tc>
        <w:tc>
          <w:tcPr>
            <w:tcW w:w="1260" w:type="dxa"/>
          </w:tcPr>
          <w:p w14:paraId="5A130E6E" w14:textId="5DD6A579" w:rsidR="004576BB" w:rsidRDefault="004576BB" w:rsidP="00CA51AC">
            <w:pPr>
              <w:spacing w:after="0"/>
              <w:jc w:val="center"/>
            </w:pPr>
            <w:r>
              <w:t>384</w:t>
            </w:r>
          </w:p>
        </w:tc>
        <w:tc>
          <w:tcPr>
            <w:tcW w:w="1350" w:type="dxa"/>
          </w:tcPr>
          <w:p w14:paraId="281D7D09" w14:textId="0F0CFA1E" w:rsidR="004576BB" w:rsidRDefault="004576BB" w:rsidP="00CA51AC">
            <w:pPr>
              <w:spacing w:after="0"/>
              <w:jc w:val="center"/>
            </w:pPr>
            <w:r>
              <w:t>0.29%</w:t>
            </w:r>
          </w:p>
        </w:tc>
      </w:tr>
      <w:tr w:rsidR="004576BB" w14:paraId="4826015D" w14:textId="77777777" w:rsidTr="00CE0443">
        <w:tc>
          <w:tcPr>
            <w:tcW w:w="3104" w:type="dxa"/>
          </w:tcPr>
          <w:p w14:paraId="6B5B425E" w14:textId="6ADBFFA7" w:rsidR="004576BB" w:rsidRPr="006C4B95" w:rsidRDefault="004576BB" w:rsidP="00CA51AC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Other (self-pay/workers’ comp/VA)</w:t>
            </w:r>
          </w:p>
        </w:tc>
        <w:tc>
          <w:tcPr>
            <w:tcW w:w="965" w:type="dxa"/>
          </w:tcPr>
          <w:p w14:paraId="79F96A45" w14:textId="4BCDD24B" w:rsidR="004576BB" w:rsidRDefault="004576BB" w:rsidP="00CA51AC">
            <w:pPr>
              <w:spacing w:after="0"/>
              <w:jc w:val="center"/>
            </w:pPr>
            <w:r>
              <w:t>9,307</w:t>
            </w:r>
          </w:p>
        </w:tc>
        <w:tc>
          <w:tcPr>
            <w:tcW w:w="966" w:type="dxa"/>
          </w:tcPr>
          <w:p w14:paraId="706EC2CA" w14:textId="7F1B8C81" w:rsidR="004576BB" w:rsidRDefault="004576BB" w:rsidP="00CA51AC">
            <w:pPr>
              <w:spacing w:after="0"/>
              <w:jc w:val="center"/>
            </w:pPr>
            <w:r>
              <w:t>6.36%</w:t>
            </w:r>
          </w:p>
        </w:tc>
        <w:tc>
          <w:tcPr>
            <w:tcW w:w="1080" w:type="dxa"/>
          </w:tcPr>
          <w:p w14:paraId="6433A49C" w14:textId="1D7AFC32" w:rsidR="004576BB" w:rsidRDefault="004576BB" w:rsidP="00CA51AC">
            <w:pPr>
              <w:spacing w:after="0"/>
              <w:jc w:val="center"/>
            </w:pPr>
            <w:r>
              <w:t>5,954</w:t>
            </w:r>
          </w:p>
        </w:tc>
        <w:tc>
          <w:tcPr>
            <w:tcW w:w="1170" w:type="dxa"/>
          </w:tcPr>
          <w:p w14:paraId="2C3EDDCC" w14:textId="4F1C8F5A" w:rsidR="004576BB" w:rsidRDefault="004576BB" w:rsidP="00CA51AC">
            <w:pPr>
              <w:spacing w:after="0"/>
              <w:jc w:val="center"/>
            </w:pPr>
            <w:r>
              <w:t>4.42%</w:t>
            </w:r>
          </w:p>
        </w:tc>
        <w:tc>
          <w:tcPr>
            <w:tcW w:w="1260" w:type="dxa"/>
          </w:tcPr>
          <w:p w14:paraId="02CFAEE2" w14:textId="1E03B0B3" w:rsidR="004576BB" w:rsidRDefault="004576BB" w:rsidP="00CA51AC">
            <w:pPr>
              <w:spacing w:after="0"/>
              <w:jc w:val="center"/>
            </w:pPr>
            <w:r>
              <w:t>4,620</w:t>
            </w:r>
          </w:p>
        </w:tc>
        <w:tc>
          <w:tcPr>
            <w:tcW w:w="1350" w:type="dxa"/>
          </w:tcPr>
          <w:p w14:paraId="7474CA6C" w14:textId="600A483D" w:rsidR="004576BB" w:rsidRDefault="004576BB" w:rsidP="00CA51AC">
            <w:pPr>
              <w:spacing w:after="0"/>
              <w:jc w:val="center"/>
            </w:pPr>
            <w:r>
              <w:t>3.48%</w:t>
            </w:r>
          </w:p>
        </w:tc>
      </w:tr>
    </w:tbl>
    <w:p w14:paraId="78502C37" w14:textId="285727C0" w:rsidR="00042192" w:rsidRPr="008F66F1" w:rsidRDefault="004601C8" w:rsidP="00C33703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 xml:space="preserve">This categorization </w:t>
      </w:r>
      <w:r w:rsidR="0059204F">
        <w:rPr>
          <w:bCs/>
          <w:sz w:val="20"/>
          <w:szCs w:val="20"/>
        </w:rPr>
        <w:t xml:space="preserve">is </w:t>
      </w:r>
      <w:r w:rsidRPr="008F66F1">
        <w:rPr>
          <w:bCs/>
          <w:sz w:val="20"/>
          <w:szCs w:val="20"/>
        </w:rPr>
        <w:t>based on the primary payer of the most recent service, as patients may have multiple payers for a single visit or multiple visits in a year with different payer sources. M</w:t>
      </w:r>
      <w:r w:rsidR="00DE7207" w:rsidRPr="008F66F1">
        <w:rPr>
          <w:bCs/>
          <w:sz w:val="20"/>
          <w:szCs w:val="20"/>
        </w:rPr>
        <w:t>edicaid payer has continued to increase due to the Public Health Emergency that suspended the disenrollment process throughout this time</w:t>
      </w:r>
      <w:r w:rsidR="00171F24">
        <w:rPr>
          <w:bCs/>
          <w:sz w:val="20"/>
          <w:szCs w:val="20"/>
        </w:rPr>
        <w:t>-</w:t>
      </w:r>
      <w:r w:rsidR="00DE7207" w:rsidRPr="008F66F1">
        <w:rPr>
          <w:bCs/>
          <w:sz w:val="20"/>
          <w:szCs w:val="20"/>
        </w:rPr>
        <w:t xml:space="preserve">period. </w:t>
      </w:r>
      <w:r w:rsidR="00C33703" w:rsidRPr="008F66F1">
        <w:rPr>
          <w:bCs/>
          <w:sz w:val="20"/>
          <w:szCs w:val="20"/>
        </w:rPr>
        <w:t>In FY21</w:t>
      </w:r>
      <w:r w:rsidR="008E62AB" w:rsidRPr="008F66F1">
        <w:rPr>
          <w:bCs/>
          <w:sz w:val="20"/>
          <w:szCs w:val="20"/>
        </w:rPr>
        <w:t>/FY22</w:t>
      </w:r>
      <w:r w:rsidR="00C33703" w:rsidRPr="008F66F1">
        <w:rPr>
          <w:bCs/>
          <w:sz w:val="20"/>
          <w:szCs w:val="20"/>
        </w:rPr>
        <w:t xml:space="preserve"> there was an increase on Private/Commercial/HMO payers in response to the number of private businesses that contracted with the health system to perform COVID surveillance testing for their staff</w:t>
      </w:r>
      <w:r w:rsidR="008E62AB" w:rsidRPr="008F66F1">
        <w:rPr>
          <w:bCs/>
          <w:sz w:val="20"/>
          <w:szCs w:val="20"/>
        </w:rPr>
        <w:t xml:space="preserve">, in addition the DPH funded Stop the Spread testing </w:t>
      </w:r>
      <w:r w:rsidR="00DF758F" w:rsidRPr="008F66F1">
        <w:rPr>
          <w:bCs/>
          <w:sz w:val="20"/>
          <w:szCs w:val="20"/>
        </w:rPr>
        <w:t xml:space="preserve">and monoclonal antibodies </w:t>
      </w:r>
      <w:r w:rsidR="008E62AB" w:rsidRPr="008F66F1">
        <w:rPr>
          <w:bCs/>
          <w:sz w:val="20"/>
          <w:szCs w:val="20"/>
        </w:rPr>
        <w:t>is also in this category</w:t>
      </w:r>
      <w:r w:rsidR="00DE7207" w:rsidRPr="008F66F1">
        <w:rPr>
          <w:bCs/>
          <w:sz w:val="20"/>
          <w:szCs w:val="20"/>
        </w:rPr>
        <w:t>.</w:t>
      </w:r>
      <w:r w:rsidR="009B6AB6" w:rsidRPr="008F66F1">
        <w:rPr>
          <w:bCs/>
          <w:sz w:val="20"/>
          <w:szCs w:val="20"/>
        </w:rPr>
        <w:t xml:space="preserve"> </w:t>
      </w:r>
    </w:p>
    <w:p w14:paraId="045076D6" w14:textId="77777777" w:rsidR="000C0001" w:rsidRDefault="000C0001" w:rsidP="00CA51AC">
      <w:pPr>
        <w:spacing w:after="0"/>
        <w:ind w:left="720"/>
        <w:rPr>
          <w:b/>
        </w:rPr>
      </w:pPr>
    </w:p>
    <w:p w14:paraId="24FAF2AF" w14:textId="01E18BC0" w:rsidR="00042192" w:rsidRDefault="002B3A4B" w:rsidP="00CA51AC">
      <w:pPr>
        <w:numPr>
          <w:ilvl w:val="0"/>
          <w:numId w:val="8"/>
        </w:numPr>
        <w:spacing w:after="0"/>
        <w:rPr>
          <w:b/>
        </w:rPr>
      </w:pPr>
      <w:r>
        <w:rPr>
          <w:b/>
        </w:rPr>
        <w:t>Risk Contract</w:t>
      </w:r>
    </w:p>
    <w:p w14:paraId="6FCB3579" w14:textId="77777777" w:rsidR="00E23155" w:rsidRPr="00042192" w:rsidRDefault="00E23155" w:rsidP="00E23155">
      <w:pPr>
        <w:spacing w:after="0"/>
        <w:ind w:left="7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5"/>
        <w:gridCol w:w="1326"/>
        <w:gridCol w:w="1189"/>
        <w:gridCol w:w="1048"/>
        <w:gridCol w:w="1189"/>
        <w:gridCol w:w="1259"/>
        <w:gridCol w:w="1400"/>
      </w:tblGrid>
      <w:tr w:rsidR="0059204F" w14:paraId="3B7AF13C" w14:textId="77777777" w:rsidTr="00D90319">
        <w:trPr>
          <w:cantSplit/>
          <w:trHeight w:val="332"/>
          <w:tblHeader/>
        </w:trPr>
        <w:tc>
          <w:tcPr>
            <w:tcW w:w="1267" w:type="pct"/>
          </w:tcPr>
          <w:p w14:paraId="0BE94CEE" w14:textId="5B8BE3D5" w:rsidR="0059204F" w:rsidRPr="00357164" w:rsidRDefault="00E006E4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Contract Type</w:t>
            </w:r>
          </w:p>
        </w:tc>
        <w:tc>
          <w:tcPr>
            <w:tcW w:w="668" w:type="pct"/>
          </w:tcPr>
          <w:p w14:paraId="182EAAA3" w14:textId="40AEE1A0" w:rsidR="0059204F" w:rsidRPr="00357164" w:rsidRDefault="00D90319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59204F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5154EA2F" w14:textId="77EAA3FF" w:rsidR="0059204F" w:rsidRPr="00357164" w:rsidRDefault="00D90319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</w:t>
            </w:r>
            <w:proofErr w:type="gramStart"/>
            <w:r>
              <w:rPr>
                <w:b/>
              </w:rPr>
              <w:t xml:space="preserve">20  </w:t>
            </w:r>
            <w:r w:rsidR="0059204F" w:rsidRPr="00357164">
              <w:rPr>
                <w:b/>
                <w:bCs/>
              </w:rPr>
              <w:t>Percent</w:t>
            </w:r>
            <w:proofErr w:type="gramEnd"/>
          </w:p>
        </w:tc>
        <w:tc>
          <w:tcPr>
            <w:tcW w:w="528" w:type="pct"/>
          </w:tcPr>
          <w:p w14:paraId="41A8E50A" w14:textId="7295ACC8" w:rsidR="0059204F" w:rsidRDefault="00D90319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59204F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076793EB" w14:textId="287F8850" w:rsidR="0059204F" w:rsidRDefault="00D90319" w:rsidP="00CA51AC">
            <w:pPr>
              <w:spacing w:after="0"/>
              <w:jc w:val="center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FY21 </w:t>
            </w:r>
            <w:r w:rsidR="0059204F" w:rsidRPr="00357164">
              <w:rPr>
                <w:b/>
                <w:bCs/>
              </w:rPr>
              <w:t>Percent</w:t>
            </w:r>
          </w:p>
        </w:tc>
        <w:tc>
          <w:tcPr>
            <w:tcW w:w="634" w:type="pct"/>
          </w:tcPr>
          <w:p w14:paraId="2BA24556" w14:textId="1A1BA995" w:rsidR="0059204F" w:rsidRDefault="00D90319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59204F" w:rsidRPr="00357164">
              <w:rPr>
                <w:b/>
                <w:bCs/>
              </w:rPr>
              <w:t>Number</w:t>
            </w:r>
          </w:p>
        </w:tc>
        <w:tc>
          <w:tcPr>
            <w:tcW w:w="705" w:type="pct"/>
          </w:tcPr>
          <w:p w14:paraId="0B4AB91B" w14:textId="6142D1E2" w:rsidR="0059204F" w:rsidRDefault="00D90319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59204F" w:rsidRPr="00357164">
              <w:rPr>
                <w:b/>
                <w:bCs/>
              </w:rPr>
              <w:t>Percent</w:t>
            </w:r>
          </w:p>
        </w:tc>
      </w:tr>
      <w:tr w:rsidR="0059204F" w14:paraId="0223BC0A" w14:textId="77777777" w:rsidTr="00D90319">
        <w:trPr>
          <w:cantSplit/>
        </w:trPr>
        <w:tc>
          <w:tcPr>
            <w:tcW w:w="1267" w:type="pct"/>
          </w:tcPr>
          <w:p w14:paraId="4A3742AC" w14:textId="2D9B9B0B" w:rsidR="0059204F" w:rsidRPr="006C4B95" w:rsidRDefault="0059204F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Medicare</w:t>
            </w:r>
          </w:p>
        </w:tc>
        <w:tc>
          <w:tcPr>
            <w:tcW w:w="668" w:type="pct"/>
          </w:tcPr>
          <w:p w14:paraId="7860FCA4" w14:textId="265E0424" w:rsidR="0059204F" w:rsidRDefault="0059204F" w:rsidP="00CA51AC">
            <w:pPr>
              <w:spacing w:after="0"/>
              <w:jc w:val="center"/>
            </w:pPr>
            <w:r>
              <w:t>14,246</w:t>
            </w:r>
          </w:p>
        </w:tc>
        <w:tc>
          <w:tcPr>
            <w:tcW w:w="599" w:type="pct"/>
          </w:tcPr>
          <w:p w14:paraId="3BC90D33" w14:textId="5164E089" w:rsidR="0059204F" w:rsidRDefault="0059204F" w:rsidP="00CA51AC">
            <w:pPr>
              <w:spacing w:after="0"/>
              <w:jc w:val="center"/>
            </w:pPr>
            <w:r>
              <w:t>9.74%</w:t>
            </w:r>
          </w:p>
        </w:tc>
        <w:tc>
          <w:tcPr>
            <w:tcW w:w="528" w:type="pct"/>
          </w:tcPr>
          <w:p w14:paraId="2B0C2D7A" w14:textId="3F045C46" w:rsidR="0059204F" w:rsidRDefault="0059204F" w:rsidP="00CA51AC">
            <w:pPr>
              <w:spacing w:after="0"/>
              <w:jc w:val="center"/>
            </w:pPr>
            <w:r>
              <w:t>18,605</w:t>
            </w:r>
          </w:p>
        </w:tc>
        <w:tc>
          <w:tcPr>
            <w:tcW w:w="599" w:type="pct"/>
          </w:tcPr>
          <w:p w14:paraId="0D3973E5" w14:textId="3C25AB7C" w:rsidR="0059204F" w:rsidRDefault="0059204F" w:rsidP="00CA51AC">
            <w:pPr>
              <w:spacing w:after="0"/>
              <w:jc w:val="center"/>
            </w:pPr>
            <w:r>
              <w:t>13.82%</w:t>
            </w:r>
          </w:p>
        </w:tc>
        <w:tc>
          <w:tcPr>
            <w:tcW w:w="634" w:type="pct"/>
          </w:tcPr>
          <w:p w14:paraId="701FD21C" w14:textId="0D37A5F6" w:rsidR="0059204F" w:rsidRDefault="0059204F" w:rsidP="00CA51AC">
            <w:pPr>
              <w:spacing w:after="0"/>
              <w:jc w:val="center"/>
            </w:pPr>
            <w:r>
              <w:t>19,260</w:t>
            </w:r>
          </w:p>
        </w:tc>
        <w:tc>
          <w:tcPr>
            <w:tcW w:w="705" w:type="pct"/>
          </w:tcPr>
          <w:p w14:paraId="0FCC65AD" w14:textId="623AC694" w:rsidR="0059204F" w:rsidRDefault="0059204F" w:rsidP="00CA51AC">
            <w:pPr>
              <w:spacing w:after="0"/>
              <w:jc w:val="center"/>
            </w:pPr>
            <w:r>
              <w:t>14.52%</w:t>
            </w:r>
          </w:p>
        </w:tc>
      </w:tr>
      <w:tr w:rsidR="0059204F" w14:paraId="1FC404DA" w14:textId="77777777" w:rsidTr="00D90319">
        <w:trPr>
          <w:cantSplit/>
        </w:trPr>
        <w:tc>
          <w:tcPr>
            <w:tcW w:w="1267" w:type="pct"/>
          </w:tcPr>
          <w:p w14:paraId="25A2DF51" w14:textId="4597BA14" w:rsidR="0059204F" w:rsidRPr="006C4B95" w:rsidRDefault="0059204F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Medicaid</w:t>
            </w:r>
          </w:p>
        </w:tc>
        <w:tc>
          <w:tcPr>
            <w:tcW w:w="668" w:type="pct"/>
          </w:tcPr>
          <w:p w14:paraId="6138693B" w14:textId="465129F4" w:rsidR="0059204F" w:rsidRDefault="0059204F" w:rsidP="00CA51AC">
            <w:pPr>
              <w:spacing w:after="0"/>
              <w:jc w:val="center"/>
            </w:pPr>
            <w:r>
              <w:t>14,756</w:t>
            </w:r>
          </w:p>
        </w:tc>
        <w:tc>
          <w:tcPr>
            <w:tcW w:w="599" w:type="pct"/>
          </w:tcPr>
          <w:p w14:paraId="4C29D5D3" w14:textId="5423D6D7" w:rsidR="0059204F" w:rsidRDefault="0059204F" w:rsidP="00CA51AC">
            <w:pPr>
              <w:spacing w:after="0"/>
              <w:jc w:val="center"/>
            </w:pPr>
            <w:r>
              <w:t>10.09%</w:t>
            </w:r>
          </w:p>
        </w:tc>
        <w:tc>
          <w:tcPr>
            <w:tcW w:w="528" w:type="pct"/>
          </w:tcPr>
          <w:p w14:paraId="7BFCCDE0" w14:textId="66F912FD" w:rsidR="0059204F" w:rsidRDefault="0059204F" w:rsidP="00CA51AC">
            <w:pPr>
              <w:spacing w:after="0"/>
              <w:jc w:val="center"/>
            </w:pPr>
            <w:r>
              <w:t>15,914</w:t>
            </w:r>
          </w:p>
        </w:tc>
        <w:tc>
          <w:tcPr>
            <w:tcW w:w="599" w:type="pct"/>
          </w:tcPr>
          <w:p w14:paraId="2C72FC7E" w14:textId="6F6D4B60" w:rsidR="0059204F" w:rsidRDefault="0059204F" w:rsidP="00CA51AC">
            <w:pPr>
              <w:spacing w:after="0"/>
              <w:jc w:val="center"/>
            </w:pPr>
            <w:r>
              <w:t>11.82%</w:t>
            </w:r>
          </w:p>
        </w:tc>
        <w:tc>
          <w:tcPr>
            <w:tcW w:w="634" w:type="pct"/>
          </w:tcPr>
          <w:p w14:paraId="524D39D3" w14:textId="5B2B364D" w:rsidR="0059204F" w:rsidRDefault="0059204F" w:rsidP="00CA51AC">
            <w:pPr>
              <w:spacing w:after="0"/>
              <w:jc w:val="center"/>
            </w:pPr>
            <w:r>
              <w:t>17,248</w:t>
            </w:r>
          </w:p>
        </w:tc>
        <w:tc>
          <w:tcPr>
            <w:tcW w:w="705" w:type="pct"/>
          </w:tcPr>
          <w:p w14:paraId="77B03B80" w14:textId="492C3E45" w:rsidR="0059204F" w:rsidRDefault="0059204F" w:rsidP="00CA51AC">
            <w:pPr>
              <w:spacing w:after="0"/>
              <w:jc w:val="center"/>
            </w:pPr>
            <w:r>
              <w:t>13.00%</w:t>
            </w:r>
          </w:p>
        </w:tc>
      </w:tr>
      <w:tr w:rsidR="0059204F" w14:paraId="7F0C4A22" w14:textId="77777777" w:rsidTr="00D90319">
        <w:trPr>
          <w:cantSplit/>
        </w:trPr>
        <w:tc>
          <w:tcPr>
            <w:tcW w:w="1267" w:type="pct"/>
          </w:tcPr>
          <w:p w14:paraId="37AC0934" w14:textId="68CA7D3C" w:rsidR="0059204F" w:rsidRPr="006C4B95" w:rsidRDefault="0059204F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Commercial </w:t>
            </w:r>
          </w:p>
        </w:tc>
        <w:tc>
          <w:tcPr>
            <w:tcW w:w="668" w:type="pct"/>
          </w:tcPr>
          <w:p w14:paraId="5C81CA5C" w14:textId="691C8938" w:rsidR="0059204F" w:rsidRDefault="0059204F" w:rsidP="00CA51AC">
            <w:pPr>
              <w:spacing w:after="0"/>
              <w:jc w:val="center"/>
            </w:pPr>
            <w:r>
              <w:t>938</w:t>
            </w:r>
          </w:p>
        </w:tc>
        <w:tc>
          <w:tcPr>
            <w:tcW w:w="599" w:type="pct"/>
          </w:tcPr>
          <w:p w14:paraId="7A3D0DCD" w14:textId="181F0EFD" w:rsidR="0059204F" w:rsidRDefault="0059204F" w:rsidP="00CA51AC">
            <w:pPr>
              <w:spacing w:after="0"/>
              <w:jc w:val="center"/>
            </w:pPr>
            <w:r>
              <w:t>0.64%</w:t>
            </w:r>
          </w:p>
        </w:tc>
        <w:tc>
          <w:tcPr>
            <w:tcW w:w="528" w:type="pct"/>
          </w:tcPr>
          <w:p w14:paraId="13475E46" w14:textId="13C6D3DA" w:rsidR="0059204F" w:rsidRDefault="0059204F" w:rsidP="00CA51AC">
            <w:pPr>
              <w:spacing w:after="0"/>
              <w:jc w:val="center"/>
            </w:pPr>
            <w:r>
              <w:t>1,139</w:t>
            </w:r>
          </w:p>
        </w:tc>
        <w:tc>
          <w:tcPr>
            <w:tcW w:w="599" w:type="pct"/>
          </w:tcPr>
          <w:p w14:paraId="33F84D04" w14:textId="03DC0D30" w:rsidR="0059204F" w:rsidRDefault="0059204F" w:rsidP="00CA51AC">
            <w:pPr>
              <w:spacing w:after="0"/>
              <w:jc w:val="center"/>
            </w:pPr>
            <w:r>
              <w:t>8.46%</w:t>
            </w:r>
          </w:p>
        </w:tc>
        <w:tc>
          <w:tcPr>
            <w:tcW w:w="634" w:type="pct"/>
          </w:tcPr>
          <w:p w14:paraId="57AF6506" w14:textId="27800517" w:rsidR="0059204F" w:rsidRDefault="0059204F" w:rsidP="00CA51AC">
            <w:pPr>
              <w:spacing w:after="0"/>
              <w:jc w:val="center"/>
            </w:pPr>
            <w:r>
              <w:t>1,420</w:t>
            </w:r>
          </w:p>
        </w:tc>
        <w:tc>
          <w:tcPr>
            <w:tcW w:w="705" w:type="pct"/>
          </w:tcPr>
          <w:p w14:paraId="7EC37776" w14:textId="29F4330C" w:rsidR="0059204F" w:rsidRDefault="0059204F" w:rsidP="00CA51AC">
            <w:pPr>
              <w:spacing w:after="0"/>
              <w:jc w:val="center"/>
            </w:pPr>
            <w:r>
              <w:t>1.07%</w:t>
            </w:r>
          </w:p>
        </w:tc>
      </w:tr>
    </w:tbl>
    <w:p w14:paraId="5B2E646A" w14:textId="277DE0EE" w:rsidR="00E23155" w:rsidRPr="008F66F1" w:rsidRDefault="00416430" w:rsidP="00DE7207">
      <w:pPr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>In FY21</w:t>
      </w:r>
      <w:r w:rsidR="0066444E" w:rsidRPr="008F66F1">
        <w:rPr>
          <w:bCs/>
          <w:sz w:val="20"/>
          <w:szCs w:val="20"/>
        </w:rPr>
        <w:t>,</w:t>
      </w:r>
      <w:r w:rsidRPr="008F66F1">
        <w:rPr>
          <w:bCs/>
          <w:sz w:val="20"/>
          <w:szCs w:val="20"/>
        </w:rPr>
        <w:t xml:space="preserve"> a new partner was added to the Medicare </w:t>
      </w:r>
      <w:r w:rsidR="00AA19CC" w:rsidRPr="008F66F1">
        <w:rPr>
          <w:bCs/>
          <w:sz w:val="20"/>
          <w:szCs w:val="20"/>
        </w:rPr>
        <w:t>r</w:t>
      </w:r>
      <w:r w:rsidRPr="008F66F1">
        <w:rPr>
          <w:bCs/>
          <w:sz w:val="20"/>
          <w:szCs w:val="20"/>
        </w:rPr>
        <w:t xml:space="preserve">isk </w:t>
      </w:r>
      <w:r w:rsidR="00AA19CC" w:rsidRPr="008F66F1">
        <w:rPr>
          <w:bCs/>
          <w:sz w:val="20"/>
          <w:szCs w:val="20"/>
        </w:rPr>
        <w:t>c</w:t>
      </w:r>
      <w:r w:rsidRPr="008F66F1">
        <w:rPr>
          <w:bCs/>
          <w:sz w:val="20"/>
          <w:szCs w:val="20"/>
        </w:rPr>
        <w:t xml:space="preserve">ontract that </w:t>
      </w:r>
      <w:r w:rsidR="00AA19CC" w:rsidRPr="008F66F1">
        <w:rPr>
          <w:bCs/>
          <w:sz w:val="20"/>
          <w:szCs w:val="20"/>
        </w:rPr>
        <w:t>increased patient attribution to what is seen. The Medicaid</w:t>
      </w:r>
      <w:r w:rsidR="0066444E" w:rsidRPr="008F66F1">
        <w:rPr>
          <w:bCs/>
          <w:sz w:val="20"/>
          <w:szCs w:val="20"/>
        </w:rPr>
        <w:t xml:space="preserve"> </w:t>
      </w:r>
      <w:r w:rsidR="00AA19CC" w:rsidRPr="008F66F1">
        <w:rPr>
          <w:bCs/>
          <w:sz w:val="20"/>
          <w:szCs w:val="20"/>
        </w:rPr>
        <w:t xml:space="preserve">risk contact </w:t>
      </w:r>
      <w:r w:rsidR="0066444E" w:rsidRPr="008F66F1">
        <w:rPr>
          <w:bCs/>
          <w:sz w:val="20"/>
          <w:szCs w:val="20"/>
        </w:rPr>
        <w:t>has continued to increase due to the suspension of disenrollment during the Public Health Emergency.</w:t>
      </w:r>
      <w:r w:rsidR="00713135">
        <w:rPr>
          <w:bCs/>
          <w:sz w:val="20"/>
          <w:szCs w:val="20"/>
        </w:rPr>
        <w:t xml:space="preserve"> </w:t>
      </w:r>
    </w:p>
    <w:p w14:paraId="4CE55965" w14:textId="77777777" w:rsidR="000C0001" w:rsidRDefault="000C0001" w:rsidP="000C0001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01039AE" w14:textId="0EC23E86" w:rsidR="00053660" w:rsidRPr="00053660" w:rsidRDefault="00053660" w:rsidP="0005366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053660">
        <w:rPr>
          <w:b/>
          <w:color w:val="000000"/>
        </w:rPr>
        <w:t>Case Mix Index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6"/>
        <w:gridCol w:w="2515"/>
        <w:gridCol w:w="2237"/>
        <w:gridCol w:w="2658"/>
      </w:tblGrid>
      <w:tr w:rsidR="00053660" w14:paraId="737CE66D" w14:textId="77777777" w:rsidTr="0011794D">
        <w:trPr>
          <w:cantSplit/>
          <w:tblHeader/>
        </w:trPr>
        <w:tc>
          <w:tcPr>
            <w:tcW w:w="1267" w:type="pct"/>
          </w:tcPr>
          <w:p w14:paraId="1FCAA086" w14:textId="6F3E0E67" w:rsidR="00053660" w:rsidRPr="006C4B95" w:rsidRDefault="00053660" w:rsidP="003D2155">
            <w:pPr>
              <w:spacing w:after="0"/>
              <w:rPr>
                <w:bCs/>
              </w:rPr>
            </w:pPr>
          </w:p>
        </w:tc>
        <w:tc>
          <w:tcPr>
            <w:tcW w:w="1267" w:type="pct"/>
          </w:tcPr>
          <w:p w14:paraId="3B7CEED3" w14:textId="77777777" w:rsidR="00053660" w:rsidRDefault="00053660" w:rsidP="003D21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1127" w:type="pct"/>
          </w:tcPr>
          <w:p w14:paraId="42E2ECB1" w14:textId="77777777" w:rsidR="00053660" w:rsidRDefault="00053660" w:rsidP="003D21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339" w:type="pct"/>
          </w:tcPr>
          <w:p w14:paraId="169F2C8D" w14:textId="77777777" w:rsidR="00053660" w:rsidRDefault="00053660" w:rsidP="003D21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9D7B7D" w14:paraId="41AE6996" w14:textId="77777777" w:rsidTr="0011794D">
        <w:trPr>
          <w:cantSplit/>
        </w:trPr>
        <w:tc>
          <w:tcPr>
            <w:tcW w:w="1267" w:type="pct"/>
          </w:tcPr>
          <w:p w14:paraId="19A0CF33" w14:textId="3ABB7177" w:rsidR="009D7B7D" w:rsidRDefault="009D7B7D" w:rsidP="009D7B7D">
            <w:pPr>
              <w:spacing w:after="0"/>
              <w:rPr>
                <w:b/>
              </w:rPr>
            </w:pPr>
            <w:r>
              <w:rPr>
                <w:bCs/>
              </w:rPr>
              <w:t>All Payer</w:t>
            </w:r>
          </w:p>
        </w:tc>
        <w:tc>
          <w:tcPr>
            <w:tcW w:w="1267" w:type="pct"/>
          </w:tcPr>
          <w:p w14:paraId="493984B5" w14:textId="67493392" w:rsidR="009D7B7D" w:rsidRDefault="00DB6CD8" w:rsidP="009D7B7D">
            <w:pPr>
              <w:spacing w:after="0"/>
              <w:jc w:val="center"/>
            </w:pPr>
            <w:r>
              <w:t>1.47</w:t>
            </w:r>
          </w:p>
        </w:tc>
        <w:tc>
          <w:tcPr>
            <w:tcW w:w="1127" w:type="pct"/>
          </w:tcPr>
          <w:p w14:paraId="3EA501E6" w14:textId="43D921BC" w:rsidR="009D7B7D" w:rsidRDefault="00233A06" w:rsidP="009D7B7D">
            <w:pPr>
              <w:spacing w:after="0"/>
              <w:jc w:val="center"/>
            </w:pPr>
            <w:r>
              <w:t>1.51</w:t>
            </w:r>
          </w:p>
        </w:tc>
        <w:tc>
          <w:tcPr>
            <w:tcW w:w="1339" w:type="pct"/>
          </w:tcPr>
          <w:p w14:paraId="5B46AED8" w14:textId="40E630B3" w:rsidR="009D7B7D" w:rsidRDefault="009D7B7D" w:rsidP="009D7B7D">
            <w:pPr>
              <w:spacing w:after="0"/>
              <w:jc w:val="center"/>
            </w:pPr>
            <w:r>
              <w:t>1.5</w:t>
            </w:r>
            <w:r w:rsidR="00233A06">
              <w:t>8</w:t>
            </w:r>
          </w:p>
        </w:tc>
      </w:tr>
      <w:tr w:rsidR="009D7B7D" w14:paraId="7C61A108" w14:textId="77777777" w:rsidTr="0011794D">
        <w:trPr>
          <w:cantSplit/>
        </w:trPr>
        <w:tc>
          <w:tcPr>
            <w:tcW w:w="1267" w:type="pct"/>
          </w:tcPr>
          <w:p w14:paraId="5B158684" w14:textId="77777777" w:rsidR="009D7B7D" w:rsidRPr="00053660" w:rsidRDefault="009D7B7D" w:rsidP="009D7B7D">
            <w:pPr>
              <w:spacing w:after="0"/>
              <w:rPr>
                <w:bCs/>
              </w:rPr>
            </w:pPr>
            <w:r w:rsidRPr="00053660">
              <w:rPr>
                <w:bCs/>
              </w:rPr>
              <w:t>Medicare</w:t>
            </w:r>
          </w:p>
        </w:tc>
        <w:tc>
          <w:tcPr>
            <w:tcW w:w="1267" w:type="pct"/>
          </w:tcPr>
          <w:p w14:paraId="63D66CCA" w14:textId="3E437E48" w:rsidR="009D7B7D" w:rsidRDefault="00AD1764" w:rsidP="009D7B7D">
            <w:pPr>
              <w:spacing w:after="0"/>
              <w:jc w:val="center"/>
            </w:pPr>
            <w:r>
              <w:t>1.61</w:t>
            </w:r>
          </w:p>
        </w:tc>
        <w:tc>
          <w:tcPr>
            <w:tcW w:w="1127" w:type="pct"/>
          </w:tcPr>
          <w:p w14:paraId="34185E5F" w14:textId="2DAEB0EE" w:rsidR="009D7B7D" w:rsidRDefault="005D64FF" w:rsidP="009D7B7D">
            <w:pPr>
              <w:spacing w:after="0"/>
              <w:jc w:val="center"/>
            </w:pPr>
            <w:r>
              <w:t>1.6</w:t>
            </w:r>
            <w:r w:rsidR="00AD1764">
              <w:t>5</w:t>
            </w:r>
          </w:p>
        </w:tc>
        <w:tc>
          <w:tcPr>
            <w:tcW w:w="1339" w:type="pct"/>
          </w:tcPr>
          <w:p w14:paraId="25E925F3" w14:textId="22C3A4D0" w:rsidR="009D7B7D" w:rsidRDefault="009D7B7D" w:rsidP="009D7B7D">
            <w:pPr>
              <w:spacing w:after="0"/>
              <w:jc w:val="center"/>
            </w:pPr>
            <w:r>
              <w:t>1.73</w:t>
            </w:r>
          </w:p>
        </w:tc>
      </w:tr>
    </w:tbl>
    <w:p w14:paraId="0F175697" w14:textId="77777777" w:rsidR="00517176" w:rsidRDefault="00517176" w:rsidP="00517176">
      <w:pPr>
        <w:rPr>
          <w:bCs/>
          <w:sz w:val="20"/>
        </w:rPr>
      </w:pPr>
      <w:r w:rsidRPr="00C9717D">
        <w:rPr>
          <w:bCs/>
          <w:sz w:val="20"/>
        </w:rPr>
        <w:t>The BMC Medicare</w:t>
      </w:r>
      <w:r>
        <w:rPr>
          <w:bCs/>
          <w:sz w:val="20"/>
        </w:rPr>
        <w:t xml:space="preserve"> Case Mix Index (“</w:t>
      </w:r>
      <w:r w:rsidRPr="00C9717D">
        <w:rPr>
          <w:bCs/>
          <w:sz w:val="20"/>
        </w:rPr>
        <w:t>CMI</w:t>
      </w:r>
      <w:r>
        <w:rPr>
          <w:bCs/>
          <w:sz w:val="20"/>
        </w:rPr>
        <w:t xml:space="preserve">”) increased from 1.65 in 2021 to 1.73 in 2022.  </w:t>
      </w:r>
      <w:r w:rsidRPr="00C9717D">
        <w:rPr>
          <w:bCs/>
          <w:sz w:val="20"/>
        </w:rPr>
        <w:t xml:space="preserve">This demonstrates the increasing severity of illness </w:t>
      </w:r>
      <w:r>
        <w:rPr>
          <w:bCs/>
          <w:sz w:val="20"/>
        </w:rPr>
        <w:t>of</w:t>
      </w:r>
      <w:r w:rsidRPr="00C9717D">
        <w:rPr>
          <w:bCs/>
          <w:sz w:val="20"/>
        </w:rPr>
        <w:t xml:space="preserve"> Berkshire County patients, </w:t>
      </w:r>
      <w:r>
        <w:rPr>
          <w:bCs/>
          <w:sz w:val="20"/>
        </w:rPr>
        <w:t xml:space="preserve">which </w:t>
      </w:r>
      <w:r w:rsidRPr="00C9717D">
        <w:rPr>
          <w:bCs/>
          <w:sz w:val="20"/>
        </w:rPr>
        <w:t>combined with the increasing age of our patients, support</w:t>
      </w:r>
      <w:r>
        <w:rPr>
          <w:bCs/>
          <w:sz w:val="20"/>
        </w:rPr>
        <w:t>s</w:t>
      </w:r>
      <w:r w:rsidRPr="00C9717D">
        <w:rPr>
          <w:bCs/>
          <w:sz w:val="20"/>
        </w:rPr>
        <w:t xml:space="preserve"> the need for additional inpatient and observation level beds.</w:t>
      </w:r>
    </w:p>
    <w:p w14:paraId="51E8E383" w14:textId="7ABA1D67" w:rsidR="000869FE" w:rsidRDefault="000869FE" w:rsidP="00DE7207">
      <w:pPr>
        <w:rPr>
          <w:bCs/>
          <w:sz w:val="20"/>
        </w:rPr>
      </w:pPr>
    </w:p>
    <w:p w14:paraId="51070103" w14:textId="162738CC" w:rsidR="004D7867" w:rsidRDefault="004D7867" w:rsidP="00DE7207">
      <w:pPr>
        <w:rPr>
          <w:bCs/>
          <w:sz w:val="20"/>
        </w:rPr>
      </w:pPr>
    </w:p>
    <w:p w14:paraId="79BABA81" w14:textId="406DA9B6" w:rsidR="004D7867" w:rsidRDefault="004D7867" w:rsidP="00DE7207">
      <w:pPr>
        <w:rPr>
          <w:bCs/>
          <w:sz w:val="20"/>
        </w:rPr>
      </w:pPr>
    </w:p>
    <w:p w14:paraId="4A148721" w14:textId="07773FD6" w:rsidR="004D7867" w:rsidRDefault="004D7867" w:rsidP="00DE7207">
      <w:pPr>
        <w:rPr>
          <w:bCs/>
          <w:sz w:val="20"/>
        </w:rPr>
      </w:pPr>
    </w:p>
    <w:p w14:paraId="04D8AAC5" w14:textId="5921183B" w:rsidR="004D7867" w:rsidRDefault="004D7867" w:rsidP="00DE7207">
      <w:pPr>
        <w:rPr>
          <w:bCs/>
          <w:sz w:val="20"/>
        </w:rPr>
      </w:pPr>
    </w:p>
    <w:p w14:paraId="65AB73E9" w14:textId="3AF625B5" w:rsidR="004D7867" w:rsidRDefault="004D7867" w:rsidP="00DE7207">
      <w:pPr>
        <w:rPr>
          <w:bCs/>
          <w:sz w:val="20"/>
        </w:rPr>
      </w:pPr>
    </w:p>
    <w:p w14:paraId="2630AE7B" w14:textId="784A7318" w:rsidR="003F490C" w:rsidRPr="009F09B6" w:rsidRDefault="00E84A17" w:rsidP="003D2155">
      <w:pPr>
        <w:pStyle w:val="ListParagraph"/>
        <w:numPr>
          <w:ilvl w:val="0"/>
          <w:numId w:val="8"/>
        </w:numPr>
        <w:rPr>
          <w:b/>
        </w:rPr>
      </w:pPr>
      <w:r w:rsidRPr="009F09B6">
        <w:rPr>
          <w:b/>
        </w:rPr>
        <w:lastRenderedPageBreak/>
        <w:t xml:space="preserve">Disease Prevalence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4"/>
        <w:gridCol w:w="1326"/>
        <w:gridCol w:w="1189"/>
        <w:gridCol w:w="1120"/>
        <w:gridCol w:w="1120"/>
        <w:gridCol w:w="1259"/>
        <w:gridCol w:w="1398"/>
      </w:tblGrid>
      <w:tr w:rsidR="00E006E4" w14:paraId="5E8021AD" w14:textId="77777777" w:rsidTr="00AE2C36">
        <w:trPr>
          <w:cantSplit/>
          <w:trHeight w:val="359"/>
          <w:tblHeader/>
        </w:trPr>
        <w:tc>
          <w:tcPr>
            <w:tcW w:w="1266" w:type="pct"/>
          </w:tcPr>
          <w:p w14:paraId="65D82F50" w14:textId="4FE3CB1C" w:rsidR="00E006E4" w:rsidRPr="00357164" w:rsidRDefault="00E006E4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Disease Prevalence</w:t>
            </w:r>
          </w:p>
        </w:tc>
        <w:tc>
          <w:tcPr>
            <w:tcW w:w="668" w:type="pct"/>
          </w:tcPr>
          <w:p w14:paraId="319BF1B2" w14:textId="28D39776" w:rsidR="00E006E4" w:rsidRPr="00357164" w:rsidRDefault="00AE2C36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E006E4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46940724" w14:textId="38718281" w:rsidR="00E006E4" w:rsidRPr="00357164" w:rsidRDefault="00AE2C36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E006E4" w:rsidRPr="00357164">
              <w:rPr>
                <w:b/>
                <w:bCs/>
              </w:rPr>
              <w:t>Percent</w:t>
            </w:r>
          </w:p>
        </w:tc>
        <w:tc>
          <w:tcPr>
            <w:tcW w:w="564" w:type="pct"/>
          </w:tcPr>
          <w:p w14:paraId="37E2C2E0" w14:textId="6BA87551" w:rsidR="00E006E4" w:rsidRDefault="00AE2C36" w:rsidP="00E006E4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E006E4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115ADA34" w14:textId="1CCA7996" w:rsidR="00E006E4" w:rsidRDefault="00AE2C36" w:rsidP="00E006E4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E006E4" w:rsidRPr="00357164">
              <w:rPr>
                <w:b/>
                <w:bCs/>
              </w:rPr>
              <w:t>Percent</w:t>
            </w:r>
          </w:p>
        </w:tc>
        <w:tc>
          <w:tcPr>
            <w:tcW w:w="634" w:type="pct"/>
          </w:tcPr>
          <w:p w14:paraId="6571B3A9" w14:textId="144D792E" w:rsidR="00E006E4" w:rsidRDefault="00AE2C36" w:rsidP="00E006E4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E006E4" w:rsidRPr="00357164">
              <w:rPr>
                <w:b/>
                <w:bCs/>
              </w:rPr>
              <w:t>Number</w:t>
            </w:r>
          </w:p>
        </w:tc>
        <w:tc>
          <w:tcPr>
            <w:tcW w:w="704" w:type="pct"/>
          </w:tcPr>
          <w:p w14:paraId="56065221" w14:textId="671E2589" w:rsidR="00E006E4" w:rsidRDefault="00AE2C36" w:rsidP="00E006E4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E006E4" w:rsidRPr="00357164">
              <w:rPr>
                <w:b/>
                <w:bCs/>
              </w:rPr>
              <w:t>Percent</w:t>
            </w:r>
          </w:p>
        </w:tc>
      </w:tr>
      <w:tr w:rsidR="00E006E4" w14:paraId="1C99B471" w14:textId="77777777" w:rsidTr="00AE2C36">
        <w:trPr>
          <w:cantSplit/>
        </w:trPr>
        <w:tc>
          <w:tcPr>
            <w:tcW w:w="1266" w:type="pct"/>
          </w:tcPr>
          <w:p w14:paraId="0666C5F8" w14:textId="7BB8E333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Hypertension</w:t>
            </w:r>
          </w:p>
        </w:tc>
        <w:tc>
          <w:tcPr>
            <w:tcW w:w="668" w:type="pct"/>
          </w:tcPr>
          <w:p w14:paraId="2FC567D4" w14:textId="02512379" w:rsidR="00E006E4" w:rsidRDefault="00E006E4" w:rsidP="00E006E4">
            <w:pPr>
              <w:spacing w:after="0"/>
              <w:jc w:val="center"/>
            </w:pPr>
            <w:r>
              <w:t>31,205</w:t>
            </w:r>
          </w:p>
        </w:tc>
        <w:tc>
          <w:tcPr>
            <w:tcW w:w="599" w:type="pct"/>
          </w:tcPr>
          <w:p w14:paraId="432CF45A" w14:textId="6A4F1AFF" w:rsidR="00E006E4" w:rsidRDefault="00E006E4" w:rsidP="00E006E4">
            <w:pPr>
              <w:spacing w:after="0"/>
              <w:jc w:val="center"/>
            </w:pPr>
            <w:r>
              <w:t>21.13%</w:t>
            </w:r>
          </w:p>
        </w:tc>
        <w:tc>
          <w:tcPr>
            <w:tcW w:w="564" w:type="pct"/>
          </w:tcPr>
          <w:p w14:paraId="2EA6ED59" w14:textId="2E7C76BC" w:rsidR="00E006E4" w:rsidRDefault="00E006E4" w:rsidP="00E006E4">
            <w:pPr>
              <w:spacing w:after="0"/>
              <w:jc w:val="center"/>
            </w:pPr>
            <w:r>
              <w:t>30,746</w:t>
            </w:r>
          </w:p>
        </w:tc>
        <w:tc>
          <w:tcPr>
            <w:tcW w:w="564" w:type="pct"/>
          </w:tcPr>
          <w:p w14:paraId="54EC4234" w14:textId="458EAF9D" w:rsidR="00E006E4" w:rsidRDefault="00E006E4" w:rsidP="00E006E4">
            <w:pPr>
              <w:spacing w:after="0"/>
              <w:jc w:val="center"/>
            </w:pPr>
            <w:r>
              <w:t>22.84%</w:t>
            </w:r>
          </w:p>
        </w:tc>
        <w:tc>
          <w:tcPr>
            <w:tcW w:w="634" w:type="pct"/>
          </w:tcPr>
          <w:p w14:paraId="06B49AB0" w14:textId="27418172" w:rsidR="00E006E4" w:rsidRDefault="00E006E4" w:rsidP="00E006E4">
            <w:pPr>
              <w:spacing w:after="0"/>
              <w:jc w:val="center"/>
            </w:pPr>
            <w:r>
              <w:t>31,273</w:t>
            </w:r>
          </w:p>
        </w:tc>
        <w:tc>
          <w:tcPr>
            <w:tcW w:w="704" w:type="pct"/>
          </w:tcPr>
          <w:p w14:paraId="599F0496" w14:textId="7BCC895A" w:rsidR="00E006E4" w:rsidRDefault="00E006E4" w:rsidP="00E006E4">
            <w:pPr>
              <w:spacing w:after="0"/>
              <w:jc w:val="center"/>
            </w:pPr>
            <w:r>
              <w:t>23.57%</w:t>
            </w:r>
          </w:p>
        </w:tc>
      </w:tr>
      <w:tr w:rsidR="00E006E4" w14:paraId="5304ED5C" w14:textId="77777777" w:rsidTr="00AE2C36">
        <w:trPr>
          <w:cantSplit/>
        </w:trPr>
        <w:tc>
          <w:tcPr>
            <w:tcW w:w="1266" w:type="pct"/>
          </w:tcPr>
          <w:p w14:paraId="7498C3FC" w14:textId="0A4720D4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Mental Health</w:t>
            </w:r>
          </w:p>
        </w:tc>
        <w:tc>
          <w:tcPr>
            <w:tcW w:w="668" w:type="pct"/>
          </w:tcPr>
          <w:p w14:paraId="23A38818" w14:textId="0FE29A0B" w:rsidR="00E006E4" w:rsidRDefault="00E006E4" w:rsidP="00E006E4">
            <w:pPr>
              <w:spacing w:after="0"/>
              <w:jc w:val="center"/>
            </w:pPr>
            <w:r>
              <w:t>19,550</w:t>
            </w:r>
          </w:p>
        </w:tc>
        <w:tc>
          <w:tcPr>
            <w:tcW w:w="599" w:type="pct"/>
          </w:tcPr>
          <w:p w14:paraId="53A8C9C6" w14:textId="3F0A828D" w:rsidR="00E006E4" w:rsidRDefault="00E006E4" w:rsidP="00E006E4">
            <w:pPr>
              <w:spacing w:after="0"/>
              <w:jc w:val="center"/>
            </w:pPr>
            <w:r>
              <w:t>13.36%</w:t>
            </w:r>
          </w:p>
        </w:tc>
        <w:tc>
          <w:tcPr>
            <w:tcW w:w="564" w:type="pct"/>
          </w:tcPr>
          <w:p w14:paraId="0D518E98" w14:textId="7136A38C" w:rsidR="00E006E4" w:rsidRDefault="00E006E4" w:rsidP="00E006E4">
            <w:pPr>
              <w:spacing w:after="0"/>
              <w:jc w:val="center"/>
            </w:pPr>
            <w:r>
              <w:t>19,523</w:t>
            </w:r>
          </w:p>
        </w:tc>
        <w:tc>
          <w:tcPr>
            <w:tcW w:w="564" w:type="pct"/>
          </w:tcPr>
          <w:p w14:paraId="0CD812A5" w14:textId="3D44582B" w:rsidR="00E006E4" w:rsidRDefault="00E006E4" w:rsidP="00E006E4">
            <w:pPr>
              <w:spacing w:after="0"/>
              <w:jc w:val="center"/>
            </w:pPr>
            <w:r>
              <w:t>14.51%</w:t>
            </w:r>
          </w:p>
        </w:tc>
        <w:tc>
          <w:tcPr>
            <w:tcW w:w="634" w:type="pct"/>
          </w:tcPr>
          <w:p w14:paraId="58500AF9" w14:textId="0827CC75" w:rsidR="00E006E4" w:rsidRDefault="00E006E4" w:rsidP="00E006E4">
            <w:pPr>
              <w:spacing w:after="0"/>
              <w:jc w:val="center"/>
            </w:pPr>
            <w:r>
              <w:t>23,459</w:t>
            </w:r>
          </w:p>
        </w:tc>
        <w:tc>
          <w:tcPr>
            <w:tcW w:w="704" w:type="pct"/>
          </w:tcPr>
          <w:p w14:paraId="11C1D3CB" w14:textId="2E25E286" w:rsidR="00E006E4" w:rsidRDefault="00E006E4" w:rsidP="00E006E4">
            <w:pPr>
              <w:spacing w:after="0"/>
              <w:jc w:val="center"/>
            </w:pPr>
            <w:r>
              <w:t>17.68%</w:t>
            </w:r>
          </w:p>
        </w:tc>
      </w:tr>
      <w:tr w:rsidR="00E006E4" w14:paraId="237DB189" w14:textId="77777777" w:rsidTr="00AE2C36">
        <w:trPr>
          <w:cantSplit/>
        </w:trPr>
        <w:tc>
          <w:tcPr>
            <w:tcW w:w="1266" w:type="pct"/>
          </w:tcPr>
          <w:p w14:paraId="7F12CDA4" w14:textId="15A1EFF1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Diabetes</w:t>
            </w:r>
          </w:p>
        </w:tc>
        <w:tc>
          <w:tcPr>
            <w:tcW w:w="668" w:type="pct"/>
          </w:tcPr>
          <w:p w14:paraId="0F680A03" w14:textId="74105D27" w:rsidR="00E006E4" w:rsidRDefault="00E006E4" w:rsidP="00E006E4">
            <w:pPr>
              <w:spacing w:after="0"/>
              <w:jc w:val="center"/>
            </w:pPr>
            <w:r>
              <w:t>13,124</w:t>
            </w:r>
          </w:p>
        </w:tc>
        <w:tc>
          <w:tcPr>
            <w:tcW w:w="599" w:type="pct"/>
          </w:tcPr>
          <w:p w14:paraId="2554CB44" w14:textId="7CCF4786" w:rsidR="00E006E4" w:rsidRDefault="00E006E4" w:rsidP="00E006E4">
            <w:pPr>
              <w:spacing w:after="0"/>
              <w:jc w:val="center"/>
            </w:pPr>
            <w:r>
              <w:t>8.97%</w:t>
            </w:r>
          </w:p>
        </w:tc>
        <w:tc>
          <w:tcPr>
            <w:tcW w:w="564" w:type="pct"/>
          </w:tcPr>
          <w:p w14:paraId="4106AFB1" w14:textId="3B1F2B4F" w:rsidR="00E006E4" w:rsidRDefault="00E006E4" w:rsidP="00E006E4">
            <w:pPr>
              <w:spacing w:after="0"/>
              <w:jc w:val="center"/>
            </w:pPr>
            <w:r>
              <w:t>12,611</w:t>
            </w:r>
          </w:p>
        </w:tc>
        <w:tc>
          <w:tcPr>
            <w:tcW w:w="564" w:type="pct"/>
          </w:tcPr>
          <w:p w14:paraId="388EF7C9" w14:textId="1B187A3D" w:rsidR="00E006E4" w:rsidRDefault="00E006E4" w:rsidP="00E006E4">
            <w:pPr>
              <w:spacing w:after="0"/>
              <w:jc w:val="center"/>
            </w:pPr>
            <w:r>
              <w:t>9.37%</w:t>
            </w:r>
          </w:p>
        </w:tc>
        <w:tc>
          <w:tcPr>
            <w:tcW w:w="634" w:type="pct"/>
          </w:tcPr>
          <w:p w14:paraId="5FC4B5BB" w14:textId="0AF65226" w:rsidR="00E006E4" w:rsidRDefault="00E006E4" w:rsidP="00E006E4">
            <w:pPr>
              <w:spacing w:after="0"/>
              <w:jc w:val="center"/>
            </w:pPr>
            <w:r>
              <w:t>12,662</w:t>
            </w:r>
          </w:p>
        </w:tc>
        <w:tc>
          <w:tcPr>
            <w:tcW w:w="704" w:type="pct"/>
          </w:tcPr>
          <w:p w14:paraId="187CAD5D" w14:textId="5DAAB499" w:rsidR="00E006E4" w:rsidRDefault="00E006E4" w:rsidP="00E006E4">
            <w:pPr>
              <w:spacing w:after="0"/>
              <w:jc w:val="center"/>
            </w:pPr>
            <w:r>
              <w:t>9.54%</w:t>
            </w:r>
          </w:p>
        </w:tc>
      </w:tr>
      <w:tr w:rsidR="00E006E4" w14:paraId="415BBCBC" w14:textId="77777777" w:rsidTr="00AE2C36">
        <w:trPr>
          <w:cantSplit/>
        </w:trPr>
        <w:tc>
          <w:tcPr>
            <w:tcW w:w="1266" w:type="pct"/>
          </w:tcPr>
          <w:p w14:paraId="2810A758" w14:textId="2759AE61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Cancer</w:t>
            </w:r>
          </w:p>
        </w:tc>
        <w:tc>
          <w:tcPr>
            <w:tcW w:w="668" w:type="pct"/>
          </w:tcPr>
          <w:p w14:paraId="21F094E4" w14:textId="2AD8DC93" w:rsidR="00E006E4" w:rsidRDefault="00E006E4" w:rsidP="00E006E4">
            <w:pPr>
              <w:spacing w:after="0"/>
              <w:jc w:val="center"/>
            </w:pPr>
            <w:r>
              <w:t>10,585</w:t>
            </w:r>
          </w:p>
        </w:tc>
        <w:tc>
          <w:tcPr>
            <w:tcW w:w="599" w:type="pct"/>
          </w:tcPr>
          <w:p w14:paraId="258CB1F7" w14:textId="4F475C58" w:rsidR="00E006E4" w:rsidRDefault="00E006E4" w:rsidP="00E006E4">
            <w:pPr>
              <w:spacing w:after="0"/>
              <w:jc w:val="center"/>
            </w:pPr>
            <w:r>
              <w:t>7.22%</w:t>
            </w:r>
          </w:p>
        </w:tc>
        <w:tc>
          <w:tcPr>
            <w:tcW w:w="564" w:type="pct"/>
          </w:tcPr>
          <w:p w14:paraId="219420FB" w14:textId="3F3B0BF0" w:rsidR="00E006E4" w:rsidRDefault="00E006E4" w:rsidP="00E006E4">
            <w:pPr>
              <w:spacing w:after="0"/>
              <w:jc w:val="center"/>
            </w:pPr>
            <w:r>
              <w:t>10,386</w:t>
            </w:r>
          </w:p>
        </w:tc>
        <w:tc>
          <w:tcPr>
            <w:tcW w:w="564" w:type="pct"/>
          </w:tcPr>
          <w:p w14:paraId="4AC20544" w14:textId="044C31A8" w:rsidR="00E006E4" w:rsidRDefault="00E006E4" w:rsidP="00E006E4">
            <w:pPr>
              <w:spacing w:after="0"/>
              <w:jc w:val="center"/>
            </w:pPr>
            <w:r>
              <w:t>7.72%</w:t>
            </w:r>
          </w:p>
        </w:tc>
        <w:tc>
          <w:tcPr>
            <w:tcW w:w="634" w:type="pct"/>
          </w:tcPr>
          <w:p w14:paraId="1050D181" w14:textId="0C2C11E0" w:rsidR="00E006E4" w:rsidRDefault="00E006E4" w:rsidP="00E006E4">
            <w:pPr>
              <w:spacing w:after="0"/>
              <w:jc w:val="center"/>
            </w:pPr>
            <w:r>
              <w:t>10,755</w:t>
            </w:r>
          </w:p>
        </w:tc>
        <w:tc>
          <w:tcPr>
            <w:tcW w:w="704" w:type="pct"/>
          </w:tcPr>
          <w:p w14:paraId="07820680" w14:textId="351D5226" w:rsidR="00E006E4" w:rsidRDefault="00E006E4" w:rsidP="00E006E4">
            <w:pPr>
              <w:spacing w:after="0"/>
              <w:jc w:val="center"/>
            </w:pPr>
            <w:r>
              <w:t>8.11%</w:t>
            </w:r>
          </w:p>
        </w:tc>
      </w:tr>
      <w:tr w:rsidR="00E006E4" w14:paraId="62D3F215" w14:textId="77777777" w:rsidTr="00AE2C36">
        <w:trPr>
          <w:cantSplit/>
        </w:trPr>
        <w:tc>
          <w:tcPr>
            <w:tcW w:w="1266" w:type="pct"/>
          </w:tcPr>
          <w:p w14:paraId="77644339" w14:textId="22835433" w:rsidR="00E006E4" w:rsidRPr="00E23155" w:rsidRDefault="00E006E4" w:rsidP="00E006E4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Respiratory Disease</w:t>
            </w:r>
          </w:p>
        </w:tc>
        <w:tc>
          <w:tcPr>
            <w:tcW w:w="668" w:type="pct"/>
          </w:tcPr>
          <w:p w14:paraId="5C73D41F" w14:textId="4D1065A7" w:rsidR="00E006E4" w:rsidRDefault="00E006E4" w:rsidP="00E006E4">
            <w:pPr>
              <w:spacing w:after="0"/>
              <w:jc w:val="center"/>
            </w:pPr>
            <w:r>
              <w:t>9,763</w:t>
            </w:r>
          </w:p>
        </w:tc>
        <w:tc>
          <w:tcPr>
            <w:tcW w:w="599" w:type="pct"/>
          </w:tcPr>
          <w:p w14:paraId="629D912F" w14:textId="6BD10361" w:rsidR="00E006E4" w:rsidRDefault="00E006E4" w:rsidP="00E006E4">
            <w:pPr>
              <w:spacing w:after="0"/>
              <w:jc w:val="center"/>
            </w:pPr>
            <w:r>
              <w:t>6.67%</w:t>
            </w:r>
          </w:p>
        </w:tc>
        <w:tc>
          <w:tcPr>
            <w:tcW w:w="564" w:type="pct"/>
          </w:tcPr>
          <w:p w14:paraId="51D7B5CE" w14:textId="3EA6F4AC" w:rsidR="00E006E4" w:rsidRDefault="00E006E4" w:rsidP="00E006E4">
            <w:pPr>
              <w:spacing w:after="0"/>
              <w:jc w:val="center"/>
            </w:pPr>
            <w:r>
              <w:t>9,031</w:t>
            </w:r>
          </w:p>
        </w:tc>
        <w:tc>
          <w:tcPr>
            <w:tcW w:w="564" w:type="pct"/>
          </w:tcPr>
          <w:p w14:paraId="5B6671BB" w14:textId="5317B46B" w:rsidR="00E006E4" w:rsidRDefault="00E006E4" w:rsidP="00E006E4">
            <w:pPr>
              <w:spacing w:after="0"/>
              <w:jc w:val="center"/>
            </w:pPr>
            <w:r>
              <w:t>6.71%</w:t>
            </w:r>
          </w:p>
        </w:tc>
        <w:tc>
          <w:tcPr>
            <w:tcW w:w="634" w:type="pct"/>
          </w:tcPr>
          <w:p w14:paraId="0426013B" w14:textId="0DC3C9EF" w:rsidR="00E006E4" w:rsidRDefault="00E006E4" w:rsidP="00E006E4">
            <w:pPr>
              <w:spacing w:after="0"/>
              <w:jc w:val="center"/>
            </w:pPr>
            <w:r>
              <w:t>10,059</w:t>
            </w:r>
          </w:p>
        </w:tc>
        <w:tc>
          <w:tcPr>
            <w:tcW w:w="704" w:type="pct"/>
          </w:tcPr>
          <w:p w14:paraId="4109F64C" w14:textId="2CC4CC64" w:rsidR="00E006E4" w:rsidRDefault="00E006E4" w:rsidP="00E006E4">
            <w:pPr>
              <w:spacing w:after="0"/>
              <w:jc w:val="center"/>
            </w:pPr>
            <w:r>
              <w:t>7.58%</w:t>
            </w:r>
          </w:p>
        </w:tc>
      </w:tr>
      <w:tr w:rsidR="00E006E4" w14:paraId="390CE02C" w14:textId="77777777" w:rsidTr="00AE2C36">
        <w:trPr>
          <w:cantSplit/>
        </w:trPr>
        <w:tc>
          <w:tcPr>
            <w:tcW w:w="1266" w:type="pct"/>
          </w:tcPr>
          <w:p w14:paraId="77FAE9C4" w14:textId="193FB13D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Substance Use</w:t>
            </w:r>
          </w:p>
        </w:tc>
        <w:tc>
          <w:tcPr>
            <w:tcW w:w="668" w:type="pct"/>
          </w:tcPr>
          <w:p w14:paraId="6FE6F1BF" w14:textId="1014DCBF" w:rsidR="00E006E4" w:rsidRDefault="00E006E4" w:rsidP="00E006E4">
            <w:pPr>
              <w:spacing w:after="0"/>
              <w:jc w:val="center"/>
            </w:pPr>
            <w:r>
              <w:t>7,997</w:t>
            </w:r>
          </w:p>
        </w:tc>
        <w:tc>
          <w:tcPr>
            <w:tcW w:w="599" w:type="pct"/>
          </w:tcPr>
          <w:p w14:paraId="09D51BCF" w14:textId="797EC854" w:rsidR="00E006E4" w:rsidRDefault="00E006E4" w:rsidP="00E006E4">
            <w:pPr>
              <w:spacing w:after="0"/>
              <w:jc w:val="center"/>
            </w:pPr>
            <w:r>
              <w:t>5.47%</w:t>
            </w:r>
          </w:p>
        </w:tc>
        <w:tc>
          <w:tcPr>
            <w:tcW w:w="564" w:type="pct"/>
          </w:tcPr>
          <w:p w14:paraId="4F988B92" w14:textId="5741C8FA" w:rsidR="00E006E4" w:rsidRDefault="00E006E4" w:rsidP="00E006E4">
            <w:pPr>
              <w:spacing w:after="0"/>
              <w:jc w:val="center"/>
            </w:pPr>
            <w:r>
              <w:t>7,356</w:t>
            </w:r>
          </w:p>
        </w:tc>
        <w:tc>
          <w:tcPr>
            <w:tcW w:w="564" w:type="pct"/>
          </w:tcPr>
          <w:p w14:paraId="2A2F42CC" w14:textId="701B8679" w:rsidR="00E006E4" w:rsidRDefault="00E006E4" w:rsidP="00E006E4">
            <w:pPr>
              <w:spacing w:after="0"/>
              <w:jc w:val="center"/>
            </w:pPr>
            <w:r>
              <w:t>5.47%</w:t>
            </w:r>
          </w:p>
        </w:tc>
        <w:tc>
          <w:tcPr>
            <w:tcW w:w="634" w:type="pct"/>
          </w:tcPr>
          <w:p w14:paraId="72224F05" w14:textId="3D117AFA" w:rsidR="00E006E4" w:rsidRDefault="00E006E4" w:rsidP="00E006E4">
            <w:pPr>
              <w:spacing w:after="0"/>
              <w:jc w:val="center"/>
            </w:pPr>
            <w:r>
              <w:t>8,172</w:t>
            </w:r>
          </w:p>
        </w:tc>
        <w:tc>
          <w:tcPr>
            <w:tcW w:w="704" w:type="pct"/>
          </w:tcPr>
          <w:p w14:paraId="293E5486" w14:textId="09A60E11" w:rsidR="00E006E4" w:rsidRDefault="00E006E4" w:rsidP="00E006E4">
            <w:pPr>
              <w:spacing w:after="0"/>
              <w:jc w:val="center"/>
            </w:pPr>
            <w:r>
              <w:t>6.16%</w:t>
            </w:r>
          </w:p>
        </w:tc>
      </w:tr>
      <w:tr w:rsidR="00E006E4" w14:paraId="352B15D5" w14:textId="77777777" w:rsidTr="00AE2C36">
        <w:trPr>
          <w:cantSplit/>
        </w:trPr>
        <w:tc>
          <w:tcPr>
            <w:tcW w:w="1266" w:type="pct"/>
          </w:tcPr>
          <w:p w14:paraId="3E00D199" w14:textId="31CEA6A1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 xml:space="preserve">Coronary Artery Disease </w:t>
            </w:r>
          </w:p>
        </w:tc>
        <w:tc>
          <w:tcPr>
            <w:tcW w:w="668" w:type="pct"/>
          </w:tcPr>
          <w:p w14:paraId="4075BDB6" w14:textId="08C360D3" w:rsidR="00E006E4" w:rsidRDefault="00E006E4" w:rsidP="00E006E4">
            <w:pPr>
              <w:spacing w:after="0"/>
              <w:jc w:val="center"/>
            </w:pPr>
            <w:r>
              <w:t>7,951</w:t>
            </w:r>
          </w:p>
        </w:tc>
        <w:tc>
          <w:tcPr>
            <w:tcW w:w="599" w:type="pct"/>
          </w:tcPr>
          <w:p w14:paraId="7FFBD4DE" w14:textId="41258130" w:rsidR="00E006E4" w:rsidRDefault="00E006E4" w:rsidP="00E006E4">
            <w:pPr>
              <w:spacing w:after="0"/>
              <w:jc w:val="center"/>
            </w:pPr>
            <w:r>
              <w:t>5.44%</w:t>
            </w:r>
          </w:p>
        </w:tc>
        <w:tc>
          <w:tcPr>
            <w:tcW w:w="564" w:type="pct"/>
          </w:tcPr>
          <w:p w14:paraId="7B223C1C" w14:textId="4363B69B" w:rsidR="00E006E4" w:rsidRDefault="00E006E4" w:rsidP="00E006E4">
            <w:pPr>
              <w:spacing w:after="0"/>
              <w:jc w:val="center"/>
            </w:pPr>
            <w:r>
              <w:t>7,813</w:t>
            </w:r>
          </w:p>
        </w:tc>
        <w:tc>
          <w:tcPr>
            <w:tcW w:w="564" w:type="pct"/>
          </w:tcPr>
          <w:p w14:paraId="6B68FAED" w14:textId="319B42BC" w:rsidR="00E006E4" w:rsidRDefault="00E006E4" w:rsidP="00E006E4">
            <w:pPr>
              <w:spacing w:after="0"/>
              <w:jc w:val="center"/>
            </w:pPr>
            <w:r>
              <w:t>5.80%</w:t>
            </w:r>
          </w:p>
        </w:tc>
        <w:tc>
          <w:tcPr>
            <w:tcW w:w="634" w:type="pct"/>
          </w:tcPr>
          <w:p w14:paraId="356F4092" w14:textId="7EB954E8" w:rsidR="00E006E4" w:rsidRDefault="00E006E4" w:rsidP="00E006E4">
            <w:pPr>
              <w:spacing w:after="0"/>
              <w:jc w:val="center"/>
            </w:pPr>
            <w:r>
              <w:t>8,321</w:t>
            </w:r>
          </w:p>
        </w:tc>
        <w:tc>
          <w:tcPr>
            <w:tcW w:w="704" w:type="pct"/>
          </w:tcPr>
          <w:p w14:paraId="080CFF3A" w14:textId="7F188247" w:rsidR="00E006E4" w:rsidRDefault="00E006E4" w:rsidP="00E006E4">
            <w:pPr>
              <w:spacing w:after="0"/>
              <w:jc w:val="center"/>
            </w:pPr>
            <w:r>
              <w:t>6.27%</w:t>
            </w:r>
          </w:p>
        </w:tc>
      </w:tr>
      <w:tr w:rsidR="00E006E4" w14:paraId="2C5BABA9" w14:textId="77777777" w:rsidTr="00AE2C36">
        <w:trPr>
          <w:cantSplit/>
        </w:trPr>
        <w:tc>
          <w:tcPr>
            <w:tcW w:w="1266" w:type="pct"/>
          </w:tcPr>
          <w:p w14:paraId="21D8D6F4" w14:textId="3A3744A3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Kidney Disease/Failure</w:t>
            </w:r>
          </w:p>
        </w:tc>
        <w:tc>
          <w:tcPr>
            <w:tcW w:w="668" w:type="pct"/>
          </w:tcPr>
          <w:p w14:paraId="16BB0A36" w14:textId="7C8E1325" w:rsidR="00E006E4" w:rsidRDefault="00E006E4" w:rsidP="00E006E4">
            <w:pPr>
              <w:spacing w:after="0"/>
              <w:jc w:val="center"/>
            </w:pPr>
            <w:r>
              <w:t>5,312</w:t>
            </w:r>
          </w:p>
        </w:tc>
        <w:tc>
          <w:tcPr>
            <w:tcW w:w="599" w:type="pct"/>
          </w:tcPr>
          <w:p w14:paraId="20837C9B" w14:textId="5E00A6D9" w:rsidR="00E006E4" w:rsidRDefault="00E006E4" w:rsidP="00E006E4">
            <w:pPr>
              <w:spacing w:after="0"/>
              <w:jc w:val="center"/>
            </w:pPr>
            <w:r>
              <w:t>3.63%</w:t>
            </w:r>
          </w:p>
        </w:tc>
        <w:tc>
          <w:tcPr>
            <w:tcW w:w="564" w:type="pct"/>
          </w:tcPr>
          <w:p w14:paraId="6F50089E" w14:textId="34D7C42D" w:rsidR="00E006E4" w:rsidRDefault="00E006E4" w:rsidP="00E006E4">
            <w:pPr>
              <w:spacing w:after="0"/>
              <w:jc w:val="center"/>
            </w:pPr>
            <w:r>
              <w:t>5,272</w:t>
            </w:r>
          </w:p>
        </w:tc>
        <w:tc>
          <w:tcPr>
            <w:tcW w:w="564" w:type="pct"/>
          </w:tcPr>
          <w:p w14:paraId="6C678C15" w14:textId="38CFB80B" w:rsidR="00E006E4" w:rsidRDefault="00E006E4" w:rsidP="00E006E4">
            <w:pPr>
              <w:spacing w:after="0"/>
              <w:jc w:val="center"/>
            </w:pPr>
            <w:r>
              <w:t>3.92%</w:t>
            </w:r>
          </w:p>
        </w:tc>
        <w:tc>
          <w:tcPr>
            <w:tcW w:w="634" w:type="pct"/>
          </w:tcPr>
          <w:p w14:paraId="5B75F70A" w14:textId="74FCEC35" w:rsidR="00E006E4" w:rsidRDefault="00E006E4" w:rsidP="00E006E4">
            <w:pPr>
              <w:spacing w:after="0"/>
              <w:jc w:val="center"/>
            </w:pPr>
            <w:r>
              <w:t>5,427</w:t>
            </w:r>
          </w:p>
        </w:tc>
        <w:tc>
          <w:tcPr>
            <w:tcW w:w="704" w:type="pct"/>
          </w:tcPr>
          <w:p w14:paraId="57932CBF" w14:textId="1D74EF77" w:rsidR="00E006E4" w:rsidRDefault="00E006E4" w:rsidP="00E006E4">
            <w:pPr>
              <w:spacing w:after="0"/>
              <w:jc w:val="center"/>
            </w:pPr>
            <w:r>
              <w:t>4.09%</w:t>
            </w:r>
          </w:p>
        </w:tc>
      </w:tr>
      <w:tr w:rsidR="00E006E4" w14:paraId="63CD9B82" w14:textId="77777777" w:rsidTr="00AE2C36">
        <w:trPr>
          <w:cantSplit/>
        </w:trPr>
        <w:tc>
          <w:tcPr>
            <w:tcW w:w="1266" w:type="pct"/>
          </w:tcPr>
          <w:p w14:paraId="48745B89" w14:textId="71D1A204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E23155">
              <w:rPr>
                <w:bCs/>
                <w:sz w:val="18"/>
                <w:szCs w:val="18"/>
              </w:rPr>
              <w:t xml:space="preserve">Chronic Obstructive Pulmonary Disease </w:t>
            </w:r>
          </w:p>
        </w:tc>
        <w:tc>
          <w:tcPr>
            <w:tcW w:w="668" w:type="pct"/>
          </w:tcPr>
          <w:p w14:paraId="32E873FB" w14:textId="12416BDE" w:rsidR="00E006E4" w:rsidRDefault="00E006E4" w:rsidP="00E006E4">
            <w:pPr>
              <w:spacing w:after="0"/>
              <w:jc w:val="center"/>
            </w:pPr>
            <w:r>
              <w:t>4,853</w:t>
            </w:r>
          </w:p>
        </w:tc>
        <w:tc>
          <w:tcPr>
            <w:tcW w:w="599" w:type="pct"/>
          </w:tcPr>
          <w:p w14:paraId="1AB63C87" w14:textId="72D3D33A" w:rsidR="00E006E4" w:rsidRDefault="00E006E4" w:rsidP="00E006E4">
            <w:pPr>
              <w:spacing w:after="0"/>
              <w:jc w:val="center"/>
            </w:pPr>
            <w:r>
              <w:t>3.32%</w:t>
            </w:r>
          </w:p>
        </w:tc>
        <w:tc>
          <w:tcPr>
            <w:tcW w:w="564" w:type="pct"/>
          </w:tcPr>
          <w:p w14:paraId="5C3CC070" w14:textId="435B3F06" w:rsidR="00E006E4" w:rsidRDefault="00E006E4" w:rsidP="00E006E4">
            <w:pPr>
              <w:spacing w:after="0"/>
              <w:jc w:val="center"/>
            </w:pPr>
            <w:r>
              <w:t>4,538</w:t>
            </w:r>
          </w:p>
        </w:tc>
        <w:tc>
          <w:tcPr>
            <w:tcW w:w="564" w:type="pct"/>
          </w:tcPr>
          <w:p w14:paraId="21AF67C6" w14:textId="1E8D92D6" w:rsidR="00E006E4" w:rsidRDefault="00E006E4" w:rsidP="00E006E4">
            <w:pPr>
              <w:spacing w:after="0"/>
              <w:jc w:val="center"/>
            </w:pPr>
            <w:r>
              <w:t>3.37%</w:t>
            </w:r>
          </w:p>
        </w:tc>
        <w:tc>
          <w:tcPr>
            <w:tcW w:w="634" w:type="pct"/>
          </w:tcPr>
          <w:p w14:paraId="612CDDA9" w14:textId="3846E46C" w:rsidR="00E006E4" w:rsidRDefault="00E006E4" w:rsidP="00E006E4">
            <w:pPr>
              <w:spacing w:after="0"/>
              <w:jc w:val="center"/>
            </w:pPr>
            <w:r>
              <w:t>4,496</w:t>
            </w:r>
          </w:p>
        </w:tc>
        <w:tc>
          <w:tcPr>
            <w:tcW w:w="704" w:type="pct"/>
          </w:tcPr>
          <w:p w14:paraId="11408838" w14:textId="12B5E46B" w:rsidR="00E006E4" w:rsidRDefault="00E006E4" w:rsidP="00E006E4">
            <w:pPr>
              <w:spacing w:after="0"/>
              <w:jc w:val="center"/>
            </w:pPr>
            <w:r>
              <w:t>3.39%</w:t>
            </w:r>
          </w:p>
        </w:tc>
      </w:tr>
      <w:tr w:rsidR="00E006E4" w14:paraId="68E61D51" w14:textId="77777777" w:rsidTr="00AE2C36">
        <w:trPr>
          <w:cantSplit/>
        </w:trPr>
        <w:tc>
          <w:tcPr>
            <w:tcW w:w="1266" w:type="pct"/>
          </w:tcPr>
          <w:p w14:paraId="3A07735A" w14:textId="2420434C" w:rsidR="00E006E4" w:rsidRPr="006C4B95" w:rsidRDefault="00E006E4" w:rsidP="00E006E4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Heart Failure</w:t>
            </w:r>
          </w:p>
        </w:tc>
        <w:tc>
          <w:tcPr>
            <w:tcW w:w="668" w:type="pct"/>
          </w:tcPr>
          <w:p w14:paraId="4AE10B1A" w14:textId="1E7C6DA7" w:rsidR="00E006E4" w:rsidRDefault="00E006E4" w:rsidP="00E006E4">
            <w:pPr>
              <w:spacing w:after="0"/>
              <w:jc w:val="center"/>
            </w:pPr>
            <w:r>
              <w:t>3,989</w:t>
            </w:r>
          </w:p>
        </w:tc>
        <w:tc>
          <w:tcPr>
            <w:tcW w:w="599" w:type="pct"/>
          </w:tcPr>
          <w:p w14:paraId="3673C242" w14:textId="6F735056" w:rsidR="00E006E4" w:rsidRDefault="00E006E4" w:rsidP="00E006E4">
            <w:pPr>
              <w:spacing w:after="0"/>
              <w:jc w:val="center"/>
            </w:pPr>
            <w:r>
              <w:t>2.72%</w:t>
            </w:r>
          </w:p>
        </w:tc>
        <w:tc>
          <w:tcPr>
            <w:tcW w:w="564" w:type="pct"/>
          </w:tcPr>
          <w:p w14:paraId="11F02157" w14:textId="21572393" w:rsidR="00E006E4" w:rsidRDefault="00E006E4" w:rsidP="00E006E4">
            <w:pPr>
              <w:spacing w:after="0"/>
              <w:jc w:val="center"/>
            </w:pPr>
            <w:r>
              <w:t>3,978</w:t>
            </w:r>
          </w:p>
        </w:tc>
        <w:tc>
          <w:tcPr>
            <w:tcW w:w="564" w:type="pct"/>
          </w:tcPr>
          <w:p w14:paraId="443BC565" w14:textId="19AEF064" w:rsidR="00E006E4" w:rsidRDefault="00E006E4" w:rsidP="00E006E4">
            <w:pPr>
              <w:spacing w:after="0"/>
              <w:jc w:val="center"/>
            </w:pPr>
            <w:r>
              <w:t>2.96%</w:t>
            </w:r>
          </w:p>
        </w:tc>
        <w:tc>
          <w:tcPr>
            <w:tcW w:w="634" w:type="pct"/>
          </w:tcPr>
          <w:p w14:paraId="441095C6" w14:textId="5BE2CE0F" w:rsidR="00E006E4" w:rsidRDefault="00E006E4" w:rsidP="00E006E4">
            <w:pPr>
              <w:spacing w:after="0"/>
              <w:jc w:val="center"/>
            </w:pPr>
            <w:r>
              <w:t>3,975</w:t>
            </w:r>
          </w:p>
        </w:tc>
        <w:tc>
          <w:tcPr>
            <w:tcW w:w="704" w:type="pct"/>
          </w:tcPr>
          <w:p w14:paraId="4B4E9DDA" w14:textId="5D5D6C27" w:rsidR="00E006E4" w:rsidRDefault="00E006E4" w:rsidP="00E006E4">
            <w:pPr>
              <w:spacing w:after="0"/>
              <w:jc w:val="center"/>
            </w:pPr>
            <w:r>
              <w:t>3.00%</w:t>
            </w:r>
          </w:p>
        </w:tc>
      </w:tr>
    </w:tbl>
    <w:p w14:paraId="4DA09D85" w14:textId="4D0C4A40" w:rsidR="006B474B" w:rsidRPr="008F66F1" w:rsidRDefault="005A168B" w:rsidP="006B474B">
      <w:pPr>
        <w:rPr>
          <w:sz w:val="20"/>
          <w:szCs w:val="20"/>
        </w:rPr>
      </w:pPr>
      <w:r w:rsidRPr="008F66F1">
        <w:rPr>
          <w:sz w:val="20"/>
          <w:szCs w:val="20"/>
        </w:rPr>
        <w:t>Coding of di</w:t>
      </w:r>
      <w:r w:rsidR="003424BF" w:rsidRPr="008F66F1">
        <w:rPr>
          <w:sz w:val="20"/>
          <w:szCs w:val="20"/>
        </w:rPr>
        <w:t>sease prevalence</w:t>
      </w:r>
      <w:r w:rsidRPr="008F66F1">
        <w:rPr>
          <w:sz w:val="20"/>
          <w:szCs w:val="20"/>
        </w:rPr>
        <w:t xml:space="preserve"> has improved as our risk contracts have encouraged the capture of chronic conditions</w:t>
      </w:r>
      <w:r w:rsidR="003424BF" w:rsidRPr="008F66F1">
        <w:rPr>
          <w:sz w:val="20"/>
          <w:szCs w:val="20"/>
        </w:rPr>
        <w:t xml:space="preserve"> along with a clinical documentation program </w:t>
      </w:r>
      <w:r w:rsidR="00257639" w:rsidRPr="008F66F1">
        <w:rPr>
          <w:sz w:val="20"/>
          <w:szCs w:val="20"/>
        </w:rPr>
        <w:t>that has focused on accurate and complete coding of chronic conditions.</w:t>
      </w:r>
      <w:r w:rsidR="00713135">
        <w:rPr>
          <w:sz w:val="20"/>
          <w:szCs w:val="20"/>
        </w:rPr>
        <w:t xml:space="preserve"> </w:t>
      </w:r>
    </w:p>
    <w:p w14:paraId="38CE57F2" w14:textId="6E341F75" w:rsidR="000C0001" w:rsidRDefault="00E84A17" w:rsidP="000C0001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br w:type="page"/>
      </w:r>
      <w:r w:rsidR="00B832DB" w:rsidRPr="00C9717D">
        <w:rPr>
          <w:b/>
        </w:rPr>
        <w:lastRenderedPageBreak/>
        <w:t>II. B</w:t>
      </w:r>
      <w:r w:rsidR="001D1DC8" w:rsidRPr="00C9717D">
        <w:rPr>
          <w:b/>
          <w:color w:val="000000"/>
          <w:sz w:val="24"/>
          <w:szCs w:val="24"/>
        </w:rPr>
        <w:t>erkshire</w:t>
      </w:r>
      <w:r w:rsidR="001D1DC8">
        <w:rPr>
          <w:b/>
          <w:color w:val="000000"/>
          <w:sz w:val="24"/>
          <w:szCs w:val="24"/>
        </w:rPr>
        <w:t xml:space="preserve"> </w:t>
      </w:r>
      <w:r w:rsidR="001025B0">
        <w:rPr>
          <w:b/>
          <w:color w:val="000000"/>
          <w:sz w:val="24"/>
          <w:szCs w:val="24"/>
        </w:rPr>
        <w:t>M</w:t>
      </w:r>
      <w:r w:rsidR="001D1DC8">
        <w:rPr>
          <w:b/>
          <w:color w:val="000000"/>
          <w:sz w:val="24"/>
          <w:szCs w:val="24"/>
        </w:rPr>
        <w:t xml:space="preserve">edical </w:t>
      </w:r>
      <w:r w:rsidR="001025B0">
        <w:rPr>
          <w:b/>
          <w:color w:val="000000"/>
          <w:sz w:val="24"/>
          <w:szCs w:val="24"/>
        </w:rPr>
        <w:t>C</w:t>
      </w:r>
      <w:r w:rsidR="001D1DC8">
        <w:rPr>
          <w:b/>
          <w:color w:val="000000"/>
          <w:sz w:val="24"/>
          <w:szCs w:val="24"/>
        </w:rPr>
        <w:t>enter (BMC)</w:t>
      </w:r>
      <w:r w:rsidR="009269C1">
        <w:rPr>
          <w:b/>
          <w:color w:val="000000"/>
          <w:sz w:val="24"/>
          <w:szCs w:val="24"/>
        </w:rPr>
        <w:t xml:space="preserve"> Acute Car</w:t>
      </w:r>
      <w:r w:rsidR="00A3501C">
        <w:rPr>
          <w:b/>
          <w:color w:val="000000"/>
          <w:sz w:val="24"/>
          <w:szCs w:val="24"/>
        </w:rPr>
        <w:t>e Patients</w:t>
      </w:r>
      <w:r w:rsidR="001025B0">
        <w:rPr>
          <w:b/>
          <w:color w:val="000000"/>
          <w:sz w:val="24"/>
          <w:szCs w:val="24"/>
        </w:rPr>
        <w:t xml:space="preserve"> North </w:t>
      </w:r>
      <w:r w:rsidR="00EA18BD">
        <w:rPr>
          <w:b/>
          <w:color w:val="000000"/>
          <w:sz w:val="24"/>
          <w:szCs w:val="24"/>
        </w:rPr>
        <w:t>County</w:t>
      </w:r>
      <w:r w:rsidR="002B3A4B">
        <w:rPr>
          <w:b/>
          <w:color w:val="000000"/>
          <w:sz w:val="24"/>
          <w:szCs w:val="24"/>
        </w:rPr>
        <w:t xml:space="preserve"> Patient Popula</w:t>
      </w:r>
      <w:r w:rsidR="000C0001">
        <w:rPr>
          <w:b/>
          <w:color w:val="000000"/>
          <w:sz w:val="24"/>
          <w:szCs w:val="24"/>
        </w:rPr>
        <w:t>tion</w:t>
      </w:r>
    </w:p>
    <w:p w14:paraId="2591B0DB" w14:textId="77777777" w:rsidR="000C0001" w:rsidRDefault="000C0001" w:rsidP="000C0001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2DF1EF2" w14:textId="69275917" w:rsidR="00F6783A" w:rsidRPr="000C0001" w:rsidRDefault="008E73D1" w:rsidP="000C0001">
      <w:pPr>
        <w:spacing w:after="0" w:line="240" w:lineRule="auto"/>
        <w:rPr>
          <w:b/>
          <w:color w:val="000000"/>
          <w:sz w:val="24"/>
          <w:szCs w:val="24"/>
        </w:rPr>
      </w:pPr>
      <w:r w:rsidRPr="00E06F49">
        <w:rPr>
          <w:b/>
        </w:rPr>
        <w:t>*Based on Primary Service Area (PSA) and Secondary Service Are</w:t>
      </w:r>
      <w:r w:rsidR="00CA51AC">
        <w:rPr>
          <w:b/>
        </w:rPr>
        <w:t xml:space="preserve">a and </w:t>
      </w:r>
      <w:r w:rsidR="00CD2E88">
        <w:rPr>
          <w:b/>
        </w:rPr>
        <w:t>hospitalizations not individual patients</w:t>
      </w:r>
    </w:p>
    <w:p w14:paraId="67D6D646" w14:textId="77777777" w:rsidR="00AE041B" w:rsidRDefault="00AE041B" w:rsidP="00FA4BF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1B57FE2" w14:textId="77777777" w:rsidR="00B01FF8" w:rsidRDefault="00B01FF8" w:rsidP="00FA4BF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DF9575C" w14:textId="2DFBDB92" w:rsidR="00AE041B" w:rsidRPr="00053660" w:rsidRDefault="00AE041B" w:rsidP="00053660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053660">
        <w:rPr>
          <w:b/>
          <w:color w:val="000000"/>
        </w:rPr>
        <w:t>BMC Acute Care Visits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6"/>
        <w:gridCol w:w="2515"/>
        <w:gridCol w:w="2237"/>
        <w:gridCol w:w="2658"/>
      </w:tblGrid>
      <w:tr w:rsidR="00B32CCF" w14:paraId="3D366A86" w14:textId="77777777" w:rsidTr="000C0001">
        <w:tc>
          <w:tcPr>
            <w:tcW w:w="1267" w:type="pct"/>
          </w:tcPr>
          <w:p w14:paraId="2E1DFC95" w14:textId="77777777" w:rsidR="00B32CCF" w:rsidRDefault="00B32CCF" w:rsidP="00CA51AC">
            <w:pPr>
              <w:spacing w:after="0"/>
              <w:rPr>
                <w:b/>
              </w:rPr>
            </w:pPr>
          </w:p>
          <w:p w14:paraId="1CF9C8FE" w14:textId="2E82CE18" w:rsidR="00B32CCF" w:rsidRPr="006C4B95" w:rsidRDefault="00B32CCF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Number of Acute Care </w:t>
            </w:r>
            <w:r w:rsidR="00942652">
              <w:rPr>
                <w:bCs/>
              </w:rPr>
              <w:t>Visits</w:t>
            </w:r>
          </w:p>
        </w:tc>
        <w:tc>
          <w:tcPr>
            <w:tcW w:w="1267" w:type="pct"/>
          </w:tcPr>
          <w:p w14:paraId="35A075B7" w14:textId="77777777" w:rsidR="00B32CCF" w:rsidRDefault="00B32CCF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1127" w:type="pct"/>
          </w:tcPr>
          <w:p w14:paraId="67D0C538" w14:textId="77777777" w:rsidR="00B32CCF" w:rsidRDefault="00B32CCF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339" w:type="pct"/>
          </w:tcPr>
          <w:p w14:paraId="4F2AEA15" w14:textId="77777777" w:rsidR="00B32CCF" w:rsidRDefault="00B32CCF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B32CCF" w14:paraId="3FFC9ACF" w14:textId="77777777" w:rsidTr="000C0001">
        <w:tc>
          <w:tcPr>
            <w:tcW w:w="1267" w:type="pct"/>
          </w:tcPr>
          <w:p w14:paraId="6BA1784F" w14:textId="3B92C53A" w:rsidR="00B32CCF" w:rsidRDefault="00B32CCF" w:rsidP="00CA51AC">
            <w:pPr>
              <w:spacing w:after="0"/>
              <w:rPr>
                <w:b/>
              </w:rPr>
            </w:pPr>
          </w:p>
        </w:tc>
        <w:tc>
          <w:tcPr>
            <w:tcW w:w="1267" w:type="pct"/>
          </w:tcPr>
          <w:p w14:paraId="2C91628A" w14:textId="13AF9446" w:rsidR="00B32CCF" w:rsidRDefault="00B32CCF" w:rsidP="00CA51AC">
            <w:pPr>
              <w:spacing w:after="0"/>
              <w:jc w:val="center"/>
            </w:pPr>
            <w:r>
              <w:t>2,279</w:t>
            </w:r>
          </w:p>
        </w:tc>
        <w:tc>
          <w:tcPr>
            <w:tcW w:w="1127" w:type="pct"/>
          </w:tcPr>
          <w:p w14:paraId="607E1B14" w14:textId="126E82CE" w:rsidR="00B32CCF" w:rsidRDefault="00B32CCF" w:rsidP="00CA51AC">
            <w:pPr>
              <w:spacing w:after="0"/>
              <w:jc w:val="center"/>
            </w:pPr>
            <w:r>
              <w:t>3,827</w:t>
            </w:r>
          </w:p>
        </w:tc>
        <w:tc>
          <w:tcPr>
            <w:tcW w:w="1339" w:type="pct"/>
          </w:tcPr>
          <w:p w14:paraId="60E1AB06" w14:textId="0334F18A" w:rsidR="00B32CCF" w:rsidRDefault="00B32CCF" w:rsidP="00CA51AC">
            <w:pPr>
              <w:spacing w:after="0"/>
              <w:jc w:val="center"/>
            </w:pPr>
            <w:r>
              <w:t>3,890</w:t>
            </w:r>
          </w:p>
        </w:tc>
      </w:tr>
    </w:tbl>
    <w:p w14:paraId="58CBD409" w14:textId="467AB9E8" w:rsidR="00AE041B" w:rsidRPr="008F66F1" w:rsidRDefault="005D5A24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0"/>
          <w:szCs w:val="20"/>
        </w:rPr>
      </w:pPr>
      <w:r w:rsidRPr="008F66F1">
        <w:rPr>
          <w:bCs/>
          <w:color w:val="000000"/>
          <w:sz w:val="20"/>
          <w:szCs w:val="20"/>
        </w:rPr>
        <w:t>Th</w:t>
      </w:r>
      <w:r w:rsidR="005D3A0E" w:rsidRPr="008F66F1">
        <w:rPr>
          <w:bCs/>
          <w:color w:val="000000"/>
          <w:sz w:val="20"/>
          <w:szCs w:val="20"/>
        </w:rPr>
        <w:t>ese</w:t>
      </w:r>
      <w:r w:rsidRPr="008F66F1">
        <w:rPr>
          <w:bCs/>
          <w:color w:val="000000"/>
          <w:sz w:val="20"/>
          <w:szCs w:val="20"/>
        </w:rPr>
        <w:t xml:space="preserve"> </w:t>
      </w:r>
      <w:r w:rsidR="005D3A0E" w:rsidRPr="008F66F1">
        <w:rPr>
          <w:bCs/>
          <w:color w:val="000000"/>
          <w:sz w:val="20"/>
          <w:szCs w:val="20"/>
        </w:rPr>
        <w:t xml:space="preserve">numbers </w:t>
      </w:r>
      <w:r w:rsidRPr="008F66F1">
        <w:rPr>
          <w:bCs/>
          <w:color w:val="000000"/>
          <w:sz w:val="20"/>
          <w:szCs w:val="20"/>
        </w:rPr>
        <w:t xml:space="preserve">represent BMC discharges from medical/surgical units that </w:t>
      </w:r>
      <w:r w:rsidR="0077046D" w:rsidRPr="008F66F1">
        <w:rPr>
          <w:bCs/>
          <w:color w:val="000000"/>
          <w:sz w:val="20"/>
          <w:szCs w:val="20"/>
        </w:rPr>
        <w:t>represent the level of care that will be available at the new hospital</w:t>
      </w:r>
      <w:r w:rsidR="00CE61B3" w:rsidRPr="008F66F1">
        <w:rPr>
          <w:bCs/>
          <w:color w:val="000000"/>
          <w:sz w:val="20"/>
          <w:szCs w:val="20"/>
        </w:rPr>
        <w:t xml:space="preserve"> and </w:t>
      </w:r>
      <w:r w:rsidR="0077046D" w:rsidRPr="008F66F1">
        <w:rPr>
          <w:bCs/>
          <w:color w:val="000000"/>
          <w:sz w:val="20"/>
          <w:szCs w:val="20"/>
        </w:rPr>
        <w:t>represents on</w:t>
      </w:r>
      <w:r w:rsidR="00D53B6A" w:rsidRPr="008F66F1">
        <w:rPr>
          <w:bCs/>
          <w:color w:val="000000"/>
          <w:sz w:val="20"/>
          <w:szCs w:val="20"/>
        </w:rPr>
        <w:t>ly</w:t>
      </w:r>
      <w:r w:rsidR="0077046D" w:rsidRPr="008F66F1">
        <w:rPr>
          <w:bCs/>
          <w:color w:val="000000"/>
          <w:sz w:val="20"/>
          <w:szCs w:val="20"/>
        </w:rPr>
        <w:t xml:space="preserve"> those patient</w:t>
      </w:r>
      <w:r w:rsidR="00D53B6A" w:rsidRPr="008F66F1">
        <w:rPr>
          <w:bCs/>
          <w:color w:val="000000"/>
          <w:sz w:val="20"/>
          <w:szCs w:val="20"/>
        </w:rPr>
        <w:t>s</w:t>
      </w:r>
      <w:r w:rsidR="0077046D" w:rsidRPr="008F66F1">
        <w:rPr>
          <w:bCs/>
          <w:color w:val="000000"/>
          <w:sz w:val="20"/>
          <w:szCs w:val="20"/>
        </w:rPr>
        <w:t xml:space="preserve"> from the</w:t>
      </w:r>
      <w:r w:rsidR="005901B1" w:rsidRPr="008F66F1">
        <w:rPr>
          <w:bCs/>
          <w:color w:val="000000"/>
          <w:sz w:val="20"/>
          <w:szCs w:val="20"/>
        </w:rPr>
        <w:t xml:space="preserve"> primary and secondary service areas of the new hospital</w:t>
      </w:r>
      <w:r w:rsidR="00D53B6A" w:rsidRPr="008F66F1">
        <w:rPr>
          <w:bCs/>
          <w:color w:val="000000"/>
          <w:sz w:val="20"/>
          <w:szCs w:val="20"/>
        </w:rPr>
        <w:t xml:space="preserve"> as identified in Appendix 1.</w:t>
      </w:r>
      <w:r w:rsidR="005D3A0E" w:rsidRPr="008F66F1">
        <w:rPr>
          <w:bCs/>
          <w:color w:val="000000"/>
          <w:sz w:val="20"/>
          <w:szCs w:val="20"/>
        </w:rPr>
        <w:t xml:space="preserve"> </w:t>
      </w:r>
      <w:r w:rsidR="00CE61B3" w:rsidRPr="008F66F1">
        <w:rPr>
          <w:bCs/>
          <w:color w:val="000000"/>
          <w:sz w:val="20"/>
          <w:szCs w:val="20"/>
        </w:rPr>
        <w:t>Patients were included regardless of their entry source (main BMC Emergency Department, Satellite Emergency Facility, Same Day Surgery)</w:t>
      </w:r>
      <w:r w:rsidR="00713135">
        <w:rPr>
          <w:bCs/>
          <w:color w:val="000000"/>
          <w:sz w:val="20"/>
          <w:szCs w:val="20"/>
        </w:rPr>
        <w:t xml:space="preserve">. </w:t>
      </w:r>
      <w:r w:rsidR="007E5CF0">
        <w:rPr>
          <w:bCs/>
          <w:color w:val="000000"/>
          <w:sz w:val="20"/>
          <w:szCs w:val="20"/>
        </w:rPr>
        <w:t>T</w:t>
      </w:r>
      <w:r w:rsidR="003F5B67">
        <w:rPr>
          <w:bCs/>
          <w:color w:val="000000"/>
          <w:sz w:val="20"/>
          <w:szCs w:val="20"/>
        </w:rPr>
        <w:t xml:space="preserve">he following tables will differ from the Stroudwater feasibility study data, as that data only included patients who </w:t>
      </w:r>
      <w:r w:rsidR="003758F0">
        <w:rPr>
          <w:bCs/>
          <w:color w:val="000000"/>
          <w:sz w:val="20"/>
          <w:szCs w:val="20"/>
        </w:rPr>
        <w:t>entered BMC through</w:t>
      </w:r>
      <w:r w:rsidR="00BA0CD9">
        <w:rPr>
          <w:bCs/>
          <w:color w:val="000000"/>
          <w:sz w:val="20"/>
          <w:szCs w:val="20"/>
        </w:rPr>
        <w:t xml:space="preserve"> the Satellite Emergency Facility.</w:t>
      </w:r>
    </w:p>
    <w:p w14:paraId="203770DD" w14:textId="77777777" w:rsidR="00B01FF8" w:rsidRDefault="00B01FF8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E923922" w14:textId="5ED368BA" w:rsidR="00AE041B" w:rsidRDefault="00AE041B" w:rsidP="00053660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A3C54">
        <w:rPr>
          <w:b/>
          <w:color w:val="000000"/>
        </w:rPr>
        <w:t xml:space="preserve">Gender </w:t>
      </w:r>
    </w:p>
    <w:p w14:paraId="62DAF2CD" w14:textId="77777777" w:rsidR="00D62FC5" w:rsidRPr="00FA3C54" w:rsidRDefault="00D62FC5" w:rsidP="00D62FC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32"/>
        <w:gridCol w:w="1408"/>
        <w:gridCol w:w="1128"/>
        <w:gridCol w:w="1056"/>
        <w:gridCol w:w="1128"/>
        <w:gridCol w:w="1338"/>
        <w:gridCol w:w="1336"/>
      </w:tblGrid>
      <w:tr w:rsidR="00690A6B" w14:paraId="5F1E6600" w14:textId="77777777" w:rsidTr="00A474BF">
        <w:trPr>
          <w:cantSplit/>
          <w:trHeight w:val="332"/>
          <w:tblHeader/>
        </w:trPr>
        <w:tc>
          <w:tcPr>
            <w:tcW w:w="1275" w:type="pct"/>
          </w:tcPr>
          <w:p w14:paraId="6F9793A0" w14:textId="5CFF5430" w:rsidR="00690A6B" w:rsidRPr="00357164" w:rsidRDefault="00E006E4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Gender</w:t>
            </w:r>
          </w:p>
        </w:tc>
        <w:tc>
          <w:tcPr>
            <w:tcW w:w="709" w:type="pct"/>
          </w:tcPr>
          <w:p w14:paraId="25074994" w14:textId="1C3EEC82" w:rsidR="00690A6B" w:rsidRPr="00357164" w:rsidRDefault="00A474BF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690A6B" w:rsidRPr="00357164">
              <w:rPr>
                <w:b/>
                <w:bCs/>
              </w:rPr>
              <w:t>Number</w:t>
            </w:r>
          </w:p>
        </w:tc>
        <w:tc>
          <w:tcPr>
            <w:tcW w:w="568" w:type="pct"/>
          </w:tcPr>
          <w:p w14:paraId="239E6E56" w14:textId="71A354D2" w:rsidR="00690A6B" w:rsidRPr="00357164" w:rsidRDefault="00A474BF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690A6B" w:rsidRPr="00357164">
              <w:rPr>
                <w:b/>
                <w:bCs/>
              </w:rPr>
              <w:t>Percent</w:t>
            </w:r>
          </w:p>
        </w:tc>
        <w:tc>
          <w:tcPr>
            <w:tcW w:w="532" w:type="pct"/>
          </w:tcPr>
          <w:p w14:paraId="0FFB9C3B" w14:textId="2DB12F7D" w:rsidR="00690A6B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690A6B" w:rsidRPr="00357164">
              <w:rPr>
                <w:b/>
                <w:bCs/>
              </w:rPr>
              <w:t>Number</w:t>
            </w:r>
          </w:p>
        </w:tc>
        <w:tc>
          <w:tcPr>
            <w:tcW w:w="568" w:type="pct"/>
          </w:tcPr>
          <w:p w14:paraId="42A545BF" w14:textId="6304FF39" w:rsidR="00690A6B" w:rsidRDefault="00A474BF" w:rsidP="00CA51AC">
            <w:pPr>
              <w:spacing w:after="0"/>
              <w:jc w:val="center"/>
            </w:pPr>
            <w:r>
              <w:rPr>
                <w:b/>
              </w:rPr>
              <w:t>FY</w:t>
            </w:r>
            <w:proofErr w:type="gramStart"/>
            <w:r>
              <w:rPr>
                <w:b/>
              </w:rPr>
              <w:t xml:space="preserve">21  </w:t>
            </w:r>
            <w:r w:rsidR="00690A6B" w:rsidRPr="00357164">
              <w:rPr>
                <w:b/>
                <w:bCs/>
              </w:rPr>
              <w:t>Percent</w:t>
            </w:r>
            <w:proofErr w:type="gramEnd"/>
          </w:p>
        </w:tc>
        <w:tc>
          <w:tcPr>
            <w:tcW w:w="674" w:type="pct"/>
          </w:tcPr>
          <w:p w14:paraId="597180B5" w14:textId="1434ADCC" w:rsidR="00690A6B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690A6B" w:rsidRPr="00357164">
              <w:rPr>
                <w:b/>
                <w:bCs/>
              </w:rPr>
              <w:t>Number</w:t>
            </w:r>
          </w:p>
        </w:tc>
        <w:tc>
          <w:tcPr>
            <w:tcW w:w="673" w:type="pct"/>
          </w:tcPr>
          <w:p w14:paraId="7263952A" w14:textId="4417D0E8" w:rsidR="00690A6B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690A6B" w:rsidRPr="00357164">
              <w:rPr>
                <w:b/>
                <w:bCs/>
              </w:rPr>
              <w:t>Percent</w:t>
            </w:r>
          </w:p>
        </w:tc>
      </w:tr>
      <w:tr w:rsidR="00690A6B" w14:paraId="76EF88A6" w14:textId="77777777" w:rsidTr="00A474BF">
        <w:trPr>
          <w:cantSplit/>
        </w:trPr>
        <w:tc>
          <w:tcPr>
            <w:tcW w:w="1275" w:type="pct"/>
          </w:tcPr>
          <w:p w14:paraId="2C3C073C" w14:textId="77777777" w:rsidR="00690A6B" w:rsidRPr="006C4B95" w:rsidRDefault="00690A6B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Male</w:t>
            </w:r>
          </w:p>
        </w:tc>
        <w:tc>
          <w:tcPr>
            <w:tcW w:w="709" w:type="pct"/>
          </w:tcPr>
          <w:p w14:paraId="15EE5E98" w14:textId="17107765" w:rsidR="00690A6B" w:rsidRDefault="00690A6B" w:rsidP="00CA51AC">
            <w:pPr>
              <w:spacing w:after="0"/>
              <w:jc w:val="center"/>
            </w:pPr>
            <w:r>
              <w:t>1,161</w:t>
            </w:r>
          </w:p>
        </w:tc>
        <w:tc>
          <w:tcPr>
            <w:tcW w:w="568" w:type="pct"/>
          </w:tcPr>
          <w:p w14:paraId="74AF9FDE" w14:textId="1B0BCC07" w:rsidR="00690A6B" w:rsidRDefault="00690A6B" w:rsidP="00CA51AC">
            <w:pPr>
              <w:spacing w:after="0"/>
              <w:jc w:val="center"/>
            </w:pPr>
            <w:r>
              <w:t>49.06%</w:t>
            </w:r>
          </w:p>
        </w:tc>
        <w:tc>
          <w:tcPr>
            <w:tcW w:w="532" w:type="pct"/>
          </w:tcPr>
          <w:p w14:paraId="1094FFC3" w14:textId="42223253" w:rsidR="00690A6B" w:rsidRDefault="00690A6B" w:rsidP="00CA51AC">
            <w:pPr>
              <w:spacing w:after="0"/>
              <w:jc w:val="center"/>
            </w:pPr>
            <w:r>
              <w:t>1,790</w:t>
            </w:r>
          </w:p>
        </w:tc>
        <w:tc>
          <w:tcPr>
            <w:tcW w:w="568" w:type="pct"/>
          </w:tcPr>
          <w:p w14:paraId="3F2495E9" w14:textId="65A732D4" w:rsidR="00690A6B" w:rsidRDefault="00690A6B" w:rsidP="00CA51AC">
            <w:pPr>
              <w:spacing w:after="0"/>
              <w:jc w:val="center"/>
            </w:pPr>
            <w:r>
              <w:t>46.77%</w:t>
            </w:r>
          </w:p>
        </w:tc>
        <w:tc>
          <w:tcPr>
            <w:tcW w:w="674" w:type="pct"/>
          </w:tcPr>
          <w:p w14:paraId="7997DCB7" w14:textId="56FA7C3B" w:rsidR="00690A6B" w:rsidRDefault="00690A6B" w:rsidP="00CA51AC">
            <w:pPr>
              <w:spacing w:after="0"/>
              <w:jc w:val="center"/>
            </w:pPr>
            <w:r>
              <w:t>1,832</w:t>
            </w:r>
          </w:p>
        </w:tc>
        <w:tc>
          <w:tcPr>
            <w:tcW w:w="673" w:type="pct"/>
          </w:tcPr>
          <w:p w14:paraId="51FB46D9" w14:textId="01D3FB1A" w:rsidR="00690A6B" w:rsidRDefault="00690A6B" w:rsidP="00CA51AC">
            <w:pPr>
              <w:spacing w:after="0"/>
              <w:jc w:val="center"/>
            </w:pPr>
            <w:r>
              <w:t>47.10%</w:t>
            </w:r>
          </w:p>
        </w:tc>
      </w:tr>
      <w:tr w:rsidR="00690A6B" w14:paraId="6DF93FAA" w14:textId="77777777" w:rsidTr="00A474BF">
        <w:trPr>
          <w:cantSplit/>
        </w:trPr>
        <w:tc>
          <w:tcPr>
            <w:tcW w:w="1275" w:type="pct"/>
          </w:tcPr>
          <w:p w14:paraId="5E5A34F3" w14:textId="77777777" w:rsidR="00690A6B" w:rsidRPr="006C4B95" w:rsidRDefault="00690A6B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Female</w:t>
            </w:r>
          </w:p>
        </w:tc>
        <w:tc>
          <w:tcPr>
            <w:tcW w:w="709" w:type="pct"/>
          </w:tcPr>
          <w:p w14:paraId="45AE36CD" w14:textId="05E973A8" w:rsidR="00690A6B" w:rsidRDefault="00690A6B" w:rsidP="00CA51AC">
            <w:pPr>
              <w:spacing w:after="0"/>
              <w:jc w:val="center"/>
            </w:pPr>
            <w:r>
              <w:t>1,118</w:t>
            </w:r>
          </w:p>
        </w:tc>
        <w:tc>
          <w:tcPr>
            <w:tcW w:w="568" w:type="pct"/>
          </w:tcPr>
          <w:p w14:paraId="47793F39" w14:textId="3568C674" w:rsidR="00690A6B" w:rsidRDefault="00690A6B" w:rsidP="00CA51AC">
            <w:pPr>
              <w:spacing w:after="0"/>
              <w:jc w:val="center"/>
            </w:pPr>
            <w:r>
              <w:t>50.94%</w:t>
            </w:r>
          </w:p>
        </w:tc>
        <w:tc>
          <w:tcPr>
            <w:tcW w:w="532" w:type="pct"/>
          </w:tcPr>
          <w:p w14:paraId="117B4500" w14:textId="0FBA74D7" w:rsidR="00690A6B" w:rsidRDefault="00690A6B" w:rsidP="00CA51AC">
            <w:pPr>
              <w:spacing w:after="0"/>
              <w:jc w:val="center"/>
            </w:pPr>
            <w:r>
              <w:t>2,037</w:t>
            </w:r>
          </w:p>
        </w:tc>
        <w:tc>
          <w:tcPr>
            <w:tcW w:w="568" w:type="pct"/>
          </w:tcPr>
          <w:p w14:paraId="4112DBEE" w14:textId="66F06154" w:rsidR="00690A6B" w:rsidRDefault="00690A6B" w:rsidP="00CA51AC">
            <w:pPr>
              <w:spacing w:after="0"/>
              <w:jc w:val="center"/>
            </w:pPr>
            <w:r>
              <w:t>53.23%</w:t>
            </w:r>
          </w:p>
        </w:tc>
        <w:tc>
          <w:tcPr>
            <w:tcW w:w="674" w:type="pct"/>
          </w:tcPr>
          <w:p w14:paraId="0B8C0584" w14:textId="214BF4A8" w:rsidR="00690A6B" w:rsidRDefault="00690A6B" w:rsidP="00CA51AC">
            <w:pPr>
              <w:spacing w:after="0"/>
              <w:jc w:val="center"/>
            </w:pPr>
            <w:r>
              <w:t>2,058</w:t>
            </w:r>
          </w:p>
        </w:tc>
        <w:tc>
          <w:tcPr>
            <w:tcW w:w="673" w:type="pct"/>
          </w:tcPr>
          <w:p w14:paraId="15BC5A72" w14:textId="5FDA07FE" w:rsidR="00690A6B" w:rsidRDefault="00690A6B" w:rsidP="00CA51AC">
            <w:pPr>
              <w:spacing w:after="0"/>
              <w:jc w:val="center"/>
            </w:pPr>
            <w:r>
              <w:t>52.90%</w:t>
            </w:r>
          </w:p>
        </w:tc>
      </w:tr>
      <w:tr w:rsidR="00690A6B" w14:paraId="2E4D5A62" w14:textId="77777777" w:rsidTr="00A474BF">
        <w:trPr>
          <w:cantSplit/>
          <w:trHeight w:val="350"/>
        </w:trPr>
        <w:tc>
          <w:tcPr>
            <w:tcW w:w="1275" w:type="pct"/>
          </w:tcPr>
          <w:p w14:paraId="0E0C4882" w14:textId="77777777" w:rsidR="00690A6B" w:rsidRPr="006C4B95" w:rsidRDefault="00690A6B" w:rsidP="009C25EB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Other/Unspecified</w:t>
            </w:r>
          </w:p>
        </w:tc>
        <w:tc>
          <w:tcPr>
            <w:tcW w:w="709" w:type="pct"/>
          </w:tcPr>
          <w:p w14:paraId="08465E80" w14:textId="22BCA222" w:rsidR="00690A6B" w:rsidRDefault="00690A6B" w:rsidP="009C25EB">
            <w:pPr>
              <w:spacing w:after="0"/>
              <w:jc w:val="center"/>
            </w:pPr>
            <w:r>
              <w:t>0</w:t>
            </w:r>
          </w:p>
        </w:tc>
        <w:tc>
          <w:tcPr>
            <w:tcW w:w="568" w:type="pct"/>
          </w:tcPr>
          <w:p w14:paraId="0EA3FB9E" w14:textId="0D2078A4" w:rsidR="00690A6B" w:rsidRDefault="00690A6B" w:rsidP="009C25EB">
            <w:pPr>
              <w:spacing w:after="0"/>
              <w:jc w:val="center"/>
            </w:pPr>
            <w:r>
              <w:t>0.00%</w:t>
            </w:r>
          </w:p>
        </w:tc>
        <w:tc>
          <w:tcPr>
            <w:tcW w:w="532" w:type="pct"/>
          </w:tcPr>
          <w:p w14:paraId="43F888D5" w14:textId="57618414" w:rsidR="00690A6B" w:rsidRDefault="00690A6B" w:rsidP="009C25EB">
            <w:pPr>
              <w:spacing w:after="0"/>
              <w:jc w:val="center"/>
            </w:pPr>
            <w:r>
              <w:t>0</w:t>
            </w:r>
          </w:p>
        </w:tc>
        <w:tc>
          <w:tcPr>
            <w:tcW w:w="568" w:type="pct"/>
          </w:tcPr>
          <w:p w14:paraId="30A62234" w14:textId="5314E7C7" w:rsidR="00690A6B" w:rsidRDefault="00690A6B" w:rsidP="009C25EB">
            <w:pPr>
              <w:spacing w:after="0"/>
              <w:jc w:val="center"/>
            </w:pPr>
            <w:r>
              <w:t>0.00%</w:t>
            </w:r>
          </w:p>
        </w:tc>
        <w:tc>
          <w:tcPr>
            <w:tcW w:w="674" w:type="pct"/>
          </w:tcPr>
          <w:p w14:paraId="707B0206" w14:textId="58F3CBF2" w:rsidR="00690A6B" w:rsidRDefault="00690A6B" w:rsidP="009C25EB">
            <w:pPr>
              <w:spacing w:after="0"/>
              <w:jc w:val="center"/>
            </w:pPr>
            <w:r>
              <w:t>0</w:t>
            </w:r>
          </w:p>
        </w:tc>
        <w:tc>
          <w:tcPr>
            <w:tcW w:w="673" w:type="pct"/>
          </w:tcPr>
          <w:p w14:paraId="3A0997EA" w14:textId="1BE3E8BE" w:rsidR="00690A6B" w:rsidRDefault="00690A6B" w:rsidP="009C25EB">
            <w:pPr>
              <w:spacing w:after="0"/>
              <w:jc w:val="center"/>
            </w:pPr>
            <w:r>
              <w:t>0.00%</w:t>
            </w:r>
          </w:p>
        </w:tc>
      </w:tr>
      <w:tr w:rsidR="00690A6B" w14:paraId="5488D177" w14:textId="77777777" w:rsidTr="00A474BF">
        <w:trPr>
          <w:cantSplit/>
          <w:trHeight w:val="251"/>
        </w:trPr>
        <w:tc>
          <w:tcPr>
            <w:tcW w:w="1275" w:type="pct"/>
          </w:tcPr>
          <w:p w14:paraId="68913C6A" w14:textId="77777777" w:rsidR="00690A6B" w:rsidRPr="006C4B95" w:rsidRDefault="00690A6B" w:rsidP="009C25EB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709" w:type="pct"/>
          </w:tcPr>
          <w:p w14:paraId="26C78E0B" w14:textId="5537A961" w:rsidR="00690A6B" w:rsidRDefault="00690A6B" w:rsidP="009C25EB">
            <w:pPr>
              <w:spacing w:after="0"/>
              <w:jc w:val="center"/>
            </w:pPr>
            <w:r>
              <w:t>2,279</w:t>
            </w:r>
          </w:p>
        </w:tc>
        <w:tc>
          <w:tcPr>
            <w:tcW w:w="568" w:type="pct"/>
          </w:tcPr>
          <w:p w14:paraId="50A1062D" w14:textId="768F5B78" w:rsidR="00690A6B" w:rsidRDefault="00690A6B" w:rsidP="009C25EB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532" w:type="pct"/>
          </w:tcPr>
          <w:p w14:paraId="4C76BF71" w14:textId="00DACDC5" w:rsidR="00690A6B" w:rsidRDefault="00690A6B" w:rsidP="009C25EB">
            <w:pPr>
              <w:spacing w:after="0"/>
              <w:jc w:val="center"/>
            </w:pPr>
            <w:r>
              <w:t>3,827</w:t>
            </w:r>
          </w:p>
        </w:tc>
        <w:tc>
          <w:tcPr>
            <w:tcW w:w="568" w:type="pct"/>
          </w:tcPr>
          <w:p w14:paraId="029B3CC1" w14:textId="7B6A5624" w:rsidR="00690A6B" w:rsidRDefault="00690A6B" w:rsidP="009C25EB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74" w:type="pct"/>
          </w:tcPr>
          <w:p w14:paraId="18765E68" w14:textId="29B34ADE" w:rsidR="00690A6B" w:rsidRDefault="00690A6B" w:rsidP="009C25EB">
            <w:pPr>
              <w:spacing w:after="0"/>
              <w:jc w:val="center"/>
            </w:pPr>
            <w:r>
              <w:t>3,890</w:t>
            </w:r>
          </w:p>
        </w:tc>
        <w:tc>
          <w:tcPr>
            <w:tcW w:w="673" w:type="pct"/>
          </w:tcPr>
          <w:p w14:paraId="1010684B" w14:textId="3977A78D" w:rsidR="00690A6B" w:rsidRDefault="00690A6B" w:rsidP="009C25EB">
            <w:pPr>
              <w:spacing w:after="0"/>
              <w:jc w:val="center"/>
            </w:pPr>
            <w:r>
              <w:t>100.00%</w:t>
            </w:r>
          </w:p>
        </w:tc>
      </w:tr>
    </w:tbl>
    <w:p w14:paraId="1FD8A284" w14:textId="6C227EFB" w:rsidR="00AE041B" w:rsidRPr="008F66F1" w:rsidRDefault="00C566E4" w:rsidP="00CA51AC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>Th</w:t>
      </w:r>
      <w:r w:rsidR="00E16008" w:rsidRPr="008F66F1">
        <w:rPr>
          <w:bCs/>
          <w:sz w:val="20"/>
          <w:szCs w:val="20"/>
        </w:rPr>
        <w:t xml:space="preserve">e capture of other/unspecified </w:t>
      </w:r>
      <w:r w:rsidR="007E4EDE" w:rsidRPr="008F66F1">
        <w:rPr>
          <w:bCs/>
          <w:sz w:val="20"/>
          <w:szCs w:val="20"/>
        </w:rPr>
        <w:t xml:space="preserve">gender is something that is done </w:t>
      </w:r>
      <w:r w:rsidR="005D5A24" w:rsidRPr="008F66F1">
        <w:rPr>
          <w:bCs/>
          <w:sz w:val="20"/>
          <w:szCs w:val="20"/>
        </w:rPr>
        <w:t>consistently,</w:t>
      </w:r>
      <w:r w:rsidR="007E4EDE" w:rsidRPr="008F66F1">
        <w:rPr>
          <w:bCs/>
          <w:sz w:val="20"/>
          <w:szCs w:val="20"/>
        </w:rPr>
        <w:t xml:space="preserve"> and education is being provided to make sure t</w:t>
      </w:r>
      <w:r w:rsidR="00E95FC4" w:rsidRPr="008F66F1">
        <w:rPr>
          <w:bCs/>
          <w:sz w:val="20"/>
          <w:szCs w:val="20"/>
        </w:rPr>
        <w:t>his is more accurate in the future.</w:t>
      </w:r>
      <w:r w:rsidR="00713135">
        <w:rPr>
          <w:bCs/>
          <w:sz w:val="20"/>
          <w:szCs w:val="20"/>
        </w:rPr>
        <w:t xml:space="preserve"> </w:t>
      </w:r>
    </w:p>
    <w:p w14:paraId="546FDE37" w14:textId="77777777" w:rsidR="00B01FF8" w:rsidRDefault="00B01FF8" w:rsidP="00CA51AC">
      <w:pPr>
        <w:spacing w:after="0"/>
        <w:rPr>
          <w:b/>
        </w:rPr>
      </w:pPr>
    </w:p>
    <w:p w14:paraId="54DF6517" w14:textId="77777777" w:rsidR="00AE041B" w:rsidRDefault="00AE041B" w:rsidP="00053660">
      <w:pPr>
        <w:numPr>
          <w:ilvl w:val="0"/>
          <w:numId w:val="27"/>
        </w:numPr>
        <w:spacing w:after="0"/>
        <w:rPr>
          <w:b/>
        </w:rPr>
      </w:pPr>
      <w:r>
        <w:rPr>
          <w:b/>
        </w:rPr>
        <w:t>Age</w:t>
      </w:r>
    </w:p>
    <w:p w14:paraId="424D592F" w14:textId="77777777" w:rsidR="00D62FC5" w:rsidRDefault="00D62FC5" w:rsidP="00D62FC5">
      <w:pPr>
        <w:spacing w:after="0"/>
        <w:ind w:left="7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32"/>
        <w:gridCol w:w="1477"/>
        <w:gridCol w:w="1128"/>
        <w:gridCol w:w="987"/>
        <w:gridCol w:w="1128"/>
        <w:gridCol w:w="1338"/>
        <w:gridCol w:w="1336"/>
      </w:tblGrid>
      <w:tr w:rsidR="00B6469A" w14:paraId="66AB0970" w14:textId="77777777" w:rsidTr="00A474BF">
        <w:trPr>
          <w:trHeight w:val="269"/>
        </w:trPr>
        <w:tc>
          <w:tcPr>
            <w:tcW w:w="1275" w:type="pct"/>
          </w:tcPr>
          <w:p w14:paraId="27A9EA6D" w14:textId="108472B6" w:rsidR="00B6469A" w:rsidRDefault="00E006E4" w:rsidP="00E006E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744" w:type="pct"/>
          </w:tcPr>
          <w:p w14:paraId="3C932A9E" w14:textId="708DAD56" w:rsidR="00B6469A" w:rsidRDefault="00A474BF" w:rsidP="00CA51AC">
            <w:pPr>
              <w:spacing w:after="0"/>
              <w:jc w:val="center"/>
            </w:pPr>
            <w:r>
              <w:rPr>
                <w:b/>
              </w:rPr>
              <w:t>FY</w:t>
            </w:r>
            <w:proofErr w:type="gramStart"/>
            <w:r>
              <w:rPr>
                <w:b/>
              </w:rPr>
              <w:t xml:space="preserve">20  </w:t>
            </w:r>
            <w:r w:rsidR="00B6469A" w:rsidRPr="00357164">
              <w:rPr>
                <w:b/>
                <w:bCs/>
              </w:rPr>
              <w:t>Number</w:t>
            </w:r>
            <w:proofErr w:type="gramEnd"/>
          </w:p>
        </w:tc>
        <w:tc>
          <w:tcPr>
            <w:tcW w:w="568" w:type="pct"/>
          </w:tcPr>
          <w:p w14:paraId="74D6D320" w14:textId="44078381" w:rsidR="00B6469A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B6469A" w:rsidRPr="00357164">
              <w:rPr>
                <w:b/>
                <w:bCs/>
              </w:rPr>
              <w:t>Percent</w:t>
            </w:r>
          </w:p>
        </w:tc>
        <w:tc>
          <w:tcPr>
            <w:tcW w:w="497" w:type="pct"/>
          </w:tcPr>
          <w:p w14:paraId="706E69C2" w14:textId="60B522F3" w:rsidR="00B6469A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B6469A" w:rsidRPr="00357164">
              <w:rPr>
                <w:b/>
                <w:bCs/>
              </w:rPr>
              <w:t>Number</w:t>
            </w:r>
          </w:p>
        </w:tc>
        <w:tc>
          <w:tcPr>
            <w:tcW w:w="568" w:type="pct"/>
          </w:tcPr>
          <w:p w14:paraId="56DC307C" w14:textId="76817D69" w:rsidR="00B6469A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B6469A" w:rsidRPr="00357164">
              <w:rPr>
                <w:b/>
                <w:bCs/>
              </w:rPr>
              <w:t>Percent</w:t>
            </w:r>
          </w:p>
        </w:tc>
        <w:tc>
          <w:tcPr>
            <w:tcW w:w="674" w:type="pct"/>
          </w:tcPr>
          <w:p w14:paraId="583CEC5F" w14:textId="6E2F0590" w:rsidR="00B6469A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B6469A" w:rsidRPr="00357164">
              <w:rPr>
                <w:b/>
                <w:bCs/>
              </w:rPr>
              <w:t>Number</w:t>
            </w:r>
          </w:p>
        </w:tc>
        <w:tc>
          <w:tcPr>
            <w:tcW w:w="673" w:type="pct"/>
          </w:tcPr>
          <w:p w14:paraId="3444E4DC" w14:textId="241263DC" w:rsidR="00B6469A" w:rsidRDefault="00A474B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B6469A" w:rsidRPr="00357164">
              <w:rPr>
                <w:b/>
                <w:bCs/>
              </w:rPr>
              <w:t>Percent</w:t>
            </w:r>
          </w:p>
        </w:tc>
      </w:tr>
      <w:tr w:rsidR="00B6469A" w14:paraId="52863613" w14:textId="77777777" w:rsidTr="00A474BF">
        <w:tc>
          <w:tcPr>
            <w:tcW w:w="1275" w:type="pct"/>
          </w:tcPr>
          <w:p w14:paraId="4A960C51" w14:textId="77777777" w:rsidR="00B6469A" w:rsidRPr="006C4B95" w:rsidRDefault="00B6469A" w:rsidP="00917C1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0-18</w:t>
            </w:r>
          </w:p>
        </w:tc>
        <w:tc>
          <w:tcPr>
            <w:tcW w:w="744" w:type="pct"/>
          </w:tcPr>
          <w:p w14:paraId="79635836" w14:textId="70EE6EF7" w:rsidR="00B6469A" w:rsidRDefault="00B6469A" w:rsidP="00917C1C">
            <w:pPr>
              <w:spacing w:after="0"/>
              <w:jc w:val="center"/>
            </w:pPr>
            <w:r>
              <w:t>44</w:t>
            </w:r>
          </w:p>
        </w:tc>
        <w:tc>
          <w:tcPr>
            <w:tcW w:w="568" w:type="pct"/>
          </w:tcPr>
          <w:p w14:paraId="733C192F" w14:textId="1D98BD54" w:rsidR="00B6469A" w:rsidRDefault="00093D36" w:rsidP="00917C1C">
            <w:pPr>
              <w:spacing w:after="0"/>
              <w:jc w:val="center"/>
            </w:pPr>
            <w:r>
              <w:t>1.93</w:t>
            </w:r>
            <w:r w:rsidR="00B6469A">
              <w:t>%</w:t>
            </w:r>
          </w:p>
        </w:tc>
        <w:tc>
          <w:tcPr>
            <w:tcW w:w="497" w:type="pct"/>
          </w:tcPr>
          <w:p w14:paraId="639F0CCB" w14:textId="57BF6EA6" w:rsidR="00B6469A" w:rsidRDefault="00B6469A" w:rsidP="00917C1C">
            <w:pPr>
              <w:spacing w:after="0"/>
              <w:jc w:val="center"/>
            </w:pPr>
            <w:r>
              <w:t>54</w:t>
            </w:r>
          </w:p>
        </w:tc>
        <w:tc>
          <w:tcPr>
            <w:tcW w:w="568" w:type="pct"/>
          </w:tcPr>
          <w:p w14:paraId="67BAB72A" w14:textId="601606FB" w:rsidR="00B6469A" w:rsidRDefault="00B6469A" w:rsidP="00917C1C">
            <w:pPr>
              <w:spacing w:after="0"/>
              <w:jc w:val="center"/>
            </w:pPr>
            <w:r>
              <w:t>1.41%</w:t>
            </w:r>
          </w:p>
        </w:tc>
        <w:tc>
          <w:tcPr>
            <w:tcW w:w="674" w:type="pct"/>
          </w:tcPr>
          <w:p w14:paraId="0111A3EC" w14:textId="2BBBE08E" w:rsidR="00B6469A" w:rsidRDefault="00B6469A" w:rsidP="00917C1C">
            <w:pPr>
              <w:spacing w:after="0"/>
              <w:jc w:val="center"/>
            </w:pPr>
            <w:r>
              <w:t>73</w:t>
            </w:r>
          </w:p>
        </w:tc>
        <w:tc>
          <w:tcPr>
            <w:tcW w:w="673" w:type="pct"/>
          </w:tcPr>
          <w:p w14:paraId="1CCA4A29" w14:textId="2BFD83F6" w:rsidR="00B6469A" w:rsidRDefault="00B6469A" w:rsidP="00917C1C">
            <w:pPr>
              <w:spacing w:after="0"/>
              <w:jc w:val="center"/>
            </w:pPr>
            <w:r>
              <w:t>1.88%</w:t>
            </w:r>
          </w:p>
        </w:tc>
      </w:tr>
      <w:tr w:rsidR="00B6469A" w14:paraId="7E55432B" w14:textId="77777777" w:rsidTr="00A474BF">
        <w:trPr>
          <w:trHeight w:val="70"/>
        </w:trPr>
        <w:tc>
          <w:tcPr>
            <w:tcW w:w="1275" w:type="pct"/>
          </w:tcPr>
          <w:p w14:paraId="01D55A90" w14:textId="77777777" w:rsidR="00B6469A" w:rsidRPr="006C4B95" w:rsidRDefault="00B6469A" w:rsidP="00917C1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19-49</w:t>
            </w:r>
          </w:p>
        </w:tc>
        <w:tc>
          <w:tcPr>
            <w:tcW w:w="744" w:type="pct"/>
          </w:tcPr>
          <w:p w14:paraId="70FFE9C0" w14:textId="27BA4B27" w:rsidR="00B6469A" w:rsidRDefault="00AD1D34" w:rsidP="00917C1C">
            <w:pPr>
              <w:spacing w:after="0"/>
              <w:jc w:val="center"/>
            </w:pPr>
            <w:r>
              <w:t>458</w:t>
            </w:r>
          </w:p>
        </w:tc>
        <w:tc>
          <w:tcPr>
            <w:tcW w:w="568" w:type="pct"/>
          </w:tcPr>
          <w:p w14:paraId="24B767BC" w14:textId="5B2696C0" w:rsidR="00B6469A" w:rsidRDefault="00D827DF" w:rsidP="00917C1C">
            <w:pPr>
              <w:spacing w:after="0"/>
              <w:jc w:val="center"/>
            </w:pPr>
            <w:r>
              <w:t>20.09</w:t>
            </w:r>
            <w:r w:rsidR="00B6469A">
              <w:t>%</w:t>
            </w:r>
          </w:p>
        </w:tc>
        <w:tc>
          <w:tcPr>
            <w:tcW w:w="497" w:type="pct"/>
          </w:tcPr>
          <w:p w14:paraId="2B1360F4" w14:textId="627B00E4" w:rsidR="00B6469A" w:rsidRDefault="00B6469A" w:rsidP="00917C1C">
            <w:pPr>
              <w:spacing w:after="0"/>
              <w:jc w:val="center"/>
            </w:pPr>
            <w:r>
              <w:t>1,203</w:t>
            </w:r>
          </w:p>
        </w:tc>
        <w:tc>
          <w:tcPr>
            <w:tcW w:w="568" w:type="pct"/>
          </w:tcPr>
          <w:p w14:paraId="217B3953" w14:textId="73956E4C" w:rsidR="00B6469A" w:rsidRDefault="00B6469A" w:rsidP="00917C1C">
            <w:pPr>
              <w:spacing w:after="0"/>
              <w:jc w:val="center"/>
            </w:pPr>
            <w:r>
              <w:t>31.44%</w:t>
            </w:r>
          </w:p>
        </w:tc>
        <w:tc>
          <w:tcPr>
            <w:tcW w:w="674" w:type="pct"/>
          </w:tcPr>
          <w:p w14:paraId="0F52DFF9" w14:textId="37EC489B" w:rsidR="00B6469A" w:rsidRDefault="00B6469A" w:rsidP="00917C1C">
            <w:pPr>
              <w:spacing w:after="0"/>
              <w:jc w:val="center"/>
            </w:pPr>
            <w:r>
              <w:t>1,195</w:t>
            </w:r>
          </w:p>
        </w:tc>
        <w:tc>
          <w:tcPr>
            <w:tcW w:w="673" w:type="pct"/>
          </w:tcPr>
          <w:p w14:paraId="79671D7C" w14:textId="61F944E6" w:rsidR="00B6469A" w:rsidRDefault="00B6469A" w:rsidP="00917C1C">
            <w:pPr>
              <w:spacing w:after="0"/>
              <w:jc w:val="center"/>
            </w:pPr>
            <w:r>
              <w:t>30.72%</w:t>
            </w:r>
          </w:p>
        </w:tc>
      </w:tr>
      <w:tr w:rsidR="00B6469A" w14:paraId="3F146FD4" w14:textId="77777777" w:rsidTr="00A474BF">
        <w:tc>
          <w:tcPr>
            <w:tcW w:w="1275" w:type="pct"/>
          </w:tcPr>
          <w:p w14:paraId="27FEC4C7" w14:textId="77777777" w:rsidR="00B6469A" w:rsidRPr="006C4B95" w:rsidRDefault="00B6469A" w:rsidP="00917C1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50-64</w:t>
            </w:r>
          </w:p>
        </w:tc>
        <w:tc>
          <w:tcPr>
            <w:tcW w:w="744" w:type="pct"/>
          </w:tcPr>
          <w:p w14:paraId="73CFDF61" w14:textId="202BFCBB" w:rsidR="00B6469A" w:rsidRDefault="00B6469A" w:rsidP="00917C1C">
            <w:pPr>
              <w:spacing w:after="0"/>
              <w:jc w:val="center"/>
            </w:pPr>
            <w:r>
              <w:t>507</w:t>
            </w:r>
          </w:p>
        </w:tc>
        <w:tc>
          <w:tcPr>
            <w:tcW w:w="568" w:type="pct"/>
          </w:tcPr>
          <w:p w14:paraId="08B98B52" w14:textId="7B260C58" w:rsidR="00B6469A" w:rsidRDefault="00B6469A" w:rsidP="00917C1C">
            <w:pPr>
              <w:spacing w:after="0"/>
              <w:jc w:val="center"/>
            </w:pPr>
            <w:r>
              <w:t>2</w:t>
            </w:r>
            <w:r w:rsidR="00696736">
              <w:t>2.25</w:t>
            </w:r>
            <w:r>
              <w:t>%</w:t>
            </w:r>
          </w:p>
        </w:tc>
        <w:tc>
          <w:tcPr>
            <w:tcW w:w="497" w:type="pct"/>
          </w:tcPr>
          <w:p w14:paraId="51227EA9" w14:textId="0D9C4411" w:rsidR="00B6469A" w:rsidRDefault="00B6469A" w:rsidP="00917C1C">
            <w:pPr>
              <w:spacing w:after="0"/>
              <w:jc w:val="center"/>
            </w:pPr>
            <w:r>
              <w:t>803</w:t>
            </w:r>
          </w:p>
        </w:tc>
        <w:tc>
          <w:tcPr>
            <w:tcW w:w="568" w:type="pct"/>
          </w:tcPr>
          <w:p w14:paraId="33620A3D" w14:textId="5B86DCF7" w:rsidR="00B6469A" w:rsidRDefault="00B6469A" w:rsidP="00917C1C">
            <w:pPr>
              <w:spacing w:after="0"/>
              <w:jc w:val="center"/>
            </w:pPr>
            <w:r>
              <w:t>20.98%</w:t>
            </w:r>
          </w:p>
        </w:tc>
        <w:tc>
          <w:tcPr>
            <w:tcW w:w="674" w:type="pct"/>
          </w:tcPr>
          <w:p w14:paraId="532F8EC4" w14:textId="1E57D98C" w:rsidR="00B6469A" w:rsidRDefault="00B6469A" w:rsidP="00917C1C">
            <w:pPr>
              <w:spacing w:after="0"/>
              <w:jc w:val="center"/>
            </w:pPr>
            <w:r>
              <w:t>822</w:t>
            </w:r>
          </w:p>
        </w:tc>
        <w:tc>
          <w:tcPr>
            <w:tcW w:w="673" w:type="pct"/>
          </w:tcPr>
          <w:p w14:paraId="6284CF6A" w14:textId="485F18D6" w:rsidR="00B6469A" w:rsidRDefault="00B6469A" w:rsidP="00917C1C">
            <w:pPr>
              <w:spacing w:after="0"/>
              <w:jc w:val="center"/>
            </w:pPr>
            <w:r>
              <w:t>21.13%</w:t>
            </w:r>
          </w:p>
        </w:tc>
      </w:tr>
      <w:tr w:rsidR="00B6469A" w14:paraId="06B837DF" w14:textId="77777777" w:rsidTr="00A474BF">
        <w:tc>
          <w:tcPr>
            <w:tcW w:w="1275" w:type="pct"/>
          </w:tcPr>
          <w:p w14:paraId="0E12F887" w14:textId="204DE10A" w:rsidR="00B6469A" w:rsidRPr="006C4B95" w:rsidRDefault="00B6469A" w:rsidP="00917C1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65</w:t>
            </w:r>
            <w:r w:rsidR="00D349C2">
              <w:rPr>
                <w:bCs/>
              </w:rPr>
              <w:t>+</w:t>
            </w:r>
          </w:p>
        </w:tc>
        <w:tc>
          <w:tcPr>
            <w:tcW w:w="744" w:type="pct"/>
          </w:tcPr>
          <w:p w14:paraId="08D504B9" w14:textId="65BCC853" w:rsidR="00B6469A" w:rsidRDefault="00C24F04" w:rsidP="00917C1C">
            <w:pPr>
              <w:spacing w:after="0"/>
              <w:jc w:val="center"/>
            </w:pPr>
            <w:r>
              <w:t>1,270</w:t>
            </w:r>
          </w:p>
        </w:tc>
        <w:tc>
          <w:tcPr>
            <w:tcW w:w="568" w:type="pct"/>
          </w:tcPr>
          <w:p w14:paraId="6F22F117" w14:textId="7505FA5E" w:rsidR="00B6469A" w:rsidRDefault="00C24F04" w:rsidP="00917C1C">
            <w:pPr>
              <w:spacing w:after="0"/>
              <w:jc w:val="center"/>
            </w:pPr>
            <w:r>
              <w:t>55.7</w:t>
            </w:r>
            <w:r w:rsidR="00093D36">
              <w:t>3</w:t>
            </w:r>
            <w:r w:rsidR="00B6469A">
              <w:t>%</w:t>
            </w:r>
          </w:p>
        </w:tc>
        <w:tc>
          <w:tcPr>
            <w:tcW w:w="497" w:type="pct"/>
          </w:tcPr>
          <w:p w14:paraId="2A87EEED" w14:textId="6905D133" w:rsidR="00B6469A" w:rsidRDefault="00B6469A" w:rsidP="00917C1C">
            <w:pPr>
              <w:spacing w:after="0"/>
              <w:jc w:val="center"/>
            </w:pPr>
            <w:r>
              <w:t>1,</w:t>
            </w:r>
            <w:r w:rsidR="00781FE4">
              <w:t>767</w:t>
            </w:r>
          </w:p>
        </w:tc>
        <w:tc>
          <w:tcPr>
            <w:tcW w:w="568" w:type="pct"/>
          </w:tcPr>
          <w:p w14:paraId="3BE5BF68" w14:textId="41EC26F0" w:rsidR="00B6469A" w:rsidRDefault="00781FE4" w:rsidP="00917C1C">
            <w:pPr>
              <w:spacing w:after="0"/>
              <w:jc w:val="center"/>
            </w:pPr>
            <w:r>
              <w:t>46.17</w:t>
            </w:r>
            <w:r w:rsidR="00B6469A">
              <w:t>%</w:t>
            </w:r>
          </w:p>
        </w:tc>
        <w:tc>
          <w:tcPr>
            <w:tcW w:w="674" w:type="pct"/>
          </w:tcPr>
          <w:p w14:paraId="77ECD34B" w14:textId="17B0E5BB" w:rsidR="00B6469A" w:rsidRDefault="00B6469A" w:rsidP="00917C1C">
            <w:pPr>
              <w:spacing w:after="0"/>
              <w:jc w:val="center"/>
            </w:pPr>
            <w:r>
              <w:t>1,</w:t>
            </w:r>
            <w:r w:rsidR="00C83AEB">
              <w:t>800</w:t>
            </w:r>
          </w:p>
        </w:tc>
        <w:tc>
          <w:tcPr>
            <w:tcW w:w="673" w:type="pct"/>
          </w:tcPr>
          <w:p w14:paraId="5372CE45" w14:textId="45CFCDC1" w:rsidR="00B6469A" w:rsidRDefault="00C83AEB" w:rsidP="00917C1C">
            <w:pPr>
              <w:spacing w:after="0"/>
              <w:jc w:val="center"/>
            </w:pPr>
            <w:r>
              <w:t>46.27</w:t>
            </w:r>
            <w:r w:rsidR="00B6469A">
              <w:t>%</w:t>
            </w:r>
          </w:p>
        </w:tc>
      </w:tr>
      <w:tr w:rsidR="00B6469A" w14:paraId="7C618967" w14:textId="77777777" w:rsidTr="00A474BF">
        <w:tc>
          <w:tcPr>
            <w:tcW w:w="1275" w:type="pct"/>
          </w:tcPr>
          <w:p w14:paraId="0B9D1A07" w14:textId="77777777" w:rsidR="00B6469A" w:rsidRPr="006C4B95" w:rsidRDefault="00B6469A" w:rsidP="00917C1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744" w:type="pct"/>
          </w:tcPr>
          <w:p w14:paraId="24FC2595" w14:textId="1A02BA8E" w:rsidR="00B6469A" w:rsidRDefault="00B6469A" w:rsidP="00917C1C">
            <w:pPr>
              <w:spacing w:after="0"/>
              <w:jc w:val="center"/>
            </w:pPr>
            <w:r>
              <w:t>2,279</w:t>
            </w:r>
          </w:p>
        </w:tc>
        <w:tc>
          <w:tcPr>
            <w:tcW w:w="568" w:type="pct"/>
          </w:tcPr>
          <w:p w14:paraId="783A90F4" w14:textId="7AA7190B" w:rsidR="00B6469A" w:rsidRDefault="00B6469A" w:rsidP="00917C1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97" w:type="pct"/>
          </w:tcPr>
          <w:p w14:paraId="79D7D9F2" w14:textId="79E3C485" w:rsidR="00B6469A" w:rsidRDefault="00B6469A" w:rsidP="00917C1C">
            <w:pPr>
              <w:spacing w:after="0"/>
              <w:jc w:val="center"/>
            </w:pPr>
            <w:r>
              <w:t>3,827</w:t>
            </w:r>
          </w:p>
        </w:tc>
        <w:tc>
          <w:tcPr>
            <w:tcW w:w="568" w:type="pct"/>
          </w:tcPr>
          <w:p w14:paraId="68D11C1D" w14:textId="0FE9AA26" w:rsidR="00B6469A" w:rsidRDefault="00B6469A" w:rsidP="00917C1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74" w:type="pct"/>
          </w:tcPr>
          <w:p w14:paraId="39306079" w14:textId="4F38E70F" w:rsidR="00B6469A" w:rsidRDefault="00B6469A" w:rsidP="00917C1C">
            <w:pPr>
              <w:spacing w:after="0"/>
              <w:jc w:val="center"/>
            </w:pPr>
            <w:r>
              <w:t>3,890</w:t>
            </w:r>
          </w:p>
        </w:tc>
        <w:tc>
          <w:tcPr>
            <w:tcW w:w="673" w:type="pct"/>
          </w:tcPr>
          <w:p w14:paraId="0FF1D6EE" w14:textId="4E5E6854" w:rsidR="00B6469A" w:rsidRDefault="00B6469A" w:rsidP="00917C1C">
            <w:pPr>
              <w:spacing w:after="0"/>
              <w:jc w:val="center"/>
            </w:pPr>
            <w:r>
              <w:t>100.00%</w:t>
            </w:r>
          </w:p>
        </w:tc>
      </w:tr>
    </w:tbl>
    <w:p w14:paraId="68109776" w14:textId="1E9ECD08" w:rsidR="00B6469A" w:rsidRPr="00C9717D" w:rsidRDefault="00C9717D" w:rsidP="00C9717D">
      <w:pPr>
        <w:rPr>
          <w:bCs/>
          <w:sz w:val="20"/>
        </w:rPr>
      </w:pPr>
      <w:r w:rsidRPr="00C9717D">
        <w:rPr>
          <w:sz w:val="20"/>
        </w:rPr>
        <w:t>Berkshire Medical Center hospitalized patients</w:t>
      </w:r>
      <w:r w:rsidR="00921CB9">
        <w:rPr>
          <w:sz w:val="20"/>
        </w:rPr>
        <w:t xml:space="preserve"> </w:t>
      </w:r>
      <w:proofErr w:type="gramStart"/>
      <w:r w:rsidR="00921CB9">
        <w:rPr>
          <w:sz w:val="20"/>
        </w:rPr>
        <w:t>age</w:t>
      </w:r>
      <w:proofErr w:type="gramEnd"/>
      <w:r w:rsidR="00921CB9">
        <w:rPr>
          <w:sz w:val="20"/>
        </w:rPr>
        <w:t xml:space="preserve"> 65 and over reflect a higher percentage of its hospitalized patient population (55.73%) than of the population at large (</w:t>
      </w:r>
      <w:r w:rsidRPr="00C9717D">
        <w:rPr>
          <w:sz w:val="20"/>
        </w:rPr>
        <w:t>25% of Berkshire County and 18% of the Massachusetts population</w:t>
      </w:r>
      <w:r w:rsidR="00921CB9">
        <w:rPr>
          <w:sz w:val="20"/>
        </w:rPr>
        <w:t>)</w:t>
      </w:r>
      <w:r w:rsidRPr="00C9717D">
        <w:rPr>
          <w:sz w:val="20"/>
        </w:rPr>
        <w:t xml:space="preserve">. </w:t>
      </w:r>
      <w:r w:rsidRPr="00C9717D">
        <w:rPr>
          <w:bCs/>
          <w:sz w:val="20"/>
        </w:rPr>
        <w:t>The increased 65+ group compared to the county, along with increased severity of illness which based on the Case Mix Index, supports the needs for additional inpatient and observation beds.</w:t>
      </w:r>
    </w:p>
    <w:p w14:paraId="70C2E7C5" w14:textId="6B30B2C4" w:rsidR="00C9717D" w:rsidRDefault="00C9717D" w:rsidP="00C9717D">
      <w:pPr>
        <w:rPr>
          <w:b/>
          <w:color w:val="000000"/>
        </w:rPr>
      </w:pPr>
    </w:p>
    <w:p w14:paraId="46470908" w14:textId="77777777" w:rsidR="00CB6A72" w:rsidRDefault="00CB6A72" w:rsidP="00C9717D">
      <w:pPr>
        <w:rPr>
          <w:b/>
          <w:color w:val="000000"/>
        </w:rPr>
      </w:pPr>
    </w:p>
    <w:p w14:paraId="3DC434DF" w14:textId="2E82B96F" w:rsidR="00AE041B" w:rsidRPr="00CA51AC" w:rsidRDefault="00AE041B" w:rsidP="0005366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</w:rPr>
        <w:lastRenderedPageBreak/>
        <w:t xml:space="preserve">Race  </w:t>
      </w:r>
    </w:p>
    <w:p w14:paraId="4ED57CC0" w14:textId="77777777" w:rsidR="00CA51AC" w:rsidRPr="00494A11" w:rsidRDefault="00CA51AC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468"/>
        <w:gridCol w:w="1189"/>
        <w:gridCol w:w="965"/>
        <w:gridCol w:w="1120"/>
        <w:gridCol w:w="1330"/>
        <w:gridCol w:w="1330"/>
      </w:tblGrid>
      <w:tr w:rsidR="00B6469A" w14:paraId="408552C0" w14:textId="77777777" w:rsidTr="00E91237">
        <w:trPr>
          <w:cantSplit/>
          <w:trHeight w:val="269"/>
          <w:tblHeader/>
        </w:trPr>
        <w:tc>
          <w:tcPr>
            <w:tcW w:w="1271" w:type="pct"/>
          </w:tcPr>
          <w:p w14:paraId="25718C65" w14:textId="37988883" w:rsidR="00B6469A" w:rsidRDefault="00E006E4" w:rsidP="00E006E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739" w:type="pct"/>
          </w:tcPr>
          <w:p w14:paraId="1023CAE6" w14:textId="3118695A" w:rsidR="00B6469A" w:rsidRDefault="0038466F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B6469A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482B829D" w14:textId="11193C2E" w:rsidR="00B6469A" w:rsidRDefault="0038466F" w:rsidP="00CA51AC">
            <w:pPr>
              <w:spacing w:after="0"/>
              <w:jc w:val="center"/>
            </w:pPr>
            <w:r>
              <w:rPr>
                <w:b/>
              </w:rPr>
              <w:t xml:space="preserve">FY20 </w:t>
            </w:r>
            <w:r w:rsidR="00B6469A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483EAF8E" w14:textId="14138668" w:rsidR="00B6469A" w:rsidRDefault="0038466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B6469A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27E1B15B" w14:textId="7FF40C84" w:rsidR="00B6469A" w:rsidRDefault="0038466F" w:rsidP="00CA51AC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B6469A" w:rsidRPr="00357164">
              <w:rPr>
                <w:b/>
                <w:bCs/>
              </w:rPr>
              <w:t>Percent</w:t>
            </w:r>
          </w:p>
        </w:tc>
        <w:tc>
          <w:tcPr>
            <w:tcW w:w="670" w:type="pct"/>
          </w:tcPr>
          <w:p w14:paraId="185DB093" w14:textId="06865ACD" w:rsidR="00B6469A" w:rsidRDefault="0038466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B6469A" w:rsidRPr="00357164">
              <w:rPr>
                <w:b/>
                <w:bCs/>
              </w:rPr>
              <w:t>Number</w:t>
            </w:r>
          </w:p>
        </w:tc>
        <w:tc>
          <w:tcPr>
            <w:tcW w:w="670" w:type="pct"/>
          </w:tcPr>
          <w:p w14:paraId="5D4BB9F0" w14:textId="5D81F302" w:rsidR="00B6469A" w:rsidRDefault="0038466F" w:rsidP="00CA51AC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B6469A" w:rsidRPr="00357164">
              <w:rPr>
                <w:b/>
                <w:bCs/>
              </w:rPr>
              <w:t>Percent</w:t>
            </w:r>
          </w:p>
        </w:tc>
      </w:tr>
      <w:tr w:rsidR="00B6469A" w14:paraId="6CBB42E9" w14:textId="77777777" w:rsidTr="00E91237">
        <w:trPr>
          <w:cantSplit/>
        </w:trPr>
        <w:tc>
          <w:tcPr>
            <w:tcW w:w="1271" w:type="pct"/>
          </w:tcPr>
          <w:p w14:paraId="08DB1890" w14:textId="77777777" w:rsidR="00B6469A" w:rsidRPr="006C4B95" w:rsidRDefault="00B6469A" w:rsidP="00DE67B7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Black/African American</w:t>
            </w:r>
          </w:p>
        </w:tc>
        <w:tc>
          <w:tcPr>
            <w:tcW w:w="739" w:type="pct"/>
          </w:tcPr>
          <w:p w14:paraId="5849F466" w14:textId="12E93A26" w:rsidR="00B6469A" w:rsidRDefault="00B6469A" w:rsidP="00DE67B7">
            <w:pPr>
              <w:spacing w:after="0"/>
              <w:jc w:val="center"/>
            </w:pPr>
            <w:r>
              <w:t>52</w:t>
            </w:r>
          </w:p>
        </w:tc>
        <w:tc>
          <w:tcPr>
            <w:tcW w:w="599" w:type="pct"/>
          </w:tcPr>
          <w:p w14:paraId="2831E4B5" w14:textId="5AEB7902" w:rsidR="00B6469A" w:rsidRDefault="00B6469A" w:rsidP="00CB6A72">
            <w:pPr>
              <w:spacing w:after="0"/>
              <w:jc w:val="center"/>
            </w:pPr>
            <w:r>
              <w:t>2.3</w:t>
            </w:r>
            <w:r w:rsidR="00CB6A72">
              <w:t>8</w:t>
            </w:r>
            <w:r>
              <w:t>%</w:t>
            </w:r>
          </w:p>
        </w:tc>
        <w:tc>
          <w:tcPr>
            <w:tcW w:w="486" w:type="pct"/>
          </w:tcPr>
          <w:p w14:paraId="1D1FC162" w14:textId="348AEA7E" w:rsidR="00B6469A" w:rsidRDefault="00B6469A" w:rsidP="00DE67B7">
            <w:pPr>
              <w:spacing w:after="0"/>
              <w:jc w:val="center"/>
            </w:pPr>
            <w:r>
              <w:t>110</w:t>
            </w:r>
          </w:p>
        </w:tc>
        <w:tc>
          <w:tcPr>
            <w:tcW w:w="564" w:type="pct"/>
          </w:tcPr>
          <w:p w14:paraId="664A86F8" w14:textId="60BB9D8C" w:rsidR="00B6469A" w:rsidRDefault="00F06100" w:rsidP="00DE67B7">
            <w:pPr>
              <w:spacing w:after="0"/>
              <w:jc w:val="center"/>
            </w:pPr>
            <w:r>
              <w:t>2.87</w:t>
            </w:r>
            <w:r w:rsidR="00B6469A">
              <w:t>%</w:t>
            </w:r>
          </w:p>
        </w:tc>
        <w:tc>
          <w:tcPr>
            <w:tcW w:w="670" w:type="pct"/>
          </w:tcPr>
          <w:p w14:paraId="5428C50A" w14:textId="352A72DB" w:rsidR="00B6469A" w:rsidRDefault="00B6469A" w:rsidP="00DE67B7">
            <w:pPr>
              <w:spacing w:after="0"/>
              <w:jc w:val="center"/>
            </w:pPr>
            <w:r>
              <w:t>122</w:t>
            </w:r>
          </w:p>
        </w:tc>
        <w:tc>
          <w:tcPr>
            <w:tcW w:w="670" w:type="pct"/>
          </w:tcPr>
          <w:p w14:paraId="3B1BEE85" w14:textId="6129A72C" w:rsidR="00B6469A" w:rsidRDefault="00B6469A" w:rsidP="00DE67B7">
            <w:pPr>
              <w:spacing w:after="0"/>
              <w:jc w:val="center"/>
            </w:pPr>
            <w:r>
              <w:t>3.14%</w:t>
            </w:r>
          </w:p>
        </w:tc>
      </w:tr>
      <w:tr w:rsidR="00B6469A" w14:paraId="718BDCFF" w14:textId="77777777" w:rsidTr="00E91237">
        <w:trPr>
          <w:cantSplit/>
        </w:trPr>
        <w:tc>
          <w:tcPr>
            <w:tcW w:w="1271" w:type="pct"/>
          </w:tcPr>
          <w:p w14:paraId="61108D6D" w14:textId="77777777" w:rsidR="00B6469A" w:rsidRPr="006C4B95" w:rsidRDefault="00B6469A" w:rsidP="00DE67B7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White/Caucasian</w:t>
            </w:r>
          </w:p>
        </w:tc>
        <w:tc>
          <w:tcPr>
            <w:tcW w:w="739" w:type="pct"/>
          </w:tcPr>
          <w:p w14:paraId="530E6D4E" w14:textId="431CB0F1" w:rsidR="00B6469A" w:rsidRDefault="00B6469A" w:rsidP="00DE67B7">
            <w:pPr>
              <w:spacing w:after="0"/>
              <w:jc w:val="center"/>
            </w:pPr>
            <w:r>
              <w:t>2,098</w:t>
            </w:r>
          </w:p>
        </w:tc>
        <w:tc>
          <w:tcPr>
            <w:tcW w:w="599" w:type="pct"/>
          </w:tcPr>
          <w:p w14:paraId="6B8439F3" w14:textId="69FCC344" w:rsidR="00B6469A" w:rsidRDefault="00B6469A" w:rsidP="00DE67B7">
            <w:pPr>
              <w:spacing w:after="0"/>
              <w:jc w:val="center"/>
            </w:pPr>
            <w:r>
              <w:t>96.19%</w:t>
            </w:r>
          </w:p>
        </w:tc>
        <w:tc>
          <w:tcPr>
            <w:tcW w:w="486" w:type="pct"/>
          </w:tcPr>
          <w:p w14:paraId="4AB01FB4" w14:textId="6E389D50" w:rsidR="00B6469A" w:rsidRDefault="00B6469A" w:rsidP="00DE67B7">
            <w:pPr>
              <w:spacing w:after="0"/>
              <w:jc w:val="center"/>
            </w:pPr>
            <w:r>
              <w:t>3,634</w:t>
            </w:r>
          </w:p>
        </w:tc>
        <w:tc>
          <w:tcPr>
            <w:tcW w:w="564" w:type="pct"/>
          </w:tcPr>
          <w:p w14:paraId="61BD231E" w14:textId="78A4F6FF" w:rsidR="00B6469A" w:rsidRDefault="00F06100" w:rsidP="00F06100">
            <w:pPr>
              <w:spacing w:after="0"/>
              <w:jc w:val="center"/>
            </w:pPr>
            <w:r>
              <w:t>94.96</w:t>
            </w:r>
            <w:r w:rsidR="00B6469A">
              <w:t>%</w:t>
            </w:r>
          </w:p>
        </w:tc>
        <w:tc>
          <w:tcPr>
            <w:tcW w:w="670" w:type="pct"/>
          </w:tcPr>
          <w:p w14:paraId="2FF910DD" w14:textId="030059CE" w:rsidR="00B6469A" w:rsidRDefault="00B6469A" w:rsidP="00DE67B7">
            <w:pPr>
              <w:spacing w:after="0"/>
              <w:jc w:val="center"/>
            </w:pPr>
            <w:r>
              <w:t>3,684</w:t>
            </w:r>
          </w:p>
        </w:tc>
        <w:tc>
          <w:tcPr>
            <w:tcW w:w="670" w:type="pct"/>
          </w:tcPr>
          <w:p w14:paraId="0108B565" w14:textId="4AE3F48C" w:rsidR="00B6469A" w:rsidRDefault="00B6469A" w:rsidP="00DE67B7">
            <w:pPr>
              <w:spacing w:after="0"/>
              <w:jc w:val="center"/>
            </w:pPr>
            <w:r>
              <w:t>94.70%</w:t>
            </w:r>
          </w:p>
        </w:tc>
      </w:tr>
      <w:tr w:rsidR="00B6469A" w14:paraId="6BCE76A9" w14:textId="77777777" w:rsidTr="00E91237">
        <w:trPr>
          <w:cantSplit/>
        </w:trPr>
        <w:tc>
          <w:tcPr>
            <w:tcW w:w="1271" w:type="pct"/>
          </w:tcPr>
          <w:p w14:paraId="1DAA0ACA" w14:textId="77777777" w:rsidR="00B6469A" w:rsidRPr="006C4B95" w:rsidRDefault="00B6469A" w:rsidP="00DE67B7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Other</w:t>
            </w:r>
          </w:p>
        </w:tc>
        <w:tc>
          <w:tcPr>
            <w:tcW w:w="739" w:type="pct"/>
          </w:tcPr>
          <w:p w14:paraId="1F6CAD71" w14:textId="6FF279FA" w:rsidR="00B6469A" w:rsidRDefault="00F06100" w:rsidP="00DE67B7">
            <w:pPr>
              <w:spacing w:after="0"/>
              <w:jc w:val="center"/>
            </w:pPr>
            <w:r>
              <w:t>31</w:t>
            </w:r>
          </w:p>
        </w:tc>
        <w:tc>
          <w:tcPr>
            <w:tcW w:w="599" w:type="pct"/>
          </w:tcPr>
          <w:p w14:paraId="27469B86" w14:textId="6D7F4A42" w:rsidR="00B6469A" w:rsidRDefault="00F06100" w:rsidP="00F06100">
            <w:pPr>
              <w:spacing w:after="0"/>
              <w:jc w:val="center"/>
            </w:pPr>
            <w:r>
              <w:t>1.42</w:t>
            </w:r>
            <w:r w:rsidR="00B6469A">
              <w:t>%</w:t>
            </w:r>
          </w:p>
        </w:tc>
        <w:tc>
          <w:tcPr>
            <w:tcW w:w="486" w:type="pct"/>
          </w:tcPr>
          <w:p w14:paraId="5AC9247E" w14:textId="6AFBC4FA" w:rsidR="00F06100" w:rsidRDefault="00F06100" w:rsidP="00F06100">
            <w:pPr>
              <w:spacing w:after="0"/>
              <w:jc w:val="center"/>
            </w:pPr>
            <w:r>
              <w:t>83</w:t>
            </w:r>
          </w:p>
        </w:tc>
        <w:tc>
          <w:tcPr>
            <w:tcW w:w="564" w:type="pct"/>
          </w:tcPr>
          <w:p w14:paraId="7189D42E" w14:textId="4F1B3066" w:rsidR="00B6469A" w:rsidRDefault="00F06100" w:rsidP="00F06100">
            <w:pPr>
              <w:spacing w:after="0"/>
              <w:jc w:val="center"/>
            </w:pPr>
            <w:r>
              <w:t>2.17</w:t>
            </w:r>
            <w:r w:rsidR="00B6469A">
              <w:t>%</w:t>
            </w:r>
          </w:p>
        </w:tc>
        <w:tc>
          <w:tcPr>
            <w:tcW w:w="670" w:type="pct"/>
          </w:tcPr>
          <w:p w14:paraId="4F9DE3D1" w14:textId="4454AC70" w:rsidR="00F06100" w:rsidRDefault="004834FE" w:rsidP="00F06100">
            <w:pPr>
              <w:spacing w:after="0"/>
              <w:jc w:val="center"/>
            </w:pPr>
            <w:r>
              <w:t>84</w:t>
            </w:r>
          </w:p>
        </w:tc>
        <w:tc>
          <w:tcPr>
            <w:tcW w:w="670" w:type="pct"/>
          </w:tcPr>
          <w:p w14:paraId="7739B38C" w14:textId="06585710" w:rsidR="00B6469A" w:rsidRDefault="004834FE" w:rsidP="00DE67B7">
            <w:pPr>
              <w:spacing w:after="0"/>
              <w:jc w:val="center"/>
            </w:pPr>
            <w:r>
              <w:t>2.16</w:t>
            </w:r>
            <w:r w:rsidR="00B6469A">
              <w:t>%</w:t>
            </w:r>
          </w:p>
        </w:tc>
      </w:tr>
      <w:tr w:rsidR="00B6469A" w14:paraId="32A310B2" w14:textId="77777777" w:rsidTr="00E91237">
        <w:trPr>
          <w:cantSplit/>
        </w:trPr>
        <w:tc>
          <w:tcPr>
            <w:tcW w:w="1271" w:type="pct"/>
          </w:tcPr>
          <w:p w14:paraId="25EEE907" w14:textId="77777777" w:rsidR="00B6469A" w:rsidRPr="006C4B95" w:rsidRDefault="00B6469A" w:rsidP="00DE67B7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739" w:type="pct"/>
          </w:tcPr>
          <w:p w14:paraId="596E8769" w14:textId="53CCF31E" w:rsidR="00B6469A" w:rsidRDefault="00B6469A" w:rsidP="00CB6A72">
            <w:pPr>
              <w:spacing w:after="0"/>
              <w:jc w:val="center"/>
            </w:pPr>
            <w:r>
              <w:t>2,</w:t>
            </w:r>
            <w:r w:rsidR="00CB6A72">
              <w:t>181</w:t>
            </w:r>
          </w:p>
        </w:tc>
        <w:tc>
          <w:tcPr>
            <w:tcW w:w="599" w:type="pct"/>
          </w:tcPr>
          <w:p w14:paraId="004DA722" w14:textId="4E75AF91" w:rsidR="00B6469A" w:rsidRDefault="00B6469A" w:rsidP="00DE67B7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86" w:type="pct"/>
          </w:tcPr>
          <w:p w14:paraId="3E116A9D" w14:textId="7F0BA360" w:rsidR="00B6469A" w:rsidRDefault="00B6469A" w:rsidP="00F06100">
            <w:pPr>
              <w:spacing w:after="0"/>
              <w:jc w:val="center"/>
            </w:pPr>
            <w:r>
              <w:t>3,8</w:t>
            </w:r>
            <w:r w:rsidR="00F06100">
              <w:t>27</w:t>
            </w:r>
          </w:p>
        </w:tc>
        <w:tc>
          <w:tcPr>
            <w:tcW w:w="564" w:type="pct"/>
          </w:tcPr>
          <w:p w14:paraId="3D33E9C5" w14:textId="5B4C32FC" w:rsidR="00B6469A" w:rsidRDefault="00B6469A" w:rsidP="00DE67B7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70" w:type="pct"/>
          </w:tcPr>
          <w:p w14:paraId="0B9BFF8A" w14:textId="4B2F9157" w:rsidR="00B6469A" w:rsidRDefault="00B6469A" w:rsidP="00DE67B7">
            <w:pPr>
              <w:spacing w:after="0"/>
              <w:jc w:val="center"/>
            </w:pPr>
            <w:r>
              <w:t>3,890</w:t>
            </w:r>
          </w:p>
        </w:tc>
        <w:tc>
          <w:tcPr>
            <w:tcW w:w="670" w:type="pct"/>
          </w:tcPr>
          <w:p w14:paraId="7AA703DB" w14:textId="19FCDE9F" w:rsidR="00B6469A" w:rsidRDefault="00B6469A" w:rsidP="00DE67B7">
            <w:pPr>
              <w:spacing w:after="0"/>
              <w:jc w:val="center"/>
            </w:pPr>
            <w:r>
              <w:t>100.00%</w:t>
            </w:r>
          </w:p>
        </w:tc>
      </w:tr>
      <w:tr w:rsidR="00B6469A" w14:paraId="424B46ED" w14:textId="77777777" w:rsidTr="00E91237">
        <w:trPr>
          <w:cantSplit/>
        </w:trPr>
        <w:tc>
          <w:tcPr>
            <w:tcW w:w="1271" w:type="pct"/>
          </w:tcPr>
          <w:p w14:paraId="5D370875" w14:textId="59B46966" w:rsidR="00B6469A" w:rsidRPr="006C4B95" w:rsidRDefault="00B6469A" w:rsidP="00DE67B7">
            <w:pPr>
              <w:spacing w:after="0"/>
              <w:rPr>
                <w:bCs/>
              </w:rPr>
            </w:pPr>
            <w:r>
              <w:rPr>
                <w:bCs/>
              </w:rPr>
              <w:t>Hispanic Ethnicity</w:t>
            </w:r>
          </w:p>
        </w:tc>
        <w:tc>
          <w:tcPr>
            <w:tcW w:w="739" w:type="pct"/>
          </w:tcPr>
          <w:p w14:paraId="234C6A7D" w14:textId="152C977C" w:rsidR="00B6469A" w:rsidRDefault="00322DCB" w:rsidP="00DE67B7">
            <w:pPr>
              <w:spacing w:after="0"/>
              <w:jc w:val="center"/>
            </w:pPr>
            <w:r>
              <w:t>45</w:t>
            </w:r>
          </w:p>
        </w:tc>
        <w:tc>
          <w:tcPr>
            <w:tcW w:w="599" w:type="pct"/>
          </w:tcPr>
          <w:p w14:paraId="459E0C29" w14:textId="0A3B487C" w:rsidR="00B6469A" w:rsidRDefault="000A5B27" w:rsidP="00DE67B7">
            <w:pPr>
              <w:spacing w:after="0"/>
              <w:jc w:val="center"/>
            </w:pPr>
            <w:r>
              <w:t>1.97%</w:t>
            </w:r>
          </w:p>
        </w:tc>
        <w:tc>
          <w:tcPr>
            <w:tcW w:w="486" w:type="pct"/>
          </w:tcPr>
          <w:p w14:paraId="5B455710" w14:textId="4191C8D5" w:rsidR="00B6469A" w:rsidRDefault="006D77B3" w:rsidP="00DE67B7">
            <w:pPr>
              <w:spacing w:after="0"/>
              <w:jc w:val="center"/>
            </w:pPr>
            <w:r>
              <w:t>60</w:t>
            </w:r>
          </w:p>
        </w:tc>
        <w:tc>
          <w:tcPr>
            <w:tcW w:w="564" w:type="pct"/>
          </w:tcPr>
          <w:p w14:paraId="0E29D64F" w14:textId="1F8408A0" w:rsidR="00B6469A" w:rsidRDefault="008459DA" w:rsidP="00DE67B7">
            <w:pPr>
              <w:spacing w:after="0"/>
              <w:jc w:val="center"/>
            </w:pPr>
            <w:r>
              <w:t>1.57%</w:t>
            </w:r>
          </w:p>
        </w:tc>
        <w:tc>
          <w:tcPr>
            <w:tcW w:w="670" w:type="pct"/>
          </w:tcPr>
          <w:p w14:paraId="760F51D6" w14:textId="7C9B2DD4" w:rsidR="00B6469A" w:rsidRDefault="0037706C" w:rsidP="00DE67B7">
            <w:pPr>
              <w:spacing w:after="0"/>
              <w:jc w:val="center"/>
            </w:pPr>
            <w:r>
              <w:t>76</w:t>
            </w:r>
          </w:p>
        </w:tc>
        <w:tc>
          <w:tcPr>
            <w:tcW w:w="670" w:type="pct"/>
          </w:tcPr>
          <w:p w14:paraId="44C38756" w14:textId="77300A15" w:rsidR="00B6469A" w:rsidRDefault="002E05DF" w:rsidP="00DE67B7">
            <w:pPr>
              <w:spacing w:after="0"/>
              <w:jc w:val="center"/>
            </w:pPr>
            <w:r>
              <w:t>1.95%</w:t>
            </w:r>
          </w:p>
        </w:tc>
      </w:tr>
    </w:tbl>
    <w:p w14:paraId="27C6B4A2" w14:textId="62FEE6F0" w:rsidR="006933BF" w:rsidRPr="008F66F1" w:rsidRDefault="00CB6A72" w:rsidP="006933BF">
      <w:pPr>
        <w:spacing w:after="0"/>
        <w:rPr>
          <w:bCs/>
          <w:sz w:val="20"/>
          <w:szCs w:val="20"/>
        </w:rPr>
      </w:pPr>
      <w:r w:rsidRPr="00CB6A72">
        <w:rPr>
          <w:bCs/>
          <w:sz w:val="20"/>
          <w:szCs w:val="20"/>
        </w:rPr>
        <w:t xml:space="preserve">For confidentiality, “Other” includes all </w:t>
      </w:r>
      <w:proofErr w:type="gramStart"/>
      <w:r w:rsidRPr="00CB6A72">
        <w:rPr>
          <w:bCs/>
          <w:sz w:val="20"/>
          <w:szCs w:val="20"/>
        </w:rPr>
        <w:t>races  not</w:t>
      </w:r>
      <w:proofErr w:type="gramEnd"/>
      <w:r w:rsidRPr="00CB6A72">
        <w:rPr>
          <w:bCs/>
          <w:sz w:val="20"/>
          <w:szCs w:val="20"/>
        </w:rPr>
        <w:t xml:space="preserve"> separately listed which all had patient counts less than 11</w:t>
      </w:r>
      <w:r w:rsidR="00F06100">
        <w:rPr>
          <w:bCs/>
          <w:sz w:val="20"/>
          <w:szCs w:val="20"/>
        </w:rPr>
        <w:t>, patients who use</w:t>
      </w:r>
      <w:r w:rsidR="00587394">
        <w:rPr>
          <w:bCs/>
          <w:sz w:val="20"/>
          <w:szCs w:val="20"/>
        </w:rPr>
        <w:t xml:space="preserve"> </w:t>
      </w:r>
      <w:r w:rsidR="006B5295">
        <w:rPr>
          <w:bCs/>
          <w:sz w:val="20"/>
          <w:szCs w:val="20"/>
        </w:rPr>
        <w:t xml:space="preserve">“Other” </w:t>
      </w:r>
      <w:r w:rsidR="00F06100">
        <w:rPr>
          <w:bCs/>
          <w:sz w:val="20"/>
          <w:szCs w:val="20"/>
        </w:rPr>
        <w:t xml:space="preserve">to </w:t>
      </w:r>
      <w:r w:rsidRPr="00CB6A72">
        <w:rPr>
          <w:bCs/>
          <w:sz w:val="20"/>
          <w:szCs w:val="20"/>
        </w:rPr>
        <w:t xml:space="preserve">represent </w:t>
      </w:r>
      <w:r w:rsidR="00147787">
        <w:rPr>
          <w:bCs/>
          <w:sz w:val="20"/>
          <w:szCs w:val="20"/>
        </w:rPr>
        <w:t xml:space="preserve">multiracial, </w:t>
      </w:r>
      <w:r w:rsidR="00861183">
        <w:rPr>
          <w:bCs/>
          <w:sz w:val="20"/>
          <w:szCs w:val="20"/>
        </w:rPr>
        <w:t xml:space="preserve">patients who </w:t>
      </w:r>
      <w:r w:rsidR="00147787" w:rsidRPr="00147787">
        <w:rPr>
          <w:bCs/>
          <w:sz w:val="20"/>
          <w:szCs w:val="20"/>
        </w:rPr>
        <w:t>do not wish to choose one of the listed options</w:t>
      </w:r>
      <w:r w:rsidR="00147787">
        <w:rPr>
          <w:bCs/>
          <w:sz w:val="20"/>
          <w:szCs w:val="20"/>
        </w:rPr>
        <w:t>,</w:t>
      </w:r>
      <w:r w:rsidRPr="00CB6A72">
        <w:rPr>
          <w:bCs/>
          <w:sz w:val="20"/>
          <w:szCs w:val="20"/>
        </w:rPr>
        <w:t xml:space="preserve"> </w:t>
      </w:r>
      <w:r w:rsidRPr="00F06100">
        <w:rPr>
          <w:bCs/>
          <w:sz w:val="20"/>
          <w:szCs w:val="20"/>
        </w:rPr>
        <w:t xml:space="preserve">or </w:t>
      </w:r>
      <w:r w:rsidR="00861183">
        <w:rPr>
          <w:bCs/>
          <w:sz w:val="20"/>
          <w:szCs w:val="20"/>
        </w:rPr>
        <w:t xml:space="preserve">patients who selected </w:t>
      </w:r>
      <w:r w:rsidR="00147787">
        <w:rPr>
          <w:bCs/>
          <w:sz w:val="20"/>
          <w:szCs w:val="20"/>
        </w:rPr>
        <w:t>refused/</w:t>
      </w:r>
      <w:r w:rsidR="00F06100" w:rsidRPr="00F06100">
        <w:rPr>
          <w:bCs/>
          <w:sz w:val="20"/>
          <w:szCs w:val="20"/>
        </w:rPr>
        <w:t xml:space="preserve">unknown. </w:t>
      </w:r>
      <w:r w:rsidR="00B6469A" w:rsidRPr="00F06100">
        <w:rPr>
          <w:bCs/>
          <w:sz w:val="20"/>
          <w:szCs w:val="20"/>
        </w:rPr>
        <w:t xml:space="preserve"> Hispanic</w:t>
      </w:r>
      <w:r w:rsidR="00B6469A" w:rsidRPr="008F66F1">
        <w:rPr>
          <w:bCs/>
          <w:sz w:val="20"/>
          <w:szCs w:val="20"/>
        </w:rPr>
        <w:t xml:space="preserve"> Ethnicity is captured </w:t>
      </w:r>
      <w:r w:rsidR="00B6469A">
        <w:rPr>
          <w:bCs/>
          <w:sz w:val="20"/>
          <w:szCs w:val="20"/>
        </w:rPr>
        <w:t xml:space="preserve">separately from the </w:t>
      </w:r>
      <w:r w:rsidR="00B6469A" w:rsidRPr="008F66F1">
        <w:rPr>
          <w:bCs/>
          <w:sz w:val="20"/>
          <w:szCs w:val="20"/>
        </w:rPr>
        <w:t>races listed</w:t>
      </w:r>
      <w:r w:rsidR="00B6469A">
        <w:rPr>
          <w:bCs/>
          <w:sz w:val="20"/>
          <w:szCs w:val="20"/>
        </w:rPr>
        <w:t xml:space="preserve"> and would be combined with any of the races listed above.</w:t>
      </w:r>
      <w:r w:rsidR="006933BF">
        <w:rPr>
          <w:bCs/>
          <w:sz w:val="20"/>
          <w:szCs w:val="20"/>
        </w:rPr>
        <w:t xml:space="preserve"> The </w:t>
      </w:r>
      <w:r w:rsidR="00CA4E06">
        <w:rPr>
          <w:bCs/>
          <w:sz w:val="20"/>
          <w:szCs w:val="20"/>
        </w:rPr>
        <w:t xml:space="preserve">Hispanic Ethnicity </w:t>
      </w:r>
      <w:r w:rsidR="005837ED">
        <w:rPr>
          <w:bCs/>
          <w:sz w:val="20"/>
          <w:szCs w:val="20"/>
        </w:rPr>
        <w:t xml:space="preserve">of the </w:t>
      </w:r>
      <w:r w:rsidR="006933BF">
        <w:rPr>
          <w:bCs/>
          <w:sz w:val="20"/>
          <w:szCs w:val="20"/>
        </w:rPr>
        <w:t xml:space="preserve">population of </w:t>
      </w:r>
      <w:r w:rsidR="00C228B2">
        <w:rPr>
          <w:bCs/>
          <w:sz w:val="20"/>
          <w:szCs w:val="20"/>
        </w:rPr>
        <w:t xml:space="preserve">the towns in Northern </w:t>
      </w:r>
      <w:r w:rsidR="006933BF">
        <w:rPr>
          <w:bCs/>
          <w:sz w:val="20"/>
          <w:szCs w:val="20"/>
        </w:rPr>
        <w:t xml:space="preserve">Berkshire County </w:t>
      </w:r>
      <w:r w:rsidR="00C228B2">
        <w:rPr>
          <w:bCs/>
          <w:sz w:val="20"/>
          <w:szCs w:val="20"/>
        </w:rPr>
        <w:t>range from 0% to 6</w:t>
      </w:r>
      <w:r w:rsidR="006933BF">
        <w:rPr>
          <w:bCs/>
          <w:sz w:val="20"/>
          <w:szCs w:val="20"/>
        </w:rPr>
        <w:t xml:space="preserve">% based on data </w:t>
      </w:r>
      <w:r w:rsidR="006933BF" w:rsidRPr="00C228B2">
        <w:rPr>
          <w:bCs/>
          <w:sz w:val="20"/>
          <w:szCs w:val="20"/>
        </w:rPr>
        <w:t xml:space="preserve">from </w:t>
      </w:r>
      <w:r w:rsidR="006933BF" w:rsidRPr="00C228B2">
        <w:rPr>
          <w:sz w:val="20"/>
          <w:szCs w:val="20"/>
        </w:rPr>
        <w:t>US Census, ACS, 2017-2021, Table S0601</w:t>
      </w:r>
      <w:r w:rsidR="00C228B2">
        <w:rPr>
          <w:sz w:val="20"/>
          <w:szCs w:val="20"/>
        </w:rPr>
        <w:t>.</w:t>
      </w:r>
      <w:r w:rsidR="00767141">
        <w:rPr>
          <w:sz w:val="20"/>
          <w:szCs w:val="20"/>
        </w:rPr>
        <w:t xml:space="preserve"> </w:t>
      </w:r>
    </w:p>
    <w:p w14:paraId="79312BD8" w14:textId="77777777" w:rsidR="00C9717D" w:rsidRPr="008F66F1" w:rsidRDefault="00C9717D" w:rsidP="00B6469A">
      <w:pPr>
        <w:spacing w:after="0"/>
        <w:rPr>
          <w:bCs/>
          <w:sz w:val="20"/>
          <w:szCs w:val="20"/>
        </w:rPr>
      </w:pPr>
    </w:p>
    <w:p w14:paraId="7821916B" w14:textId="148D0C4D" w:rsidR="00EC17F0" w:rsidRPr="005E1F4F" w:rsidRDefault="001025B0" w:rsidP="00053660">
      <w:pPr>
        <w:numPr>
          <w:ilvl w:val="0"/>
          <w:numId w:val="27"/>
        </w:numPr>
        <w:spacing w:after="0"/>
        <w:rPr>
          <w:b/>
        </w:rPr>
      </w:pPr>
      <w:r w:rsidRPr="001025B0">
        <w:rPr>
          <w:b/>
          <w:color w:val="000000"/>
        </w:rPr>
        <w:t>Patients by Service Area</w:t>
      </w:r>
      <w:r w:rsidRPr="001025B0">
        <w:rPr>
          <w:b/>
        </w:rPr>
        <w:t xml:space="preserve"> - Zip Codes</w:t>
      </w:r>
      <w:r w:rsidRPr="001025B0">
        <w:rPr>
          <w:b/>
          <w:color w:val="000000"/>
        </w:rPr>
        <w:t xml:space="preserve"> </w:t>
      </w:r>
    </w:p>
    <w:p w14:paraId="2AB2890D" w14:textId="77777777" w:rsidR="005E1F4F" w:rsidRPr="00EC17F0" w:rsidRDefault="005E1F4F" w:rsidP="005E1F4F">
      <w:pPr>
        <w:spacing w:after="0"/>
        <w:ind w:left="7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468"/>
        <w:gridCol w:w="1189"/>
        <w:gridCol w:w="965"/>
        <w:gridCol w:w="1120"/>
        <w:gridCol w:w="1330"/>
        <w:gridCol w:w="1330"/>
      </w:tblGrid>
      <w:tr w:rsidR="00E006E4" w14:paraId="312CEF96" w14:textId="77777777" w:rsidTr="00E91237">
        <w:trPr>
          <w:trHeight w:val="332"/>
        </w:trPr>
        <w:tc>
          <w:tcPr>
            <w:tcW w:w="1271" w:type="pct"/>
          </w:tcPr>
          <w:p w14:paraId="62CDFF6E" w14:textId="4CA3AE1D" w:rsidR="00E006E4" w:rsidRPr="00357164" w:rsidRDefault="00E006E4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Service Area</w:t>
            </w:r>
          </w:p>
        </w:tc>
        <w:tc>
          <w:tcPr>
            <w:tcW w:w="739" w:type="pct"/>
          </w:tcPr>
          <w:p w14:paraId="13CD1919" w14:textId="174332E3" w:rsidR="00E006E4" w:rsidRPr="00357164" w:rsidRDefault="00E91237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E006E4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3E488A68" w14:textId="1A24B386" w:rsidR="00E006E4" w:rsidRPr="00357164" w:rsidRDefault="00E91237" w:rsidP="00E006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E006E4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7FF285B4" w14:textId="69FB0840" w:rsidR="00E006E4" w:rsidRDefault="00E91237" w:rsidP="00E006E4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E006E4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16004700" w14:textId="6EC77C67" w:rsidR="00E006E4" w:rsidRDefault="00E91237" w:rsidP="00E006E4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E006E4" w:rsidRPr="00357164">
              <w:rPr>
                <w:b/>
                <w:bCs/>
              </w:rPr>
              <w:t>Percent</w:t>
            </w:r>
          </w:p>
        </w:tc>
        <w:tc>
          <w:tcPr>
            <w:tcW w:w="670" w:type="pct"/>
          </w:tcPr>
          <w:p w14:paraId="23B0812D" w14:textId="584CC8FE" w:rsidR="00E006E4" w:rsidRDefault="00E91237" w:rsidP="00E006E4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E006E4" w:rsidRPr="00357164">
              <w:rPr>
                <w:b/>
                <w:bCs/>
              </w:rPr>
              <w:t>Number</w:t>
            </w:r>
          </w:p>
        </w:tc>
        <w:tc>
          <w:tcPr>
            <w:tcW w:w="670" w:type="pct"/>
          </w:tcPr>
          <w:p w14:paraId="45585B56" w14:textId="2BC44607" w:rsidR="00E006E4" w:rsidRDefault="00E91237" w:rsidP="00E006E4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E006E4" w:rsidRPr="00357164">
              <w:rPr>
                <w:b/>
                <w:bCs/>
              </w:rPr>
              <w:t>Percent</w:t>
            </w:r>
          </w:p>
        </w:tc>
      </w:tr>
      <w:tr w:rsidR="00E006E4" w14:paraId="7AE08A31" w14:textId="77777777" w:rsidTr="00E91237">
        <w:trPr>
          <w:cantSplit/>
        </w:trPr>
        <w:tc>
          <w:tcPr>
            <w:tcW w:w="1271" w:type="pct"/>
          </w:tcPr>
          <w:p w14:paraId="23F00C95" w14:textId="77777777" w:rsidR="00E006E4" w:rsidRPr="006C4B95" w:rsidRDefault="00E006E4" w:rsidP="00E006E4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Northern Berkshire PSA</w:t>
            </w:r>
          </w:p>
        </w:tc>
        <w:tc>
          <w:tcPr>
            <w:tcW w:w="739" w:type="pct"/>
          </w:tcPr>
          <w:p w14:paraId="4B1F87B8" w14:textId="4DEB7D10" w:rsidR="00E006E4" w:rsidRDefault="00E006E4" w:rsidP="00E006E4">
            <w:pPr>
              <w:spacing w:after="0"/>
              <w:jc w:val="center"/>
            </w:pPr>
            <w:r>
              <w:t>1,847</w:t>
            </w:r>
          </w:p>
        </w:tc>
        <w:tc>
          <w:tcPr>
            <w:tcW w:w="599" w:type="pct"/>
          </w:tcPr>
          <w:p w14:paraId="13A684A6" w14:textId="4F8EDE55" w:rsidR="00E006E4" w:rsidRDefault="00E006E4" w:rsidP="00E006E4">
            <w:pPr>
              <w:spacing w:after="0"/>
              <w:jc w:val="center"/>
            </w:pPr>
            <w:r>
              <w:t>84.69%</w:t>
            </w:r>
          </w:p>
        </w:tc>
        <w:tc>
          <w:tcPr>
            <w:tcW w:w="486" w:type="pct"/>
          </w:tcPr>
          <w:p w14:paraId="763B8FDF" w14:textId="5F268A3E" w:rsidR="00E006E4" w:rsidRDefault="00E006E4" w:rsidP="00E006E4">
            <w:pPr>
              <w:spacing w:after="0"/>
              <w:jc w:val="center"/>
            </w:pPr>
            <w:r>
              <w:t>3,675</w:t>
            </w:r>
          </w:p>
        </w:tc>
        <w:tc>
          <w:tcPr>
            <w:tcW w:w="564" w:type="pct"/>
          </w:tcPr>
          <w:p w14:paraId="660B475C" w14:textId="07915E92" w:rsidR="00E006E4" w:rsidRDefault="00E006E4" w:rsidP="00E006E4">
            <w:pPr>
              <w:spacing w:after="0"/>
              <w:jc w:val="center"/>
            </w:pPr>
            <w:r>
              <w:t>96.03%</w:t>
            </w:r>
          </w:p>
        </w:tc>
        <w:tc>
          <w:tcPr>
            <w:tcW w:w="670" w:type="pct"/>
          </w:tcPr>
          <w:p w14:paraId="59BD7D3F" w14:textId="38A952AA" w:rsidR="00E006E4" w:rsidRDefault="00E006E4" w:rsidP="00E006E4">
            <w:pPr>
              <w:spacing w:after="0"/>
              <w:jc w:val="center"/>
            </w:pPr>
            <w:r>
              <w:t>3,756</w:t>
            </w:r>
          </w:p>
        </w:tc>
        <w:tc>
          <w:tcPr>
            <w:tcW w:w="670" w:type="pct"/>
          </w:tcPr>
          <w:p w14:paraId="557AB825" w14:textId="749C37B8" w:rsidR="00E006E4" w:rsidRDefault="00E006E4" w:rsidP="00E006E4">
            <w:pPr>
              <w:spacing w:after="0"/>
              <w:jc w:val="center"/>
            </w:pPr>
            <w:r>
              <w:t>96.56%</w:t>
            </w:r>
          </w:p>
        </w:tc>
      </w:tr>
      <w:tr w:rsidR="00E006E4" w14:paraId="3336F388" w14:textId="77777777" w:rsidTr="00E91237">
        <w:trPr>
          <w:cantSplit/>
        </w:trPr>
        <w:tc>
          <w:tcPr>
            <w:tcW w:w="1271" w:type="pct"/>
          </w:tcPr>
          <w:p w14:paraId="13228253" w14:textId="08C87EE0" w:rsidR="00E006E4" w:rsidRPr="006C4B95" w:rsidRDefault="00E006E4" w:rsidP="00E006E4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North County SSA</w:t>
            </w:r>
          </w:p>
        </w:tc>
        <w:tc>
          <w:tcPr>
            <w:tcW w:w="739" w:type="pct"/>
          </w:tcPr>
          <w:p w14:paraId="2DEE5BD5" w14:textId="47286D4B" w:rsidR="00E006E4" w:rsidRDefault="00E006E4" w:rsidP="00E006E4">
            <w:pPr>
              <w:spacing w:after="0"/>
              <w:jc w:val="center"/>
            </w:pPr>
            <w:r>
              <w:t>334</w:t>
            </w:r>
          </w:p>
        </w:tc>
        <w:tc>
          <w:tcPr>
            <w:tcW w:w="599" w:type="pct"/>
          </w:tcPr>
          <w:p w14:paraId="2C45BE44" w14:textId="31448567" w:rsidR="00E006E4" w:rsidRDefault="00E006E4" w:rsidP="00E006E4">
            <w:pPr>
              <w:spacing w:after="0"/>
              <w:jc w:val="center"/>
            </w:pPr>
            <w:r>
              <w:t>15.31%</w:t>
            </w:r>
          </w:p>
        </w:tc>
        <w:tc>
          <w:tcPr>
            <w:tcW w:w="486" w:type="pct"/>
          </w:tcPr>
          <w:p w14:paraId="0AA0FFE9" w14:textId="7EEB06FA" w:rsidR="00E006E4" w:rsidRDefault="00E006E4" w:rsidP="00E006E4">
            <w:pPr>
              <w:spacing w:after="0"/>
              <w:jc w:val="center"/>
            </w:pPr>
            <w:r>
              <w:t>152</w:t>
            </w:r>
          </w:p>
        </w:tc>
        <w:tc>
          <w:tcPr>
            <w:tcW w:w="564" w:type="pct"/>
          </w:tcPr>
          <w:p w14:paraId="5D8652E0" w14:textId="5C033A0D" w:rsidR="00E006E4" w:rsidRDefault="00E006E4" w:rsidP="00E006E4">
            <w:pPr>
              <w:spacing w:after="0"/>
              <w:jc w:val="center"/>
            </w:pPr>
            <w:r>
              <w:t>3.97%</w:t>
            </w:r>
          </w:p>
        </w:tc>
        <w:tc>
          <w:tcPr>
            <w:tcW w:w="670" w:type="pct"/>
          </w:tcPr>
          <w:p w14:paraId="0526554A" w14:textId="622DE5A0" w:rsidR="00E006E4" w:rsidRDefault="00E006E4" w:rsidP="00E006E4">
            <w:pPr>
              <w:spacing w:after="0"/>
              <w:jc w:val="center"/>
            </w:pPr>
            <w:r>
              <w:t>134</w:t>
            </w:r>
          </w:p>
        </w:tc>
        <w:tc>
          <w:tcPr>
            <w:tcW w:w="670" w:type="pct"/>
          </w:tcPr>
          <w:p w14:paraId="2AA2994D" w14:textId="6B253100" w:rsidR="00E006E4" w:rsidRDefault="00E006E4" w:rsidP="00E006E4">
            <w:pPr>
              <w:spacing w:after="0"/>
              <w:jc w:val="center"/>
            </w:pPr>
            <w:r>
              <w:t>3.44%</w:t>
            </w:r>
          </w:p>
        </w:tc>
      </w:tr>
      <w:tr w:rsidR="00E006E4" w14:paraId="62C0C0FE" w14:textId="77777777" w:rsidTr="00E91237">
        <w:trPr>
          <w:cantSplit/>
        </w:trPr>
        <w:tc>
          <w:tcPr>
            <w:tcW w:w="1271" w:type="pct"/>
          </w:tcPr>
          <w:p w14:paraId="5E2978E1" w14:textId="29DE6879" w:rsidR="00E006E4" w:rsidRPr="006C4B95" w:rsidRDefault="00E006E4" w:rsidP="00E006E4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PSA Sub-total</w:t>
            </w:r>
          </w:p>
        </w:tc>
        <w:tc>
          <w:tcPr>
            <w:tcW w:w="739" w:type="pct"/>
          </w:tcPr>
          <w:p w14:paraId="780F2CB9" w14:textId="5EB70FD3" w:rsidR="00E006E4" w:rsidRDefault="00E006E4" w:rsidP="00E006E4">
            <w:pPr>
              <w:spacing w:after="0"/>
              <w:jc w:val="center"/>
            </w:pPr>
            <w:r>
              <w:t>2,279</w:t>
            </w:r>
          </w:p>
        </w:tc>
        <w:tc>
          <w:tcPr>
            <w:tcW w:w="599" w:type="pct"/>
          </w:tcPr>
          <w:p w14:paraId="79339F01" w14:textId="0AB8B351" w:rsidR="00E006E4" w:rsidRDefault="00E006E4" w:rsidP="00E006E4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86" w:type="pct"/>
          </w:tcPr>
          <w:p w14:paraId="4C67D57C" w14:textId="41BADC6C" w:rsidR="00E006E4" w:rsidRDefault="00E006E4" w:rsidP="00E006E4">
            <w:pPr>
              <w:spacing w:after="0"/>
              <w:jc w:val="center"/>
            </w:pPr>
            <w:r>
              <w:t>3,827</w:t>
            </w:r>
          </w:p>
        </w:tc>
        <w:tc>
          <w:tcPr>
            <w:tcW w:w="564" w:type="pct"/>
          </w:tcPr>
          <w:p w14:paraId="4675D415" w14:textId="2D55B935" w:rsidR="00E006E4" w:rsidRDefault="00E006E4" w:rsidP="00E006E4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70" w:type="pct"/>
          </w:tcPr>
          <w:p w14:paraId="315601E5" w14:textId="0A14C0D8" w:rsidR="00E006E4" w:rsidRDefault="00E006E4" w:rsidP="00E006E4">
            <w:pPr>
              <w:spacing w:after="0"/>
              <w:jc w:val="center"/>
            </w:pPr>
            <w:r>
              <w:t>3,890</w:t>
            </w:r>
          </w:p>
        </w:tc>
        <w:tc>
          <w:tcPr>
            <w:tcW w:w="670" w:type="pct"/>
          </w:tcPr>
          <w:p w14:paraId="4B9386FB" w14:textId="672616C7" w:rsidR="00E006E4" w:rsidRDefault="00E006E4" w:rsidP="00E006E4">
            <w:pPr>
              <w:spacing w:after="0"/>
              <w:jc w:val="center"/>
            </w:pPr>
            <w:r>
              <w:t>100.00%</w:t>
            </w:r>
          </w:p>
        </w:tc>
      </w:tr>
    </w:tbl>
    <w:p w14:paraId="1F2AF77D" w14:textId="10275A79" w:rsidR="001025B0" w:rsidRPr="008F66F1" w:rsidRDefault="006058D6" w:rsidP="00CA51AC">
      <w:pPr>
        <w:spacing w:after="0"/>
        <w:rPr>
          <w:bCs/>
          <w:sz w:val="20"/>
          <w:szCs w:val="20"/>
        </w:rPr>
      </w:pPr>
      <w:r w:rsidRPr="008F66F1">
        <w:rPr>
          <w:b/>
          <w:sz w:val="20"/>
          <w:szCs w:val="20"/>
        </w:rPr>
        <w:t xml:space="preserve"> </w:t>
      </w:r>
      <w:r w:rsidR="009833D7" w:rsidRPr="008F66F1">
        <w:rPr>
          <w:bCs/>
          <w:sz w:val="20"/>
          <w:szCs w:val="20"/>
        </w:rPr>
        <w:t>Zip codes included in these categories can be found in Appendix 1.</w:t>
      </w:r>
      <w:r w:rsidR="00713135">
        <w:rPr>
          <w:bCs/>
          <w:sz w:val="20"/>
          <w:szCs w:val="20"/>
        </w:rPr>
        <w:t xml:space="preserve"> </w:t>
      </w:r>
    </w:p>
    <w:p w14:paraId="2FFADEBC" w14:textId="77777777" w:rsidR="00084495" w:rsidRDefault="00084495" w:rsidP="00CA51AC">
      <w:pPr>
        <w:spacing w:after="0"/>
        <w:rPr>
          <w:b/>
        </w:rPr>
      </w:pPr>
    </w:p>
    <w:p w14:paraId="10D8CA61" w14:textId="28034021" w:rsidR="006058D6" w:rsidRDefault="00B01FF8" w:rsidP="00053660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</w:t>
      </w:r>
      <w:r w:rsidR="001025B0" w:rsidRPr="006058D6">
        <w:rPr>
          <w:b/>
          <w:color w:val="000000"/>
        </w:rPr>
        <w:t xml:space="preserve">ayer Mix </w:t>
      </w:r>
    </w:p>
    <w:p w14:paraId="2E3F916F" w14:textId="77777777" w:rsidR="005E1F4F" w:rsidRPr="006058D6" w:rsidRDefault="005E1F4F" w:rsidP="005E1F4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468"/>
        <w:gridCol w:w="1189"/>
        <w:gridCol w:w="965"/>
        <w:gridCol w:w="1120"/>
        <w:gridCol w:w="1330"/>
        <w:gridCol w:w="1330"/>
      </w:tblGrid>
      <w:tr w:rsidR="00977F55" w14:paraId="246F7A1B" w14:textId="77777777" w:rsidTr="006F2E44">
        <w:trPr>
          <w:cantSplit/>
          <w:trHeight w:val="332"/>
          <w:tblHeader/>
        </w:trPr>
        <w:tc>
          <w:tcPr>
            <w:tcW w:w="1271" w:type="pct"/>
          </w:tcPr>
          <w:p w14:paraId="59F4761C" w14:textId="41BDCC74" w:rsidR="00977F55" w:rsidRPr="00357164" w:rsidRDefault="00977F55" w:rsidP="00977F5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Payer Mix</w:t>
            </w:r>
          </w:p>
        </w:tc>
        <w:tc>
          <w:tcPr>
            <w:tcW w:w="739" w:type="pct"/>
          </w:tcPr>
          <w:p w14:paraId="1263E36C" w14:textId="60A6E378" w:rsidR="00977F55" w:rsidRPr="00357164" w:rsidRDefault="00C613A2" w:rsidP="00977F5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977F55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1D185225" w14:textId="7F7F8521" w:rsidR="00977F55" w:rsidRPr="00357164" w:rsidRDefault="00C613A2" w:rsidP="00977F5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FY20 </w:t>
            </w:r>
            <w:r w:rsidR="00977F55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491419DA" w14:textId="0C403A35" w:rsidR="00977F55" w:rsidRDefault="00C613A2" w:rsidP="00977F55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977F55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233093D1" w14:textId="51E3CE3C" w:rsidR="00977F55" w:rsidRDefault="00C613A2" w:rsidP="00977F55">
            <w:pPr>
              <w:spacing w:after="0"/>
              <w:jc w:val="center"/>
            </w:pPr>
            <w:r>
              <w:rPr>
                <w:b/>
              </w:rPr>
              <w:t xml:space="preserve">FY21 </w:t>
            </w:r>
            <w:r w:rsidR="00977F55" w:rsidRPr="00357164">
              <w:rPr>
                <w:b/>
                <w:bCs/>
              </w:rPr>
              <w:t>Percent</w:t>
            </w:r>
          </w:p>
        </w:tc>
        <w:tc>
          <w:tcPr>
            <w:tcW w:w="670" w:type="pct"/>
          </w:tcPr>
          <w:p w14:paraId="19A387AE" w14:textId="2CB659CB" w:rsidR="00977F55" w:rsidRDefault="00C613A2" w:rsidP="00977F55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977F55" w:rsidRPr="00357164">
              <w:rPr>
                <w:b/>
                <w:bCs/>
              </w:rPr>
              <w:t>Number</w:t>
            </w:r>
          </w:p>
        </w:tc>
        <w:tc>
          <w:tcPr>
            <w:tcW w:w="670" w:type="pct"/>
          </w:tcPr>
          <w:p w14:paraId="3198CE04" w14:textId="07CC403D" w:rsidR="00977F55" w:rsidRDefault="00C613A2" w:rsidP="00977F55">
            <w:pPr>
              <w:spacing w:after="0"/>
              <w:jc w:val="center"/>
            </w:pPr>
            <w:r>
              <w:rPr>
                <w:b/>
              </w:rPr>
              <w:t xml:space="preserve">FY22 </w:t>
            </w:r>
            <w:r w:rsidR="00977F55" w:rsidRPr="00357164">
              <w:rPr>
                <w:b/>
                <w:bCs/>
              </w:rPr>
              <w:t>Percent</w:t>
            </w:r>
          </w:p>
        </w:tc>
      </w:tr>
      <w:tr w:rsidR="00977F55" w14:paraId="5BCFA12C" w14:textId="77777777" w:rsidTr="006F2E44">
        <w:trPr>
          <w:cantSplit/>
        </w:trPr>
        <w:tc>
          <w:tcPr>
            <w:tcW w:w="1271" w:type="pct"/>
          </w:tcPr>
          <w:p w14:paraId="63AC164D" w14:textId="77777777" w:rsidR="00977F55" w:rsidRPr="006C4B95" w:rsidRDefault="00977F55" w:rsidP="00977F55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Public/Medicaid/Medicaid MC</w:t>
            </w:r>
          </w:p>
        </w:tc>
        <w:tc>
          <w:tcPr>
            <w:tcW w:w="739" w:type="pct"/>
          </w:tcPr>
          <w:p w14:paraId="5BE08686" w14:textId="32ED2D1C" w:rsidR="00977F55" w:rsidRDefault="00977F55" w:rsidP="00977F55">
            <w:pPr>
              <w:spacing w:after="0"/>
              <w:jc w:val="center"/>
            </w:pPr>
            <w:r>
              <w:t>360</w:t>
            </w:r>
          </w:p>
        </w:tc>
        <w:tc>
          <w:tcPr>
            <w:tcW w:w="599" w:type="pct"/>
          </w:tcPr>
          <w:p w14:paraId="4F95BADD" w14:textId="6B720D37" w:rsidR="00977F55" w:rsidRDefault="00977F55" w:rsidP="00977F55">
            <w:pPr>
              <w:spacing w:after="0"/>
              <w:jc w:val="center"/>
            </w:pPr>
            <w:r>
              <w:t>15.80%</w:t>
            </w:r>
          </w:p>
        </w:tc>
        <w:tc>
          <w:tcPr>
            <w:tcW w:w="486" w:type="pct"/>
          </w:tcPr>
          <w:p w14:paraId="3E2E979D" w14:textId="342EA9DC" w:rsidR="00977F55" w:rsidRDefault="00977F55" w:rsidP="00977F55">
            <w:pPr>
              <w:spacing w:after="0"/>
              <w:jc w:val="center"/>
            </w:pPr>
            <w:r>
              <w:t>661</w:t>
            </w:r>
          </w:p>
        </w:tc>
        <w:tc>
          <w:tcPr>
            <w:tcW w:w="564" w:type="pct"/>
          </w:tcPr>
          <w:p w14:paraId="1C7B2805" w14:textId="0B616B53" w:rsidR="00977F55" w:rsidRDefault="00977F55" w:rsidP="00977F55">
            <w:pPr>
              <w:spacing w:after="0"/>
              <w:jc w:val="center"/>
            </w:pPr>
            <w:r>
              <w:t>17.27%</w:t>
            </w:r>
          </w:p>
        </w:tc>
        <w:tc>
          <w:tcPr>
            <w:tcW w:w="670" w:type="pct"/>
          </w:tcPr>
          <w:p w14:paraId="3BBB1452" w14:textId="4C55B5BE" w:rsidR="00977F55" w:rsidRDefault="00977F55" w:rsidP="00977F55">
            <w:pPr>
              <w:spacing w:after="0"/>
              <w:jc w:val="center"/>
            </w:pPr>
            <w:r>
              <w:t>667</w:t>
            </w:r>
          </w:p>
        </w:tc>
        <w:tc>
          <w:tcPr>
            <w:tcW w:w="670" w:type="pct"/>
          </w:tcPr>
          <w:p w14:paraId="130752BA" w14:textId="5A5BD1B8" w:rsidR="00977F55" w:rsidRDefault="00977F55" w:rsidP="00977F55">
            <w:pPr>
              <w:spacing w:after="0"/>
              <w:jc w:val="center"/>
            </w:pPr>
            <w:r>
              <w:t>17.15%</w:t>
            </w:r>
          </w:p>
        </w:tc>
      </w:tr>
      <w:tr w:rsidR="00977F55" w14:paraId="07D21122" w14:textId="77777777" w:rsidTr="006F2E44">
        <w:trPr>
          <w:cantSplit/>
        </w:trPr>
        <w:tc>
          <w:tcPr>
            <w:tcW w:w="1271" w:type="pct"/>
          </w:tcPr>
          <w:p w14:paraId="4766F830" w14:textId="77777777" w:rsidR="00977F55" w:rsidRPr="006C4B95" w:rsidRDefault="00977F55" w:rsidP="00977F55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Medicare/Medicare MC/Advantage</w:t>
            </w:r>
          </w:p>
        </w:tc>
        <w:tc>
          <w:tcPr>
            <w:tcW w:w="739" w:type="pct"/>
          </w:tcPr>
          <w:p w14:paraId="544C3628" w14:textId="211A297F" w:rsidR="00977F55" w:rsidRDefault="00977F55" w:rsidP="00977F55">
            <w:pPr>
              <w:spacing w:after="0"/>
              <w:jc w:val="center"/>
            </w:pPr>
            <w:r>
              <w:t>1,420</w:t>
            </w:r>
          </w:p>
        </w:tc>
        <w:tc>
          <w:tcPr>
            <w:tcW w:w="599" w:type="pct"/>
          </w:tcPr>
          <w:p w14:paraId="0AC68BE1" w14:textId="56FCF2FD" w:rsidR="00977F55" w:rsidRDefault="00977F55" w:rsidP="00977F55">
            <w:pPr>
              <w:spacing w:after="0"/>
              <w:jc w:val="center"/>
            </w:pPr>
            <w:r>
              <w:t>62.31%</w:t>
            </w:r>
          </w:p>
        </w:tc>
        <w:tc>
          <w:tcPr>
            <w:tcW w:w="486" w:type="pct"/>
          </w:tcPr>
          <w:p w14:paraId="7DF0E710" w14:textId="7ED9325D" w:rsidR="00977F55" w:rsidRDefault="00977F55" w:rsidP="00977F55">
            <w:pPr>
              <w:spacing w:after="0"/>
              <w:jc w:val="center"/>
            </w:pPr>
            <w:r>
              <w:t>1,950</w:t>
            </w:r>
          </w:p>
        </w:tc>
        <w:tc>
          <w:tcPr>
            <w:tcW w:w="564" w:type="pct"/>
          </w:tcPr>
          <w:p w14:paraId="1DDD5716" w14:textId="5C6806F2" w:rsidR="00977F55" w:rsidRDefault="00977F55" w:rsidP="00977F55">
            <w:pPr>
              <w:spacing w:after="0"/>
              <w:jc w:val="center"/>
            </w:pPr>
            <w:r>
              <w:t>50.95%</w:t>
            </w:r>
          </w:p>
        </w:tc>
        <w:tc>
          <w:tcPr>
            <w:tcW w:w="670" w:type="pct"/>
          </w:tcPr>
          <w:p w14:paraId="4F62ADA6" w14:textId="3E931C1F" w:rsidR="00977F55" w:rsidRDefault="00977F55" w:rsidP="00977F55">
            <w:pPr>
              <w:spacing w:after="0"/>
              <w:jc w:val="center"/>
            </w:pPr>
            <w:r>
              <w:t>1,961</w:t>
            </w:r>
          </w:p>
        </w:tc>
        <w:tc>
          <w:tcPr>
            <w:tcW w:w="670" w:type="pct"/>
          </w:tcPr>
          <w:p w14:paraId="17AC9E29" w14:textId="20C28FCD" w:rsidR="00977F55" w:rsidRDefault="00977F55" w:rsidP="00977F55">
            <w:pPr>
              <w:spacing w:after="0"/>
              <w:jc w:val="center"/>
            </w:pPr>
            <w:r>
              <w:t>50.41%</w:t>
            </w:r>
          </w:p>
        </w:tc>
      </w:tr>
      <w:tr w:rsidR="00977F55" w14:paraId="713269F1" w14:textId="77777777" w:rsidTr="006F2E44">
        <w:trPr>
          <w:cantSplit/>
        </w:trPr>
        <w:tc>
          <w:tcPr>
            <w:tcW w:w="1271" w:type="pct"/>
          </w:tcPr>
          <w:p w14:paraId="20E7FE26" w14:textId="77777777" w:rsidR="00977F55" w:rsidRPr="006C4B95" w:rsidRDefault="00977F55" w:rsidP="00977F55">
            <w:pPr>
              <w:spacing w:after="0"/>
              <w:rPr>
                <w:bCs/>
              </w:rPr>
            </w:pPr>
            <w:r w:rsidRPr="006C4B95">
              <w:rPr>
                <w:bCs/>
                <w:sz w:val="20"/>
                <w:szCs w:val="20"/>
              </w:rPr>
              <w:t>Private/Commercial/HMO</w:t>
            </w:r>
          </w:p>
        </w:tc>
        <w:tc>
          <w:tcPr>
            <w:tcW w:w="739" w:type="pct"/>
          </w:tcPr>
          <w:p w14:paraId="7F0DC580" w14:textId="18A446C5" w:rsidR="00977F55" w:rsidRDefault="00977F55" w:rsidP="00977F55">
            <w:pPr>
              <w:spacing w:after="0"/>
              <w:jc w:val="center"/>
            </w:pPr>
            <w:r>
              <w:t>447</w:t>
            </w:r>
          </w:p>
        </w:tc>
        <w:tc>
          <w:tcPr>
            <w:tcW w:w="599" w:type="pct"/>
          </w:tcPr>
          <w:p w14:paraId="4E5ECD90" w14:textId="1C4F41AF" w:rsidR="00977F55" w:rsidRDefault="00977F55" w:rsidP="00977F55">
            <w:pPr>
              <w:spacing w:after="0"/>
              <w:jc w:val="center"/>
            </w:pPr>
            <w:r>
              <w:t>19.61%</w:t>
            </w:r>
          </w:p>
        </w:tc>
        <w:tc>
          <w:tcPr>
            <w:tcW w:w="486" w:type="pct"/>
          </w:tcPr>
          <w:p w14:paraId="2600F624" w14:textId="16BEE374" w:rsidR="00977F55" w:rsidRDefault="00977F55" w:rsidP="00977F55">
            <w:pPr>
              <w:spacing w:after="0"/>
              <w:jc w:val="center"/>
            </w:pPr>
            <w:r>
              <w:t>1,103</w:t>
            </w:r>
          </w:p>
        </w:tc>
        <w:tc>
          <w:tcPr>
            <w:tcW w:w="564" w:type="pct"/>
          </w:tcPr>
          <w:p w14:paraId="0DEF7AFA" w14:textId="462082B8" w:rsidR="00977F55" w:rsidRDefault="00977F55" w:rsidP="00977F55">
            <w:pPr>
              <w:spacing w:after="0"/>
              <w:jc w:val="center"/>
            </w:pPr>
            <w:r>
              <w:t>28.82%</w:t>
            </w:r>
          </w:p>
        </w:tc>
        <w:tc>
          <w:tcPr>
            <w:tcW w:w="670" w:type="pct"/>
          </w:tcPr>
          <w:p w14:paraId="374D8FA1" w14:textId="4AD35785" w:rsidR="00977F55" w:rsidRDefault="00977F55" w:rsidP="00977F55">
            <w:pPr>
              <w:spacing w:after="0"/>
              <w:jc w:val="center"/>
            </w:pPr>
            <w:r>
              <w:t>1,144</w:t>
            </w:r>
          </w:p>
        </w:tc>
        <w:tc>
          <w:tcPr>
            <w:tcW w:w="670" w:type="pct"/>
          </w:tcPr>
          <w:p w14:paraId="358BDFEB" w14:textId="07672D54" w:rsidR="00977F55" w:rsidRDefault="00977F55" w:rsidP="00977F55">
            <w:pPr>
              <w:spacing w:after="0"/>
              <w:jc w:val="center"/>
            </w:pPr>
            <w:r>
              <w:t>29.41%</w:t>
            </w:r>
          </w:p>
        </w:tc>
      </w:tr>
      <w:tr w:rsidR="00977F55" w14:paraId="16257980" w14:textId="77777777" w:rsidTr="006F2E44">
        <w:trPr>
          <w:cantSplit/>
        </w:trPr>
        <w:tc>
          <w:tcPr>
            <w:tcW w:w="1271" w:type="pct"/>
          </w:tcPr>
          <w:p w14:paraId="47C15833" w14:textId="11ADB64A" w:rsidR="00977F55" w:rsidRPr="006C4B95" w:rsidRDefault="00977F55" w:rsidP="00977F55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  <w:sz w:val="20"/>
                <w:szCs w:val="20"/>
              </w:rPr>
              <w:t>Other (self-pay/workers’ comp/VA</w:t>
            </w:r>
            <w:r>
              <w:rPr>
                <w:bCs/>
                <w:sz w:val="20"/>
                <w:szCs w:val="20"/>
              </w:rPr>
              <w:t>, HSN</w:t>
            </w:r>
            <w:r w:rsidRPr="006C4B9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14:paraId="5F6177DD" w14:textId="71516DC1" w:rsidR="00977F55" w:rsidRDefault="00977F55" w:rsidP="00977F55">
            <w:pPr>
              <w:spacing w:after="0"/>
              <w:jc w:val="center"/>
            </w:pPr>
            <w:r>
              <w:t>52</w:t>
            </w:r>
          </w:p>
        </w:tc>
        <w:tc>
          <w:tcPr>
            <w:tcW w:w="599" w:type="pct"/>
          </w:tcPr>
          <w:p w14:paraId="3940433C" w14:textId="16EB36E3" w:rsidR="00977F55" w:rsidRDefault="00977F55" w:rsidP="00977F55">
            <w:pPr>
              <w:spacing w:after="0"/>
              <w:jc w:val="center"/>
            </w:pPr>
            <w:r>
              <w:t>1.84%</w:t>
            </w:r>
          </w:p>
        </w:tc>
        <w:tc>
          <w:tcPr>
            <w:tcW w:w="486" w:type="pct"/>
          </w:tcPr>
          <w:p w14:paraId="7160287D" w14:textId="23874146" w:rsidR="00977F55" w:rsidRDefault="00977F55" w:rsidP="00977F55">
            <w:pPr>
              <w:spacing w:after="0"/>
              <w:jc w:val="center"/>
            </w:pPr>
            <w:r>
              <w:t>113</w:t>
            </w:r>
          </w:p>
        </w:tc>
        <w:tc>
          <w:tcPr>
            <w:tcW w:w="564" w:type="pct"/>
          </w:tcPr>
          <w:p w14:paraId="10FE3F7F" w14:textId="3D67CC51" w:rsidR="00977F55" w:rsidRDefault="00977F55" w:rsidP="00977F55">
            <w:pPr>
              <w:spacing w:after="0"/>
              <w:jc w:val="center"/>
            </w:pPr>
            <w:r>
              <w:t>2.36%</w:t>
            </w:r>
          </w:p>
        </w:tc>
        <w:tc>
          <w:tcPr>
            <w:tcW w:w="670" w:type="pct"/>
          </w:tcPr>
          <w:p w14:paraId="04D696D3" w14:textId="7F5B4774" w:rsidR="00977F55" w:rsidRDefault="00977F55" w:rsidP="00977F55">
            <w:pPr>
              <w:spacing w:after="0"/>
              <w:jc w:val="center"/>
            </w:pPr>
            <w:r>
              <w:t>128</w:t>
            </w:r>
          </w:p>
        </w:tc>
        <w:tc>
          <w:tcPr>
            <w:tcW w:w="670" w:type="pct"/>
          </w:tcPr>
          <w:p w14:paraId="3764CC28" w14:textId="057FD642" w:rsidR="00977F55" w:rsidRDefault="00977F55" w:rsidP="00977F55">
            <w:pPr>
              <w:spacing w:after="0"/>
              <w:jc w:val="center"/>
            </w:pPr>
            <w:r>
              <w:t>2.54%</w:t>
            </w:r>
          </w:p>
        </w:tc>
      </w:tr>
    </w:tbl>
    <w:p w14:paraId="1B7AA44E" w14:textId="40B2C9AB" w:rsidR="004834FE" w:rsidRDefault="00C86D64" w:rsidP="009B6AB6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 xml:space="preserve">This categorization </w:t>
      </w:r>
      <w:proofErr w:type="gramStart"/>
      <w:r w:rsidRPr="008F66F1">
        <w:rPr>
          <w:bCs/>
          <w:sz w:val="20"/>
          <w:szCs w:val="20"/>
        </w:rPr>
        <w:t>based</w:t>
      </w:r>
      <w:proofErr w:type="gramEnd"/>
      <w:r w:rsidRPr="008F66F1">
        <w:rPr>
          <w:bCs/>
          <w:sz w:val="20"/>
          <w:szCs w:val="20"/>
        </w:rPr>
        <w:t xml:space="preserve"> on the primary payer of the most recent service, as patients may have multiple payers for a single visit or multiple visits in a year with different payer sources. Medicaid payer has continued to increase due to the Public Health Emergency that suspended the disenrollment </w:t>
      </w:r>
      <w:proofErr w:type="gramStart"/>
      <w:r w:rsidRPr="008F66F1">
        <w:rPr>
          <w:bCs/>
          <w:sz w:val="20"/>
          <w:szCs w:val="20"/>
        </w:rPr>
        <w:t>process in</w:t>
      </w:r>
      <w:proofErr w:type="gramEnd"/>
      <w:r w:rsidRPr="008F66F1">
        <w:rPr>
          <w:bCs/>
          <w:sz w:val="20"/>
          <w:szCs w:val="20"/>
        </w:rPr>
        <w:t xml:space="preserve"> throughout this time</w:t>
      </w:r>
      <w:r w:rsidR="00AA3832">
        <w:rPr>
          <w:bCs/>
          <w:sz w:val="20"/>
          <w:szCs w:val="20"/>
        </w:rPr>
        <w:t>-</w:t>
      </w:r>
      <w:r w:rsidRPr="008F66F1">
        <w:rPr>
          <w:bCs/>
          <w:sz w:val="20"/>
          <w:szCs w:val="20"/>
        </w:rPr>
        <w:t xml:space="preserve">period. </w:t>
      </w:r>
    </w:p>
    <w:p w14:paraId="21B249E7" w14:textId="77777777" w:rsidR="004834FE" w:rsidRDefault="004834FE" w:rsidP="009B6AB6">
      <w:pPr>
        <w:spacing w:after="0"/>
        <w:rPr>
          <w:bCs/>
          <w:sz w:val="20"/>
          <w:szCs w:val="20"/>
        </w:rPr>
      </w:pPr>
    </w:p>
    <w:p w14:paraId="4ECB9445" w14:textId="77777777" w:rsidR="00B01FF8" w:rsidRDefault="00B01FF8" w:rsidP="00B01F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A53A499" w14:textId="7E591A84" w:rsidR="00B01FF8" w:rsidRDefault="00B01FF8" w:rsidP="00B01F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B5B37C2" w14:textId="788EA665" w:rsidR="004834FE" w:rsidRDefault="004834FE" w:rsidP="00B01F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392741E" w14:textId="77777777" w:rsidR="004834FE" w:rsidRDefault="004834FE" w:rsidP="00B01F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E241401" w14:textId="77777777" w:rsidR="00FD57AD" w:rsidRDefault="00FD57AD" w:rsidP="00B01F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4306438" w14:textId="77777777" w:rsidR="00FD57AD" w:rsidRDefault="00FD57AD" w:rsidP="00B01FF8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8F82E2C" w14:textId="7056D8E4" w:rsidR="00EA6803" w:rsidRPr="00EA6803" w:rsidRDefault="00EA6803" w:rsidP="00053660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Case Mix Index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16"/>
        <w:gridCol w:w="2515"/>
        <w:gridCol w:w="2237"/>
        <w:gridCol w:w="2658"/>
      </w:tblGrid>
      <w:tr w:rsidR="00EA6803" w14:paraId="78FE1DB8" w14:textId="77777777" w:rsidTr="006F2E44">
        <w:trPr>
          <w:cantSplit/>
          <w:tblHeader/>
        </w:trPr>
        <w:tc>
          <w:tcPr>
            <w:tcW w:w="1267" w:type="pct"/>
          </w:tcPr>
          <w:p w14:paraId="3EA02F9D" w14:textId="272158BC" w:rsidR="00EA6803" w:rsidRPr="006C4B95" w:rsidRDefault="00EA6803" w:rsidP="003D2155">
            <w:pPr>
              <w:spacing w:after="0"/>
              <w:rPr>
                <w:bCs/>
              </w:rPr>
            </w:pPr>
          </w:p>
        </w:tc>
        <w:tc>
          <w:tcPr>
            <w:tcW w:w="1267" w:type="pct"/>
          </w:tcPr>
          <w:p w14:paraId="224F6797" w14:textId="77777777" w:rsidR="00EA6803" w:rsidRDefault="00EA6803" w:rsidP="003D21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1127" w:type="pct"/>
          </w:tcPr>
          <w:p w14:paraId="5B45BF41" w14:textId="77777777" w:rsidR="00EA6803" w:rsidRDefault="00EA6803" w:rsidP="003D21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339" w:type="pct"/>
          </w:tcPr>
          <w:p w14:paraId="1DC711AF" w14:textId="77777777" w:rsidR="00EA6803" w:rsidRDefault="00EA6803" w:rsidP="003D215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EA6803" w14:paraId="5C70BDBB" w14:textId="77777777" w:rsidTr="006F2E44">
        <w:trPr>
          <w:cantSplit/>
        </w:trPr>
        <w:tc>
          <w:tcPr>
            <w:tcW w:w="1267" w:type="pct"/>
          </w:tcPr>
          <w:p w14:paraId="47C7100F" w14:textId="4555DF57" w:rsidR="00EA6803" w:rsidRDefault="00FC0E05" w:rsidP="003D2155">
            <w:pPr>
              <w:spacing w:after="0"/>
              <w:rPr>
                <w:b/>
              </w:rPr>
            </w:pPr>
            <w:r>
              <w:rPr>
                <w:bCs/>
              </w:rPr>
              <w:t>All Payer</w:t>
            </w:r>
          </w:p>
        </w:tc>
        <w:tc>
          <w:tcPr>
            <w:tcW w:w="1267" w:type="pct"/>
          </w:tcPr>
          <w:p w14:paraId="3ABFDECD" w14:textId="7ED10930" w:rsidR="00EA6803" w:rsidRDefault="00A900FD" w:rsidP="003D2155">
            <w:pPr>
              <w:spacing w:after="0"/>
              <w:jc w:val="center"/>
            </w:pPr>
            <w:r>
              <w:t>1.46</w:t>
            </w:r>
          </w:p>
        </w:tc>
        <w:tc>
          <w:tcPr>
            <w:tcW w:w="1127" w:type="pct"/>
          </w:tcPr>
          <w:p w14:paraId="6DD31FA8" w14:textId="4693876D" w:rsidR="00EA6803" w:rsidRDefault="00F766B5" w:rsidP="003D2155">
            <w:pPr>
              <w:spacing w:after="0"/>
              <w:jc w:val="center"/>
            </w:pPr>
            <w:r>
              <w:t>1.51</w:t>
            </w:r>
          </w:p>
        </w:tc>
        <w:tc>
          <w:tcPr>
            <w:tcW w:w="1339" w:type="pct"/>
          </w:tcPr>
          <w:p w14:paraId="57727148" w14:textId="58A0436C" w:rsidR="00EA6803" w:rsidRDefault="009C6D10" w:rsidP="003D2155">
            <w:pPr>
              <w:spacing w:after="0"/>
              <w:jc w:val="center"/>
            </w:pPr>
            <w:r>
              <w:t>1.58</w:t>
            </w:r>
          </w:p>
        </w:tc>
      </w:tr>
      <w:tr w:rsidR="00EA6803" w14:paraId="788BD69F" w14:textId="77777777" w:rsidTr="006F2E44">
        <w:trPr>
          <w:cantSplit/>
        </w:trPr>
        <w:tc>
          <w:tcPr>
            <w:tcW w:w="1267" w:type="pct"/>
          </w:tcPr>
          <w:p w14:paraId="74368692" w14:textId="13B33651" w:rsidR="00EA6803" w:rsidRPr="00053660" w:rsidRDefault="00053660" w:rsidP="003D2155">
            <w:pPr>
              <w:spacing w:after="0"/>
              <w:rPr>
                <w:bCs/>
              </w:rPr>
            </w:pPr>
            <w:r w:rsidRPr="00053660">
              <w:rPr>
                <w:bCs/>
              </w:rPr>
              <w:t>Medicare</w:t>
            </w:r>
          </w:p>
        </w:tc>
        <w:tc>
          <w:tcPr>
            <w:tcW w:w="1267" w:type="pct"/>
          </w:tcPr>
          <w:p w14:paraId="6AD58B31" w14:textId="267B7785" w:rsidR="00EA6803" w:rsidRDefault="009B6D46" w:rsidP="003D2155">
            <w:pPr>
              <w:spacing w:after="0"/>
              <w:jc w:val="center"/>
            </w:pPr>
            <w:r>
              <w:t>1.57</w:t>
            </w:r>
          </w:p>
        </w:tc>
        <w:tc>
          <w:tcPr>
            <w:tcW w:w="1127" w:type="pct"/>
          </w:tcPr>
          <w:p w14:paraId="1D49D642" w14:textId="26EC8977" w:rsidR="00EA6803" w:rsidRDefault="00C265A8" w:rsidP="003D2155">
            <w:pPr>
              <w:spacing w:after="0"/>
              <w:jc w:val="center"/>
            </w:pPr>
            <w:r>
              <w:t>1.61</w:t>
            </w:r>
          </w:p>
        </w:tc>
        <w:tc>
          <w:tcPr>
            <w:tcW w:w="1339" w:type="pct"/>
          </w:tcPr>
          <w:p w14:paraId="34AD5468" w14:textId="2EE0B494" w:rsidR="00EA6803" w:rsidRDefault="00980D40" w:rsidP="003D2155">
            <w:pPr>
              <w:spacing w:after="0"/>
              <w:jc w:val="center"/>
            </w:pPr>
            <w:r>
              <w:t>1.68</w:t>
            </w:r>
          </w:p>
        </w:tc>
      </w:tr>
    </w:tbl>
    <w:p w14:paraId="74594A17" w14:textId="77777777" w:rsidR="00517176" w:rsidRDefault="00517176" w:rsidP="00517176">
      <w:pPr>
        <w:rPr>
          <w:bCs/>
          <w:sz w:val="20"/>
        </w:rPr>
      </w:pPr>
      <w:r w:rsidRPr="00C9717D">
        <w:rPr>
          <w:bCs/>
          <w:sz w:val="20"/>
        </w:rPr>
        <w:t>The BMC Medicare CMI for the Northern Berkshire Service Area</w:t>
      </w:r>
      <w:r>
        <w:rPr>
          <w:bCs/>
          <w:sz w:val="20"/>
        </w:rPr>
        <w:t xml:space="preserve"> increased from 1.61 in </w:t>
      </w:r>
      <w:r w:rsidRPr="00C9717D">
        <w:rPr>
          <w:bCs/>
          <w:sz w:val="20"/>
        </w:rPr>
        <w:t xml:space="preserve">2021 </w:t>
      </w:r>
      <w:r>
        <w:rPr>
          <w:bCs/>
          <w:sz w:val="20"/>
        </w:rPr>
        <w:t>to 1.68 in 2022</w:t>
      </w:r>
      <w:r w:rsidRPr="00C9717D">
        <w:rPr>
          <w:bCs/>
          <w:sz w:val="20"/>
        </w:rPr>
        <w:t xml:space="preserve">. This demonstrates the increasing severity of illness for Berkshire County patients, </w:t>
      </w:r>
      <w:r>
        <w:rPr>
          <w:bCs/>
          <w:sz w:val="20"/>
        </w:rPr>
        <w:t>which</w:t>
      </w:r>
      <w:r w:rsidRPr="00C9717D">
        <w:rPr>
          <w:bCs/>
          <w:sz w:val="20"/>
        </w:rPr>
        <w:t xml:space="preserve"> combined with the increasing</w:t>
      </w:r>
      <w:r>
        <w:rPr>
          <w:bCs/>
          <w:sz w:val="20"/>
        </w:rPr>
        <w:t xml:space="preserve"> age of our patients, supports</w:t>
      </w:r>
      <w:r w:rsidRPr="00C9717D">
        <w:rPr>
          <w:bCs/>
          <w:sz w:val="20"/>
        </w:rPr>
        <w:t xml:space="preserve"> the need for additional inpatient and observation level beds.</w:t>
      </w:r>
    </w:p>
    <w:p w14:paraId="310AEBBB" w14:textId="77777777" w:rsidR="002A5662" w:rsidRPr="00C9717D" w:rsidRDefault="002A5662" w:rsidP="00B01FF8">
      <w:pPr>
        <w:rPr>
          <w:bCs/>
          <w:sz w:val="20"/>
        </w:rPr>
      </w:pPr>
    </w:p>
    <w:p w14:paraId="42FF9462" w14:textId="5C7DADD8" w:rsidR="001025B0" w:rsidRPr="00D62FC5" w:rsidRDefault="001025B0" w:rsidP="00053660">
      <w:pPr>
        <w:numPr>
          <w:ilvl w:val="0"/>
          <w:numId w:val="27"/>
        </w:numPr>
        <w:spacing w:after="0"/>
      </w:pPr>
      <w:r>
        <w:rPr>
          <w:b/>
        </w:rPr>
        <w:t>Average Length of Stay</w:t>
      </w:r>
      <w:r w:rsidR="002625CC">
        <w:rPr>
          <w:b/>
        </w:rPr>
        <w:t xml:space="preserve"> </w:t>
      </w:r>
    </w:p>
    <w:p w14:paraId="7B8E9515" w14:textId="77777777" w:rsidR="00D62FC5" w:rsidRPr="003D368F" w:rsidRDefault="00D62FC5" w:rsidP="00D62FC5">
      <w:pPr>
        <w:spacing w:after="0"/>
        <w:ind w:left="720"/>
      </w:pPr>
    </w:p>
    <w:tbl>
      <w:tblPr>
        <w:tblStyle w:val="3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533"/>
        <w:gridCol w:w="2746"/>
        <w:gridCol w:w="1971"/>
        <w:gridCol w:w="2676"/>
      </w:tblGrid>
      <w:tr w:rsidR="0059312D" w14:paraId="510FA052" w14:textId="77777777" w:rsidTr="004214FA">
        <w:trPr>
          <w:cantSplit/>
          <w:trHeight w:val="413"/>
          <w:tblHeader/>
        </w:trPr>
        <w:tc>
          <w:tcPr>
            <w:tcW w:w="1276" w:type="pct"/>
          </w:tcPr>
          <w:p w14:paraId="1278BDFA" w14:textId="6F065F8E" w:rsidR="0059312D" w:rsidRDefault="0059312D" w:rsidP="00350333">
            <w:pPr>
              <w:rPr>
                <w:b/>
              </w:rPr>
            </w:pPr>
            <w:r>
              <w:rPr>
                <w:b/>
              </w:rPr>
              <w:t>Average Length of Stay (days)</w:t>
            </w:r>
          </w:p>
        </w:tc>
        <w:tc>
          <w:tcPr>
            <w:tcW w:w="1383" w:type="pct"/>
          </w:tcPr>
          <w:p w14:paraId="3D1CCC1A" w14:textId="77777777" w:rsidR="0059312D" w:rsidRDefault="0059312D" w:rsidP="00350333">
            <w:pPr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993" w:type="pct"/>
          </w:tcPr>
          <w:p w14:paraId="14CEE8B3" w14:textId="77777777" w:rsidR="0059312D" w:rsidRDefault="0059312D" w:rsidP="00350333">
            <w:pPr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348" w:type="pct"/>
          </w:tcPr>
          <w:p w14:paraId="60C1DA0A" w14:textId="77777777" w:rsidR="0059312D" w:rsidRDefault="0059312D" w:rsidP="00350333">
            <w:pPr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59312D" w14:paraId="5FE8984A" w14:textId="77777777" w:rsidTr="004214FA">
        <w:trPr>
          <w:cantSplit/>
          <w:trHeight w:val="377"/>
        </w:trPr>
        <w:tc>
          <w:tcPr>
            <w:tcW w:w="1276" w:type="pct"/>
          </w:tcPr>
          <w:p w14:paraId="5F864B58" w14:textId="37A6ABFB" w:rsidR="0059312D" w:rsidRPr="006C4B95" w:rsidRDefault="0059312D" w:rsidP="00350333">
            <w:pPr>
              <w:rPr>
                <w:bCs/>
              </w:rPr>
            </w:pPr>
            <w:r w:rsidRPr="006C4B95">
              <w:rPr>
                <w:bCs/>
              </w:rPr>
              <w:t>Observation</w:t>
            </w:r>
          </w:p>
        </w:tc>
        <w:tc>
          <w:tcPr>
            <w:tcW w:w="1383" w:type="pct"/>
          </w:tcPr>
          <w:p w14:paraId="3E055BD7" w14:textId="56DAD139" w:rsidR="0059312D" w:rsidRDefault="0059312D" w:rsidP="00350333">
            <w:pPr>
              <w:jc w:val="center"/>
            </w:pPr>
            <w:r>
              <w:t>1.57</w:t>
            </w:r>
          </w:p>
        </w:tc>
        <w:tc>
          <w:tcPr>
            <w:tcW w:w="993" w:type="pct"/>
          </w:tcPr>
          <w:p w14:paraId="6EA11E05" w14:textId="63A39EEF" w:rsidR="0059312D" w:rsidRDefault="0059312D" w:rsidP="00350333">
            <w:pPr>
              <w:jc w:val="center"/>
            </w:pPr>
            <w:r>
              <w:t>1.55</w:t>
            </w:r>
          </w:p>
        </w:tc>
        <w:tc>
          <w:tcPr>
            <w:tcW w:w="1348" w:type="pct"/>
          </w:tcPr>
          <w:p w14:paraId="36099AA1" w14:textId="02D54976" w:rsidR="0059312D" w:rsidRDefault="0059312D" w:rsidP="00350333">
            <w:pPr>
              <w:jc w:val="center"/>
            </w:pPr>
            <w:r>
              <w:t>2.01</w:t>
            </w:r>
          </w:p>
        </w:tc>
      </w:tr>
      <w:tr w:rsidR="00640D1F" w14:paraId="4A6A3437" w14:textId="77777777" w:rsidTr="004214FA">
        <w:trPr>
          <w:cantSplit/>
          <w:trHeight w:val="377"/>
        </w:trPr>
        <w:tc>
          <w:tcPr>
            <w:tcW w:w="1276" w:type="pct"/>
          </w:tcPr>
          <w:p w14:paraId="005DCD82" w14:textId="66E29FB8" w:rsidR="00640D1F" w:rsidRPr="006C4B95" w:rsidRDefault="00640D1F" w:rsidP="00640D1F">
            <w:pPr>
              <w:rPr>
                <w:bCs/>
              </w:rPr>
            </w:pPr>
            <w:r w:rsidRPr="006C4B95">
              <w:rPr>
                <w:bCs/>
              </w:rPr>
              <w:t>Inpatient</w:t>
            </w:r>
          </w:p>
        </w:tc>
        <w:tc>
          <w:tcPr>
            <w:tcW w:w="1383" w:type="pct"/>
          </w:tcPr>
          <w:p w14:paraId="29A1A5D5" w14:textId="1F16377A" w:rsidR="00640D1F" w:rsidRDefault="00640D1F" w:rsidP="00640D1F">
            <w:pPr>
              <w:jc w:val="center"/>
            </w:pPr>
            <w:r>
              <w:t>4.70</w:t>
            </w:r>
          </w:p>
        </w:tc>
        <w:tc>
          <w:tcPr>
            <w:tcW w:w="993" w:type="pct"/>
          </w:tcPr>
          <w:p w14:paraId="3963994C" w14:textId="325B10CC" w:rsidR="00640D1F" w:rsidRDefault="00640D1F" w:rsidP="00640D1F">
            <w:pPr>
              <w:jc w:val="center"/>
            </w:pPr>
            <w:r>
              <w:t>4.96</w:t>
            </w:r>
          </w:p>
        </w:tc>
        <w:tc>
          <w:tcPr>
            <w:tcW w:w="1348" w:type="pct"/>
          </w:tcPr>
          <w:p w14:paraId="3CFCD452" w14:textId="6AA034E7" w:rsidR="00640D1F" w:rsidRDefault="00640D1F" w:rsidP="00640D1F">
            <w:pPr>
              <w:jc w:val="center"/>
            </w:pPr>
            <w:r>
              <w:t>5.07</w:t>
            </w:r>
          </w:p>
        </w:tc>
      </w:tr>
      <w:tr w:rsidR="00640D1F" w14:paraId="59647628" w14:textId="77777777" w:rsidTr="004214FA">
        <w:trPr>
          <w:cantSplit/>
          <w:trHeight w:val="377"/>
        </w:trPr>
        <w:tc>
          <w:tcPr>
            <w:tcW w:w="1276" w:type="pct"/>
          </w:tcPr>
          <w:p w14:paraId="0A46C957" w14:textId="1F1A771C" w:rsidR="00640D1F" w:rsidRPr="006C4B95" w:rsidRDefault="00640D1F" w:rsidP="00640D1F">
            <w:pPr>
              <w:rPr>
                <w:bCs/>
              </w:rPr>
            </w:pPr>
            <w:r w:rsidRPr="006C4B95">
              <w:rPr>
                <w:bCs/>
              </w:rPr>
              <w:t>Total</w:t>
            </w:r>
          </w:p>
        </w:tc>
        <w:tc>
          <w:tcPr>
            <w:tcW w:w="1383" w:type="pct"/>
          </w:tcPr>
          <w:p w14:paraId="58A6D0EA" w14:textId="555823F2" w:rsidR="00640D1F" w:rsidRDefault="00640D1F" w:rsidP="00640D1F">
            <w:pPr>
              <w:jc w:val="center"/>
            </w:pPr>
            <w:r>
              <w:t>3.85</w:t>
            </w:r>
          </w:p>
        </w:tc>
        <w:tc>
          <w:tcPr>
            <w:tcW w:w="993" w:type="pct"/>
          </w:tcPr>
          <w:p w14:paraId="12A997B3" w14:textId="3167CC4A" w:rsidR="00640D1F" w:rsidRDefault="00640D1F" w:rsidP="00640D1F">
            <w:pPr>
              <w:jc w:val="center"/>
            </w:pPr>
            <w:r>
              <w:t>3.92</w:t>
            </w:r>
          </w:p>
        </w:tc>
        <w:tc>
          <w:tcPr>
            <w:tcW w:w="1348" w:type="pct"/>
          </w:tcPr>
          <w:p w14:paraId="0F2D56B7" w14:textId="7614F065" w:rsidR="00640D1F" w:rsidRDefault="00640D1F" w:rsidP="00640D1F">
            <w:pPr>
              <w:jc w:val="center"/>
            </w:pPr>
            <w:r>
              <w:t>4.13</w:t>
            </w:r>
          </w:p>
        </w:tc>
      </w:tr>
    </w:tbl>
    <w:p w14:paraId="2ADFB49D" w14:textId="403E7B65" w:rsidR="00350333" w:rsidRPr="008F66F1" w:rsidRDefault="007470B3" w:rsidP="00C86D64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 xml:space="preserve">This represents the actual Length of Stay </w:t>
      </w:r>
      <w:r w:rsidR="006D73B5" w:rsidRPr="008F66F1">
        <w:rPr>
          <w:bCs/>
          <w:sz w:val="20"/>
          <w:szCs w:val="20"/>
        </w:rPr>
        <w:t xml:space="preserve">(LOS) </w:t>
      </w:r>
      <w:r w:rsidRPr="008F66F1">
        <w:rPr>
          <w:bCs/>
          <w:sz w:val="20"/>
          <w:szCs w:val="20"/>
        </w:rPr>
        <w:t xml:space="preserve">for patients selected based on discharge location and home zip code. </w:t>
      </w:r>
      <w:r w:rsidR="006D73B5" w:rsidRPr="008F66F1">
        <w:rPr>
          <w:bCs/>
          <w:sz w:val="20"/>
          <w:szCs w:val="20"/>
        </w:rPr>
        <w:t xml:space="preserve">Though Inpatient LOS is over 4 days (96 hours), there are patients in this </w:t>
      </w:r>
      <w:r w:rsidR="001606C1" w:rsidRPr="008F66F1">
        <w:rPr>
          <w:bCs/>
          <w:sz w:val="20"/>
          <w:szCs w:val="20"/>
        </w:rPr>
        <w:t xml:space="preserve">group that would not have been eligible for hospitalization at North Adams due to the severity of their illness and expectations of a greater than </w:t>
      </w:r>
      <w:r w:rsidR="008F66F1" w:rsidRPr="008F66F1">
        <w:rPr>
          <w:bCs/>
          <w:sz w:val="20"/>
          <w:szCs w:val="20"/>
        </w:rPr>
        <w:t>96-hour</w:t>
      </w:r>
      <w:r w:rsidR="001606C1" w:rsidRPr="008F66F1">
        <w:rPr>
          <w:bCs/>
          <w:sz w:val="20"/>
          <w:szCs w:val="20"/>
        </w:rPr>
        <w:t xml:space="preserve"> length of stay.</w:t>
      </w:r>
      <w:r w:rsidR="00713135">
        <w:rPr>
          <w:bCs/>
          <w:sz w:val="20"/>
          <w:szCs w:val="20"/>
        </w:rPr>
        <w:t xml:space="preserve"> </w:t>
      </w:r>
    </w:p>
    <w:p w14:paraId="5C8F4874" w14:textId="77777777" w:rsidR="00C86D64" w:rsidRDefault="00C86D64" w:rsidP="00C86D64">
      <w:pPr>
        <w:spacing w:after="0"/>
        <w:rPr>
          <w:b/>
        </w:rPr>
      </w:pPr>
    </w:p>
    <w:p w14:paraId="2C277039" w14:textId="77777777" w:rsidR="00053660" w:rsidRDefault="00053660" w:rsidP="00C86D64">
      <w:pPr>
        <w:spacing w:after="0"/>
        <w:rPr>
          <w:b/>
        </w:rPr>
      </w:pPr>
    </w:p>
    <w:p w14:paraId="69532149" w14:textId="29D1462B" w:rsidR="00621F48" w:rsidRDefault="001025B0" w:rsidP="00053660">
      <w:pPr>
        <w:numPr>
          <w:ilvl w:val="0"/>
          <w:numId w:val="27"/>
        </w:numPr>
        <w:spacing w:after="0"/>
        <w:rPr>
          <w:b/>
        </w:rPr>
      </w:pPr>
      <w:r>
        <w:rPr>
          <w:b/>
        </w:rPr>
        <w:t>Observation</w:t>
      </w:r>
      <w:r w:rsidR="00035ADA">
        <w:rPr>
          <w:b/>
        </w:rPr>
        <w:t xml:space="preserve"> v. Inpatient </w:t>
      </w:r>
    </w:p>
    <w:p w14:paraId="52C2E837" w14:textId="77777777" w:rsidR="00350333" w:rsidRPr="00621F48" w:rsidRDefault="00350333" w:rsidP="00350333">
      <w:pPr>
        <w:spacing w:after="0"/>
        <w:ind w:left="7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468"/>
        <w:gridCol w:w="1189"/>
        <w:gridCol w:w="965"/>
        <w:gridCol w:w="1120"/>
        <w:gridCol w:w="1330"/>
        <w:gridCol w:w="1330"/>
      </w:tblGrid>
      <w:tr w:rsidR="00977F55" w14:paraId="33D9C71C" w14:textId="77777777" w:rsidTr="00407628">
        <w:trPr>
          <w:cantSplit/>
          <w:trHeight w:val="332"/>
          <w:tblHeader/>
        </w:trPr>
        <w:tc>
          <w:tcPr>
            <w:tcW w:w="1271" w:type="pct"/>
          </w:tcPr>
          <w:p w14:paraId="0E734B41" w14:textId="764FB00C" w:rsidR="00977F55" w:rsidRPr="00357164" w:rsidRDefault="00977F55" w:rsidP="00977F5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Level of Acute Care</w:t>
            </w:r>
          </w:p>
        </w:tc>
        <w:tc>
          <w:tcPr>
            <w:tcW w:w="739" w:type="pct"/>
          </w:tcPr>
          <w:p w14:paraId="21259429" w14:textId="0B17D55F" w:rsidR="00977F55" w:rsidRPr="00357164" w:rsidRDefault="00407628" w:rsidP="00977F5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977F55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39B19EC5" w14:textId="2CB1C87B" w:rsidR="00977F55" w:rsidRPr="00357164" w:rsidRDefault="00407628" w:rsidP="00977F5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977F55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6E24B60B" w14:textId="7D7A00FA" w:rsidR="00977F55" w:rsidRDefault="00407628" w:rsidP="00977F55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977F55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1168B2F8" w14:textId="12E7DB22" w:rsidR="00977F55" w:rsidRDefault="00407628" w:rsidP="00977F55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977F55" w:rsidRPr="00357164">
              <w:rPr>
                <w:b/>
                <w:bCs/>
              </w:rPr>
              <w:t>Percent</w:t>
            </w:r>
          </w:p>
        </w:tc>
        <w:tc>
          <w:tcPr>
            <w:tcW w:w="670" w:type="pct"/>
          </w:tcPr>
          <w:p w14:paraId="78A68804" w14:textId="779B7BB6" w:rsidR="00977F55" w:rsidRDefault="00407628" w:rsidP="00977F55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977F55" w:rsidRPr="00357164">
              <w:rPr>
                <w:b/>
                <w:bCs/>
              </w:rPr>
              <w:t>Number</w:t>
            </w:r>
          </w:p>
        </w:tc>
        <w:tc>
          <w:tcPr>
            <w:tcW w:w="670" w:type="pct"/>
          </w:tcPr>
          <w:p w14:paraId="27BCFCF0" w14:textId="6A9B1116" w:rsidR="00977F55" w:rsidRDefault="00407628" w:rsidP="00977F55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977F55" w:rsidRPr="00357164">
              <w:rPr>
                <w:b/>
                <w:bCs/>
              </w:rPr>
              <w:t>Percent</w:t>
            </w:r>
          </w:p>
        </w:tc>
      </w:tr>
      <w:tr w:rsidR="00977F55" w14:paraId="5FCA9687" w14:textId="77777777" w:rsidTr="00407628">
        <w:trPr>
          <w:cantSplit/>
        </w:trPr>
        <w:tc>
          <w:tcPr>
            <w:tcW w:w="1271" w:type="pct"/>
          </w:tcPr>
          <w:p w14:paraId="701CDD68" w14:textId="2B5D14F4" w:rsidR="00977F55" w:rsidRPr="006C4B95" w:rsidRDefault="00977F55" w:rsidP="00977F55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</w:rPr>
              <w:t>Observation Care</w:t>
            </w:r>
          </w:p>
        </w:tc>
        <w:tc>
          <w:tcPr>
            <w:tcW w:w="739" w:type="pct"/>
          </w:tcPr>
          <w:p w14:paraId="6B96464C" w14:textId="4034B6E6" w:rsidR="00977F55" w:rsidRDefault="00977F55" w:rsidP="00977F55">
            <w:pPr>
              <w:spacing w:after="0"/>
              <w:jc w:val="center"/>
            </w:pPr>
            <w:r>
              <w:t>618</w:t>
            </w:r>
          </w:p>
        </w:tc>
        <w:tc>
          <w:tcPr>
            <w:tcW w:w="599" w:type="pct"/>
          </w:tcPr>
          <w:p w14:paraId="7F13D1CF" w14:textId="1DDCD555" w:rsidR="00977F55" w:rsidRDefault="00977F55" w:rsidP="00977F55">
            <w:pPr>
              <w:spacing w:after="0"/>
              <w:jc w:val="center"/>
            </w:pPr>
            <w:r>
              <w:t>27.12%</w:t>
            </w:r>
          </w:p>
        </w:tc>
        <w:tc>
          <w:tcPr>
            <w:tcW w:w="486" w:type="pct"/>
          </w:tcPr>
          <w:p w14:paraId="3664EA4F" w14:textId="7E57A4CD" w:rsidR="00977F55" w:rsidRDefault="00977F55" w:rsidP="00977F55">
            <w:pPr>
              <w:spacing w:after="0"/>
              <w:jc w:val="center"/>
            </w:pPr>
            <w:r>
              <w:t>981</w:t>
            </w:r>
          </w:p>
        </w:tc>
        <w:tc>
          <w:tcPr>
            <w:tcW w:w="564" w:type="pct"/>
          </w:tcPr>
          <w:p w14:paraId="587DB921" w14:textId="621FF4CA" w:rsidR="00977F55" w:rsidRDefault="00977F55" w:rsidP="00977F55">
            <w:pPr>
              <w:spacing w:after="0"/>
              <w:jc w:val="center"/>
            </w:pPr>
            <w:r>
              <w:t>25.61%</w:t>
            </w:r>
          </w:p>
        </w:tc>
        <w:tc>
          <w:tcPr>
            <w:tcW w:w="670" w:type="pct"/>
          </w:tcPr>
          <w:p w14:paraId="6A341E6C" w14:textId="6E242431" w:rsidR="00977F55" w:rsidRDefault="00977F55" w:rsidP="00977F55">
            <w:pPr>
              <w:spacing w:after="0"/>
              <w:jc w:val="center"/>
            </w:pPr>
            <w:r>
              <w:t>981</w:t>
            </w:r>
          </w:p>
        </w:tc>
        <w:tc>
          <w:tcPr>
            <w:tcW w:w="670" w:type="pct"/>
          </w:tcPr>
          <w:p w14:paraId="6C80039A" w14:textId="2022FA4B" w:rsidR="00977F55" w:rsidRDefault="00977F55" w:rsidP="00977F55">
            <w:pPr>
              <w:spacing w:after="0"/>
              <w:jc w:val="center"/>
            </w:pPr>
            <w:r>
              <w:t>25.22%</w:t>
            </w:r>
          </w:p>
        </w:tc>
      </w:tr>
      <w:tr w:rsidR="00977F55" w14:paraId="0E91B9FB" w14:textId="77777777" w:rsidTr="00407628">
        <w:trPr>
          <w:cantSplit/>
        </w:trPr>
        <w:tc>
          <w:tcPr>
            <w:tcW w:w="1271" w:type="pct"/>
          </w:tcPr>
          <w:p w14:paraId="5DFA0A70" w14:textId="2CF9A99C" w:rsidR="00977F55" w:rsidRPr="006C4B95" w:rsidRDefault="00977F55" w:rsidP="00977F55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</w:rPr>
              <w:t xml:space="preserve">Inpatient Care </w:t>
            </w:r>
          </w:p>
        </w:tc>
        <w:tc>
          <w:tcPr>
            <w:tcW w:w="739" w:type="pct"/>
          </w:tcPr>
          <w:p w14:paraId="12BBD9F6" w14:textId="61F52F6E" w:rsidR="00977F55" w:rsidRDefault="00977F55" w:rsidP="00977F55">
            <w:pPr>
              <w:spacing w:after="0"/>
              <w:jc w:val="center"/>
            </w:pPr>
            <w:r>
              <w:t>1,661</w:t>
            </w:r>
          </w:p>
        </w:tc>
        <w:tc>
          <w:tcPr>
            <w:tcW w:w="599" w:type="pct"/>
          </w:tcPr>
          <w:p w14:paraId="4BA57B6C" w14:textId="04898800" w:rsidR="00977F55" w:rsidRDefault="00977F55" w:rsidP="00977F55">
            <w:pPr>
              <w:spacing w:after="0"/>
              <w:jc w:val="center"/>
            </w:pPr>
            <w:r>
              <w:t>72.88%</w:t>
            </w:r>
          </w:p>
        </w:tc>
        <w:tc>
          <w:tcPr>
            <w:tcW w:w="486" w:type="pct"/>
          </w:tcPr>
          <w:p w14:paraId="267CBBE6" w14:textId="6AA0E5BC" w:rsidR="00977F55" w:rsidRDefault="00977F55" w:rsidP="00977F55">
            <w:pPr>
              <w:spacing w:after="0"/>
              <w:jc w:val="center"/>
            </w:pPr>
            <w:r>
              <w:t>2,846</w:t>
            </w:r>
          </w:p>
        </w:tc>
        <w:tc>
          <w:tcPr>
            <w:tcW w:w="564" w:type="pct"/>
          </w:tcPr>
          <w:p w14:paraId="1A411BFB" w14:textId="261B23C7" w:rsidR="00977F55" w:rsidRDefault="00977F55" w:rsidP="00977F55">
            <w:pPr>
              <w:spacing w:after="0"/>
              <w:jc w:val="center"/>
            </w:pPr>
            <w:r>
              <w:t>74.39%</w:t>
            </w:r>
          </w:p>
        </w:tc>
        <w:tc>
          <w:tcPr>
            <w:tcW w:w="670" w:type="pct"/>
          </w:tcPr>
          <w:p w14:paraId="4EDB3337" w14:textId="48C0A5E7" w:rsidR="00977F55" w:rsidRDefault="00977F55" w:rsidP="00977F55">
            <w:pPr>
              <w:spacing w:after="0"/>
              <w:jc w:val="center"/>
            </w:pPr>
            <w:r>
              <w:t>2,909</w:t>
            </w:r>
          </w:p>
        </w:tc>
        <w:tc>
          <w:tcPr>
            <w:tcW w:w="670" w:type="pct"/>
          </w:tcPr>
          <w:p w14:paraId="4A48A650" w14:textId="0F3E3885" w:rsidR="00977F55" w:rsidRDefault="00977F55" w:rsidP="00977F55">
            <w:pPr>
              <w:spacing w:after="0"/>
              <w:jc w:val="center"/>
            </w:pPr>
            <w:r>
              <w:t>74.78%</w:t>
            </w:r>
          </w:p>
        </w:tc>
      </w:tr>
      <w:tr w:rsidR="00977F55" w14:paraId="10283E92" w14:textId="77777777" w:rsidTr="00407628">
        <w:trPr>
          <w:cantSplit/>
        </w:trPr>
        <w:tc>
          <w:tcPr>
            <w:tcW w:w="1271" w:type="pct"/>
          </w:tcPr>
          <w:p w14:paraId="1A4E94D7" w14:textId="00EC9EC4" w:rsidR="00977F55" w:rsidRPr="006C4B95" w:rsidRDefault="00977F55" w:rsidP="00977F55">
            <w:pPr>
              <w:spacing w:after="0"/>
              <w:rPr>
                <w:bCs/>
                <w:sz w:val="20"/>
                <w:szCs w:val="20"/>
              </w:rPr>
            </w:pPr>
            <w:r w:rsidRPr="006C4B95">
              <w:rPr>
                <w:bCs/>
              </w:rPr>
              <w:t xml:space="preserve">Total Acute Care </w:t>
            </w:r>
          </w:p>
        </w:tc>
        <w:tc>
          <w:tcPr>
            <w:tcW w:w="739" w:type="pct"/>
          </w:tcPr>
          <w:p w14:paraId="03E75811" w14:textId="49BF889E" w:rsidR="00977F55" w:rsidRDefault="00977F55" w:rsidP="00977F55">
            <w:pPr>
              <w:spacing w:after="0"/>
              <w:jc w:val="center"/>
            </w:pPr>
            <w:r>
              <w:t>2,279</w:t>
            </w:r>
          </w:p>
        </w:tc>
        <w:tc>
          <w:tcPr>
            <w:tcW w:w="599" w:type="pct"/>
          </w:tcPr>
          <w:p w14:paraId="5D2A3A33" w14:textId="181DE257" w:rsidR="00977F55" w:rsidRDefault="00977F55" w:rsidP="00977F55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86" w:type="pct"/>
          </w:tcPr>
          <w:p w14:paraId="38078EF2" w14:textId="3C33640A" w:rsidR="00977F55" w:rsidRDefault="00977F55" w:rsidP="00977F55">
            <w:pPr>
              <w:spacing w:after="0"/>
              <w:jc w:val="center"/>
            </w:pPr>
            <w:r>
              <w:t>3,827</w:t>
            </w:r>
          </w:p>
        </w:tc>
        <w:tc>
          <w:tcPr>
            <w:tcW w:w="564" w:type="pct"/>
          </w:tcPr>
          <w:p w14:paraId="15039A48" w14:textId="5AC8971A" w:rsidR="00977F55" w:rsidRDefault="00977F55" w:rsidP="00977F55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70" w:type="pct"/>
          </w:tcPr>
          <w:p w14:paraId="464270C1" w14:textId="1620EC85" w:rsidR="00977F55" w:rsidRDefault="00977F55" w:rsidP="00977F55">
            <w:pPr>
              <w:spacing w:after="0"/>
              <w:jc w:val="center"/>
            </w:pPr>
            <w:r>
              <w:t>3,890</w:t>
            </w:r>
          </w:p>
        </w:tc>
        <w:tc>
          <w:tcPr>
            <w:tcW w:w="670" w:type="pct"/>
          </w:tcPr>
          <w:p w14:paraId="7DEC8994" w14:textId="30911DC1" w:rsidR="00977F55" w:rsidRDefault="00977F55" w:rsidP="00977F55">
            <w:pPr>
              <w:spacing w:after="0"/>
              <w:jc w:val="center"/>
            </w:pPr>
            <w:r>
              <w:t>100.00%</w:t>
            </w:r>
          </w:p>
        </w:tc>
      </w:tr>
    </w:tbl>
    <w:p w14:paraId="070D26EA" w14:textId="77777777" w:rsidR="0059312D" w:rsidRDefault="0059312D" w:rsidP="0059312D">
      <w:pPr>
        <w:spacing w:after="0"/>
        <w:ind w:left="720"/>
        <w:rPr>
          <w:b/>
        </w:rPr>
      </w:pPr>
    </w:p>
    <w:p w14:paraId="73B17B35" w14:textId="77777777" w:rsidR="00053660" w:rsidRDefault="00053660" w:rsidP="0059312D">
      <w:pPr>
        <w:spacing w:after="0"/>
        <w:ind w:left="720"/>
        <w:rPr>
          <w:b/>
        </w:rPr>
      </w:pPr>
    </w:p>
    <w:p w14:paraId="68A916BD" w14:textId="77777777" w:rsidR="004B5389" w:rsidRDefault="004B5389" w:rsidP="0059312D">
      <w:pPr>
        <w:spacing w:after="0"/>
        <w:ind w:left="720"/>
        <w:rPr>
          <w:b/>
        </w:rPr>
      </w:pPr>
    </w:p>
    <w:p w14:paraId="74859774" w14:textId="77777777" w:rsidR="004B5389" w:rsidRDefault="004B5389" w:rsidP="0059312D">
      <w:pPr>
        <w:spacing w:after="0"/>
        <w:ind w:left="720"/>
        <w:rPr>
          <w:b/>
        </w:rPr>
      </w:pPr>
    </w:p>
    <w:p w14:paraId="3B98A6F7" w14:textId="77777777" w:rsidR="004B5389" w:rsidRDefault="004B5389" w:rsidP="0059312D">
      <w:pPr>
        <w:spacing w:after="0"/>
        <w:ind w:left="720"/>
        <w:rPr>
          <w:b/>
        </w:rPr>
      </w:pPr>
    </w:p>
    <w:p w14:paraId="37AA91EA" w14:textId="77777777" w:rsidR="004B5389" w:rsidRDefault="004B5389" w:rsidP="0059312D">
      <w:pPr>
        <w:spacing w:after="0"/>
        <w:ind w:left="720"/>
        <w:rPr>
          <w:b/>
        </w:rPr>
      </w:pPr>
    </w:p>
    <w:p w14:paraId="67C622F6" w14:textId="77777777" w:rsidR="004B5389" w:rsidRDefault="004B5389" w:rsidP="0059312D">
      <w:pPr>
        <w:spacing w:after="0"/>
        <w:ind w:left="720"/>
        <w:rPr>
          <w:b/>
        </w:rPr>
      </w:pPr>
    </w:p>
    <w:p w14:paraId="7FCA6F76" w14:textId="77777777" w:rsidR="004B5389" w:rsidRDefault="004B5389" w:rsidP="0059312D">
      <w:pPr>
        <w:spacing w:after="0"/>
        <w:ind w:left="720"/>
        <w:rPr>
          <w:b/>
        </w:rPr>
      </w:pPr>
    </w:p>
    <w:p w14:paraId="1E389C88" w14:textId="77777777" w:rsidR="004B5389" w:rsidRDefault="004B5389" w:rsidP="0059312D">
      <w:pPr>
        <w:spacing w:after="0"/>
        <w:ind w:left="720"/>
        <w:rPr>
          <w:b/>
        </w:rPr>
      </w:pPr>
    </w:p>
    <w:p w14:paraId="4C306896" w14:textId="77777777" w:rsidR="004B5389" w:rsidRDefault="004B5389" w:rsidP="0059312D">
      <w:pPr>
        <w:spacing w:after="0"/>
        <w:ind w:left="720"/>
        <w:rPr>
          <w:b/>
        </w:rPr>
      </w:pPr>
    </w:p>
    <w:p w14:paraId="5EBA5D52" w14:textId="77777777" w:rsidR="004B5389" w:rsidRDefault="004B5389" w:rsidP="0059312D">
      <w:pPr>
        <w:spacing w:after="0"/>
        <w:ind w:left="720"/>
        <w:rPr>
          <w:b/>
        </w:rPr>
      </w:pPr>
    </w:p>
    <w:p w14:paraId="0C8AFF17" w14:textId="77777777" w:rsidR="004B5389" w:rsidRDefault="004B5389" w:rsidP="0059312D">
      <w:pPr>
        <w:spacing w:after="0"/>
        <w:ind w:left="720"/>
        <w:rPr>
          <w:b/>
        </w:rPr>
      </w:pPr>
    </w:p>
    <w:p w14:paraId="0D46AC8E" w14:textId="77777777" w:rsidR="004B5389" w:rsidRDefault="004B5389" w:rsidP="0059312D">
      <w:pPr>
        <w:spacing w:after="0"/>
        <w:ind w:left="720"/>
        <w:rPr>
          <w:b/>
        </w:rPr>
      </w:pPr>
    </w:p>
    <w:p w14:paraId="699C6F1E" w14:textId="77777777" w:rsidR="00FD57AD" w:rsidRDefault="00FD57AD" w:rsidP="00FC78EF">
      <w:pPr>
        <w:spacing w:after="0"/>
        <w:ind w:left="720"/>
        <w:rPr>
          <w:b/>
        </w:rPr>
      </w:pPr>
    </w:p>
    <w:p w14:paraId="45D137FB" w14:textId="6218B9CA" w:rsidR="00B025D4" w:rsidRDefault="005B16DD" w:rsidP="00053660">
      <w:pPr>
        <w:numPr>
          <w:ilvl w:val="0"/>
          <w:numId w:val="27"/>
        </w:numPr>
        <w:spacing w:after="0"/>
        <w:rPr>
          <w:b/>
        </w:rPr>
      </w:pPr>
      <w:r>
        <w:rPr>
          <w:b/>
        </w:rPr>
        <w:lastRenderedPageBreak/>
        <w:t xml:space="preserve">Reason for </w:t>
      </w:r>
      <w:r w:rsidR="00A650BD">
        <w:rPr>
          <w:b/>
        </w:rPr>
        <w:t>Hospitalization</w:t>
      </w:r>
      <w:r w:rsidR="00B025D4">
        <w:rPr>
          <w:b/>
        </w:rPr>
        <w:t xml:space="preserve"> </w:t>
      </w:r>
    </w:p>
    <w:p w14:paraId="4B9573CB" w14:textId="77777777" w:rsidR="00350333" w:rsidRPr="00B025D4" w:rsidRDefault="00350333" w:rsidP="00350333">
      <w:pPr>
        <w:spacing w:after="0"/>
        <w:ind w:left="7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539"/>
        <w:gridCol w:w="1120"/>
        <w:gridCol w:w="965"/>
        <w:gridCol w:w="1120"/>
        <w:gridCol w:w="1330"/>
        <w:gridCol w:w="1328"/>
      </w:tblGrid>
      <w:tr w:rsidR="00053660" w14:paraId="4B018541" w14:textId="77777777" w:rsidTr="009A1D51">
        <w:trPr>
          <w:cantSplit/>
          <w:trHeight w:val="332"/>
          <w:tblHeader/>
        </w:trPr>
        <w:tc>
          <w:tcPr>
            <w:tcW w:w="1271" w:type="pct"/>
          </w:tcPr>
          <w:p w14:paraId="075AE8A5" w14:textId="2163D2FE" w:rsidR="00053660" w:rsidRPr="00357164" w:rsidRDefault="000B5D94" w:rsidP="000B5D9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Diagnosis</w:t>
            </w:r>
          </w:p>
        </w:tc>
        <w:tc>
          <w:tcPr>
            <w:tcW w:w="775" w:type="pct"/>
          </w:tcPr>
          <w:p w14:paraId="459BC035" w14:textId="0E24F737" w:rsidR="00053660" w:rsidRPr="00357164" w:rsidRDefault="009A1D51" w:rsidP="0035033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032988ED" w14:textId="3C0074C1" w:rsidR="00053660" w:rsidRPr="00357164" w:rsidRDefault="009A1D51" w:rsidP="0035033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6B768D24" w14:textId="7D4B4929" w:rsidR="00053660" w:rsidRDefault="009A1D51" w:rsidP="00350333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3E117BE4" w14:textId="3250EC2E" w:rsidR="00053660" w:rsidRDefault="009A1D51" w:rsidP="00350333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Percent</w:t>
            </w:r>
          </w:p>
        </w:tc>
        <w:tc>
          <w:tcPr>
            <w:tcW w:w="670" w:type="pct"/>
          </w:tcPr>
          <w:p w14:paraId="3FCAB444" w14:textId="7A5167DA" w:rsidR="00053660" w:rsidRDefault="009A1D51" w:rsidP="00350333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Number</w:t>
            </w:r>
          </w:p>
        </w:tc>
        <w:tc>
          <w:tcPr>
            <w:tcW w:w="669" w:type="pct"/>
          </w:tcPr>
          <w:p w14:paraId="5E7277C2" w14:textId="3E7A33D5" w:rsidR="00053660" w:rsidRDefault="009A1D51" w:rsidP="00350333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Percent</w:t>
            </w:r>
          </w:p>
        </w:tc>
      </w:tr>
      <w:tr w:rsidR="00053660" w14:paraId="63B2AAC3" w14:textId="77777777" w:rsidTr="009A1D51">
        <w:trPr>
          <w:cantSplit/>
        </w:trPr>
        <w:tc>
          <w:tcPr>
            <w:tcW w:w="1271" w:type="pct"/>
          </w:tcPr>
          <w:p w14:paraId="1461F591" w14:textId="21A321AD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Sepsis</w:t>
            </w:r>
          </w:p>
        </w:tc>
        <w:tc>
          <w:tcPr>
            <w:tcW w:w="775" w:type="pct"/>
          </w:tcPr>
          <w:p w14:paraId="0D16852F" w14:textId="65F0DBCC" w:rsidR="00053660" w:rsidRDefault="00053660" w:rsidP="009474CA">
            <w:pPr>
              <w:spacing w:after="0"/>
              <w:jc w:val="center"/>
            </w:pPr>
            <w:r>
              <w:t>209</w:t>
            </w:r>
          </w:p>
        </w:tc>
        <w:tc>
          <w:tcPr>
            <w:tcW w:w="564" w:type="pct"/>
          </w:tcPr>
          <w:p w14:paraId="340016D2" w14:textId="79B57BF8" w:rsidR="00053660" w:rsidRDefault="00053660" w:rsidP="009474CA">
            <w:pPr>
              <w:spacing w:after="0"/>
              <w:jc w:val="center"/>
            </w:pPr>
            <w:r>
              <w:t>9.17%</w:t>
            </w:r>
          </w:p>
        </w:tc>
        <w:tc>
          <w:tcPr>
            <w:tcW w:w="486" w:type="pct"/>
          </w:tcPr>
          <w:p w14:paraId="0278395B" w14:textId="126D374F" w:rsidR="00053660" w:rsidRDefault="00053660" w:rsidP="009474CA">
            <w:pPr>
              <w:spacing w:after="0"/>
              <w:jc w:val="center"/>
            </w:pPr>
            <w:r>
              <w:t>216</w:t>
            </w:r>
          </w:p>
        </w:tc>
        <w:tc>
          <w:tcPr>
            <w:tcW w:w="564" w:type="pct"/>
          </w:tcPr>
          <w:p w14:paraId="593CFAF9" w14:textId="6BF8AB9E" w:rsidR="00053660" w:rsidRDefault="00053660" w:rsidP="009474CA">
            <w:pPr>
              <w:spacing w:after="0"/>
              <w:jc w:val="center"/>
            </w:pPr>
            <w:r>
              <w:t>5.64%</w:t>
            </w:r>
          </w:p>
        </w:tc>
        <w:tc>
          <w:tcPr>
            <w:tcW w:w="670" w:type="pct"/>
          </w:tcPr>
          <w:p w14:paraId="13751507" w14:textId="6F0BA831" w:rsidR="00053660" w:rsidRDefault="00053660" w:rsidP="009474CA">
            <w:pPr>
              <w:spacing w:after="0"/>
              <w:jc w:val="center"/>
            </w:pPr>
            <w:r>
              <w:t>256</w:t>
            </w:r>
          </w:p>
        </w:tc>
        <w:tc>
          <w:tcPr>
            <w:tcW w:w="669" w:type="pct"/>
          </w:tcPr>
          <w:p w14:paraId="0DB46D9C" w14:textId="1757FABE" w:rsidR="00053660" w:rsidRDefault="00053660" w:rsidP="009474CA">
            <w:pPr>
              <w:spacing w:after="0"/>
              <w:jc w:val="center"/>
            </w:pPr>
            <w:r>
              <w:t>6.58%</w:t>
            </w:r>
          </w:p>
        </w:tc>
      </w:tr>
      <w:tr w:rsidR="00053660" w14:paraId="38960576" w14:textId="77777777" w:rsidTr="009A1D51">
        <w:trPr>
          <w:cantSplit/>
        </w:trPr>
        <w:tc>
          <w:tcPr>
            <w:tcW w:w="1271" w:type="pct"/>
          </w:tcPr>
          <w:p w14:paraId="6D7EA2F1" w14:textId="39FFD01F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Heart Failure</w:t>
            </w:r>
          </w:p>
        </w:tc>
        <w:tc>
          <w:tcPr>
            <w:tcW w:w="775" w:type="pct"/>
          </w:tcPr>
          <w:p w14:paraId="2E3DE7F2" w14:textId="2051163F" w:rsidR="00053660" w:rsidRDefault="00053660" w:rsidP="009474CA">
            <w:pPr>
              <w:spacing w:after="0"/>
              <w:jc w:val="center"/>
            </w:pPr>
            <w:r>
              <w:t>130</w:t>
            </w:r>
          </w:p>
        </w:tc>
        <w:tc>
          <w:tcPr>
            <w:tcW w:w="564" w:type="pct"/>
          </w:tcPr>
          <w:p w14:paraId="17F7F413" w14:textId="7B86F212" w:rsidR="00053660" w:rsidRDefault="00053660" w:rsidP="009474CA">
            <w:pPr>
              <w:spacing w:after="0"/>
              <w:jc w:val="center"/>
            </w:pPr>
            <w:r>
              <w:t>5.18%</w:t>
            </w:r>
          </w:p>
        </w:tc>
        <w:tc>
          <w:tcPr>
            <w:tcW w:w="486" w:type="pct"/>
          </w:tcPr>
          <w:p w14:paraId="1E5B497B" w14:textId="549AD56B" w:rsidR="00053660" w:rsidRDefault="00053660" w:rsidP="009474CA">
            <w:pPr>
              <w:spacing w:after="0"/>
              <w:jc w:val="center"/>
            </w:pPr>
            <w:r>
              <w:t>187</w:t>
            </w:r>
          </w:p>
        </w:tc>
        <w:tc>
          <w:tcPr>
            <w:tcW w:w="564" w:type="pct"/>
          </w:tcPr>
          <w:p w14:paraId="2F1EBF96" w14:textId="746970D0" w:rsidR="00053660" w:rsidRDefault="00053660" w:rsidP="009474CA">
            <w:pPr>
              <w:spacing w:after="0"/>
              <w:jc w:val="center"/>
            </w:pPr>
            <w:r>
              <w:t>4.89%</w:t>
            </w:r>
          </w:p>
        </w:tc>
        <w:tc>
          <w:tcPr>
            <w:tcW w:w="670" w:type="pct"/>
          </w:tcPr>
          <w:p w14:paraId="49A8B768" w14:textId="5CCD707A" w:rsidR="00053660" w:rsidRDefault="00053660" w:rsidP="009474CA">
            <w:pPr>
              <w:spacing w:after="0"/>
              <w:jc w:val="center"/>
            </w:pPr>
            <w:r>
              <w:t>144</w:t>
            </w:r>
          </w:p>
        </w:tc>
        <w:tc>
          <w:tcPr>
            <w:tcW w:w="669" w:type="pct"/>
          </w:tcPr>
          <w:p w14:paraId="6890E96B" w14:textId="1B100A22" w:rsidR="00053660" w:rsidRDefault="00053660" w:rsidP="009474CA">
            <w:pPr>
              <w:spacing w:after="0"/>
              <w:jc w:val="center"/>
            </w:pPr>
            <w:r>
              <w:t>3.70%</w:t>
            </w:r>
          </w:p>
        </w:tc>
      </w:tr>
      <w:tr w:rsidR="00053660" w14:paraId="4455DF8C" w14:textId="77777777" w:rsidTr="009A1D51">
        <w:trPr>
          <w:cantSplit/>
        </w:trPr>
        <w:tc>
          <w:tcPr>
            <w:tcW w:w="1271" w:type="pct"/>
          </w:tcPr>
          <w:p w14:paraId="34C57CA0" w14:textId="260FBF79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Pneumonia</w:t>
            </w:r>
          </w:p>
        </w:tc>
        <w:tc>
          <w:tcPr>
            <w:tcW w:w="775" w:type="pct"/>
          </w:tcPr>
          <w:p w14:paraId="174AC4FE" w14:textId="759A6995" w:rsidR="00053660" w:rsidRDefault="00053660" w:rsidP="009474CA">
            <w:pPr>
              <w:spacing w:after="0"/>
              <w:jc w:val="center"/>
            </w:pPr>
            <w:r>
              <w:t>89</w:t>
            </w:r>
          </w:p>
        </w:tc>
        <w:tc>
          <w:tcPr>
            <w:tcW w:w="564" w:type="pct"/>
          </w:tcPr>
          <w:p w14:paraId="2A7406F6" w14:textId="40753FE2" w:rsidR="00053660" w:rsidRDefault="00053660" w:rsidP="009474CA">
            <w:pPr>
              <w:spacing w:after="0"/>
              <w:jc w:val="center"/>
            </w:pPr>
            <w:r>
              <w:t>3.91%</w:t>
            </w:r>
          </w:p>
        </w:tc>
        <w:tc>
          <w:tcPr>
            <w:tcW w:w="486" w:type="pct"/>
          </w:tcPr>
          <w:p w14:paraId="403BD82B" w14:textId="73CA82A9" w:rsidR="00053660" w:rsidRDefault="00053660" w:rsidP="009474CA">
            <w:pPr>
              <w:spacing w:after="0"/>
              <w:jc w:val="center"/>
            </w:pPr>
            <w:r>
              <w:t>52</w:t>
            </w:r>
          </w:p>
        </w:tc>
        <w:tc>
          <w:tcPr>
            <w:tcW w:w="564" w:type="pct"/>
          </w:tcPr>
          <w:p w14:paraId="52E0CA6D" w14:textId="1467BBDA" w:rsidR="00053660" w:rsidRDefault="00053660" w:rsidP="009474CA">
            <w:pPr>
              <w:spacing w:after="0"/>
              <w:jc w:val="center"/>
            </w:pPr>
            <w:r>
              <w:t>1.36%</w:t>
            </w:r>
          </w:p>
        </w:tc>
        <w:tc>
          <w:tcPr>
            <w:tcW w:w="670" w:type="pct"/>
          </w:tcPr>
          <w:p w14:paraId="14C2AB84" w14:textId="2E57E1E7" w:rsidR="00053660" w:rsidRDefault="00053660" w:rsidP="009474CA">
            <w:pPr>
              <w:spacing w:after="0"/>
              <w:jc w:val="center"/>
            </w:pPr>
            <w:r>
              <w:t>93</w:t>
            </w:r>
          </w:p>
        </w:tc>
        <w:tc>
          <w:tcPr>
            <w:tcW w:w="669" w:type="pct"/>
          </w:tcPr>
          <w:p w14:paraId="0B3A9A5C" w14:textId="1E7DB3D2" w:rsidR="00053660" w:rsidRDefault="00053660" w:rsidP="009474CA">
            <w:pPr>
              <w:spacing w:after="0"/>
              <w:jc w:val="center"/>
            </w:pPr>
            <w:r>
              <w:t>2.39%</w:t>
            </w:r>
          </w:p>
        </w:tc>
      </w:tr>
      <w:tr w:rsidR="00053660" w14:paraId="5AC22D5C" w14:textId="77777777" w:rsidTr="009A1D51">
        <w:trPr>
          <w:cantSplit/>
        </w:trPr>
        <w:tc>
          <w:tcPr>
            <w:tcW w:w="1271" w:type="pct"/>
          </w:tcPr>
          <w:p w14:paraId="3AB4500C" w14:textId="70B2728E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Alcohol Related</w:t>
            </w:r>
          </w:p>
        </w:tc>
        <w:tc>
          <w:tcPr>
            <w:tcW w:w="775" w:type="pct"/>
          </w:tcPr>
          <w:p w14:paraId="326FA677" w14:textId="45020A38" w:rsidR="00053660" w:rsidRDefault="00053660" w:rsidP="009474CA">
            <w:pPr>
              <w:spacing w:after="0"/>
              <w:jc w:val="center"/>
            </w:pPr>
            <w:r>
              <w:t>80</w:t>
            </w:r>
          </w:p>
        </w:tc>
        <w:tc>
          <w:tcPr>
            <w:tcW w:w="564" w:type="pct"/>
          </w:tcPr>
          <w:p w14:paraId="0051EF5D" w14:textId="7FBCB6D6" w:rsidR="00053660" w:rsidRDefault="00053660" w:rsidP="009474CA">
            <w:pPr>
              <w:spacing w:after="0"/>
              <w:jc w:val="center"/>
            </w:pPr>
            <w:r>
              <w:t>3.51%</w:t>
            </w:r>
          </w:p>
        </w:tc>
        <w:tc>
          <w:tcPr>
            <w:tcW w:w="486" w:type="pct"/>
          </w:tcPr>
          <w:p w14:paraId="625864E0" w14:textId="43DCF77B" w:rsidR="00053660" w:rsidRDefault="00053660" w:rsidP="009474CA">
            <w:pPr>
              <w:spacing w:after="0"/>
              <w:jc w:val="center"/>
            </w:pPr>
            <w:r>
              <w:t>140</w:t>
            </w:r>
          </w:p>
        </w:tc>
        <w:tc>
          <w:tcPr>
            <w:tcW w:w="564" w:type="pct"/>
          </w:tcPr>
          <w:p w14:paraId="7422D804" w14:textId="40BDF376" w:rsidR="00053660" w:rsidRDefault="00053660" w:rsidP="009474CA">
            <w:pPr>
              <w:spacing w:after="0"/>
              <w:jc w:val="center"/>
            </w:pPr>
            <w:r>
              <w:t>3.66%</w:t>
            </w:r>
          </w:p>
        </w:tc>
        <w:tc>
          <w:tcPr>
            <w:tcW w:w="670" w:type="pct"/>
          </w:tcPr>
          <w:p w14:paraId="77C5F63B" w14:textId="17AEA556" w:rsidR="00053660" w:rsidRDefault="00053660" w:rsidP="009474CA">
            <w:pPr>
              <w:spacing w:after="0"/>
              <w:jc w:val="center"/>
            </w:pPr>
            <w:r>
              <w:t>140</w:t>
            </w:r>
          </w:p>
        </w:tc>
        <w:tc>
          <w:tcPr>
            <w:tcW w:w="669" w:type="pct"/>
          </w:tcPr>
          <w:p w14:paraId="00841B1E" w14:textId="06D0A283" w:rsidR="00053660" w:rsidRDefault="00053660" w:rsidP="009474CA">
            <w:pPr>
              <w:spacing w:after="0"/>
              <w:jc w:val="center"/>
            </w:pPr>
            <w:r>
              <w:t>3.60%</w:t>
            </w:r>
          </w:p>
        </w:tc>
      </w:tr>
      <w:tr w:rsidR="00053660" w14:paraId="40DC5161" w14:textId="77777777" w:rsidTr="009A1D51">
        <w:trPr>
          <w:cantSplit/>
        </w:trPr>
        <w:tc>
          <w:tcPr>
            <w:tcW w:w="1271" w:type="pct"/>
          </w:tcPr>
          <w:p w14:paraId="2FF70032" w14:textId="7BBAF076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color w:val="000000"/>
                <w:sz w:val="20"/>
                <w:szCs w:val="20"/>
              </w:rPr>
              <w:t>Total Joint (Knee or Hip)</w:t>
            </w:r>
          </w:p>
        </w:tc>
        <w:tc>
          <w:tcPr>
            <w:tcW w:w="775" w:type="pct"/>
          </w:tcPr>
          <w:p w14:paraId="31CF39BC" w14:textId="41296509" w:rsidR="00053660" w:rsidRDefault="00053660" w:rsidP="009474CA">
            <w:pPr>
              <w:spacing w:after="0"/>
              <w:jc w:val="center"/>
            </w:pPr>
            <w:r>
              <w:t>63</w:t>
            </w:r>
          </w:p>
        </w:tc>
        <w:tc>
          <w:tcPr>
            <w:tcW w:w="564" w:type="pct"/>
          </w:tcPr>
          <w:p w14:paraId="75E6A448" w14:textId="095BDA2E" w:rsidR="00053660" w:rsidRDefault="00053660" w:rsidP="009474CA">
            <w:pPr>
              <w:spacing w:after="0"/>
              <w:jc w:val="center"/>
            </w:pPr>
            <w:r>
              <w:t>2.76%</w:t>
            </w:r>
          </w:p>
        </w:tc>
        <w:tc>
          <w:tcPr>
            <w:tcW w:w="486" w:type="pct"/>
          </w:tcPr>
          <w:p w14:paraId="2C3946D5" w14:textId="218D33FF" w:rsidR="00053660" w:rsidRDefault="00053660" w:rsidP="009474CA">
            <w:pPr>
              <w:spacing w:after="0"/>
              <w:jc w:val="center"/>
            </w:pPr>
            <w:r>
              <w:t>56</w:t>
            </w:r>
          </w:p>
        </w:tc>
        <w:tc>
          <w:tcPr>
            <w:tcW w:w="564" w:type="pct"/>
          </w:tcPr>
          <w:p w14:paraId="2C5F29C7" w14:textId="08FA7A3B" w:rsidR="00053660" w:rsidRDefault="00053660" w:rsidP="009474CA">
            <w:pPr>
              <w:spacing w:after="0"/>
              <w:jc w:val="center"/>
            </w:pPr>
            <w:r>
              <w:t>1.46%</w:t>
            </w:r>
          </w:p>
        </w:tc>
        <w:tc>
          <w:tcPr>
            <w:tcW w:w="670" w:type="pct"/>
          </w:tcPr>
          <w:p w14:paraId="59D28D4F" w14:textId="5E686BD5" w:rsidR="00053660" w:rsidRDefault="00053660" w:rsidP="009474CA">
            <w:pPr>
              <w:spacing w:after="0"/>
              <w:jc w:val="center"/>
            </w:pPr>
            <w:r>
              <w:t>38</w:t>
            </w:r>
          </w:p>
        </w:tc>
        <w:tc>
          <w:tcPr>
            <w:tcW w:w="669" w:type="pct"/>
          </w:tcPr>
          <w:p w14:paraId="7D83FD9E" w14:textId="39A5F39B" w:rsidR="00053660" w:rsidRDefault="00053660" w:rsidP="009474CA">
            <w:pPr>
              <w:spacing w:after="0"/>
              <w:jc w:val="center"/>
            </w:pPr>
            <w:r>
              <w:t>0.98%</w:t>
            </w:r>
          </w:p>
        </w:tc>
      </w:tr>
      <w:tr w:rsidR="00053660" w14:paraId="69A30ABB" w14:textId="77777777" w:rsidTr="009A1D51">
        <w:trPr>
          <w:cantSplit/>
        </w:trPr>
        <w:tc>
          <w:tcPr>
            <w:tcW w:w="1271" w:type="pct"/>
          </w:tcPr>
          <w:p w14:paraId="53A38846" w14:textId="2391E16C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Kidney Failure</w:t>
            </w:r>
          </w:p>
        </w:tc>
        <w:tc>
          <w:tcPr>
            <w:tcW w:w="775" w:type="pct"/>
          </w:tcPr>
          <w:p w14:paraId="43AFD719" w14:textId="0A2DAC30" w:rsidR="00053660" w:rsidRDefault="00053660" w:rsidP="009474CA">
            <w:pPr>
              <w:spacing w:after="0"/>
              <w:jc w:val="center"/>
            </w:pPr>
            <w:r>
              <w:t>57</w:t>
            </w:r>
          </w:p>
        </w:tc>
        <w:tc>
          <w:tcPr>
            <w:tcW w:w="564" w:type="pct"/>
          </w:tcPr>
          <w:p w14:paraId="4BDBA29D" w14:textId="0F2A10F0" w:rsidR="00053660" w:rsidRDefault="00053660" w:rsidP="009474CA">
            <w:pPr>
              <w:spacing w:after="0"/>
              <w:jc w:val="center"/>
            </w:pPr>
            <w:r>
              <w:t>2.50%</w:t>
            </w:r>
          </w:p>
        </w:tc>
        <w:tc>
          <w:tcPr>
            <w:tcW w:w="486" w:type="pct"/>
          </w:tcPr>
          <w:p w14:paraId="43FA3448" w14:textId="029FC17B" w:rsidR="00053660" w:rsidRDefault="00053660" w:rsidP="009474CA">
            <w:pPr>
              <w:spacing w:after="0"/>
              <w:jc w:val="center"/>
            </w:pPr>
            <w:r>
              <w:t>67</w:t>
            </w:r>
          </w:p>
        </w:tc>
        <w:tc>
          <w:tcPr>
            <w:tcW w:w="564" w:type="pct"/>
          </w:tcPr>
          <w:p w14:paraId="70B4806D" w14:textId="50076D5B" w:rsidR="00053660" w:rsidRDefault="00053660" w:rsidP="009474CA">
            <w:pPr>
              <w:spacing w:after="0"/>
              <w:jc w:val="center"/>
            </w:pPr>
            <w:r>
              <w:t>1.75%</w:t>
            </w:r>
          </w:p>
        </w:tc>
        <w:tc>
          <w:tcPr>
            <w:tcW w:w="670" w:type="pct"/>
          </w:tcPr>
          <w:p w14:paraId="57AFC05F" w14:textId="2E85C801" w:rsidR="00053660" w:rsidRDefault="00053660" w:rsidP="009474CA">
            <w:pPr>
              <w:spacing w:after="0"/>
              <w:jc w:val="center"/>
            </w:pPr>
            <w:r>
              <w:t>52</w:t>
            </w:r>
          </w:p>
        </w:tc>
        <w:tc>
          <w:tcPr>
            <w:tcW w:w="669" w:type="pct"/>
          </w:tcPr>
          <w:p w14:paraId="0C73D036" w14:textId="634954FF" w:rsidR="00053660" w:rsidRDefault="00053660" w:rsidP="009474CA">
            <w:pPr>
              <w:spacing w:after="0"/>
              <w:jc w:val="center"/>
            </w:pPr>
            <w:r>
              <w:t>1.34%</w:t>
            </w:r>
          </w:p>
        </w:tc>
      </w:tr>
      <w:tr w:rsidR="00053660" w14:paraId="6814117D" w14:textId="77777777" w:rsidTr="009A1D51">
        <w:trPr>
          <w:cantSplit/>
        </w:trPr>
        <w:tc>
          <w:tcPr>
            <w:tcW w:w="1271" w:type="pct"/>
          </w:tcPr>
          <w:p w14:paraId="18DF9B22" w14:textId="211285E6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Chest Pain</w:t>
            </w:r>
          </w:p>
        </w:tc>
        <w:tc>
          <w:tcPr>
            <w:tcW w:w="775" w:type="pct"/>
          </w:tcPr>
          <w:p w14:paraId="554F2910" w14:textId="3B20E28A" w:rsidR="00053660" w:rsidRDefault="00053660" w:rsidP="009474CA">
            <w:pPr>
              <w:spacing w:after="0"/>
              <w:jc w:val="center"/>
            </w:pPr>
            <w:r>
              <w:t>32</w:t>
            </w:r>
          </w:p>
        </w:tc>
        <w:tc>
          <w:tcPr>
            <w:tcW w:w="564" w:type="pct"/>
          </w:tcPr>
          <w:p w14:paraId="58E7301D" w14:textId="4B64887B" w:rsidR="00053660" w:rsidRDefault="00053660" w:rsidP="009474CA">
            <w:pPr>
              <w:spacing w:after="0"/>
              <w:jc w:val="center"/>
            </w:pPr>
            <w:r>
              <w:t>1.40%</w:t>
            </w:r>
          </w:p>
        </w:tc>
        <w:tc>
          <w:tcPr>
            <w:tcW w:w="486" w:type="pct"/>
          </w:tcPr>
          <w:p w14:paraId="382DB88E" w14:textId="2CB68FE4" w:rsidR="00053660" w:rsidRDefault="00053660" w:rsidP="009474CA">
            <w:pPr>
              <w:spacing w:after="0"/>
              <w:jc w:val="center"/>
            </w:pPr>
            <w:r>
              <w:t>49</w:t>
            </w:r>
          </w:p>
        </w:tc>
        <w:tc>
          <w:tcPr>
            <w:tcW w:w="564" w:type="pct"/>
          </w:tcPr>
          <w:p w14:paraId="4D0DE844" w14:textId="124DEEF0" w:rsidR="00053660" w:rsidRDefault="00053660" w:rsidP="009474CA">
            <w:pPr>
              <w:spacing w:after="0"/>
              <w:jc w:val="center"/>
            </w:pPr>
            <w:r>
              <w:t>1.28%</w:t>
            </w:r>
          </w:p>
        </w:tc>
        <w:tc>
          <w:tcPr>
            <w:tcW w:w="670" w:type="pct"/>
          </w:tcPr>
          <w:p w14:paraId="299459E3" w14:textId="42E8EE63" w:rsidR="00053660" w:rsidRDefault="00053660" w:rsidP="009474CA">
            <w:pPr>
              <w:spacing w:after="0"/>
              <w:jc w:val="center"/>
            </w:pPr>
            <w:r>
              <w:t>38</w:t>
            </w:r>
          </w:p>
        </w:tc>
        <w:tc>
          <w:tcPr>
            <w:tcW w:w="669" w:type="pct"/>
          </w:tcPr>
          <w:p w14:paraId="3B49237F" w14:textId="24115719" w:rsidR="00053660" w:rsidRDefault="00053660" w:rsidP="009474CA">
            <w:pPr>
              <w:spacing w:after="0"/>
              <w:jc w:val="center"/>
            </w:pPr>
            <w:r>
              <w:t>0.98%</w:t>
            </w:r>
          </w:p>
        </w:tc>
      </w:tr>
      <w:tr w:rsidR="00053660" w14:paraId="6AC68364" w14:textId="77777777" w:rsidTr="009A1D51">
        <w:trPr>
          <w:cantSplit/>
        </w:trPr>
        <w:tc>
          <w:tcPr>
            <w:tcW w:w="1271" w:type="pct"/>
          </w:tcPr>
          <w:p w14:paraId="4CD48AD4" w14:textId="5BC97F81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Syncope and Collapse</w:t>
            </w:r>
          </w:p>
        </w:tc>
        <w:tc>
          <w:tcPr>
            <w:tcW w:w="775" w:type="pct"/>
          </w:tcPr>
          <w:p w14:paraId="10DEBB3D" w14:textId="12B623ED" w:rsidR="00053660" w:rsidRDefault="00053660" w:rsidP="009474CA">
            <w:pPr>
              <w:spacing w:after="0"/>
              <w:jc w:val="center"/>
            </w:pPr>
            <w:r>
              <w:t>31</w:t>
            </w:r>
          </w:p>
        </w:tc>
        <w:tc>
          <w:tcPr>
            <w:tcW w:w="564" w:type="pct"/>
          </w:tcPr>
          <w:p w14:paraId="4BC1CCEE" w14:textId="051A0391" w:rsidR="00053660" w:rsidRDefault="00053660" w:rsidP="009474CA">
            <w:pPr>
              <w:spacing w:after="0"/>
              <w:jc w:val="center"/>
            </w:pPr>
            <w:r>
              <w:t>1.36%</w:t>
            </w:r>
          </w:p>
        </w:tc>
        <w:tc>
          <w:tcPr>
            <w:tcW w:w="486" w:type="pct"/>
          </w:tcPr>
          <w:p w14:paraId="64DFA205" w14:textId="15DB2176" w:rsidR="00053660" w:rsidRDefault="00053660" w:rsidP="009474CA">
            <w:pPr>
              <w:spacing w:after="0"/>
              <w:jc w:val="center"/>
            </w:pPr>
            <w:r>
              <w:t>30</w:t>
            </w:r>
          </w:p>
        </w:tc>
        <w:tc>
          <w:tcPr>
            <w:tcW w:w="564" w:type="pct"/>
          </w:tcPr>
          <w:p w14:paraId="725798AB" w14:textId="01641BB0" w:rsidR="00053660" w:rsidRDefault="00053660" w:rsidP="009474CA">
            <w:pPr>
              <w:spacing w:after="0"/>
              <w:jc w:val="center"/>
            </w:pPr>
            <w:r>
              <w:t>0.78%</w:t>
            </w:r>
          </w:p>
        </w:tc>
        <w:tc>
          <w:tcPr>
            <w:tcW w:w="670" w:type="pct"/>
          </w:tcPr>
          <w:p w14:paraId="2588C5D1" w14:textId="24375137" w:rsidR="00053660" w:rsidRDefault="00053660" w:rsidP="009474CA">
            <w:pPr>
              <w:spacing w:after="0"/>
              <w:jc w:val="center"/>
            </w:pPr>
            <w:r>
              <w:t>33</w:t>
            </w:r>
          </w:p>
        </w:tc>
        <w:tc>
          <w:tcPr>
            <w:tcW w:w="669" w:type="pct"/>
          </w:tcPr>
          <w:p w14:paraId="0B19B9C5" w14:textId="2C484681" w:rsidR="00053660" w:rsidRDefault="00053660" w:rsidP="009474CA">
            <w:pPr>
              <w:spacing w:after="0"/>
              <w:jc w:val="center"/>
            </w:pPr>
            <w:r>
              <w:t>0.85%</w:t>
            </w:r>
          </w:p>
        </w:tc>
      </w:tr>
      <w:tr w:rsidR="00053660" w14:paraId="108101A6" w14:textId="77777777" w:rsidTr="009A1D51">
        <w:trPr>
          <w:cantSplit/>
        </w:trPr>
        <w:tc>
          <w:tcPr>
            <w:tcW w:w="1271" w:type="pct"/>
          </w:tcPr>
          <w:p w14:paraId="5FD50898" w14:textId="0550FCFF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 w:rsidRPr="00C63AA9">
              <w:rPr>
                <w:color w:val="000000"/>
                <w:sz w:val="20"/>
                <w:szCs w:val="20"/>
              </w:rPr>
              <w:t>Transient cerebral ischemic attack</w:t>
            </w:r>
          </w:p>
        </w:tc>
        <w:tc>
          <w:tcPr>
            <w:tcW w:w="775" w:type="pct"/>
          </w:tcPr>
          <w:p w14:paraId="0AB78983" w14:textId="7A361FBE" w:rsidR="00053660" w:rsidRDefault="00053660" w:rsidP="009474CA">
            <w:pPr>
              <w:spacing w:after="0"/>
              <w:jc w:val="center"/>
            </w:pPr>
            <w:r>
              <w:t>31</w:t>
            </w:r>
          </w:p>
        </w:tc>
        <w:tc>
          <w:tcPr>
            <w:tcW w:w="564" w:type="pct"/>
          </w:tcPr>
          <w:p w14:paraId="3E231558" w14:textId="791555C8" w:rsidR="00053660" w:rsidRDefault="00053660" w:rsidP="009474CA">
            <w:pPr>
              <w:spacing w:after="0"/>
              <w:jc w:val="center"/>
            </w:pPr>
            <w:r>
              <w:t>1.36%</w:t>
            </w:r>
          </w:p>
        </w:tc>
        <w:tc>
          <w:tcPr>
            <w:tcW w:w="486" w:type="pct"/>
          </w:tcPr>
          <w:p w14:paraId="62F6B7FE" w14:textId="09ABC707" w:rsidR="00053660" w:rsidRDefault="00053660" w:rsidP="009474CA">
            <w:pPr>
              <w:spacing w:after="0"/>
              <w:jc w:val="center"/>
            </w:pPr>
            <w:r>
              <w:t>30</w:t>
            </w:r>
          </w:p>
        </w:tc>
        <w:tc>
          <w:tcPr>
            <w:tcW w:w="564" w:type="pct"/>
          </w:tcPr>
          <w:p w14:paraId="2DFD821C" w14:textId="355C2297" w:rsidR="00053660" w:rsidRDefault="00053660" w:rsidP="009474CA">
            <w:pPr>
              <w:spacing w:after="0"/>
              <w:jc w:val="center"/>
            </w:pPr>
            <w:r>
              <w:t>0.78%</w:t>
            </w:r>
          </w:p>
        </w:tc>
        <w:tc>
          <w:tcPr>
            <w:tcW w:w="670" w:type="pct"/>
          </w:tcPr>
          <w:p w14:paraId="71754928" w14:textId="00319619" w:rsidR="00053660" w:rsidRDefault="00053660" w:rsidP="009474CA">
            <w:pPr>
              <w:spacing w:after="0"/>
              <w:jc w:val="center"/>
            </w:pPr>
            <w:r>
              <w:t>25</w:t>
            </w:r>
          </w:p>
        </w:tc>
        <w:tc>
          <w:tcPr>
            <w:tcW w:w="669" w:type="pct"/>
          </w:tcPr>
          <w:p w14:paraId="3B846D55" w14:textId="1488A9B3" w:rsidR="00053660" w:rsidRDefault="00053660" w:rsidP="009474CA">
            <w:pPr>
              <w:spacing w:after="0"/>
              <w:jc w:val="center"/>
            </w:pPr>
            <w:r>
              <w:t>0.64%</w:t>
            </w:r>
          </w:p>
        </w:tc>
      </w:tr>
      <w:tr w:rsidR="00053660" w14:paraId="385EB4F3" w14:textId="77777777" w:rsidTr="009A1D51">
        <w:trPr>
          <w:cantSplit/>
        </w:trPr>
        <w:tc>
          <w:tcPr>
            <w:tcW w:w="1271" w:type="pct"/>
          </w:tcPr>
          <w:p w14:paraId="39CEC18C" w14:textId="2A2E7F11" w:rsidR="00053660" w:rsidRPr="00C63AA9" w:rsidRDefault="00053660" w:rsidP="009474CA">
            <w:pPr>
              <w:spacing w:after="0"/>
              <w:rPr>
                <w:color w:val="000000"/>
                <w:sz w:val="20"/>
                <w:szCs w:val="20"/>
              </w:rPr>
            </w:pPr>
            <w:r w:rsidRPr="00C63AA9">
              <w:rPr>
                <w:bCs/>
                <w:sz w:val="20"/>
                <w:szCs w:val="20"/>
              </w:rPr>
              <w:t>COPD</w:t>
            </w:r>
          </w:p>
        </w:tc>
        <w:tc>
          <w:tcPr>
            <w:tcW w:w="775" w:type="pct"/>
          </w:tcPr>
          <w:p w14:paraId="4BE3E6E9" w14:textId="54CD7F93" w:rsidR="00053660" w:rsidRDefault="00053660" w:rsidP="009474CA">
            <w:pPr>
              <w:spacing w:after="0"/>
              <w:jc w:val="center"/>
            </w:pPr>
            <w:r>
              <w:t>24</w:t>
            </w:r>
          </w:p>
        </w:tc>
        <w:tc>
          <w:tcPr>
            <w:tcW w:w="564" w:type="pct"/>
          </w:tcPr>
          <w:p w14:paraId="011E4454" w14:textId="6AA4006B" w:rsidR="00053660" w:rsidRDefault="00053660" w:rsidP="009474CA">
            <w:pPr>
              <w:spacing w:after="0"/>
              <w:jc w:val="center"/>
            </w:pPr>
            <w:r>
              <w:t>1.05%</w:t>
            </w:r>
          </w:p>
        </w:tc>
        <w:tc>
          <w:tcPr>
            <w:tcW w:w="486" w:type="pct"/>
          </w:tcPr>
          <w:p w14:paraId="012FE92A" w14:textId="161A99AF" w:rsidR="00053660" w:rsidRDefault="00053660" w:rsidP="009474CA">
            <w:pPr>
              <w:spacing w:after="0"/>
              <w:jc w:val="center"/>
            </w:pPr>
            <w:r>
              <w:t>31</w:t>
            </w:r>
          </w:p>
        </w:tc>
        <w:tc>
          <w:tcPr>
            <w:tcW w:w="564" w:type="pct"/>
          </w:tcPr>
          <w:p w14:paraId="2610AEE7" w14:textId="2CFD59B1" w:rsidR="00053660" w:rsidRDefault="00053660" w:rsidP="009474CA">
            <w:pPr>
              <w:spacing w:after="0"/>
              <w:jc w:val="center"/>
            </w:pPr>
            <w:r>
              <w:t>0.81%</w:t>
            </w:r>
          </w:p>
        </w:tc>
        <w:tc>
          <w:tcPr>
            <w:tcW w:w="670" w:type="pct"/>
          </w:tcPr>
          <w:p w14:paraId="69128D32" w14:textId="4D706F5A" w:rsidR="00053660" w:rsidRDefault="00053660" w:rsidP="009474CA">
            <w:pPr>
              <w:spacing w:after="0"/>
              <w:jc w:val="center"/>
            </w:pPr>
            <w:r>
              <w:t>36</w:t>
            </w:r>
          </w:p>
        </w:tc>
        <w:tc>
          <w:tcPr>
            <w:tcW w:w="669" w:type="pct"/>
          </w:tcPr>
          <w:p w14:paraId="07BFAE57" w14:textId="777F17ED" w:rsidR="00053660" w:rsidRDefault="00053660" w:rsidP="009474CA">
            <w:pPr>
              <w:spacing w:after="0"/>
              <w:jc w:val="center"/>
            </w:pPr>
            <w:r>
              <w:t>0.93%</w:t>
            </w:r>
          </w:p>
        </w:tc>
      </w:tr>
      <w:tr w:rsidR="00053660" w14:paraId="0491FF63" w14:textId="77777777" w:rsidTr="009A1D51">
        <w:trPr>
          <w:cantSplit/>
        </w:trPr>
        <w:tc>
          <w:tcPr>
            <w:tcW w:w="1271" w:type="pct"/>
          </w:tcPr>
          <w:p w14:paraId="3B611463" w14:textId="2CBB01B2" w:rsidR="00053660" w:rsidRPr="00C63AA9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COVID-19</w:t>
            </w:r>
          </w:p>
        </w:tc>
        <w:tc>
          <w:tcPr>
            <w:tcW w:w="775" w:type="pct"/>
          </w:tcPr>
          <w:p w14:paraId="1657DB28" w14:textId="5FCADFCD" w:rsidR="00053660" w:rsidRDefault="00053660" w:rsidP="009474CA">
            <w:pPr>
              <w:spacing w:after="0"/>
              <w:jc w:val="center"/>
            </w:pPr>
            <w:r>
              <w:t>13</w:t>
            </w:r>
          </w:p>
        </w:tc>
        <w:tc>
          <w:tcPr>
            <w:tcW w:w="564" w:type="pct"/>
          </w:tcPr>
          <w:p w14:paraId="437F420E" w14:textId="119CBD15" w:rsidR="00053660" w:rsidRDefault="00053660" w:rsidP="009474CA">
            <w:pPr>
              <w:spacing w:after="0"/>
              <w:jc w:val="center"/>
            </w:pPr>
            <w:r>
              <w:t>0.57%</w:t>
            </w:r>
          </w:p>
        </w:tc>
        <w:tc>
          <w:tcPr>
            <w:tcW w:w="486" w:type="pct"/>
          </w:tcPr>
          <w:p w14:paraId="0415F998" w14:textId="1EC05E98" w:rsidR="00053660" w:rsidRDefault="00053660" w:rsidP="009474CA">
            <w:pPr>
              <w:spacing w:after="0"/>
              <w:jc w:val="center"/>
            </w:pPr>
            <w:r>
              <w:t>82</w:t>
            </w:r>
          </w:p>
        </w:tc>
        <w:tc>
          <w:tcPr>
            <w:tcW w:w="564" w:type="pct"/>
          </w:tcPr>
          <w:p w14:paraId="5A14DBEA" w14:textId="24908B4C" w:rsidR="00053660" w:rsidRDefault="00053660" w:rsidP="009474CA">
            <w:pPr>
              <w:spacing w:after="0"/>
              <w:jc w:val="center"/>
            </w:pPr>
            <w:r>
              <w:t>2.14%</w:t>
            </w:r>
          </w:p>
        </w:tc>
        <w:tc>
          <w:tcPr>
            <w:tcW w:w="670" w:type="pct"/>
          </w:tcPr>
          <w:p w14:paraId="6D45737A" w14:textId="206E608C" w:rsidR="00053660" w:rsidRDefault="00053660" w:rsidP="009474CA">
            <w:pPr>
              <w:spacing w:after="0"/>
              <w:jc w:val="center"/>
            </w:pPr>
            <w:r>
              <w:t>126</w:t>
            </w:r>
          </w:p>
        </w:tc>
        <w:tc>
          <w:tcPr>
            <w:tcW w:w="669" w:type="pct"/>
          </w:tcPr>
          <w:p w14:paraId="1C6BF680" w14:textId="2CF321BC" w:rsidR="00053660" w:rsidRDefault="00053660" w:rsidP="009474CA">
            <w:pPr>
              <w:spacing w:after="0"/>
              <w:jc w:val="center"/>
            </w:pPr>
            <w:r>
              <w:t>3.24%</w:t>
            </w:r>
          </w:p>
        </w:tc>
      </w:tr>
      <w:tr w:rsidR="00053660" w14:paraId="79F3ABFF" w14:textId="77777777" w:rsidTr="009A1D51">
        <w:trPr>
          <w:cantSplit/>
        </w:trPr>
        <w:tc>
          <w:tcPr>
            <w:tcW w:w="1271" w:type="pct"/>
          </w:tcPr>
          <w:p w14:paraId="48BAF71B" w14:textId="4F146116" w:rsidR="00053660" w:rsidRDefault="00053660" w:rsidP="009474CA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Urinary Tract Infection</w:t>
            </w:r>
          </w:p>
        </w:tc>
        <w:tc>
          <w:tcPr>
            <w:tcW w:w="775" w:type="pct"/>
          </w:tcPr>
          <w:p w14:paraId="47A6939C" w14:textId="1B86E259" w:rsidR="00053660" w:rsidRDefault="00053660" w:rsidP="009474CA">
            <w:pPr>
              <w:spacing w:after="0"/>
              <w:jc w:val="center"/>
            </w:pPr>
            <w:r>
              <w:t>14</w:t>
            </w:r>
          </w:p>
        </w:tc>
        <w:tc>
          <w:tcPr>
            <w:tcW w:w="564" w:type="pct"/>
          </w:tcPr>
          <w:p w14:paraId="5C79A87A" w14:textId="228A33B6" w:rsidR="00053660" w:rsidRDefault="00053660" w:rsidP="009474CA">
            <w:pPr>
              <w:spacing w:after="0"/>
              <w:jc w:val="center"/>
            </w:pPr>
            <w:r>
              <w:t>0.61%</w:t>
            </w:r>
          </w:p>
        </w:tc>
        <w:tc>
          <w:tcPr>
            <w:tcW w:w="486" w:type="pct"/>
          </w:tcPr>
          <w:p w14:paraId="4241443C" w14:textId="4F410FC5" w:rsidR="00053660" w:rsidRDefault="00053660" w:rsidP="009474CA">
            <w:pPr>
              <w:spacing w:after="0"/>
              <w:jc w:val="center"/>
            </w:pPr>
            <w:r>
              <w:t>24</w:t>
            </w:r>
          </w:p>
        </w:tc>
        <w:tc>
          <w:tcPr>
            <w:tcW w:w="564" w:type="pct"/>
          </w:tcPr>
          <w:p w14:paraId="5CE38B8F" w14:textId="1BE86647" w:rsidR="00053660" w:rsidRDefault="00053660" w:rsidP="009474CA">
            <w:pPr>
              <w:spacing w:after="0"/>
              <w:jc w:val="center"/>
            </w:pPr>
            <w:r>
              <w:t>0.62%</w:t>
            </w:r>
          </w:p>
        </w:tc>
        <w:tc>
          <w:tcPr>
            <w:tcW w:w="670" w:type="pct"/>
          </w:tcPr>
          <w:p w14:paraId="206DDE05" w14:textId="58927217" w:rsidR="00053660" w:rsidRDefault="00053660" w:rsidP="009474CA">
            <w:pPr>
              <w:spacing w:after="0"/>
              <w:jc w:val="center"/>
            </w:pPr>
            <w:r>
              <w:t>42</w:t>
            </w:r>
          </w:p>
        </w:tc>
        <w:tc>
          <w:tcPr>
            <w:tcW w:w="669" w:type="pct"/>
          </w:tcPr>
          <w:p w14:paraId="31EB1CF7" w14:textId="12678441" w:rsidR="00053660" w:rsidRDefault="00053660" w:rsidP="009474CA">
            <w:pPr>
              <w:spacing w:after="0"/>
              <w:jc w:val="center"/>
            </w:pPr>
            <w:r>
              <w:t>1.08%</w:t>
            </w:r>
          </w:p>
        </w:tc>
      </w:tr>
    </w:tbl>
    <w:p w14:paraId="524790A7" w14:textId="701AFC35" w:rsidR="00035ADA" w:rsidRDefault="00867490">
      <w:r>
        <w:br w:type="page"/>
      </w:r>
    </w:p>
    <w:p w14:paraId="754CAC49" w14:textId="0D966323" w:rsidR="00AA1234" w:rsidRDefault="001025B0">
      <w:pPr>
        <w:numPr>
          <w:ilvl w:val="0"/>
          <w:numId w:val="2"/>
        </w:num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 w:rsidR="00452A54">
        <w:rPr>
          <w:b/>
          <w:sz w:val="24"/>
          <w:szCs w:val="24"/>
        </w:rPr>
        <w:t>orth County</w:t>
      </w:r>
      <w:r>
        <w:rPr>
          <w:b/>
          <w:sz w:val="24"/>
          <w:szCs w:val="24"/>
        </w:rPr>
        <w:t xml:space="preserve"> Outpatients Patient Population</w:t>
      </w:r>
      <w:r w:rsidR="000C0001">
        <w:rPr>
          <w:b/>
          <w:sz w:val="24"/>
          <w:szCs w:val="24"/>
        </w:rPr>
        <w:t>**</w:t>
      </w:r>
    </w:p>
    <w:p w14:paraId="125739C4" w14:textId="77777777" w:rsidR="000C0001" w:rsidRDefault="000C0001" w:rsidP="000C0001">
      <w:pPr>
        <w:spacing w:after="0"/>
        <w:rPr>
          <w:b/>
          <w:sz w:val="24"/>
          <w:szCs w:val="24"/>
        </w:rPr>
      </w:pPr>
    </w:p>
    <w:p w14:paraId="27FF1AA7" w14:textId="2E3DC264" w:rsidR="004E0B6A" w:rsidRDefault="004E0B6A" w:rsidP="000C000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** based on North</w:t>
      </w:r>
      <w:r w:rsidR="00533B75">
        <w:rPr>
          <w:b/>
          <w:sz w:val="24"/>
          <w:szCs w:val="24"/>
        </w:rPr>
        <w:t xml:space="preserve"> County </w:t>
      </w:r>
      <w:r>
        <w:rPr>
          <w:b/>
          <w:sz w:val="24"/>
          <w:szCs w:val="24"/>
        </w:rPr>
        <w:t>Primary and Secondary Services Areas and use of current North Cou</w:t>
      </w:r>
      <w:r w:rsidR="00533B75">
        <w:rPr>
          <w:b/>
          <w:sz w:val="24"/>
          <w:szCs w:val="24"/>
        </w:rPr>
        <w:t>nty outpatient services</w:t>
      </w:r>
    </w:p>
    <w:p w14:paraId="197A63F5" w14:textId="77777777" w:rsidR="001025B0" w:rsidRDefault="001025B0" w:rsidP="001025B0">
      <w:pPr>
        <w:spacing w:after="0"/>
        <w:ind w:left="1080"/>
        <w:rPr>
          <w:b/>
          <w:sz w:val="24"/>
          <w:szCs w:val="24"/>
        </w:rPr>
      </w:pPr>
    </w:p>
    <w:p w14:paraId="1411128B" w14:textId="35148D4C" w:rsidR="00726D8B" w:rsidRPr="00726D8B" w:rsidRDefault="00726D8B" w:rsidP="00726D8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26D8B">
        <w:rPr>
          <w:b/>
          <w:color w:val="000000"/>
        </w:rPr>
        <w:t xml:space="preserve">Unique Patients Served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33"/>
        <w:gridCol w:w="2674"/>
        <w:gridCol w:w="2043"/>
        <w:gridCol w:w="2676"/>
      </w:tblGrid>
      <w:tr w:rsidR="00053660" w14:paraId="62AE4E97" w14:textId="77777777" w:rsidTr="000C0001">
        <w:tc>
          <w:tcPr>
            <w:tcW w:w="1276" w:type="pct"/>
          </w:tcPr>
          <w:p w14:paraId="6E0120A8" w14:textId="77777777" w:rsidR="00053660" w:rsidRDefault="00053660" w:rsidP="00CA51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47" w:type="pct"/>
          </w:tcPr>
          <w:p w14:paraId="3C4EB5C8" w14:textId="77777777" w:rsidR="00053660" w:rsidRDefault="00053660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1029" w:type="pct"/>
          </w:tcPr>
          <w:p w14:paraId="32A09119" w14:textId="77777777" w:rsidR="00053660" w:rsidRDefault="00053660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348" w:type="pct"/>
          </w:tcPr>
          <w:p w14:paraId="54EB44F2" w14:textId="77777777" w:rsidR="00053660" w:rsidRDefault="00053660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053660" w14:paraId="7F553279" w14:textId="77777777" w:rsidTr="000C0001">
        <w:tc>
          <w:tcPr>
            <w:tcW w:w="1276" w:type="pct"/>
          </w:tcPr>
          <w:p w14:paraId="5409E693" w14:textId="77777777" w:rsidR="00053660" w:rsidRPr="006C4B95" w:rsidRDefault="00053660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Unique Patients </w:t>
            </w:r>
          </w:p>
        </w:tc>
        <w:tc>
          <w:tcPr>
            <w:tcW w:w="1347" w:type="pct"/>
          </w:tcPr>
          <w:p w14:paraId="1ADF6893" w14:textId="32E64CC1" w:rsidR="00053660" w:rsidRDefault="00053660" w:rsidP="00CA51AC">
            <w:pPr>
              <w:spacing w:after="0"/>
              <w:jc w:val="center"/>
            </w:pPr>
            <w:r>
              <w:t>36,806</w:t>
            </w:r>
          </w:p>
        </w:tc>
        <w:tc>
          <w:tcPr>
            <w:tcW w:w="1029" w:type="pct"/>
          </w:tcPr>
          <w:p w14:paraId="07BB9AB6" w14:textId="47C09CCD" w:rsidR="00053660" w:rsidRDefault="00053660" w:rsidP="00CA51AC">
            <w:pPr>
              <w:spacing w:after="0"/>
              <w:jc w:val="center"/>
            </w:pPr>
            <w:r>
              <w:t>35,182</w:t>
            </w:r>
          </w:p>
        </w:tc>
        <w:tc>
          <w:tcPr>
            <w:tcW w:w="1348" w:type="pct"/>
          </w:tcPr>
          <w:p w14:paraId="432ADA49" w14:textId="65A53943" w:rsidR="00053660" w:rsidRDefault="00053660" w:rsidP="00CA51AC">
            <w:pPr>
              <w:spacing w:after="0"/>
              <w:jc w:val="center"/>
            </w:pPr>
            <w:r>
              <w:t>35,246</w:t>
            </w:r>
          </w:p>
        </w:tc>
      </w:tr>
    </w:tbl>
    <w:p w14:paraId="027E36BC" w14:textId="0685BFCE" w:rsidR="00726D8B" w:rsidRDefault="002364E2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0"/>
          <w:szCs w:val="20"/>
        </w:rPr>
      </w:pPr>
      <w:r w:rsidRPr="008F66F1">
        <w:rPr>
          <w:bCs/>
          <w:color w:val="000000"/>
          <w:sz w:val="20"/>
          <w:szCs w:val="20"/>
        </w:rPr>
        <w:t xml:space="preserve">This represents </w:t>
      </w:r>
      <w:r w:rsidR="00437723" w:rsidRPr="008F66F1">
        <w:rPr>
          <w:bCs/>
          <w:color w:val="000000"/>
          <w:sz w:val="20"/>
          <w:szCs w:val="20"/>
        </w:rPr>
        <w:t>two patient populations: 1) A</w:t>
      </w:r>
      <w:r w:rsidRPr="008F66F1">
        <w:rPr>
          <w:bCs/>
          <w:color w:val="000000"/>
          <w:sz w:val="20"/>
          <w:szCs w:val="20"/>
        </w:rPr>
        <w:t>ny patient who had an outpatient service at any BHS location and had</w:t>
      </w:r>
      <w:r w:rsidR="00437723" w:rsidRPr="008F66F1">
        <w:rPr>
          <w:bCs/>
          <w:color w:val="000000"/>
          <w:sz w:val="20"/>
          <w:szCs w:val="20"/>
        </w:rPr>
        <w:t xml:space="preserve"> a home zip code in the North Berkshire Service Area as identified in Appendix 1</w:t>
      </w:r>
      <w:r w:rsidR="009833D7" w:rsidRPr="008F66F1">
        <w:rPr>
          <w:bCs/>
          <w:color w:val="000000"/>
          <w:sz w:val="20"/>
          <w:szCs w:val="20"/>
        </w:rPr>
        <w:t xml:space="preserve"> or 2) Any patient who had an outpatient service in a North Adams campus location regardless of home zip code.</w:t>
      </w:r>
      <w:r w:rsidR="00713135">
        <w:rPr>
          <w:bCs/>
          <w:color w:val="000000"/>
          <w:sz w:val="20"/>
          <w:szCs w:val="20"/>
        </w:rPr>
        <w:t xml:space="preserve"> </w:t>
      </w:r>
    </w:p>
    <w:p w14:paraId="55F5E051" w14:textId="77777777" w:rsidR="00E7097A" w:rsidRPr="008F66F1" w:rsidRDefault="00E7097A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0"/>
          <w:szCs w:val="20"/>
        </w:rPr>
      </w:pPr>
    </w:p>
    <w:p w14:paraId="6E313441" w14:textId="77777777" w:rsidR="00141126" w:rsidRDefault="00141126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6EB68A4" w14:textId="77777777" w:rsidR="008D475D" w:rsidRDefault="008D475D" w:rsidP="00CA51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F0677A1" w14:textId="6422C53A" w:rsidR="00726D8B" w:rsidRDefault="00726D8B" w:rsidP="00CA51A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26D8B">
        <w:rPr>
          <w:b/>
          <w:color w:val="000000"/>
        </w:rPr>
        <w:t xml:space="preserve">Gender </w:t>
      </w:r>
    </w:p>
    <w:p w14:paraId="3B24F92D" w14:textId="77777777" w:rsidR="00D62FC5" w:rsidRPr="00726D8B" w:rsidRDefault="00D62FC5" w:rsidP="00D62FC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539"/>
        <w:gridCol w:w="1120"/>
        <w:gridCol w:w="965"/>
        <w:gridCol w:w="1120"/>
        <w:gridCol w:w="1330"/>
        <w:gridCol w:w="1328"/>
      </w:tblGrid>
      <w:tr w:rsidR="00053660" w14:paraId="08AF8D4B" w14:textId="77777777" w:rsidTr="009A1D51">
        <w:trPr>
          <w:cantSplit/>
          <w:trHeight w:val="332"/>
          <w:tblHeader/>
        </w:trPr>
        <w:tc>
          <w:tcPr>
            <w:tcW w:w="1271" w:type="pct"/>
          </w:tcPr>
          <w:p w14:paraId="77792FE9" w14:textId="2C962A1F" w:rsidR="00053660" w:rsidRPr="00357164" w:rsidRDefault="000B5D94" w:rsidP="000B5D9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Gender</w:t>
            </w:r>
          </w:p>
        </w:tc>
        <w:tc>
          <w:tcPr>
            <w:tcW w:w="775" w:type="pct"/>
          </w:tcPr>
          <w:p w14:paraId="7F2FF2E7" w14:textId="6526B5CE" w:rsidR="00053660" w:rsidRPr="00357164" w:rsidRDefault="009A1D51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6D869275" w14:textId="0185F1B7" w:rsidR="00053660" w:rsidRPr="00357164" w:rsidRDefault="009A1D51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5EAD8D29" w14:textId="67338B0A" w:rsidR="00053660" w:rsidRDefault="009A1D51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430D4512" w14:textId="5D544C97" w:rsidR="00053660" w:rsidRDefault="009A1D51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Percent</w:t>
            </w:r>
          </w:p>
        </w:tc>
        <w:tc>
          <w:tcPr>
            <w:tcW w:w="670" w:type="pct"/>
          </w:tcPr>
          <w:p w14:paraId="6F1FA1F2" w14:textId="086EF2A6" w:rsidR="00053660" w:rsidRDefault="009A1D51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Number</w:t>
            </w:r>
          </w:p>
        </w:tc>
        <w:tc>
          <w:tcPr>
            <w:tcW w:w="669" w:type="pct"/>
          </w:tcPr>
          <w:p w14:paraId="2B94BC06" w14:textId="21E4CDC5" w:rsidR="00053660" w:rsidRDefault="009A1D51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053660" w:rsidRPr="00357164">
              <w:rPr>
                <w:b/>
                <w:bCs/>
              </w:rPr>
              <w:t>Percent</w:t>
            </w:r>
          </w:p>
        </w:tc>
      </w:tr>
      <w:tr w:rsidR="00053660" w14:paraId="5DEBBC29" w14:textId="77777777" w:rsidTr="009A1D51">
        <w:trPr>
          <w:cantSplit/>
        </w:trPr>
        <w:tc>
          <w:tcPr>
            <w:tcW w:w="1271" w:type="pct"/>
          </w:tcPr>
          <w:p w14:paraId="51CC254D" w14:textId="77777777" w:rsidR="00053660" w:rsidRPr="006C4B95" w:rsidRDefault="00053660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Male</w:t>
            </w:r>
          </w:p>
        </w:tc>
        <w:tc>
          <w:tcPr>
            <w:tcW w:w="775" w:type="pct"/>
          </w:tcPr>
          <w:p w14:paraId="1FBFD783" w14:textId="5B13B45D" w:rsidR="00053660" w:rsidRDefault="00053660" w:rsidP="00CA51AC">
            <w:pPr>
              <w:spacing w:after="0"/>
              <w:jc w:val="center"/>
            </w:pPr>
            <w:r>
              <w:t>16,328</w:t>
            </w:r>
          </w:p>
        </w:tc>
        <w:tc>
          <w:tcPr>
            <w:tcW w:w="564" w:type="pct"/>
          </w:tcPr>
          <w:p w14:paraId="1DBB7C95" w14:textId="52872AC8" w:rsidR="00053660" w:rsidRDefault="00053660" w:rsidP="00CA51AC">
            <w:pPr>
              <w:spacing w:after="0"/>
              <w:jc w:val="center"/>
            </w:pPr>
            <w:r>
              <w:t>44.36%</w:t>
            </w:r>
          </w:p>
        </w:tc>
        <w:tc>
          <w:tcPr>
            <w:tcW w:w="486" w:type="pct"/>
          </w:tcPr>
          <w:p w14:paraId="3CA71840" w14:textId="07321C32" w:rsidR="00053660" w:rsidRDefault="00053660" w:rsidP="00CA51AC">
            <w:pPr>
              <w:spacing w:after="0"/>
              <w:jc w:val="center"/>
            </w:pPr>
            <w:r>
              <w:t>16,260</w:t>
            </w:r>
          </w:p>
        </w:tc>
        <w:tc>
          <w:tcPr>
            <w:tcW w:w="564" w:type="pct"/>
          </w:tcPr>
          <w:p w14:paraId="715A2AF6" w14:textId="60019846" w:rsidR="00053660" w:rsidRDefault="00053660" w:rsidP="00CA51AC">
            <w:pPr>
              <w:spacing w:after="0"/>
              <w:jc w:val="center"/>
            </w:pPr>
            <w:r>
              <w:t>46.22%</w:t>
            </w:r>
          </w:p>
        </w:tc>
        <w:tc>
          <w:tcPr>
            <w:tcW w:w="670" w:type="pct"/>
          </w:tcPr>
          <w:p w14:paraId="2B2F05CC" w14:textId="79E5CFF1" w:rsidR="00053660" w:rsidRDefault="00053660" w:rsidP="00CA51AC">
            <w:pPr>
              <w:spacing w:after="0"/>
              <w:jc w:val="center"/>
            </w:pPr>
            <w:r>
              <w:t>16,248</w:t>
            </w:r>
          </w:p>
        </w:tc>
        <w:tc>
          <w:tcPr>
            <w:tcW w:w="669" w:type="pct"/>
          </w:tcPr>
          <w:p w14:paraId="45FE2246" w14:textId="26226688" w:rsidR="00053660" w:rsidRDefault="00053660" w:rsidP="00CA51AC">
            <w:pPr>
              <w:spacing w:after="0"/>
              <w:jc w:val="center"/>
            </w:pPr>
            <w:r>
              <w:t>46.10%</w:t>
            </w:r>
          </w:p>
        </w:tc>
      </w:tr>
      <w:tr w:rsidR="00053660" w14:paraId="5B3C3E89" w14:textId="77777777" w:rsidTr="009A1D51">
        <w:trPr>
          <w:cantSplit/>
        </w:trPr>
        <w:tc>
          <w:tcPr>
            <w:tcW w:w="1271" w:type="pct"/>
          </w:tcPr>
          <w:p w14:paraId="379E56B9" w14:textId="52522F1D" w:rsidR="00053660" w:rsidRPr="006C4B95" w:rsidRDefault="00053660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Female</w:t>
            </w:r>
            <w:r w:rsidR="00E5093F">
              <w:rPr>
                <w:bCs/>
              </w:rPr>
              <w:t>/Other</w:t>
            </w:r>
          </w:p>
        </w:tc>
        <w:tc>
          <w:tcPr>
            <w:tcW w:w="775" w:type="pct"/>
          </w:tcPr>
          <w:p w14:paraId="5071CB47" w14:textId="1779456B" w:rsidR="00053660" w:rsidRDefault="00053660" w:rsidP="00CA51AC">
            <w:pPr>
              <w:spacing w:after="0"/>
              <w:jc w:val="center"/>
            </w:pPr>
            <w:r>
              <w:t>20,478</w:t>
            </w:r>
          </w:p>
        </w:tc>
        <w:tc>
          <w:tcPr>
            <w:tcW w:w="564" w:type="pct"/>
          </w:tcPr>
          <w:p w14:paraId="389034FD" w14:textId="65AA54E1" w:rsidR="00053660" w:rsidRDefault="00053660" w:rsidP="00CA51AC">
            <w:pPr>
              <w:spacing w:after="0"/>
              <w:jc w:val="center"/>
            </w:pPr>
            <w:r>
              <w:t>55.64%</w:t>
            </w:r>
          </w:p>
        </w:tc>
        <w:tc>
          <w:tcPr>
            <w:tcW w:w="486" w:type="pct"/>
          </w:tcPr>
          <w:p w14:paraId="0F4DB1B8" w14:textId="67226589" w:rsidR="00053660" w:rsidRDefault="00053660" w:rsidP="00CA51AC">
            <w:pPr>
              <w:spacing w:after="0"/>
              <w:jc w:val="center"/>
            </w:pPr>
            <w:r>
              <w:t>18,9</w:t>
            </w:r>
            <w:r w:rsidR="00500E72">
              <w:t>22</w:t>
            </w:r>
          </w:p>
        </w:tc>
        <w:tc>
          <w:tcPr>
            <w:tcW w:w="564" w:type="pct"/>
          </w:tcPr>
          <w:p w14:paraId="32A79139" w14:textId="7D49DF07" w:rsidR="00053660" w:rsidRDefault="00053660" w:rsidP="00DA0EBE">
            <w:pPr>
              <w:spacing w:after="0"/>
              <w:jc w:val="center"/>
            </w:pPr>
            <w:r>
              <w:t>5</w:t>
            </w:r>
            <w:r w:rsidR="00DA0EBE">
              <w:t>2</w:t>
            </w:r>
            <w:r>
              <w:t>.</w:t>
            </w:r>
            <w:r w:rsidR="00DA0EBE">
              <w:t>68</w:t>
            </w:r>
            <w:r>
              <w:t>%</w:t>
            </w:r>
          </w:p>
        </w:tc>
        <w:tc>
          <w:tcPr>
            <w:tcW w:w="670" w:type="pct"/>
          </w:tcPr>
          <w:p w14:paraId="617B0615" w14:textId="26F45D0C" w:rsidR="00053660" w:rsidRDefault="00053660" w:rsidP="00CA51AC">
            <w:pPr>
              <w:spacing w:after="0"/>
              <w:jc w:val="center"/>
            </w:pPr>
            <w:r>
              <w:t>18,99</w:t>
            </w:r>
            <w:r w:rsidR="00500E72">
              <w:t>8</w:t>
            </w:r>
          </w:p>
        </w:tc>
        <w:tc>
          <w:tcPr>
            <w:tcW w:w="669" w:type="pct"/>
          </w:tcPr>
          <w:p w14:paraId="47A52D51" w14:textId="5739FC99" w:rsidR="00053660" w:rsidRDefault="00053660" w:rsidP="00DA0EBE">
            <w:pPr>
              <w:spacing w:after="0"/>
              <w:jc w:val="center"/>
            </w:pPr>
            <w:r>
              <w:t>53.</w:t>
            </w:r>
            <w:r w:rsidR="00DA0EBE">
              <w:t>90</w:t>
            </w:r>
            <w:r>
              <w:t>%</w:t>
            </w:r>
          </w:p>
        </w:tc>
      </w:tr>
      <w:tr w:rsidR="00053660" w14:paraId="080AC478" w14:textId="77777777" w:rsidTr="009A1D51">
        <w:trPr>
          <w:cantSplit/>
        </w:trPr>
        <w:tc>
          <w:tcPr>
            <w:tcW w:w="1271" w:type="pct"/>
          </w:tcPr>
          <w:p w14:paraId="7648648C" w14:textId="77777777" w:rsidR="00053660" w:rsidRPr="006C4B95" w:rsidRDefault="00053660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775" w:type="pct"/>
          </w:tcPr>
          <w:p w14:paraId="524649E4" w14:textId="395000D3" w:rsidR="00053660" w:rsidRDefault="00053660" w:rsidP="00CA51AC">
            <w:pPr>
              <w:spacing w:after="0"/>
              <w:jc w:val="center"/>
            </w:pPr>
            <w:r>
              <w:t>36,806</w:t>
            </w:r>
          </w:p>
        </w:tc>
        <w:tc>
          <w:tcPr>
            <w:tcW w:w="564" w:type="pct"/>
          </w:tcPr>
          <w:p w14:paraId="6D8D938E" w14:textId="7505020F" w:rsidR="00053660" w:rsidRDefault="00053660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86" w:type="pct"/>
          </w:tcPr>
          <w:p w14:paraId="6B62A5B8" w14:textId="26FF1CE2" w:rsidR="00053660" w:rsidRDefault="00053660" w:rsidP="00CA51AC">
            <w:pPr>
              <w:spacing w:after="0"/>
              <w:jc w:val="center"/>
            </w:pPr>
            <w:r>
              <w:t>35,182</w:t>
            </w:r>
          </w:p>
        </w:tc>
        <w:tc>
          <w:tcPr>
            <w:tcW w:w="564" w:type="pct"/>
          </w:tcPr>
          <w:p w14:paraId="427C7CDA" w14:textId="47ADF6F2" w:rsidR="00053660" w:rsidRDefault="00053660" w:rsidP="00CA51AC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70" w:type="pct"/>
          </w:tcPr>
          <w:p w14:paraId="3CCE9E86" w14:textId="254760F3" w:rsidR="00053660" w:rsidRDefault="00053660" w:rsidP="00CA51AC">
            <w:pPr>
              <w:spacing w:after="0"/>
              <w:jc w:val="center"/>
            </w:pPr>
            <w:r>
              <w:t>35,246</w:t>
            </w:r>
          </w:p>
        </w:tc>
        <w:tc>
          <w:tcPr>
            <w:tcW w:w="669" w:type="pct"/>
          </w:tcPr>
          <w:p w14:paraId="5DA440A9" w14:textId="3A09938C" w:rsidR="00053660" w:rsidRDefault="00053660" w:rsidP="00CA51AC">
            <w:pPr>
              <w:spacing w:after="0"/>
              <w:jc w:val="center"/>
            </w:pPr>
            <w:r>
              <w:t>100.00%</w:t>
            </w:r>
          </w:p>
        </w:tc>
      </w:tr>
    </w:tbl>
    <w:p w14:paraId="6790CCEE" w14:textId="2C2BC701" w:rsidR="00911ED0" w:rsidRPr="008F66F1" w:rsidRDefault="00911ED0" w:rsidP="00911ED0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>The capture of other/unspecified gender is something that is done consistently, and education is being provided to make sure this is more accurate in the future.</w:t>
      </w:r>
      <w:r w:rsidR="00713135">
        <w:rPr>
          <w:bCs/>
          <w:sz w:val="20"/>
          <w:szCs w:val="20"/>
        </w:rPr>
        <w:t xml:space="preserve"> </w:t>
      </w:r>
      <w:r w:rsidR="00830F16">
        <w:rPr>
          <w:bCs/>
          <w:sz w:val="20"/>
          <w:szCs w:val="20"/>
        </w:rPr>
        <w:t xml:space="preserve"> In this table for FY21 and FY22 </w:t>
      </w:r>
      <w:r w:rsidR="00DA0EBE">
        <w:rPr>
          <w:bCs/>
          <w:sz w:val="20"/>
          <w:szCs w:val="20"/>
        </w:rPr>
        <w:t>for</w:t>
      </w:r>
      <w:r w:rsidR="00DA0EBE" w:rsidRPr="00DA0EBE">
        <w:rPr>
          <w:bCs/>
          <w:sz w:val="20"/>
          <w:szCs w:val="20"/>
        </w:rPr>
        <w:t xml:space="preserve"> confidentiality, “Other” includes   patient counts less than 11.</w:t>
      </w:r>
    </w:p>
    <w:p w14:paraId="29B26189" w14:textId="77777777" w:rsidR="008D475D" w:rsidRDefault="008D475D" w:rsidP="00500E72">
      <w:pPr>
        <w:spacing w:after="0"/>
        <w:jc w:val="center"/>
        <w:rPr>
          <w:b/>
        </w:rPr>
      </w:pPr>
    </w:p>
    <w:p w14:paraId="03D3DA14" w14:textId="77777777" w:rsidR="00726D8B" w:rsidRDefault="00726D8B" w:rsidP="00CA51AC">
      <w:pPr>
        <w:numPr>
          <w:ilvl w:val="0"/>
          <w:numId w:val="24"/>
        </w:numPr>
        <w:spacing w:after="0"/>
        <w:rPr>
          <w:b/>
        </w:rPr>
      </w:pPr>
      <w:r>
        <w:rPr>
          <w:b/>
        </w:rPr>
        <w:t>Age</w:t>
      </w:r>
    </w:p>
    <w:p w14:paraId="5B7F490A" w14:textId="77777777" w:rsidR="00D62FC5" w:rsidRDefault="00D62FC5" w:rsidP="00D62FC5">
      <w:pPr>
        <w:spacing w:after="0"/>
        <w:ind w:left="7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539"/>
        <w:gridCol w:w="1120"/>
        <w:gridCol w:w="965"/>
        <w:gridCol w:w="1189"/>
        <w:gridCol w:w="1261"/>
        <w:gridCol w:w="1328"/>
      </w:tblGrid>
      <w:tr w:rsidR="00E7097A" w14:paraId="41F099EE" w14:textId="77777777" w:rsidTr="00897711">
        <w:trPr>
          <w:cantSplit/>
          <w:trHeight w:val="269"/>
          <w:tblHeader/>
        </w:trPr>
        <w:tc>
          <w:tcPr>
            <w:tcW w:w="1271" w:type="pct"/>
          </w:tcPr>
          <w:p w14:paraId="19A59DD2" w14:textId="6D4170D2" w:rsidR="00E7097A" w:rsidRDefault="000B5D94" w:rsidP="000B5D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775" w:type="pct"/>
          </w:tcPr>
          <w:p w14:paraId="01A434C5" w14:textId="7D9B7F4B" w:rsidR="00E7097A" w:rsidRDefault="00897711" w:rsidP="00CA51AC">
            <w:pPr>
              <w:spacing w:after="0"/>
              <w:jc w:val="center"/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564" w:type="pct"/>
          </w:tcPr>
          <w:p w14:paraId="138914E1" w14:textId="3A2FBDCD" w:rsidR="00E7097A" w:rsidRDefault="00897711" w:rsidP="00CA51AC">
            <w:pPr>
              <w:spacing w:after="0"/>
              <w:jc w:val="center"/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0CF2AEC5" w14:textId="05CC5327" w:rsidR="00E7097A" w:rsidRDefault="00897711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55276EEE" w14:textId="05BF4F8A" w:rsidR="00E7097A" w:rsidRDefault="00897711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  <w:tc>
          <w:tcPr>
            <w:tcW w:w="635" w:type="pct"/>
          </w:tcPr>
          <w:p w14:paraId="64D77ADC" w14:textId="5964CC5C" w:rsidR="00E7097A" w:rsidRDefault="00897711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669" w:type="pct"/>
          </w:tcPr>
          <w:p w14:paraId="39913CB6" w14:textId="39795F33" w:rsidR="00E7097A" w:rsidRDefault="00897711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</w:tr>
      <w:tr w:rsidR="00E7097A" w14:paraId="35AAC2F7" w14:textId="77777777" w:rsidTr="00897711">
        <w:trPr>
          <w:cantSplit/>
        </w:trPr>
        <w:tc>
          <w:tcPr>
            <w:tcW w:w="1271" w:type="pct"/>
          </w:tcPr>
          <w:p w14:paraId="464E1BC6" w14:textId="77777777" w:rsidR="00E7097A" w:rsidRPr="006C4B95" w:rsidRDefault="00E7097A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0-18</w:t>
            </w:r>
          </w:p>
        </w:tc>
        <w:tc>
          <w:tcPr>
            <w:tcW w:w="775" w:type="pct"/>
          </w:tcPr>
          <w:p w14:paraId="3D8C4C61" w14:textId="76A5B88A" w:rsidR="00E7097A" w:rsidRDefault="00E7097A" w:rsidP="00CA51AC">
            <w:pPr>
              <w:spacing w:after="0"/>
              <w:jc w:val="center"/>
            </w:pPr>
            <w:r>
              <w:t>4,461</w:t>
            </w:r>
          </w:p>
        </w:tc>
        <w:tc>
          <w:tcPr>
            <w:tcW w:w="564" w:type="pct"/>
          </w:tcPr>
          <w:p w14:paraId="4A5AE9B9" w14:textId="0BCD9AA0" w:rsidR="00E7097A" w:rsidRDefault="00E7097A" w:rsidP="00CA51AC">
            <w:pPr>
              <w:spacing w:after="0"/>
              <w:jc w:val="center"/>
            </w:pPr>
            <w:r>
              <w:t>12.12%</w:t>
            </w:r>
          </w:p>
        </w:tc>
        <w:tc>
          <w:tcPr>
            <w:tcW w:w="486" w:type="pct"/>
          </w:tcPr>
          <w:p w14:paraId="1CC538CC" w14:textId="6FED6C66" w:rsidR="00E7097A" w:rsidRDefault="00E7097A" w:rsidP="00CA51AC">
            <w:pPr>
              <w:spacing w:after="0"/>
              <w:jc w:val="center"/>
            </w:pPr>
            <w:r>
              <w:t>4,802</w:t>
            </w:r>
          </w:p>
        </w:tc>
        <w:tc>
          <w:tcPr>
            <w:tcW w:w="599" w:type="pct"/>
          </w:tcPr>
          <w:p w14:paraId="5520B4BD" w14:textId="521E7424" w:rsidR="00E7097A" w:rsidRDefault="00E7097A" w:rsidP="00CA51AC">
            <w:pPr>
              <w:spacing w:after="0"/>
              <w:jc w:val="center"/>
            </w:pPr>
            <w:r>
              <w:t>13.65%</w:t>
            </w:r>
          </w:p>
        </w:tc>
        <w:tc>
          <w:tcPr>
            <w:tcW w:w="635" w:type="pct"/>
          </w:tcPr>
          <w:p w14:paraId="62C28D33" w14:textId="5C52BB14" w:rsidR="00E7097A" w:rsidRDefault="00E7097A" w:rsidP="00CA51AC">
            <w:pPr>
              <w:spacing w:after="0"/>
              <w:jc w:val="center"/>
            </w:pPr>
            <w:r>
              <w:t>5,025</w:t>
            </w:r>
          </w:p>
        </w:tc>
        <w:tc>
          <w:tcPr>
            <w:tcW w:w="669" w:type="pct"/>
          </w:tcPr>
          <w:p w14:paraId="5CAFD5DC" w14:textId="579F8882" w:rsidR="00E7097A" w:rsidRDefault="00E7097A" w:rsidP="00CA51AC">
            <w:pPr>
              <w:spacing w:after="0"/>
              <w:jc w:val="center"/>
            </w:pPr>
            <w:r>
              <w:t>14.25%</w:t>
            </w:r>
          </w:p>
        </w:tc>
      </w:tr>
      <w:tr w:rsidR="00E7097A" w14:paraId="1ACA8690" w14:textId="77777777" w:rsidTr="00897711">
        <w:trPr>
          <w:cantSplit/>
          <w:trHeight w:val="70"/>
        </w:trPr>
        <w:tc>
          <w:tcPr>
            <w:tcW w:w="1271" w:type="pct"/>
          </w:tcPr>
          <w:p w14:paraId="73063B9E" w14:textId="77777777" w:rsidR="00E7097A" w:rsidRPr="006C4B95" w:rsidRDefault="00E7097A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19-49</w:t>
            </w:r>
          </w:p>
        </w:tc>
        <w:tc>
          <w:tcPr>
            <w:tcW w:w="775" w:type="pct"/>
          </w:tcPr>
          <w:p w14:paraId="512A1DF3" w14:textId="7E0506DE" w:rsidR="00E7097A" w:rsidRDefault="00E7097A" w:rsidP="00CA51AC">
            <w:pPr>
              <w:spacing w:after="0"/>
              <w:jc w:val="center"/>
            </w:pPr>
            <w:r>
              <w:t>12,935</w:t>
            </w:r>
          </w:p>
        </w:tc>
        <w:tc>
          <w:tcPr>
            <w:tcW w:w="564" w:type="pct"/>
          </w:tcPr>
          <w:p w14:paraId="57CBCF5D" w14:textId="0A88C9FC" w:rsidR="00E7097A" w:rsidRDefault="00E7097A" w:rsidP="00CA51AC">
            <w:pPr>
              <w:spacing w:after="0"/>
              <w:jc w:val="center"/>
            </w:pPr>
            <w:r>
              <w:t>35.14%</w:t>
            </w:r>
          </w:p>
        </w:tc>
        <w:tc>
          <w:tcPr>
            <w:tcW w:w="486" w:type="pct"/>
          </w:tcPr>
          <w:p w14:paraId="40DF05B1" w14:textId="6D408ACB" w:rsidR="00E7097A" w:rsidRDefault="00E7097A" w:rsidP="00CA51AC">
            <w:pPr>
              <w:spacing w:after="0"/>
              <w:jc w:val="center"/>
            </w:pPr>
            <w:r>
              <w:t>12,994</w:t>
            </w:r>
          </w:p>
        </w:tc>
        <w:tc>
          <w:tcPr>
            <w:tcW w:w="599" w:type="pct"/>
          </w:tcPr>
          <w:p w14:paraId="46EA2826" w14:textId="44B5E4E0" w:rsidR="00E7097A" w:rsidRDefault="00E7097A" w:rsidP="00CA51AC">
            <w:pPr>
              <w:spacing w:after="0"/>
              <w:jc w:val="center"/>
            </w:pPr>
            <w:r>
              <w:t>36.93%</w:t>
            </w:r>
          </w:p>
        </w:tc>
        <w:tc>
          <w:tcPr>
            <w:tcW w:w="635" w:type="pct"/>
          </w:tcPr>
          <w:p w14:paraId="20131345" w14:textId="3738D592" w:rsidR="00E7097A" w:rsidRDefault="00E7097A" w:rsidP="00CA51AC">
            <w:pPr>
              <w:spacing w:after="0"/>
              <w:jc w:val="center"/>
            </w:pPr>
            <w:r>
              <w:t>12,774</w:t>
            </w:r>
          </w:p>
        </w:tc>
        <w:tc>
          <w:tcPr>
            <w:tcW w:w="669" w:type="pct"/>
          </w:tcPr>
          <w:p w14:paraId="16D71343" w14:textId="50C057BC" w:rsidR="00E7097A" w:rsidRDefault="00E7097A" w:rsidP="00CA51AC">
            <w:pPr>
              <w:spacing w:after="0"/>
              <w:jc w:val="center"/>
            </w:pPr>
            <w:r>
              <w:t>36.24%</w:t>
            </w:r>
          </w:p>
        </w:tc>
      </w:tr>
      <w:tr w:rsidR="00E7097A" w14:paraId="28BC28FD" w14:textId="77777777" w:rsidTr="00897711">
        <w:trPr>
          <w:cantSplit/>
        </w:trPr>
        <w:tc>
          <w:tcPr>
            <w:tcW w:w="1271" w:type="pct"/>
          </w:tcPr>
          <w:p w14:paraId="66990239" w14:textId="77777777" w:rsidR="00E7097A" w:rsidRPr="006C4B95" w:rsidRDefault="00E7097A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50-64</w:t>
            </w:r>
          </w:p>
        </w:tc>
        <w:tc>
          <w:tcPr>
            <w:tcW w:w="775" w:type="pct"/>
          </w:tcPr>
          <w:p w14:paraId="16F74297" w14:textId="3BF0AD25" w:rsidR="00E7097A" w:rsidRDefault="00E7097A" w:rsidP="00CA51AC">
            <w:pPr>
              <w:spacing w:after="0"/>
              <w:jc w:val="center"/>
            </w:pPr>
            <w:r>
              <w:t>8,917</w:t>
            </w:r>
          </w:p>
        </w:tc>
        <w:tc>
          <w:tcPr>
            <w:tcW w:w="564" w:type="pct"/>
          </w:tcPr>
          <w:p w14:paraId="26C25454" w14:textId="520CB2E7" w:rsidR="00E7097A" w:rsidRDefault="00E7097A" w:rsidP="00CA51AC">
            <w:pPr>
              <w:spacing w:after="0"/>
              <w:jc w:val="center"/>
            </w:pPr>
            <w:r>
              <w:t>24.23%</w:t>
            </w:r>
          </w:p>
        </w:tc>
        <w:tc>
          <w:tcPr>
            <w:tcW w:w="486" w:type="pct"/>
          </w:tcPr>
          <w:p w14:paraId="0829DA35" w14:textId="075DBCC7" w:rsidR="00E7097A" w:rsidRDefault="00E7097A" w:rsidP="00CA51AC">
            <w:pPr>
              <w:spacing w:after="0"/>
              <w:jc w:val="center"/>
            </w:pPr>
            <w:r>
              <w:t>8,325</w:t>
            </w:r>
          </w:p>
        </w:tc>
        <w:tc>
          <w:tcPr>
            <w:tcW w:w="599" w:type="pct"/>
          </w:tcPr>
          <w:p w14:paraId="48A4E5DD" w14:textId="298DE1D5" w:rsidR="00E7097A" w:rsidRDefault="00E7097A" w:rsidP="00CA51AC">
            <w:pPr>
              <w:spacing w:after="0"/>
              <w:jc w:val="center"/>
            </w:pPr>
            <w:r>
              <w:t>23.66%</w:t>
            </w:r>
          </w:p>
        </w:tc>
        <w:tc>
          <w:tcPr>
            <w:tcW w:w="635" w:type="pct"/>
          </w:tcPr>
          <w:p w14:paraId="79133B7A" w14:textId="079D0913" w:rsidR="00E7097A" w:rsidRDefault="00E7097A" w:rsidP="00CA51AC">
            <w:pPr>
              <w:spacing w:after="0"/>
              <w:jc w:val="center"/>
            </w:pPr>
            <w:r>
              <w:t>8,089</w:t>
            </w:r>
          </w:p>
        </w:tc>
        <w:tc>
          <w:tcPr>
            <w:tcW w:w="669" w:type="pct"/>
          </w:tcPr>
          <w:p w14:paraId="71DDC29C" w14:textId="1C4015D3" w:rsidR="00E7097A" w:rsidRDefault="00E7097A" w:rsidP="00CA51AC">
            <w:pPr>
              <w:spacing w:after="0"/>
              <w:jc w:val="center"/>
            </w:pPr>
            <w:r>
              <w:t>22.95%</w:t>
            </w:r>
          </w:p>
        </w:tc>
      </w:tr>
      <w:tr w:rsidR="00E7097A" w14:paraId="6CE9ADC7" w14:textId="77777777" w:rsidTr="00897711">
        <w:trPr>
          <w:cantSplit/>
        </w:trPr>
        <w:tc>
          <w:tcPr>
            <w:tcW w:w="1271" w:type="pct"/>
          </w:tcPr>
          <w:p w14:paraId="557D49CD" w14:textId="33C1A9CD" w:rsidR="00E7097A" w:rsidRPr="006C4B95" w:rsidRDefault="00E7097A" w:rsidP="00CA51AC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>65</w:t>
            </w:r>
            <w:r w:rsidR="005D2F8E">
              <w:rPr>
                <w:bCs/>
              </w:rPr>
              <w:t>+</w:t>
            </w:r>
          </w:p>
        </w:tc>
        <w:tc>
          <w:tcPr>
            <w:tcW w:w="775" w:type="pct"/>
          </w:tcPr>
          <w:p w14:paraId="428519C9" w14:textId="6E902218" w:rsidR="00E7097A" w:rsidRDefault="006318E9" w:rsidP="00CA51AC">
            <w:pPr>
              <w:spacing w:after="0"/>
              <w:jc w:val="center"/>
            </w:pPr>
            <w:r>
              <w:t>10,493</w:t>
            </w:r>
          </w:p>
        </w:tc>
        <w:tc>
          <w:tcPr>
            <w:tcW w:w="564" w:type="pct"/>
          </w:tcPr>
          <w:p w14:paraId="073B0578" w14:textId="1C09E78C" w:rsidR="00E7097A" w:rsidRDefault="00E7097A" w:rsidP="00CA51AC">
            <w:pPr>
              <w:spacing w:after="0"/>
              <w:jc w:val="center"/>
            </w:pPr>
            <w:r>
              <w:t>2</w:t>
            </w:r>
            <w:r w:rsidR="006318E9">
              <w:t>8.51</w:t>
            </w:r>
            <w:r>
              <w:t>%</w:t>
            </w:r>
          </w:p>
        </w:tc>
        <w:tc>
          <w:tcPr>
            <w:tcW w:w="486" w:type="pct"/>
          </w:tcPr>
          <w:p w14:paraId="7E4D9113" w14:textId="201B5B22" w:rsidR="00E7097A" w:rsidRDefault="00776CDF" w:rsidP="00CA51AC">
            <w:pPr>
              <w:spacing w:after="0"/>
              <w:jc w:val="center"/>
            </w:pPr>
            <w:r>
              <w:t>9,061</w:t>
            </w:r>
          </w:p>
        </w:tc>
        <w:tc>
          <w:tcPr>
            <w:tcW w:w="599" w:type="pct"/>
          </w:tcPr>
          <w:p w14:paraId="00C386DC" w14:textId="70246EB6" w:rsidR="00E7097A" w:rsidRDefault="003301AC" w:rsidP="00CA51AC">
            <w:pPr>
              <w:spacing w:after="0"/>
              <w:jc w:val="center"/>
            </w:pPr>
            <w:r>
              <w:t>25.75</w:t>
            </w:r>
            <w:r w:rsidR="00E7097A">
              <w:t>%</w:t>
            </w:r>
          </w:p>
        </w:tc>
        <w:tc>
          <w:tcPr>
            <w:tcW w:w="635" w:type="pct"/>
          </w:tcPr>
          <w:p w14:paraId="68194A43" w14:textId="42FEC1B7" w:rsidR="00E7097A" w:rsidRDefault="003301AC" w:rsidP="00CA51AC">
            <w:pPr>
              <w:spacing w:after="0"/>
              <w:jc w:val="center"/>
            </w:pPr>
            <w:r>
              <w:t>9,358</w:t>
            </w:r>
          </w:p>
        </w:tc>
        <w:tc>
          <w:tcPr>
            <w:tcW w:w="669" w:type="pct"/>
          </w:tcPr>
          <w:p w14:paraId="2D42C9DA" w14:textId="3E992C1A" w:rsidR="00E7097A" w:rsidRDefault="00E7097A" w:rsidP="00CA51AC">
            <w:pPr>
              <w:spacing w:after="0"/>
              <w:jc w:val="center"/>
            </w:pPr>
            <w:r>
              <w:t>2</w:t>
            </w:r>
            <w:r w:rsidR="00CD6CD2">
              <w:t>6.56</w:t>
            </w:r>
            <w:r>
              <w:t>%</w:t>
            </w:r>
          </w:p>
        </w:tc>
      </w:tr>
      <w:tr w:rsidR="00E7097A" w14:paraId="7677FE3B" w14:textId="77777777" w:rsidTr="00897711">
        <w:trPr>
          <w:cantSplit/>
        </w:trPr>
        <w:tc>
          <w:tcPr>
            <w:tcW w:w="1271" w:type="pct"/>
          </w:tcPr>
          <w:p w14:paraId="4465EDF1" w14:textId="77777777" w:rsidR="00E7097A" w:rsidRPr="006C4B95" w:rsidRDefault="00E7097A" w:rsidP="009473EA">
            <w:pPr>
              <w:spacing w:after="0"/>
              <w:rPr>
                <w:bCs/>
              </w:rPr>
            </w:pPr>
            <w:r w:rsidRPr="006C4B95">
              <w:rPr>
                <w:bCs/>
              </w:rPr>
              <w:t xml:space="preserve">Total </w:t>
            </w:r>
          </w:p>
        </w:tc>
        <w:tc>
          <w:tcPr>
            <w:tcW w:w="775" w:type="pct"/>
          </w:tcPr>
          <w:p w14:paraId="156607DA" w14:textId="2A10EBDD" w:rsidR="00E7097A" w:rsidRDefault="00E7097A" w:rsidP="009473EA">
            <w:pPr>
              <w:spacing w:after="0"/>
              <w:jc w:val="center"/>
            </w:pPr>
            <w:r>
              <w:t>36,806</w:t>
            </w:r>
          </w:p>
        </w:tc>
        <w:tc>
          <w:tcPr>
            <w:tcW w:w="564" w:type="pct"/>
          </w:tcPr>
          <w:p w14:paraId="0647ECBF" w14:textId="6FAD74CC" w:rsidR="00E7097A" w:rsidRDefault="00E7097A" w:rsidP="009473EA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86" w:type="pct"/>
          </w:tcPr>
          <w:p w14:paraId="105217DB" w14:textId="1F82DCBD" w:rsidR="00E7097A" w:rsidRDefault="00E7097A" w:rsidP="009473EA">
            <w:pPr>
              <w:spacing w:after="0"/>
              <w:jc w:val="center"/>
            </w:pPr>
            <w:r>
              <w:t>35,182</w:t>
            </w:r>
          </w:p>
        </w:tc>
        <w:tc>
          <w:tcPr>
            <w:tcW w:w="599" w:type="pct"/>
          </w:tcPr>
          <w:p w14:paraId="3869F670" w14:textId="7A5B0145" w:rsidR="00E7097A" w:rsidRDefault="00E7097A" w:rsidP="009473EA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35" w:type="pct"/>
          </w:tcPr>
          <w:p w14:paraId="54200446" w14:textId="274FD242" w:rsidR="00E7097A" w:rsidRDefault="00E7097A" w:rsidP="009473EA">
            <w:pPr>
              <w:spacing w:after="0"/>
              <w:jc w:val="center"/>
            </w:pPr>
            <w:r>
              <w:t>35,246</w:t>
            </w:r>
          </w:p>
        </w:tc>
        <w:tc>
          <w:tcPr>
            <w:tcW w:w="669" w:type="pct"/>
          </w:tcPr>
          <w:p w14:paraId="6B50C63F" w14:textId="3C420784" w:rsidR="00E7097A" w:rsidRDefault="00E7097A" w:rsidP="009473EA">
            <w:pPr>
              <w:spacing w:after="0"/>
              <w:jc w:val="center"/>
            </w:pPr>
            <w:r>
              <w:t>100.00%</w:t>
            </w:r>
          </w:p>
        </w:tc>
      </w:tr>
    </w:tbl>
    <w:p w14:paraId="2A453E53" w14:textId="2F7EC3DB" w:rsidR="008D475D" w:rsidRPr="00C9717D" w:rsidRDefault="00C9717D" w:rsidP="00C9717D">
      <w:pPr>
        <w:rPr>
          <w:sz w:val="20"/>
        </w:rPr>
      </w:pPr>
      <w:r w:rsidRPr="00C9717D">
        <w:rPr>
          <w:sz w:val="20"/>
        </w:rPr>
        <w:t>Berkshire Health System outpatients, from the Northern Berkshire service areas, age 65</w:t>
      </w:r>
      <w:r w:rsidR="00921CB9">
        <w:rPr>
          <w:sz w:val="20"/>
        </w:rPr>
        <w:t xml:space="preserve"> and over reflect a higher percentage of its patient population (28.51%) than of the population at large (</w:t>
      </w:r>
      <w:r w:rsidRPr="00C9717D">
        <w:rPr>
          <w:sz w:val="20"/>
        </w:rPr>
        <w:t>25% of Berkshire County and 18% of the Massachusetts population</w:t>
      </w:r>
      <w:r w:rsidR="00921CB9">
        <w:rPr>
          <w:sz w:val="20"/>
        </w:rPr>
        <w:t>)</w:t>
      </w:r>
      <w:r w:rsidRPr="00C9717D">
        <w:rPr>
          <w:sz w:val="20"/>
        </w:rPr>
        <w:t xml:space="preserve">. </w:t>
      </w:r>
      <w:r w:rsidR="008D475D" w:rsidRPr="00C9717D">
        <w:rPr>
          <w:bCs/>
          <w:sz w:val="20"/>
        </w:rPr>
        <w:t xml:space="preserve"> The increased 65+ group compared to the county, along with increased severity of illness which based on the Case Mix Index, support</w:t>
      </w:r>
      <w:r w:rsidRPr="00C9717D">
        <w:rPr>
          <w:bCs/>
          <w:sz w:val="20"/>
        </w:rPr>
        <w:t>s</w:t>
      </w:r>
      <w:r w:rsidR="008D475D" w:rsidRPr="00C9717D">
        <w:rPr>
          <w:bCs/>
          <w:sz w:val="20"/>
        </w:rPr>
        <w:t xml:space="preserve"> the needs for additional inpatient and observation beds.</w:t>
      </w:r>
    </w:p>
    <w:p w14:paraId="47473521" w14:textId="2C34281F" w:rsidR="001C2A0C" w:rsidRDefault="001C2A0C" w:rsidP="001C2A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67F3F5B7" w14:textId="0873C385" w:rsidR="000C0001" w:rsidRDefault="000C0001" w:rsidP="001C2A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5C206A41" w14:textId="51F193E2" w:rsidR="000C0001" w:rsidRDefault="000C0001" w:rsidP="001C2A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BC3265C" w14:textId="15D91BA1" w:rsidR="000C0001" w:rsidRDefault="000C0001" w:rsidP="001C2A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4505BEB0" w14:textId="77777777" w:rsidR="000C0001" w:rsidRPr="001C2A0C" w:rsidRDefault="000C0001" w:rsidP="001C2A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2ED5EF3" w14:textId="37A4C5DB" w:rsidR="00726D8B" w:rsidRPr="00D62FC5" w:rsidRDefault="00726D8B" w:rsidP="00CA51A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</w:rPr>
        <w:lastRenderedPageBreak/>
        <w:t xml:space="preserve">Race  </w:t>
      </w:r>
    </w:p>
    <w:p w14:paraId="5B93A942" w14:textId="77777777" w:rsidR="00D62FC5" w:rsidRPr="00461FA3" w:rsidRDefault="00D62FC5" w:rsidP="00D62F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468"/>
        <w:gridCol w:w="1189"/>
        <w:gridCol w:w="965"/>
        <w:gridCol w:w="1189"/>
        <w:gridCol w:w="1261"/>
        <w:gridCol w:w="1330"/>
      </w:tblGrid>
      <w:tr w:rsidR="00E7097A" w14:paraId="284E9A42" w14:textId="77777777" w:rsidTr="00C521B4">
        <w:trPr>
          <w:trHeight w:val="269"/>
        </w:trPr>
        <w:tc>
          <w:tcPr>
            <w:tcW w:w="1271" w:type="pct"/>
          </w:tcPr>
          <w:p w14:paraId="19499112" w14:textId="4EBB47C7" w:rsidR="00E7097A" w:rsidRDefault="000B5D94" w:rsidP="000B5D9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739" w:type="pct"/>
          </w:tcPr>
          <w:p w14:paraId="364F26F2" w14:textId="7E10F6E7" w:rsidR="00E7097A" w:rsidRDefault="00E420F9" w:rsidP="00CA51AC">
            <w:pPr>
              <w:spacing w:after="0"/>
              <w:jc w:val="center"/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1595EFBA" w14:textId="5C669CB2" w:rsidR="00E7097A" w:rsidRDefault="00C102E4" w:rsidP="00CA51AC">
            <w:pPr>
              <w:spacing w:after="0"/>
              <w:jc w:val="center"/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341A75EF" w14:textId="5C6C7741" w:rsidR="00E7097A" w:rsidRDefault="00C102E4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762B109C" w14:textId="3A45E360" w:rsidR="00E7097A" w:rsidRDefault="00C102E4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  <w:tc>
          <w:tcPr>
            <w:tcW w:w="635" w:type="pct"/>
          </w:tcPr>
          <w:p w14:paraId="6D29391D" w14:textId="0CFCC527" w:rsidR="00E7097A" w:rsidRDefault="00C102E4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670" w:type="pct"/>
          </w:tcPr>
          <w:p w14:paraId="618104E5" w14:textId="7F8AD3A8" w:rsidR="00E7097A" w:rsidRDefault="00C102E4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</w:tr>
      <w:tr w:rsidR="00E7097A" w14:paraId="5D1D69D7" w14:textId="77777777" w:rsidTr="00C521B4">
        <w:tc>
          <w:tcPr>
            <w:tcW w:w="1271" w:type="pct"/>
          </w:tcPr>
          <w:p w14:paraId="6A809BA8" w14:textId="77777777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>American Indian/Alaska Native</w:t>
            </w:r>
          </w:p>
        </w:tc>
        <w:tc>
          <w:tcPr>
            <w:tcW w:w="739" w:type="pct"/>
          </w:tcPr>
          <w:p w14:paraId="62E07962" w14:textId="2D5BB995" w:rsidR="00E7097A" w:rsidRDefault="00E7097A" w:rsidP="00CA51AC">
            <w:pPr>
              <w:spacing w:after="0"/>
              <w:jc w:val="center"/>
            </w:pPr>
            <w:r>
              <w:t>45</w:t>
            </w:r>
          </w:p>
        </w:tc>
        <w:tc>
          <w:tcPr>
            <w:tcW w:w="599" w:type="pct"/>
          </w:tcPr>
          <w:p w14:paraId="589DA062" w14:textId="45CDC4B6" w:rsidR="00E7097A" w:rsidRDefault="00E7097A" w:rsidP="00CA51AC">
            <w:pPr>
              <w:spacing w:after="0"/>
              <w:jc w:val="center"/>
            </w:pPr>
            <w:r>
              <w:t>0.12%</w:t>
            </w:r>
          </w:p>
        </w:tc>
        <w:tc>
          <w:tcPr>
            <w:tcW w:w="486" w:type="pct"/>
          </w:tcPr>
          <w:p w14:paraId="321EAC24" w14:textId="37CEB590" w:rsidR="00E7097A" w:rsidRDefault="00E7097A" w:rsidP="00CA51AC">
            <w:pPr>
              <w:spacing w:after="0"/>
              <w:jc w:val="center"/>
            </w:pPr>
            <w:r>
              <w:t>47</w:t>
            </w:r>
          </w:p>
        </w:tc>
        <w:tc>
          <w:tcPr>
            <w:tcW w:w="599" w:type="pct"/>
          </w:tcPr>
          <w:p w14:paraId="5DBEA111" w14:textId="7FB9225B" w:rsidR="00E7097A" w:rsidRDefault="00E7097A" w:rsidP="00CA51AC">
            <w:pPr>
              <w:spacing w:after="0"/>
              <w:jc w:val="center"/>
            </w:pPr>
            <w:r>
              <w:t>0.13%</w:t>
            </w:r>
          </w:p>
        </w:tc>
        <w:tc>
          <w:tcPr>
            <w:tcW w:w="635" w:type="pct"/>
          </w:tcPr>
          <w:p w14:paraId="7535E7A8" w14:textId="5E138CBA" w:rsidR="00E7097A" w:rsidRDefault="00E7097A" w:rsidP="00CA51AC">
            <w:pPr>
              <w:spacing w:after="0"/>
              <w:jc w:val="center"/>
            </w:pPr>
            <w:r>
              <w:t>48</w:t>
            </w:r>
          </w:p>
        </w:tc>
        <w:tc>
          <w:tcPr>
            <w:tcW w:w="670" w:type="pct"/>
          </w:tcPr>
          <w:p w14:paraId="30051A1C" w14:textId="46EAB5ED" w:rsidR="00E7097A" w:rsidRDefault="00E7097A" w:rsidP="00CA51AC">
            <w:pPr>
              <w:spacing w:after="0"/>
              <w:jc w:val="center"/>
            </w:pPr>
            <w:r>
              <w:t>0.14%</w:t>
            </w:r>
          </w:p>
        </w:tc>
      </w:tr>
      <w:tr w:rsidR="00E7097A" w14:paraId="54457190" w14:textId="77777777" w:rsidTr="00C521B4">
        <w:trPr>
          <w:trHeight w:val="70"/>
        </w:trPr>
        <w:tc>
          <w:tcPr>
            <w:tcW w:w="1271" w:type="pct"/>
          </w:tcPr>
          <w:p w14:paraId="4C7243E8" w14:textId="77777777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>Asian</w:t>
            </w:r>
          </w:p>
        </w:tc>
        <w:tc>
          <w:tcPr>
            <w:tcW w:w="739" w:type="pct"/>
          </w:tcPr>
          <w:p w14:paraId="56A3FD36" w14:textId="2D7C81A5" w:rsidR="00E7097A" w:rsidRDefault="00E7097A" w:rsidP="00CA51AC">
            <w:pPr>
              <w:spacing w:after="0"/>
              <w:jc w:val="center"/>
            </w:pPr>
            <w:r>
              <w:t>307</w:t>
            </w:r>
          </w:p>
        </w:tc>
        <w:tc>
          <w:tcPr>
            <w:tcW w:w="599" w:type="pct"/>
          </w:tcPr>
          <w:p w14:paraId="6C35E9F7" w14:textId="35BCF756" w:rsidR="00E7097A" w:rsidRDefault="00E7097A" w:rsidP="00CA51AC">
            <w:pPr>
              <w:spacing w:after="0"/>
              <w:jc w:val="center"/>
            </w:pPr>
            <w:r>
              <w:t>0.83%</w:t>
            </w:r>
          </w:p>
        </w:tc>
        <w:tc>
          <w:tcPr>
            <w:tcW w:w="486" w:type="pct"/>
          </w:tcPr>
          <w:p w14:paraId="6B5D9167" w14:textId="1FDCC1A4" w:rsidR="00E7097A" w:rsidRDefault="00E7097A" w:rsidP="00CA51AC">
            <w:pPr>
              <w:spacing w:after="0"/>
              <w:jc w:val="center"/>
            </w:pPr>
            <w:r>
              <w:t>366</w:t>
            </w:r>
          </w:p>
        </w:tc>
        <w:tc>
          <w:tcPr>
            <w:tcW w:w="599" w:type="pct"/>
          </w:tcPr>
          <w:p w14:paraId="7FA0132D" w14:textId="6CB231B8" w:rsidR="00E7097A" w:rsidRDefault="00E7097A" w:rsidP="00CA51AC">
            <w:pPr>
              <w:spacing w:after="0"/>
              <w:jc w:val="center"/>
            </w:pPr>
            <w:r>
              <w:t>1.04%</w:t>
            </w:r>
          </w:p>
        </w:tc>
        <w:tc>
          <w:tcPr>
            <w:tcW w:w="635" w:type="pct"/>
          </w:tcPr>
          <w:p w14:paraId="3B0CA1CE" w14:textId="3CD9350B" w:rsidR="00E7097A" w:rsidRDefault="00E7097A" w:rsidP="00CA51AC">
            <w:pPr>
              <w:spacing w:after="0"/>
              <w:jc w:val="center"/>
            </w:pPr>
            <w:r>
              <w:t>387</w:t>
            </w:r>
          </w:p>
        </w:tc>
        <w:tc>
          <w:tcPr>
            <w:tcW w:w="670" w:type="pct"/>
          </w:tcPr>
          <w:p w14:paraId="6EA82A6F" w14:textId="7E039CAA" w:rsidR="00E7097A" w:rsidRDefault="00E7097A" w:rsidP="00CA51AC">
            <w:pPr>
              <w:spacing w:after="0"/>
              <w:jc w:val="center"/>
            </w:pPr>
            <w:r>
              <w:t>1.10%</w:t>
            </w:r>
          </w:p>
        </w:tc>
      </w:tr>
      <w:tr w:rsidR="00E7097A" w14:paraId="54E4E865" w14:textId="77777777" w:rsidTr="00C521B4">
        <w:tc>
          <w:tcPr>
            <w:tcW w:w="1271" w:type="pct"/>
          </w:tcPr>
          <w:p w14:paraId="07228A97" w14:textId="77777777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>Black/African American</w:t>
            </w:r>
          </w:p>
        </w:tc>
        <w:tc>
          <w:tcPr>
            <w:tcW w:w="739" w:type="pct"/>
          </w:tcPr>
          <w:p w14:paraId="532B7E33" w14:textId="02624EC3" w:rsidR="00E7097A" w:rsidRDefault="00E7097A" w:rsidP="00CA51AC">
            <w:pPr>
              <w:spacing w:after="0"/>
              <w:jc w:val="center"/>
            </w:pPr>
            <w:r>
              <w:t>899</w:t>
            </w:r>
          </w:p>
        </w:tc>
        <w:tc>
          <w:tcPr>
            <w:tcW w:w="599" w:type="pct"/>
          </w:tcPr>
          <w:p w14:paraId="46953EF9" w14:textId="348CB929" w:rsidR="00E7097A" w:rsidRDefault="00E7097A" w:rsidP="00CA51AC">
            <w:pPr>
              <w:spacing w:after="0"/>
              <w:jc w:val="center"/>
            </w:pPr>
            <w:r>
              <w:t>2.44%</w:t>
            </w:r>
          </w:p>
        </w:tc>
        <w:tc>
          <w:tcPr>
            <w:tcW w:w="486" w:type="pct"/>
          </w:tcPr>
          <w:p w14:paraId="669DA521" w14:textId="547169B1" w:rsidR="00E7097A" w:rsidRDefault="00E7097A" w:rsidP="00CA51AC">
            <w:pPr>
              <w:spacing w:after="0"/>
              <w:jc w:val="center"/>
            </w:pPr>
            <w:r>
              <w:t>920</w:t>
            </w:r>
          </w:p>
        </w:tc>
        <w:tc>
          <w:tcPr>
            <w:tcW w:w="599" w:type="pct"/>
          </w:tcPr>
          <w:p w14:paraId="48D4D88D" w14:textId="0CCBAA5D" w:rsidR="00E7097A" w:rsidRDefault="00E7097A" w:rsidP="00CA51AC">
            <w:pPr>
              <w:spacing w:after="0"/>
              <w:jc w:val="center"/>
            </w:pPr>
            <w:r>
              <w:t>2.61%</w:t>
            </w:r>
          </w:p>
        </w:tc>
        <w:tc>
          <w:tcPr>
            <w:tcW w:w="635" w:type="pct"/>
          </w:tcPr>
          <w:p w14:paraId="288472D7" w14:textId="054834D8" w:rsidR="00E7097A" w:rsidRDefault="00E7097A" w:rsidP="00CA51AC">
            <w:pPr>
              <w:spacing w:after="0"/>
              <w:jc w:val="center"/>
            </w:pPr>
            <w:r>
              <w:t>926</w:t>
            </w:r>
          </w:p>
        </w:tc>
        <w:tc>
          <w:tcPr>
            <w:tcW w:w="670" w:type="pct"/>
          </w:tcPr>
          <w:p w14:paraId="7C365EDE" w14:textId="5C42122D" w:rsidR="00E7097A" w:rsidRDefault="00E7097A" w:rsidP="00CA51AC">
            <w:pPr>
              <w:spacing w:after="0"/>
              <w:jc w:val="center"/>
            </w:pPr>
            <w:r>
              <w:t>2.63%</w:t>
            </w:r>
          </w:p>
        </w:tc>
      </w:tr>
      <w:tr w:rsidR="00E7097A" w14:paraId="45850880" w14:textId="77777777" w:rsidTr="00C521B4">
        <w:tc>
          <w:tcPr>
            <w:tcW w:w="1271" w:type="pct"/>
          </w:tcPr>
          <w:p w14:paraId="39FCC0BB" w14:textId="77777777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>White/Caucasian</w:t>
            </w:r>
          </w:p>
        </w:tc>
        <w:tc>
          <w:tcPr>
            <w:tcW w:w="739" w:type="pct"/>
          </w:tcPr>
          <w:p w14:paraId="307A8ACB" w14:textId="47C3058B" w:rsidR="00E7097A" w:rsidRDefault="00E7097A" w:rsidP="00CA51AC">
            <w:pPr>
              <w:spacing w:after="0"/>
              <w:jc w:val="center"/>
            </w:pPr>
            <w:r>
              <w:t>33,779</w:t>
            </w:r>
          </w:p>
        </w:tc>
        <w:tc>
          <w:tcPr>
            <w:tcW w:w="599" w:type="pct"/>
          </w:tcPr>
          <w:p w14:paraId="682B64D0" w14:textId="6F6A61ED" w:rsidR="00E7097A" w:rsidRDefault="004834FE" w:rsidP="00CA51AC">
            <w:pPr>
              <w:spacing w:after="0"/>
              <w:jc w:val="center"/>
            </w:pPr>
            <w:r>
              <w:t>91.77</w:t>
            </w:r>
            <w:r w:rsidR="00E7097A">
              <w:t>%</w:t>
            </w:r>
          </w:p>
        </w:tc>
        <w:tc>
          <w:tcPr>
            <w:tcW w:w="486" w:type="pct"/>
          </w:tcPr>
          <w:p w14:paraId="63C75BF2" w14:textId="1A3B45D0" w:rsidR="00E7097A" w:rsidRDefault="00E7097A" w:rsidP="00CA51AC">
            <w:pPr>
              <w:spacing w:after="0"/>
              <w:jc w:val="center"/>
            </w:pPr>
            <w:r>
              <w:t>31,621</w:t>
            </w:r>
          </w:p>
        </w:tc>
        <w:tc>
          <w:tcPr>
            <w:tcW w:w="599" w:type="pct"/>
          </w:tcPr>
          <w:p w14:paraId="721F51B1" w14:textId="213C40C1" w:rsidR="00E7097A" w:rsidRDefault="00E7097A" w:rsidP="00CA51AC">
            <w:pPr>
              <w:spacing w:after="0"/>
              <w:jc w:val="center"/>
            </w:pPr>
            <w:r>
              <w:t>89.88%</w:t>
            </w:r>
          </w:p>
        </w:tc>
        <w:tc>
          <w:tcPr>
            <w:tcW w:w="635" w:type="pct"/>
          </w:tcPr>
          <w:p w14:paraId="368DDA07" w14:textId="07B91902" w:rsidR="00E7097A" w:rsidRDefault="00E7097A" w:rsidP="00CA51AC">
            <w:pPr>
              <w:spacing w:after="0"/>
              <w:jc w:val="center"/>
            </w:pPr>
            <w:r>
              <w:t>31,389</w:t>
            </w:r>
          </w:p>
        </w:tc>
        <w:tc>
          <w:tcPr>
            <w:tcW w:w="670" w:type="pct"/>
          </w:tcPr>
          <w:p w14:paraId="7AF21994" w14:textId="1560E626" w:rsidR="00E7097A" w:rsidRDefault="00E7097A" w:rsidP="00CA51AC">
            <w:pPr>
              <w:spacing w:after="0"/>
              <w:jc w:val="center"/>
            </w:pPr>
            <w:r>
              <w:t>89.06%</w:t>
            </w:r>
          </w:p>
        </w:tc>
      </w:tr>
      <w:tr w:rsidR="00E7097A" w14:paraId="4E9D52F3" w14:textId="77777777" w:rsidTr="00C521B4">
        <w:tc>
          <w:tcPr>
            <w:tcW w:w="1271" w:type="pct"/>
          </w:tcPr>
          <w:p w14:paraId="1BA3EE65" w14:textId="77777777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>Other</w:t>
            </w:r>
          </w:p>
        </w:tc>
        <w:tc>
          <w:tcPr>
            <w:tcW w:w="739" w:type="pct"/>
          </w:tcPr>
          <w:p w14:paraId="7AFD4EA3" w14:textId="0F4E1FE3" w:rsidR="00E7097A" w:rsidRDefault="00E7097A" w:rsidP="00CA51AC">
            <w:pPr>
              <w:spacing w:after="0"/>
              <w:jc w:val="center"/>
            </w:pPr>
            <w:r>
              <w:t>4</w:t>
            </w:r>
            <w:r w:rsidR="00C521B4">
              <w:t>94</w:t>
            </w:r>
          </w:p>
        </w:tc>
        <w:tc>
          <w:tcPr>
            <w:tcW w:w="599" w:type="pct"/>
          </w:tcPr>
          <w:p w14:paraId="62BEBB06" w14:textId="33B7609E" w:rsidR="00E7097A" w:rsidRDefault="004834FE" w:rsidP="00CA51AC">
            <w:pPr>
              <w:spacing w:after="0"/>
              <w:jc w:val="center"/>
            </w:pPr>
            <w:r>
              <w:t>1.34</w:t>
            </w:r>
            <w:r w:rsidR="00E7097A">
              <w:t>%</w:t>
            </w:r>
          </w:p>
        </w:tc>
        <w:tc>
          <w:tcPr>
            <w:tcW w:w="486" w:type="pct"/>
          </w:tcPr>
          <w:p w14:paraId="4A19C01A" w14:textId="2B304435" w:rsidR="00E7097A" w:rsidRDefault="00E7097A" w:rsidP="00CA51AC">
            <w:pPr>
              <w:spacing w:after="0"/>
              <w:jc w:val="center"/>
            </w:pPr>
            <w:r>
              <w:t>5</w:t>
            </w:r>
            <w:r w:rsidR="00C521B4">
              <w:t>56</w:t>
            </w:r>
          </w:p>
        </w:tc>
        <w:tc>
          <w:tcPr>
            <w:tcW w:w="599" w:type="pct"/>
          </w:tcPr>
          <w:p w14:paraId="58EB8700" w14:textId="5E267040" w:rsidR="00E7097A" w:rsidRDefault="004834FE" w:rsidP="00CA51AC">
            <w:pPr>
              <w:spacing w:after="0"/>
              <w:jc w:val="center"/>
            </w:pPr>
            <w:r>
              <w:t>1.58</w:t>
            </w:r>
            <w:r w:rsidR="00E7097A">
              <w:t>%</w:t>
            </w:r>
          </w:p>
        </w:tc>
        <w:tc>
          <w:tcPr>
            <w:tcW w:w="635" w:type="pct"/>
          </w:tcPr>
          <w:p w14:paraId="5EA6F7DF" w14:textId="4CC5C551" w:rsidR="00E7097A" w:rsidRDefault="00E7097A" w:rsidP="00CA51AC">
            <w:pPr>
              <w:spacing w:after="0"/>
              <w:jc w:val="center"/>
            </w:pPr>
            <w:r>
              <w:t>5</w:t>
            </w:r>
            <w:r w:rsidR="00C521B4">
              <w:t>7</w:t>
            </w:r>
            <w:r>
              <w:t>4</w:t>
            </w:r>
          </w:p>
        </w:tc>
        <w:tc>
          <w:tcPr>
            <w:tcW w:w="670" w:type="pct"/>
          </w:tcPr>
          <w:p w14:paraId="467FFCEE" w14:textId="206F3D4D" w:rsidR="00E7097A" w:rsidRDefault="00E7097A" w:rsidP="004834FE">
            <w:pPr>
              <w:spacing w:after="0"/>
              <w:jc w:val="center"/>
            </w:pPr>
            <w:r>
              <w:t>1.6</w:t>
            </w:r>
            <w:r w:rsidR="004834FE">
              <w:t>3</w:t>
            </w:r>
            <w:r>
              <w:t>%</w:t>
            </w:r>
          </w:p>
        </w:tc>
      </w:tr>
      <w:tr w:rsidR="00E7097A" w14:paraId="37C71BCB" w14:textId="77777777" w:rsidTr="00C521B4">
        <w:tc>
          <w:tcPr>
            <w:tcW w:w="1271" w:type="pct"/>
          </w:tcPr>
          <w:p w14:paraId="0484164A" w14:textId="77777777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 xml:space="preserve">Refused/Unknown </w:t>
            </w:r>
          </w:p>
        </w:tc>
        <w:tc>
          <w:tcPr>
            <w:tcW w:w="739" w:type="pct"/>
          </w:tcPr>
          <w:p w14:paraId="5A57B879" w14:textId="11F14936" w:rsidR="00E7097A" w:rsidRDefault="00E7097A" w:rsidP="00CA51AC">
            <w:pPr>
              <w:spacing w:after="0"/>
              <w:jc w:val="center"/>
            </w:pPr>
            <w:r>
              <w:t>1,283</w:t>
            </w:r>
          </w:p>
        </w:tc>
        <w:tc>
          <w:tcPr>
            <w:tcW w:w="599" w:type="pct"/>
          </w:tcPr>
          <w:p w14:paraId="724CDE82" w14:textId="0F4376A9" w:rsidR="00E7097A" w:rsidRDefault="004834FE" w:rsidP="00CA51AC">
            <w:pPr>
              <w:spacing w:after="0"/>
              <w:jc w:val="center"/>
            </w:pPr>
            <w:r>
              <w:t>3.49</w:t>
            </w:r>
            <w:r w:rsidR="00E7097A">
              <w:t>%</w:t>
            </w:r>
          </w:p>
        </w:tc>
        <w:tc>
          <w:tcPr>
            <w:tcW w:w="486" w:type="pct"/>
          </w:tcPr>
          <w:p w14:paraId="0A01184B" w14:textId="515398DE" w:rsidR="00E7097A" w:rsidRDefault="00E7097A" w:rsidP="00CA51AC">
            <w:pPr>
              <w:spacing w:after="0"/>
              <w:jc w:val="center"/>
            </w:pPr>
            <w:r>
              <w:t>1,672</w:t>
            </w:r>
          </w:p>
        </w:tc>
        <w:tc>
          <w:tcPr>
            <w:tcW w:w="599" w:type="pct"/>
          </w:tcPr>
          <w:p w14:paraId="670D9A7C" w14:textId="0D698C2C" w:rsidR="00E7097A" w:rsidRDefault="00E7097A" w:rsidP="00CA51AC">
            <w:pPr>
              <w:spacing w:after="0"/>
              <w:jc w:val="center"/>
            </w:pPr>
            <w:r>
              <w:t>4.75%</w:t>
            </w:r>
          </w:p>
        </w:tc>
        <w:tc>
          <w:tcPr>
            <w:tcW w:w="635" w:type="pct"/>
          </w:tcPr>
          <w:p w14:paraId="0FEC6B74" w14:textId="40827EAF" w:rsidR="00E7097A" w:rsidRDefault="00E7097A" w:rsidP="00CA51AC">
            <w:pPr>
              <w:spacing w:after="0"/>
              <w:jc w:val="center"/>
            </w:pPr>
            <w:r>
              <w:t>1,922</w:t>
            </w:r>
          </w:p>
        </w:tc>
        <w:tc>
          <w:tcPr>
            <w:tcW w:w="670" w:type="pct"/>
          </w:tcPr>
          <w:p w14:paraId="7BE303E6" w14:textId="3ABF5A28" w:rsidR="00E7097A" w:rsidRDefault="00E7097A" w:rsidP="00CA51AC">
            <w:pPr>
              <w:spacing w:after="0"/>
              <w:jc w:val="center"/>
            </w:pPr>
            <w:r>
              <w:t>5.45%</w:t>
            </w:r>
          </w:p>
        </w:tc>
      </w:tr>
      <w:tr w:rsidR="00E7097A" w14:paraId="7D253ECD" w14:textId="77777777" w:rsidTr="00C521B4">
        <w:tc>
          <w:tcPr>
            <w:tcW w:w="1271" w:type="pct"/>
          </w:tcPr>
          <w:p w14:paraId="6C8208BE" w14:textId="77777777" w:rsidR="00E7097A" w:rsidRPr="00C228B2" w:rsidRDefault="00E7097A" w:rsidP="009473EA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 xml:space="preserve">Total </w:t>
            </w:r>
          </w:p>
        </w:tc>
        <w:tc>
          <w:tcPr>
            <w:tcW w:w="739" w:type="pct"/>
          </w:tcPr>
          <w:p w14:paraId="53966499" w14:textId="1EC0EFFB" w:rsidR="00E7097A" w:rsidRDefault="00E7097A" w:rsidP="004834FE">
            <w:pPr>
              <w:spacing w:after="0"/>
              <w:jc w:val="center"/>
            </w:pPr>
            <w:r>
              <w:t>36,80</w:t>
            </w:r>
            <w:r w:rsidR="004834FE">
              <w:t>7</w:t>
            </w:r>
          </w:p>
        </w:tc>
        <w:tc>
          <w:tcPr>
            <w:tcW w:w="599" w:type="pct"/>
          </w:tcPr>
          <w:p w14:paraId="4B9E19EC" w14:textId="0A21B554" w:rsidR="00E7097A" w:rsidRDefault="00E7097A" w:rsidP="009473EA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486" w:type="pct"/>
          </w:tcPr>
          <w:p w14:paraId="0B55527F" w14:textId="6DE36062" w:rsidR="00E7097A" w:rsidRDefault="00E7097A" w:rsidP="009473EA">
            <w:pPr>
              <w:spacing w:after="0"/>
              <w:jc w:val="center"/>
            </w:pPr>
            <w:r>
              <w:t>35,182</w:t>
            </w:r>
          </w:p>
        </w:tc>
        <w:tc>
          <w:tcPr>
            <w:tcW w:w="599" w:type="pct"/>
          </w:tcPr>
          <w:p w14:paraId="634A8ADB" w14:textId="5CFFE49A" w:rsidR="00E7097A" w:rsidRDefault="00E7097A" w:rsidP="009473EA">
            <w:pPr>
              <w:spacing w:after="0"/>
              <w:jc w:val="center"/>
            </w:pPr>
            <w:r>
              <w:t>100.00%</w:t>
            </w:r>
          </w:p>
        </w:tc>
        <w:tc>
          <w:tcPr>
            <w:tcW w:w="635" w:type="pct"/>
          </w:tcPr>
          <w:p w14:paraId="3DBDE0A8" w14:textId="227D41CC" w:rsidR="00E7097A" w:rsidRDefault="00E7097A" w:rsidP="009473EA">
            <w:pPr>
              <w:spacing w:after="0"/>
              <w:jc w:val="center"/>
            </w:pPr>
            <w:r>
              <w:t>35,246</w:t>
            </w:r>
          </w:p>
        </w:tc>
        <w:tc>
          <w:tcPr>
            <w:tcW w:w="670" w:type="pct"/>
          </w:tcPr>
          <w:p w14:paraId="3860527E" w14:textId="3A51F9BD" w:rsidR="00E7097A" w:rsidRDefault="00E7097A" w:rsidP="009473EA">
            <w:pPr>
              <w:spacing w:after="0"/>
              <w:jc w:val="center"/>
            </w:pPr>
            <w:r>
              <w:t>100.00%</w:t>
            </w:r>
          </w:p>
        </w:tc>
      </w:tr>
      <w:tr w:rsidR="00A14924" w14:paraId="394DD198" w14:textId="77777777" w:rsidTr="00C521B4">
        <w:tc>
          <w:tcPr>
            <w:tcW w:w="1271" w:type="pct"/>
          </w:tcPr>
          <w:p w14:paraId="1EC89A79" w14:textId="4B4EB6A5" w:rsidR="00A14924" w:rsidRPr="00C228B2" w:rsidRDefault="00A14924" w:rsidP="009473EA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>Hispanic Ethnicity</w:t>
            </w:r>
          </w:p>
        </w:tc>
        <w:tc>
          <w:tcPr>
            <w:tcW w:w="739" w:type="pct"/>
          </w:tcPr>
          <w:p w14:paraId="10DAE64E" w14:textId="3957CFFB" w:rsidR="00A14924" w:rsidRDefault="000E7228" w:rsidP="009473EA">
            <w:pPr>
              <w:spacing w:after="0"/>
              <w:jc w:val="center"/>
            </w:pPr>
            <w:r>
              <w:t>652</w:t>
            </w:r>
          </w:p>
        </w:tc>
        <w:tc>
          <w:tcPr>
            <w:tcW w:w="599" w:type="pct"/>
          </w:tcPr>
          <w:p w14:paraId="38C209B7" w14:textId="732BAE3B" w:rsidR="00A14924" w:rsidRDefault="00892F24" w:rsidP="009473EA">
            <w:pPr>
              <w:spacing w:after="0"/>
              <w:jc w:val="center"/>
            </w:pPr>
            <w:r>
              <w:t>1.77%</w:t>
            </w:r>
          </w:p>
        </w:tc>
        <w:tc>
          <w:tcPr>
            <w:tcW w:w="486" w:type="pct"/>
          </w:tcPr>
          <w:p w14:paraId="06FB80FC" w14:textId="50135284" w:rsidR="00A14924" w:rsidRDefault="0066676F" w:rsidP="009473EA">
            <w:pPr>
              <w:spacing w:after="0"/>
              <w:jc w:val="center"/>
            </w:pPr>
            <w:r>
              <w:t>704</w:t>
            </w:r>
          </w:p>
        </w:tc>
        <w:tc>
          <w:tcPr>
            <w:tcW w:w="599" w:type="pct"/>
          </w:tcPr>
          <w:p w14:paraId="798FEC4E" w14:textId="1A4A5843" w:rsidR="00A14924" w:rsidRDefault="00A56C17" w:rsidP="009473EA">
            <w:pPr>
              <w:spacing w:after="0"/>
              <w:jc w:val="center"/>
            </w:pPr>
            <w:r>
              <w:t>2.11%</w:t>
            </w:r>
          </w:p>
        </w:tc>
        <w:tc>
          <w:tcPr>
            <w:tcW w:w="635" w:type="pct"/>
          </w:tcPr>
          <w:p w14:paraId="21696559" w14:textId="7BD0274C" w:rsidR="00A14924" w:rsidRDefault="00C2005E" w:rsidP="009473EA">
            <w:pPr>
              <w:spacing w:after="0"/>
              <w:jc w:val="center"/>
            </w:pPr>
            <w:r>
              <w:t>740</w:t>
            </w:r>
          </w:p>
        </w:tc>
        <w:tc>
          <w:tcPr>
            <w:tcW w:w="670" w:type="pct"/>
          </w:tcPr>
          <w:p w14:paraId="6361C84B" w14:textId="5BAAD9DA" w:rsidR="00A14924" w:rsidRDefault="00520746" w:rsidP="009473EA">
            <w:pPr>
              <w:spacing w:after="0"/>
              <w:jc w:val="center"/>
            </w:pPr>
            <w:r>
              <w:t>2.10%</w:t>
            </w:r>
          </w:p>
        </w:tc>
      </w:tr>
    </w:tbl>
    <w:p w14:paraId="20A188D6" w14:textId="6CE56EDD" w:rsidR="00C228B2" w:rsidRPr="008F66F1" w:rsidRDefault="00147787" w:rsidP="00C228B2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For </w:t>
      </w:r>
      <w:r w:rsidR="004834FE" w:rsidRPr="00CB6A72">
        <w:rPr>
          <w:bCs/>
          <w:sz w:val="20"/>
          <w:szCs w:val="20"/>
        </w:rPr>
        <w:t>confidentiali</w:t>
      </w:r>
      <w:r>
        <w:rPr>
          <w:bCs/>
          <w:sz w:val="20"/>
          <w:szCs w:val="20"/>
        </w:rPr>
        <w:t xml:space="preserve">ty, “Other” includes all races </w:t>
      </w:r>
      <w:r w:rsidR="004834FE" w:rsidRPr="00CB6A72">
        <w:rPr>
          <w:bCs/>
          <w:sz w:val="20"/>
          <w:szCs w:val="20"/>
        </w:rPr>
        <w:t>not separately listed which all had patient counts less than 11</w:t>
      </w:r>
      <w:r>
        <w:rPr>
          <w:bCs/>
          <w:sz w:val="20"/>
          <w:szCs w:val="20"/>
        </w:rPr>
        <w:t xml:space="preserve">, patients who use </w:t>
      </w:r>
      <w:r w:rsidR="006B5295">
        <w:rPr>
          <w:bCs/>
          <w:sz w:val="20"/>
          <w:szCs w:val="20"/>
        </w:rPr>
        <w:t>“Other” to</w:t>
      </w:r>
      <w:r>
        <w:rPr>
          <w:bCs/>
          <w:sz w:val="20"/>
          <w:szCs w:val="20"/>
        </w:rPr>
        <w:t xml:space="preserve"> </w:t>
      </w:r>
      <w:r w:rsidRPr="00CB6A72">
        <w:rPr>
          <w:bCs/>
          <w:sz w:val="20"/>
          <w:szCs w:val="20"/>
        </w:rPr>
        <w:t xml:space="preserve">represent </w:t>
      </w:r>
      <w:r>
        <w:rPr>
          <w:bCs/>
          <w:sz w:val="20"/>
          <w:szCs w:val="20"/>
        </w:rPr>
        <w:t xml:space="preserve">multiracial, or </w:t>
      </w:r>
      <w:r w:rsidR="00861183">
        <w:rPr>
          <w:bCs/>
          <w:sz w:val="20"/>
          <w:szCs w:val="20"/>
        </w:rPr>
        <w:t>patients who</w:t>
      </w:r>
      <w:r>
        <w:rPr>
          <w:bCs/>
          <w:sz w:val="20"/>
          <w:szCs w:val="20"/>
        </w:rPr>
        <w:t xml:space="preserve"> </w:t>
      </w:r>
      <w:r w:rsidRPr="00147787">
        <w:rPr>
          <w:bCs/>
          <w:sz w:val="20"/>
          <w:szCs w:val="20"/>
        </w:rPr>
        <w:t>do not wish to choose one of the listed options</w:t>
      </w:r>
      <w:r w:rsidRPr="00F06100">
        <w:rPr>
          <w:bCs/>
          <w:sz w:val="20"/>
          <w:szCs w:val="20"/>
        </w:rPr>
        <w:t xml:space="preserve">.  </w:t>
      </w:r>
      <w:r w:rsidR="00271E28" w:rsidRPr="008F66F1">
        <w:rPr>
          <w:bCs/>
          <w:sz w:val="20"/>
          <w:szCs w:val="20"/>
        </w:rPr>
        <w:t xml:space="preserve">Hispanic Ethnicity is captured </w:t>
      </w:r>
      <w:r w:rsidR="00271E28">
        <w:rPr>
          <w:bCs/>
          <w:sz w:val="20"/>
          <w:szCs w:val="20"/>
        </w:rPr>
        <w:t xml:space="preserve">separately from the </w:t>
      </w:r>
      <w:r w:rsidR="00271E28" w:rsidRPr="008F66F1">
        <w:rPr>
          <w:bCs/>
          <w:sz w:val="20"/>
          <w:szCs w:val="20"/>
        </w:rPr>
        <w:t>races listed</w:t>
      </w:r>
      <w:r w:rsidR="00271E28">
        <w:rPr>
          <w:bCs/>
          <w:sz w:val="20"/>
          <w:szCs w:val="20"/>
        </w:rPr>
        <w:t xml:space="preserve"> and would be combined with any of the races listed above.</w:t>
      </w:r>
      <w:r w:rsidR="00C228B2">
        <w:rPr>
          <w:bCs/>
          <w:sz w:val="20"/>
          <w:szCs w:val="20"/>
        </w:rPr>
        <w:t xml:space="preserve"> The </w:t>
      </w:r>
      <w:r w:rsidR="005837ED">
        <w:rPr>
          <w:bCs/>
          <w:sz w:val="20"/>
          <w:szCs w:val="20"/>
        </w:rPr>
        <w:t xml:space="preserve">Hispanic Ethnicity of the </w:t>
      </w:r>
      <w:r w:rsidR="00C228B2">
        <w:rPr>
          <w:bCs/>
          <w:sz w:val="20"/>
          <w:szCs w:val="20"/>
        </w:rPr>
        <w:t xml:space="preserve">population of the towns in Northern Berkshire County range from 0% to 6% based on data </w:t>
      </w:r>
      <w:r w:rsidR="00C228B2" w:rsidRPr="00C228B2">
        <w:rPr>
          <w:bCs/>
          <w:sz w:val="20"/>
          <w:szCs w:val="20"/>
        </w:rPr>
        <w:t xml:space="preserve">from </w:t>
      </w:r>
      <w:r w:rsidR="00C228B2" w:rsidRPr="00C228B2">
        <w:rPr>
          <w:sz w:val="20"/>
          <w:szCs w:val="20"/>
        </w:rPr>
        <w:t>US Census, ACS, 2017-2021, Table S0601</w:t>
      </w:r>
      <w:r w:rsidR="00C228B2">
        <w:rPr>
          <w:sz w:val="20"/>
          <w:szCs w:val="20"/>
        </w:rPr>
        <w:t>.</w:t>
      </w:r>
      <w:r w:rsidR="00B41566">
        <w:rPr>
          <w:sz w:val="20"/>
          <w:szCs w:val="20"/>
        </w:rPr>
        <w:t xml:space="preserve"> </w:t>
      </w:r>
    </w:p>
    <w:p w14:paraId="1FB40631" w14:textId="700B47D1" w:rsidR="00271E28" w:rsidRPr="008F66F1" w:rsidRDefault="00271E28" w:rsidP="00271E28">
      <w:pPr>
        <w:spacing w:after="0"/>
        <w:rPr>
          <w:bCs/>
          <w:sz w:val="20"/>
          <w:szCs w:val="20"/>
        </w:rPr>
      </w:pPr>
    </w:p>
    <w:p w14:paraId="75F088CF" w14:textId="77777777" w:rsidR="00461FA3" w:rsidRPr="00384FD6" w:rsidRDefault="00461FA3" w:rsidP="00911ED0">
      <w:pPr>
        <w:spacing w:after="0"/>
        <w:rPr>
          <w:bCs/>
        </w:rPr>
      </w:pPr>
    </w:p>
    <w:p w14:paraId="1A921014" w14:textId="77777777" w:rsidR="00726D8B" w:rsidRPr="00D62FC5" w:rsidRDefault="00726D8B" w:rsidP="00CA51A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042192">
        <w:rPr>
          <w:b/>
        </w:rPr>
        <w:t>Payer Mix (by count and percentage)</w:t>
      </w:r>
      <w:r>
        <w:rPr>
          <w:b/>
        </w:rPr>
        <w:t xml:space="preserve">  </w:t>
      </w:r>
    </w:p>
    <w:p w14:paraId="58DD47CC" w14:textId="77777777" w:rsidR="00D62FC5" w:rsidRPr="00461FA3" w:rsidRDefault="00D62FC5" w:rsidP="00D62FC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4"/>
        <w:gridCol w:w="1468"/>
        <w:gridCol w:w="1189"/>
        <w:gridCol w:w="965"/>
        <w:gridCol w:w="1189"/>
        <w:gridCol w:w="1261"/>
        <w:gridCol w:w="1330"/>
      </w:tblGrid>
      <w:tr w:rsidR="00E7097A" w14:paraId="6BDFAC86" w14:textId="77777777" w:rsidTr="00F05188">
        <w:trPr>
          <w:trHeight w:val="332"/>
        </w:trPr>
        <w:tc>
          <w:tcPr>
            <w:tcW w:w="1271" w:type="pct"/>
          </w:tcPr>
          <w:p w14:paraId="454B538C" w14:textId="18F43617" w:rsidR="00E7097A" w:rsidRPr="00357164" w:rsidRDefault="00454C0E" w:rsidP="00454C0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Payer Mix</w:t>
            </w:r>
          </w:p>
        </w:tc>
        <w:tc>
          <w:tcPr>
            <w:tcW w:w="739" w:type="pct"/>
          </w:tcPr>
          <w:p w14:paraId="75D0E8D0" w14:textId="6C8FC51F" w:rsidR="00E7097A" w:rsidRPr="00357164" w:rsidRDefault="0087439F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6A807449" w14:textId="6B91C263" w:rsidR="00E7097A" w:rsidRPr="00357164" w:rsidRDefault="0087439F" w:rsidP="00CA51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FY20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  <w:tc>
          <w:tcPr>
            <w:tcW w:w="486" w:type="pct"/>
          </w:tcPr>
          <w:p w14:paraId="5CFA171E" w14:textId="5E5CAA73" w:rsidR="00E7097A" w:rsidRDefault="0087439F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599" w:type="pct"/>
          </w:tcPr>
          <w:p w14:paraId="0155CABF" w14:textId="3B85E67C" w:rsidR="00E7097A" w:rsidRDefault="001870C6" w:rsidP="00CA51AC">
            <w:pPr>
              <w:spacing w:after="0"/>
              <w:jc w:val="center"/>
            </w:pPr>
            <w:r>
              <w:rPr>
                <w:b/>
              </w:rPr>
              <w:t>FY21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  <w:tc>
          <w:tcPr>
            <w:tcW w:w="635" w:type="pct"/>
          </w:tcPr>
          <w:p w14:paraId="534FA3A1" w14:textId="14DDAA23" w:rsidR="00E7097A" w:rsidRDefault="001870C6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Number</w:t>
            </w:r>
          </w:p>
        </w:tc>
        <w:tc>
          <w:tcPr>
            <w:tcW w:w="670" w:type="pct"/>
          </w:tcPr>
          <w:p w14:paraId="314531B4" w14:textId="436CAA0C" w:rsidR="00E7097A" w:rsidRDefault="00F05188" w:rsidP="00CA51AC">
            <w:pPr>
              <w:spacing w:after="0"/>
              <w:jc w:val="center"/>
            </w:pPr>
            <w:r>
              <w:rPr>
                <w:b/>
              </w:rPr>
              <w:t>FY22</w:t>
            </w:r>
            <w:r>
              <w:rPr>
                <w:b/>
              </w:rPr>
              <w:t xml:space="preserve"> </w:t>
            </w:r>
            <w:r w:rsidR="00E7097A" w:rsidRPr="00357164">
              <w:rPr>
                <w:b/>
                <w:bCs/>
              </w:rPr>
              <w:t>Percent</w:t>
            </w:r>
          </w:p>
        </w:tc>
      </w:tr>
      <w:tr w:rsidR="00E7097A" w14:paraId="23A076D2" w14:textId="77777777" w:rsidTr="00F05188">
        <w:tc>
          <w:tcPr>
            <w:tcW w:w="1271" w:type="pct"/>
          </w:tcPr>
          <w:p w14:paraId="7EEA8424" w14:textId="77777777" w:rsidR="00E7097A" w:rsidRPr="00C228B2" w:rsidRDefault="00E7097A" w:rsidP="00406CD1">
            <w:pPr>
              <w:spacing w:after="0"/>
              <w:rPr>
                <w:bCs/>
              </w:rPr>
            </w:pPr>
            <w:r w:rsidRPr="00C228B2">
              <w:rPr>
                <w:bCs/>
                <w:sz w:val="20"/>
                <w:szCs w:val="20"/>
              </w:rPr>
              <w:t>Public/Medicaid/Medicaid MC</w:t>
            </w:r>
          </w:p>
        </w:tc>
        <w:tc>
          <w:tcPr>
            <w:tcW w:w="739" w:type="pct"/>
          </w:tcPr>
          <w:p w14:paraId="05DC55D6" w14:textId="150C373B" w:rsidR="00E7097A" w:rsidRDefault="00E7097A" w:rsidP="00406CD1">
            <w:pPr>
              <w:spacing w:after="0"/>
              <w:jc w:val="center"/>
            </w:pPr>
            <w:r>
              <w:t>6278</w:t>
            </w:r>
          </w:p>
        </w:tc>
        <w:tc>
          <w:tcPr>
            <w:tcW w:w="599" w:type="pct"/>
          </w:tcPr>
          <w:p w14:paraId="70D5B6D9" w14:textId="7CF0B0F4" w:rsidR="00E7097A" w:rsidRDefault="00E7097A" w:rsidP="00406CD1">
            <w:pPr>
              <w:spacing w:after="0"/>
              <w:jc w:val="center"/>
            </w:pPr>
            <w:r>
              <w:t>17.05%</w:t>
            </w:r>
          </w:p>
        </w:tc>
        <w:tc>
          <w:tcPr>
            <w:tcW w:w="486" w:type="pct"/>
          </w:tcPr>
          <w:p w14:paraId="51D4A74E" w14:textId="1AD1EE80" w:rsidR="00E7097A" w:rsidRDefault="00E7097A" w:rsidP="00406CD1">
            <w:pPr>
              <w:spacing w:after="0"/>
              <w:jc w:val="center"/>
            </w:pPr>
            <w:r>
              <w:t>6,047</w:t>
            </w:r>
          </w:p>
        </w:tc>
        <w:tc>
          <w:tcPr>
            <w:tcW w:w="599" w:type="pct"/>
          </w:tcPr>
          <w:p w14:paraId="66233A91" w14:textId="468A17FA" w:rsidR="00E7097A" w:rsidRDefault="00E7097A" w:rsidP="00406CD1">
            <w:pPr>
              <w:spacing w:after="0"/>
              <w:jc w:val="center"/>
            </w:pPr>
            <w:r>
              <w:t>17.19%</w:t>
            </w:r>
          </w:p>
        </w:tc>
        <w:tc>
          <w:tcPr>
            <w:tcW w:w="635" w:type="pct"/>
          </w:tcPr>
          <w:p w14:paraId="708AC7B5" w14:textId="31650D40" w:rsidR="00E7097A" w:rsidRDefault="00E7097A" w:rsidP="00406CD1">
            <w:pPr>
              <w:spacing w:after="0"/>
              <w:jc w:val="center"/>
            </w:pPr>
            <w:r>
              <w:t>7,219</w:t>
            </w:r>
          </w:p>
        </w:tc>
        <w:tc>
          <w:tcPr>
            <w:tcW w:w="670" w:type="pct"/>
          </w:tcPr>
          <w:p w14:paraId="171C4E56" w14:textId="5C4F6D24" w:rsidR="00E7097A" w:rsidRDefault="00E7097A" w:rsidP="00406CD1">
            <w:pPr>
              <w:spacing w:after="0"/>
              <w:jc w:val="center"/>
            </w:pPr>
            <w:r>
              <w:t>20.48%</w:t>
            </w:r>
          </w:p>
        </w:tc>
      </w:tr>
      <w:tr w:rsidR="00E7097A" w14:paraId="7E71366D" w14:textId="77777777" w:rsidTr="00F05188">
        <w:tc>
          <w:tcPr>
            <w:tcW w:w="1271" w:type="pct"/>
          </w:tcPr>
          <w:p w14:paraId="5DFB250A" w14:textId="77777777" w:rsidR="00E7097A" w:rsidRPr="00C228B2" w:rsidRDefault="00E7097A" w:rsidP="00406CD1">
            <w:pPr>
              <w:spacing w:after="0"/>
              <w:rPr>
                <w:bCs/>
              </w:rPr>
            </w:pPr>
            <w:r w:rsidRPr="00C228B2">
              <w:rPr>
                <w:bCs/>
                <w:sz w:val="20"/>
                <w:szCs w:val="20"/>
              </w:rPr>
              <w:t>Medicare/Medicare MC/Advantage</w:t>
            </w:r>
          </w:p>
        </w:tc>
        <w:tc>
          <w:tcPr>
            <w:tcW w:w="739" w:type="pct"/>
          </w:tcPr>
          <w:p w14:paraId="06C8C6CE" w14:textId="578940DD" w:rsidR="00E7097A" w:rsidRDefault="00E7097A" w:rsidP="00406CD1">
            <w:pPr>
              <w:spacing w:after="0"/>
              <w:jc w:val="center"/>
            </w:pPr>
            <w:r>
              <w:t>9978</w:t>
            </w:r>
          </w:p>
        </w:tc>
        <w:tc>
          <w:tcPr>
            <w:tcW w:w="599" w:type="pct"/>
          </w:tcPr>
          <w:p w14:paraId="5F7F7BF7" w14:textId="36BFCCA3" w:rsidR="00E7097A" w:rsidRDefault="00E7097A" w:rsidP="00406CD1">
            <w:pPr>
              <w:spacing w:after="0"/>
              <w:jc w:val="center"/>
            </w:pPr>
            <w:r>
              <w:t>27.11%</w:t>
            </w:r>
          </w:p>
        </w:tc>
        <w:tc>
          <w:tcPr>
            <w:tcW w:w="486" w:type="pct"/>
          </w:tcPr>
          <w:p w14:paraId="38C3963C" w14:textId="12DFFC7D" w:rsidR="00E7097A" w:rsidRDefault="00E7097A" w:rsidP="00406CD1">
            <w:pPr>
              <w:spacing w:after="0"/>
              <w:jc w:val="center"/>
            </w:pPr>
            <w:r>
              <w:t>9,630</w:t>
            </w:r>
          </w:p>
        </w:tc>
        <w:tc>
          <w:tcPr>
            <w:tcW w:w="599" w:type="pct"/>
          </w:tcPr>
          <w:p w14:paraId="42675E07" w14:textId="665F6C33" w:rsidR="00E7097A" w:rsidRDefault="00E7097A" w:rsidP="00406CD1">
            <w:pPr>
              <w:spacing w:after="0"/>
              <w:jc w:val="center"/>
            </w:pPr>
            <w:r>
              <w:t>27.37%</w:t>
            </w:r>
          </w:p>
        </w:tc>
        <w:tc>
          <w:tcPr>
            <w:tcW w:w="635" w:type="pct"/>
          </w:tcPr>
          <w:p w14:paraId="128F1168" w14:textId="66552C4F" w:rsidR="00E7097A" w:rsidRDefault="00E7097A" w:rsidP="00406CD1">
            <w:pPr>
              <w:spacing w:after="0"/>
              <w:jc w:val="center"/>
            </w:pPr>
            <w:r>
              <w:t>9,875</w:t>
            </w:r>
          </w:p>
        </w:tc>
        <w:tc>
          <w:tcPr>
            <w:tcW w:w="670" w:type="pct"/>
          </w:tcPr>
          <w:p w14:paraId="159B749D" w14:textId="1AC80064" w:rsidR="00E7097A" w:rsidRDefault="00E7097A" w:rsidP="00406CD1">
            <w:pPr>
              <w:spacing w:after="0"/>
              <w:jc w:val="center"/>
            </w:pPr>
            <w:r>
              <w:t>28.03%</w:t>
            </w:r>
          </w:p>
        </w:tc>
      </w:tr>
      <w:tr w:rsidR="00E7097A" w14:paraId="112BD11A" w14:textId="77777777" w:rsidTr="00F05188">
        <w:tc>
          <w:tcPr>
            <w:tcW w:w="1271" w:type="pct"/>
          </w:tcPr>
          <w:p w14:paraId="5841E676" w14:textId="77777777" w:rsidR="00E7097A" w:rsidRPr="00C228B2" w:rsidRDefault="00E7097A" w:rsidP="00406CD1">
            <w:pPr>
              <w:spacing w:after="0"/>
              <w:rPr>
                <w:bCs/>
              </w:rPr>
            </w:pPr>
            <w:r w:rsidRPr="00C228B2">
              <w:rPr>
                <w:bCs/>
                <w:sz w:val="20"/>
                <w:szCs w:val="20"/>
              </w:rPr>
              <w:t>Private/Commercial/HMO</w:t>
            </w:r>
          </w:p>
        </w:tc>
        <w:tc>
          <w:tcPr>
            <w:tcW w:w="739" w:type="pct"/>
          </w:tcPr>
          <w:p w14:paraId="7333283D" w14:textId="73557B27" w:rsidR="00E7097A" w:rsidRDefault="00E7097A" w:rsidP="00406CD1">
            <w:pPr>
              <w:spacing w:after="0"/>
              <w:jc w:val="center"/>
            </w:pPr>
            <w:r>
              <w:t>19,670</w:t>
            </w:r>
          </w:p>
        </w:tc>
        <w:tc>
          <w:tcPr>
            <w:tcW w:w="599" w:type="pct"/>
          </w:tcPr>
          <w:p w14:paraId="0C9B912B" w14:textId="5E36CC86" w:rsidR="00E7097A" w:rsidRDefault="00E7097A" w:rsidP="00406CD1">
            <w:pPr>
              <w:spacing w:after="0"/>
              <w:jc w:val="center"/>
            </w:pPr>
            <w:r>
              <w:t>53.45%</w:t>
            </w:r>
          </w:p>
        </w:tc>
        <w:tc>
          <w:tcPr>
            <w:tcW w:w="486" w:type="pct"/>
          </w:tcPr>
          <w:p w14:paraId="471CCC67" w14:textId="70C2D5AB" w:rsidR="00E7097A" w:rsidRDefault="00E7097A" w:rsidP="00406CD1">
            <w:pPr>
              <w:spacing w:after="0"/>
              <w:jc w:val="center"/>
            </w:pPr>
            <w:r>
              <w:t>18,608</w:t>
            </w:r>
          </w:p>
        </w:tc>
        <w:tc>
          <w:tcPr>
            <w:tcW w:w="599" w:type="pct"/>
          </w:tcPr>
          <w:p w14:paraId="36DA6495" w14:textId="793A8CEC" w:rsidR="00E7097A" w:rsidRDefault="00E7097A" w:rsidP="00406CD1">
            <w:pPr>
              <w:spacing w:after="0"/>
              <w:jc w:val="center"/>
            </w:pPr>
            <w:r>
              <w:t>52.89%</w:t>
            </w:r>
          </w:p>
        </w:tc>
        <w:tc>
          <w:tcPr>
            <w:tcW w:w="635" w:type="pct"/>
          </w:tcPr>
          <w:p w14:paraId="735187CF" w14:textId="277BEECE" w:rsidR="00E7097A" w:rsidRDefault="00E7097A" w:rsidP="00406CD1">
            <w:pPr>
              <w:spacing w:after="0"/>
              <w:jc w:val="center"/>
            </w:pPr>
            <w:r>
              <w:t>17,159</w:t>
            </w:r>
          </w:p>
        </w:tc>
        <w:tc>
          <w:tcPr>
            <w:tcW w:w="670" w:type="pct"/>
          </w:tcPr>
          <w:p w14:paraId="19D40EAE" w14:textId="19F7F47F" w:rsidR="00E7097A" w:rsidRDefault="00E7097A" w:rsidP="00406CD1">
            <w:pPr>
              <w:spacing w:after="0"/>
              <w:jc w:val="center"/>
            </w:pPr>
            <w:r>
              <w:t>48.68%</w:t>
            </w:r>
          </w:p>
        </w:tc>
      </w:tr>
      <w:tr w:rsidR="00E7097A" w14:paraId="7DBDC70F" w14:textId="77777777" w:rsidTr="00F05188">
        <w:tc>
          <w:tcPr>
            <w:tcW w:w="1271" w:type="pct"/>
          </w:tcPr>
          <w:p w14:paraId="59018A0A" w14:textId="77777777" w:rsidR="00E7097A" w:rsidRPr="00C228B2" w:rsidRDefault="00E7097A" w:rsidP="00406CD1">
            <w:pPr>
              <w:spacing w:after="0"/>
              <w:rPr>
                <w:bCs/>
              </w:rPr>
            </w:pPr>
            <w:r w:rsidRPr="00C228B2">
              <w:rPr>
                <w:bCs/>
                <w:sz w:val="20"/>
                <w:szCs w:val="20"/>
              </w:rPr>
              <w:t>Health Safety Net (HSN)</w:t>
            </w:r>
          </w:p>
        </w:tc>
        <w:tc>
          <w:tcPr>
            <w:tcW w:w="739" w:type="pct"/>
          </w:tcPr>
          <w:p w14:paraId="2B19994B" w14:textId="578C5F92" w:rsidR="00E7097A" w:rsidRDefault="00E7097A" w:rsidP="00406CD1">
            <w:pPr>
              <w:spacing w:after="0"/>
              <w:jc w:val="center"/>
            </w:pPr>
            <w:r>
              <w:t>120</w:t>
            </w:r>
          </w:p>
        </w:tc>
        <w:tc>
          <w:tcPr>
            <w:tcW w:w="599" w:type="pct"/>
          </w:tcPr>
          <w:p w14:paraId="101AAF29" w14:textId="76CABBDA" w:rsidR="00E7097A" w:rsidRDefault="00E7097A" w:rsidP="00406CD1">
            <w:pPr>
              <w:spacing w:after="0"/>
              <w:jc w:val="center"/>
            </w:pPr>
            <w:r>
              <w:t>0.33%</w:t>
            </w:r>
          </w:p>
        </w:tc>
        <w:tc>
          <w:tcPr>
            <w:tcW w:w="486" w:type="pct"/>
          </w:tcPr>
          <w:p w14:paraId="6ABE745C" w14:textId="445D73B9" w:rsidR="00E7097A" w:rsidRDefault="00E7097A" w:rsidP="00406CD1">
            <w:pPr>
              <w:spacing w:after="0"/>
              <w:jc w:val="center"/>
            </w:pPr>
            <w:r>
              <w:t>115</w:t>
            </w:r>
          </w:p>
        </w:tc>
        <w:tc>
          <w:tcPr>
            <w:tcW w:w="599" w:type="pct"/>
          </w:tcPr>
          <w:p w14:paraId="2782DDAB" w14:textId="323DEF8A" w:rsidR="00E7097A" w:rsidRDefault="00E7097A" w:rsidP="00406CD1">
            <w:pPr>
              <w:spacing w:after="0"/>
              <w:jc w:val="center"/>
            </w:pPr>
            <w:r>
              <w:t>0.33%</w:t>
            </w:r>
          </w:p>
        </w:tc>
        <w:tc>
          <w:tcPr>
            <w:tcW w:w="635" w:type="pct"/>
          </w:tcPr>
          <w:p w14:paraId="627EA057" w14:textId="04EB1337" w:rsidR="00E7097A" w:rsidRDefault="00E7097A" w:rsidP="00406CD1">
            <w:pPr>
              <w:spacing w:after="0"/>
              <w:jc w:val="center"/>
            </w:pPr>
            <w:r>
              <w:t>111</w:t>
            </w:r>
          </w:p>
        </w:tc>
        <w:tc>
          <w:tcPr>
            <w:tcW w:w="670" w:type="pct"/>
          </w:tcPr>
          <w:p w14:paraId="2EDA24CA" w14:textId="1FB745D7" w:rsidR="00E7097A" w:rsidRDefault="00E7097A" w:rsidP="00406CD1">
            <w:pPr>
              <w:spacing w:after="0"/>
              <w:jc w:val="center"/>
            </w:pPr>
            <w:r>
              <w:t>0.31%</w:t>
            </w:r>
          </w:p>
        </w:tc>
      </w:tr>
      <w:tr w:rsidR="00E7097A" w14:paraId="14B51CDE" w14:textId="77777777" w:rsidTr="00F05188">
        <w:tc>
          <w:tcPr>
            <w:tcW w:w="1271" w:type="pct"/>
          </w:tcPr>
          <w:p w14:paraId="748A72F9" w14:textId="77777777" w:rsidR="00E7097A" w:rsidRPr="00C228B2" w:rsidRDefault="00E7097A" w:rsidP="00406CD1">
            <w:pPr>
              <w:spacing w:after="0"/>
              <w:rPr>
                <w:bCs/>
                <w:sz w:val="20"/>
                <w:szCs w:val="20"/>
              </w:rPr>
            </w:pPr>
            <w:r w:rsidRPr="00C228B2">
              <w:rPr>
                <w:bCs/>
                <w:sz w:val="20"/>
                <w:szCs w:val="20"/>
              </w:rPr>
              <w:t>Other (self-pay/workers’ comp/VA)</w:t>
            </w:r>
          </w:p>
        </w:tc>
        <w:tc>
          <w:tcPr>
            <w:tcW w:w="739" w:type="pct"/>
          </w:tcPr>
          <w:p w14:paraId="7E69A347" w14:textId="14B8A855" w:rsidR="00E7097A" w:rsidRDefault="00E7097A" w:rsidP="00406CD1">
            <w:pPr>
              <w:spacing w:after="0"/>
              <w:jc w:val="center"/>
            </w:pPr>
            <w:r>
              <w:t>760</w:t>
            </w:r>
          </w:p>
        </w:tc>
        <w:tc>
          <w:tcPr>
            <w:tcW w:w="599" w:type="pct"/>
          </w:tcPr>
          <w:p w14:paraId="35A9DF7E" w14:textId="078230F9" w:rsidR="00E7097A" w:rsidRDefault="00E7097A" w:rsidP="00406CD1">
            <w:pPr>
              <w:spacing w:after="0"/>
              <w:jc w:val="center"/>
            </w:pPr>
            <w:r>
              <w:t>2.06%</w:t>
            </w:r>
          </w:p>
        </w:tc>
        <w:tc>
          <w:tcPr>
            <w:tcW w:w="486" w:type="pct"/>
          </w:tcPr>
          <w:p w14:paraId="50EFB2A0" w14:textId="39C3A8D9" w:rsidR="00E7097A" w:rsidRDefault="00E7097A" w:rsidP="00406CD1">
            <w:pPr>
              <w:spacing w:after="0"/>
              <w:jc w:val="center"/>
            </w:pPr>
            <w:r>
              <w:t>782</w:t>
            </w:r>
          </w:p>
        </w:tc>
        <w:tc>
          <w:tcPr>
            <w:tcW w:w="599" w:type="pct"/>
          </w:tcPr>
          <w:p w14:paraId="16A47367" w14:textId="3176B657" w:rsidR="00E7097A" w:rsidRDefault="00E7097A" w:rsidP="00406CD1">
            <w:pPr>
              <w:spacing w:after="0"/>
              <w:jc w:val="center"/>
            </w:pPr>
            <w:r>
              <w:t>2.22%</w:t>
            </w:r>
          </w:p>
        </w:tc>
        <w:tc>
          <w:tcPr>
            <w:tcW w:w="635" w:type="pct"/>
          </w:tcPr>
          <w:p w14:paraId="3DEBF0A3" w14:textId="7BBFDDDA" w:rsidR="00E7097A" w:rsidRDefault="00E7097A" w:rsidP="00406CD1">
            <w:pPr>
              <w:spacing w:after="0"/>
              <w:jc w:val="center"/>
            </w:pPr>
            <w:r>
              <w:t>882</w:t>
            </w:r>
          </w:p>
        </w:tc>
        <w:tc>
          <w:tcPr>
            <w:tcW w:w="670" w:type="pct"/>
          </w:tcPr>
          <w:p w14:paraId="1F7B7C3A" w14:textId="6485378F" w:rsidR="00E7097A" w:rsidRDefault="00E7097A" w:rsidP="00406CD1">
            <w:pPr>
              <w:spacing w:after="0"/>
              <w:jc w:val="center"/>
            </w:pPr>
            <w:r>
              <w:t>2.50%</w:t>
            </w:r>
          </w:p>
        </w:tc>
      </w:tr>
    </w:tbl>
    <w:p w14:paraId="7B48E3F8" w14:textId="6622AA20" w:rsidR="00D14E9F" w:rsidRPr="008F66F1" w:rsidRDefault="00D14E9F" w:rsidP="00D14E9F">
      <w:pPr>
        <w:spacing w:after="0"/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 xml:space="preserve">This categorization </w:t>
      </w:r>
      <w:proofErr w:type="gramStart"/>
      <w:r w:rsidRPr="008F66F1">
        <w:rPr>
          <w:bCs/>
          <w:sz w:val="20"/>
          <w:szCs w:val="20"/>
        </w:rPr>
        <w:t>based</w:t>
      </w:r>
      <w:proofErr w:type="gramEnd"/>
      <w:r w:rsidRPr="008F66F1">
        <w:rPr>
          <w:bCs/>
          <w:sz w:val="20"/>
          <w:szCs w:val="20"/>
        </w:rPr>
        <w:t xml:space="preserve"> on the primary payer of the most recent service, as patients may have multiple payers for a single visit or multiple visits in a year with different payer sources. Medicaid payer has continued to increase due to the Public Health Emergency that suspended the disenrollment </w:t>
      </w:r>
      <w:proofErr w:type="gramStart"/>
      <w:r w:rsidRPr="008F66F1">
        <w:rPr>
          <w:bCs/>
          <w:sz w:val="20"/>
          <w:szCs w:val="20"/>
        </w:rPr>
        <w:t>process in</w:t>
      </w:r>
      <w:proofErr w:type="gramEnd"/>
      <w:r w:rsidRPr="008F66F1">
        <w:rPr>
          <w:bCs/>
          <w:sz w:val="20"/>
          <w:szCs w:val="20"/>
        </w:rPr>
        <w:t xml:space="preserve"> throughout this</w:t>
      </w:r>
      <w:r w:rsidR="00B82EC5">
        <w:rPr>
          <w:bCs/>
          <w:sz w:val="20"/>
          <w:szCs w:val="20"/>
        </w:rPr>
        <w:t xml:space="preserve"> time-period</w:t>
      </w:r>
      <w:r w:rsidRPr="008F66F1">
        <w:rPr>
          <w:bCs/>
          <w:sz w:val="20"/>
          <w:szCs w:val="20"/>
        </w:rPr>
        <w:t xml:space="preserve">. </w:t>
      </w:r>
    </w:p>
    <w:p w14:paraId="0D063392" w14:textId="77777777" w:rsidR="00461FA3" w:rsidRDefault="00461FA3" w:rsidP="00461FA3">
      <w:pPr>
        <w:spacing w:after="0"/>
        <w:rPr>
          <w:b/>
          <w:sz w:val="24"/>
          <w:szCs w:val="24"/>
        </w:rPr>
      </w:pPr>
    </w:p>
    <w:p w14:paraId="06ABC831" w14:textId="5017ED81" w:rsidR="00922C15" w:rsidRPr="00D62FC5" w:rsidRDefault="00164FBC" w:rsidP="00CA51A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22C15">
        <w:rPr>
          <w:b/>
        </w:rPr>
        <w:t>S</w:t>
      </w:r>
      <w:r w:rsidR="00497345" w:rsidRPr="00922C15">
        <w:rPr>
          <w:b/>
        </w:rPr>
        <w:t xml:space="preserve">atellite </w:t>
      </w:r>
      <w:r w:rsidRPr="00922C15">
        <w:rPr>
          <w:b/>
        </w:rPr>
        <w:t>E</w:t>
      </w:r>
      <w:r w:rsidR="00497345" w:rsidRPr="00922C15">
        <w:rPr>
          <w:b/>
        </w:rPr>
        <w:t xml:space="preserve">mergency </w:t>
      </w:r>
      <w:r w:rsidRPr="00922C15">
        <w:rPr>
          <w:b/>
        </w:rPr>
        <w:t>F</w:t>
      </w:r>
      <w:r w:rsidR="00497345" w:rsidRPr="00922C15">
        <w:rPr>
          <w:b/>
        </w:rPr>
        <w:t>acility (SEF)</w:t>
      </w:r>
      <w:r w:rsidRPr="00922C15">
        <w:rPr>
          <w:b/>
        </w:rPr>
        <w:t xml:space="preserve"> Transfers to </w:t>
      </w:r>
      <w:r w:rsidR="00ED4342" w:rsidRPr="00922C15">
        <w:rPr>
          <w:b/>
        </w:rPr>
        <w:t>Berkshire Medical Center (</w:t>
      </w:r>
      <w:r w:rsidRPr="00922C15">
        <w:rPr>
          <w:b/>
        </w:rPr>
        <w:t>BMC</w:t>
      </w:r>
      <w:r w:rsidR="00ED4342" w:rsidRPr="00922C15">
        <w:rPr>
          <w:b/>
        </w:rPr>
        <w:t>)</w:t>
      </w:r>
      <w:r w:rsidRPr="00922C15">
        <w:rPr>
          <w:b/>
        </w:rPr>
        <w:t xml:space="preserve"> </w:t>
      </w:r>
      <w:r w:rsidR="00497345" w:rsidRPr="00922C15">
        <w:rPr>
          <w:b/>
        </w:rPr>
        <w:t>– ED or Inpatient</w:t>
      </w:r>
      <w:r w:rsidR="009E5D84" w:rsidRPr="00922C15">
        <w:rPr>
          <w:b/>
        </w:rPr>
        <w:t xml:space="preserve"> – based on each </w:t>
      </w:r>
      <w:proofErr w:type="gramStart"/>
      <w:r w:rsidR="009E5D84" w:rsidRPr="00922C15">
        <w:rPr>
          <w:b/>
        </w:rPr>
        <w:t>transfer</w:t>
      </w:r>
      <w:proofErr w:type="gramEnd"/>
    </w:p>
    <w:p w14:paraId="09BB8609" w14:textId="77777777" w:rsidR="00D62FC5" w:rsidRPr="00461FA3" w:rsidRDefault="00D62FC5" w:rsidP="00D62FC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33"/>
        <w:gridCol w:w="2674"/>
        <w:gridCol w:w="2184"/>
        <w:gridCol w:w="2535"/>
      </w:tblGrid>
      <w:tr w:rsidR="00E7097A" w14:paraId="0A38D9F5" w14:textId="77777777" w:rsidTr="00DE6EA0">
        <w:tc>
          <w:tcPr>
            <w:tcW w:w="1276" w:type="pct"/>
          </w:tcPr>
          <w:p w14:paraId="072BA4D2" w14:textId="77777777" w:rsidR="00E7097A" w:rsidRDefault="00E7097A" w:rsidP="00CA51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47" w:type="pct"/>
          </w:tcPr>
          <w:p w14:paraId="305EC3CE" w14:textId="77777777" w:rsidR="00E7097A" w:rsidRDefault="00E7097A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FY20</w:t>
            </w:r>
          </w:p>
        </w:tc>
        <w:tc>
          <w:tcPr>
            <w:tcW w:w="1100" w:type="pct"/>
          </w:tcPr>
          <w:p w14:paraId="3E8A70E8" w14:textId="77777777" w:rsidR="00E7097A" w:rsidRDefault="00E7097A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FY21</w:t>
            </w:r>
          </w:p>
        </w:tc>
        <w:tc>
          <w:tcPr>
            <w:tcW w:w="1277" w:type="pct"/>
          </w:tcPr>
          <w:p w14:paraId="601A5AA2" w14:textId="77777777" w:rsidR="00E7097A" w:rsidRDefault="00E7097A" w:rsidP="00CA51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FY22</w:t>
            </w:r>
          </w:p>
        </w:tc>
      </w:tr>
      <w:tr w:rsidR="00E7097A" w14:paraId="1082DFE8" w14:textId="77777777" w:rsidTr="00DE6EA0">
        <w:trPr>
          <w:trHeight w:val="305"/>
        </w:trPr>
        <w:tc>
          <w:tcPr>
            <w:tcW w:w="1276" w:type="pct"/>
          </w:tcPr>
          <w:p w14:paraId="3846943C" w14:textId="3054DC0A" w:rsidR="00E7097A" w:rsidRPr="00C228B2" w:rsidRDefault="00E7097A" w:rsidP="00CA51AC">
            <w:pPr>
              <w:spacing w:after="0"/>
              <w:rPr>
                <w:bCs/>
              </w:rPr>
            </w:pPr>
            <w:r w:rsidRPr="00C228B2">
              <w:rPr>
                <w:bCs/>
              </w:rPr>
              <w:t xml:space="preserve">Number of SEF Transfer – BMC </w:t>
            </w:r>
          </w:p>
        </w:tc>
        <w:tc>
          <w:tcPr>
            <w:tcW w:w="1347" w:type="pct"/>
          </w:tcPr>
          <w:p w14:paraId="06B1A2C2" w14:textId="77F1753A" w:rsidR="00E7097A" w:rsidRDefault="00E7097A" w:rsidP="00CA51AC">
            <w:pPr>
              <w:spacing w:after="0"/>
              <w:jc w:val="center"/>
            </w:pPr>
            <w:r>
              <w:t>1,196</w:t>
            </w:r>
          </w:p>
        </w:tc>
        <w:tc>
          <w:tcPr>
            <w:tcW w:w="1100" w:type="pct"/>
          </w:tcPr>
          <w:p w14:paraId="67BDA199" w14:textId="1A8CFA42" w:rsidR="00E7097A" w:rsidRDefault="00E7097A" w:rsidP="00CA51AC">
            <w:pPr>
              <w:spacing w:after="0"/>
              <w:jc w:val="center"/>
            </w:pPr>
            <w:r>
              <w:t>1,192</w:t>
            </w:r>
          </w:p>
        </w:tc>
        <w:tc>
          <w:tcPr>
            <w:tcW w:w="1277" w:type="pct"/>
          </w:tcPr>
          <w:p w14:paraId="70ED6277" w14:textId="22F02043" w:rsidR="00E7097A" w:rsidRDefault="00E7097A" w:rsidP="00CA51AC">
            <w:pPr>
              <w:spacing w:after="0"/>
              <w:jc w:val="center"/>
            </w:pPr>
            <w:r>
              <w:t>1,285</w:t>
            </w:r>
          </w:p>
        </w:tc>
      </w:tr>
    </w:tbl>
    <w:p w14:paraId="46A9FC3E" w14:textId="6497D991" w:rsidR="00922C15" w:rsidRPr="008F66F1" w:rsidRDefault="00323DC2" w:rsidP="00323DC2">
      <w:pPr>
        <w:rPr>
          <w:bCs/>
          <w:sz w:val="20"/>
          <w:szCs w:val="20"/>
        </w:rPr>
      </w:pPr>
      <w:r w:rsidRPr="008F66F1">
        <w:rPr>
          <w:bCs/>
          <w:sz w:val="20"/>
          <w:szCs w:val="20"/>
        </w:rPr>
        <w:t>This includes patients who presented to the SEF and transferred to either the main BMC ED or to BMC inpatient services</w:t>
      </w:r>
      <w:r w:rsidR="000E65D4" w:rsidRPr="008F66F1">
        <w:rPr>
          <w:bCs/>
          <w:sz w:val="20"/>
          <w:szCs w:val="20"/>
        </w:rPr>
        <w:t xml:space="preserve"> for hospitalization.</w:t>
      </w:r>
      <w:r w:rsidR="00713135">
        <w:rPr>
          <w:bCs/>
          <w:sz w:val="20"/>
          <w:szCs w:val="20"/>
        </w:rPr>
        <w:t xml:space="preserve"> </w:t>
      </w:r>
    </w:p>
    <w:p w14:paraId="43E004C5" w14:textId="6D9512CB" w:rsidR="00E7097A" w:rsidRDefault="00E7097A">
      <w:pPr>
        <w:rPr>
          <w:b/>
          <w:sz w:val="24"/>
          <w:szCs w:val="24"/>
        </w:rPr>
      </w:pPr>
    </w:p>
    <w:p w14:paraId="29EF26DD" w14:textId="25C19C14" w:rsidR="00A571E4" w:rsidRPr="00A571E4" w:rsidRDefault="00A571E4">
      <w:pPr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Appendix 1: </w:t>
      </w:r>
      <w:r>
        <w:rPr>
          <w:bCs/>
          <w:sz w:val="24"/>
          <w:szCs w:val="24"/>
        </w:rPr>
        <w:t>Service Areas for North Berkshire (North Adams Regional Hospital), Central Berkshire (Berkshire Medical Center), and Southern Berkshire (Fairview Hospital)</w:t>
      </w:r>
    </w:p>
    <w:p w14:paraId="22173A6E" w14:textId="42EB568F" w:rsidR="00A571E4" w:rsidRDefault="00D03DEA">
      <w:pPr>
        <w:rPr>
          <w:b/>
          <w:sz w:val="24"/>
          <w:szCs w:val="24"/>
        </w:rPr>
      </w:pPr>
      <w:r w:rsidRPr="00AB1BAD"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9F29779" wp14:editId="372095DF">
            <wp:simplePos x="0" y="0"/>
            <wp:positionH relativeFrom="column">
              <wp:posOffset>2714625</wp:posOffset>
            </wp:positionH>
            <wp:positionV relativeFrom="paragraph">
              <wp:posOffset>69215</wp:posOffset>
            </wp:positionV>
            <wp:extent cx="2829320" cy="4124901"/>
            <wp:effectExtent l="0" t="0" r="9525" b="9525"/>
            <wp:wrapNone/>
            <wp:docPr id="3" name="Picture 3" descr="Central Berkshire Service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entral Berkshire Service Are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619"/>
        <w:gridCol w:w="2426"/>
      </w:tblGrid>
      <w:tr w:rsidR="003C742E" w14:paraId="4D900F45" w14:textId="77777777" w:rsidTr="003D2155">
        <w:trPr>
          <w:trHeight w:val="308"/>
        </w:trPr>
        <w:tc>
          <w:tcPr>
            <w:tcW w:w="18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5625" w14:textId="2CB4DEB7" w:rsidR="000E5BBD" w:rsidRDefault="000E5BBD" w:rsidP="00861976">
            <w:pPr>
              <w:rPr>
                <w:sz w:val="24"/>
                <w:szCs w:val="24"/>
              </w:rPr>
            </w:pPr>
            <w:r w:rsidRPr="000E5BB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4" behindDoc="1" locked="0" layoutInCell="1" allowOverlap="1" wp14:anchorId="36B95C8A" wp14:editId="37782091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-147955</wp:posOffset>
                  </wp:positionV>
                  <wp:extent cx="2714625" cy="3133725"/>
                  <wp:effectExtent l="0" t="0" r="9525" b="0"/>
                  <wp:wrapNone/>
                  <wp:docPr id="2" name="Picture 2" descr="North Berkshire Service A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orth Berkshire Service Area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0444C0" w14:textId="6C31E759" w:rsidR="000E5BBD" w:rsidRDefault="000E5BBD" w:rsidP="00861976">
            <w:pPr>
              <w:rPr>
                <w:sz w:val="24"/>
                <w:szCs w:val="24"/>
              </w:rPr>
            </w:pPr>
          </w:p>
          <w:p w14:paraId="4C44BDBD" w14:textId="71562958" w:rsidR="000E5BBD" w:rsidRDefault="000E5BBD" w:rsidP="00861976">
            <w:pPr>
              <w:rPr>
                <w:sz w:val="24"/>
                <w:szCs w:val="24"/>
              </w:rPr>
            </w:pPr>
          </w:p>
          <w:p w14:paraId="3A801CC7" w14:textId="13809C55" w:rsidR="000E5BBD" w:rsidRDefault="000E5BBD" w:rsidP="00861976">
            <w:pPr>
              <w:rPr>
                <w:sz w:val="24"/>
                <w:szCs w:val="24"/>
              </w:rPr>
            </w:pPr>
          </w:p>
          <w:p w14:paraId="328B0DFF" w14:textId="4FF4C0DE" w:rsidR="000E5BBD" w:rsidRDefault="000E5BBD" w:rsidP="00861976">
            <w:pPr>
              <w:rPr>
                <w:sz w:val="24"/>
                <w:szCs w:val="24"/>
              </w:rPr>
            </w:pPr>
          </w:p>
          <w:p w14:paraId="19037F54" w14:textId="77777777" w:rsidR="000E5BBD" w:rsidRDefault="000E5BBD" w:rsidP="00861976">
            <w:pPr>
              <w:rPr>
                <w:sz w:val="24"/>
                <w:szCs w:val="24"/>
              </w:rPr>
            </w:pPr>
          </w:p>
          <w:p w14:paraId="2CD4284B" w14:textId="77777777" w:rsidR="000E5BBD" w:rsidRDefault="000E5BBD" w:rsidP="00861976">
            <w:pPr>
              <w:rPr>
                <w:sz w:val="24"/>
                <w:szCs w:val="24"/>
              </w:rPr>
            </w:pPr>
          </w:p>
          <w:p w14:paraId="2FEEBC57" w14:textId="77777777" w:rsidR="000E5BBD" w:rsidRDefault="000E5BBD" w:rsidP="00861976">
            <w:pPr>
              <w:rPr>
                <w:sz w:val="24"/>
                <w:szCs w:val="24"/>
              </w:rPr>
            </w:pPr>
          </w:p>
          <w:p w14:paraId="35B7DCA1" w14:textId="2014494E" w:rsidR="00A6754E" w:rsidRDefault="00A6754E" w:rsidP="00861976">
            <w:pPr>
              <w:rPr>
                <w:sz w:val="24"/>
                <w:szCs w:val="24"/>
              </w:rPr>
            </w:pPr>
          </w:p>
          <w:p w14:paraId="7F21E796" w14:textId="77777777" w:rsidR="00A6754E" w:rsidRDefault="00A6754E" w:rsidP="00861976">
            <w:pPr>
              <w:rPr>
                <w:sz w:val="24"/>
                <w:szCs w:val="24"/>
              </w:rPr>
            </w:pPr>
          </w:p>
          <w:p w14:paraId="220F0AFD" w14:textId="77777777" w:rsidR="00A6754E" w:rsidRDefault="00A6754E" w:rsidP="00861976">
            <w:pPr>
              <w:rPr>
                <w:sz w:val="24"/>
                <w:szCs w:val="24"/>
              </w:rPr>
            </w:pPr>
          </w:p>
          <w:p w14:paraId="6EA56DDD" w14:textId="59E50FA3" w:rsidR="000E5BBD" w:rsidRDefault="00DE6EA0" w:rsidP="00861976">
            <w:pPr>
              <w:rPr>
                <w:sz w:val="24"/>
                <w:szCs w:val="24"/>
              </w:rPr>
            </w:pPr>
            <w:bookmarkStart w:id="0" w:name="_iDocIDField_EOD"/>
            <w:r w:rsidRPr="00A675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90" behindDoc="1" locked="0" layoutInCell="1" allowOverlap="1" wp14:anchorId="068CA331" wp14:editId="27BA7CFF">
                  <wp:simplePos x="0" y="0"/>
                  <wp:positionH relativeFrom="column">
                    <wp:posOffset>-475615</wp:posOffset>
                  </wp:positionH>
                  <wp:positionV relativeFrom="paragraph">
                    <wp:posOffset>114935</wp:posOffset>
                  </wp:positionV>
                  <wp:extent cx="3114675" cy="3838575"/>
                  <wp:effectExtent l="0" t="0" r="9525" b="9525"/>
                  <wp:wrapNone/>
                  <wp:docPr id="1" name="Picture 1" descr="Southern Berkshire (Fairview) Service A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outhern Berkshire (Fairview) Service Area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38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243AAFFE" w14:textId="107AA021" w:rsidR="000E5BBD" w:rsidRDefault="000E5BBD" w:rsidP="00861976">
            <w:pPr>
              <w:rPr>
                <w:sz w:val="24"/>
                <w:szCs w:val="24"/>
              </w:rPr>
            </w:pPr>
          </w:p>
          <w:p w14:paraId="5D4B647B" w14:textId="77777777" w:rsidR="000E5BBD" w:rsidRDefault="000E5BBD" w:rsidP="00861976">
            <w:pPr>
              <w:rPr>
                <w:sz w:val="24"/>
                <w:szCs w:val="24"/>
              </w:rPr>
            </w:pPr>
          </w:p>
          <w:p w14:paraId="3F289515" w14:textId="731C579D" w:rsidR="00F36840" w:rsidRDefault="00F36840" w:rsidP="00861976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2CAF" w14:textId="021CFA24" w:rsidR="003C742E" w:rsidRDefault="003C7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F830" w14:textId="28046A2F" w:rsidR="003C742E" w:rsidRDefault="003C742E" w:rsidP="00F36840">
            <w:pPr>
              <w:rPr>
                <w:sz w:val="24"/>
                <w:szCs w:val="24"/>
              </w:rPr>
            </w:pPr>
          </w:p>
        </w:tc>
      </w:tr>
      <w:tr w:rsidR="00DE6EA0" w14:paraId="2C303DFC" w14:textId="77777777" w:rsidTr="003D2155">
        <w:trPr>
          <w:trHeight w:val="308"/>
        </w:trPr>
        <w:tc>
          <w:tcPr>
            <w:tcW w:w="18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F241" w14:textId="4280951B" w:rsidR="00DE6EA0" w:rsidRDefault="00DE6EA0" w:rsidP="00861976">
            <w:pPr>
              <w:rPr>
                <w:noProof/>
                <w:sz w:val="24"/>
                <w:szCs w:val="24"/>
              </w:rPr>
            </w:pPr>
          </w:p>
          <w:p w14:paraId="71FE96BF" w14:textId="77777777" w:rsidR="00DE6EA0" w:rsidRDefault="00DE6EA0" w:rsidP="00861976">
            <w:pPr>
              <w:rPr>
                <w:noProof/>
                <w:sz w:val="24"/>
                <w:szCs w:val="24"/>
              </w:rPr>
            </w:pPr>
          </w:p>
          <w:p w14:paraId="44BB94AB" w14:textId="77777777" w:rsidR="00DE6EA0" w:rsidRDefault="00DE6EA0" w:rsidP="00861976">
            <w:pPr>
              <w:rPr>
                <w:noProof/>
                <w:sz w:val="24"/>
                <w:szCs w:val="24"/>
              </w:rPr>
            </w:pPr>
          </w:p>
          <w:p w14:paraId="5F57EC49" w14:textId="05AFCF97" w:rsidR="00DE6EA0" w:rsidRPr="000E5BBD" w:rsidRDefault="00DE6EA0" w:rsidP="0086197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A6A7" w14:textId="77777777" w:rsidR="00DE6EA0" w:rsidRDefault="00DE6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315A" w14:textId="77777777" w:rsidR="00DE6EA0" w:rsidRDefault="00DE6EA0" w:rsidP="00F36840">
            <w:pPr>
              <w:rPr>
                <w:sz w:val="24"/>
                <w:szCs w:val="24"/>
              </w:rPr>
            </w:pPr>
          </w:p>
        </w:tc>
      </w:tr>
    </w:tbl>
    <w:p w14:paraId="0CBF5C04" w14:textId="3B968B03" w:rsidR="00704031" w:rsidRDefault="00942652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end"/>
      </w:r>
    </w:p>
    <w:sectPr w:rsidR="00704031" w:rsidSect="000C0001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152" w:bottom="1440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1114" w14:textId="77777777" w:rsidR="002039AF" w:rsidRDefault="002039AF">
      <w:pPr>
        <w:spacing w:after="0" w:line="240" w:lineRule="auto"/>
      </w:pPr>
      <w:r>
        <w:separator/>
      </w:r>
    </w:p>
  </w:endnote>
  <w:endnote w:type="continuationSeparator" w:id="0">
    <w:p w14:paraId="70061098" w14:textId="77777777" w:rsidR="002039AF" w:rsidRDefault="002039AF">
      <w:pPr>
        <w:spacing w:after="0" w:line="240" w:lineRule="auto"/>
      </w:pPr>
      <w:r>
        <w:continuationSeparator/>
      </w:r>
    </w:p>
  </w:endnote>
  <w:endnote w:type="continuationNotice" w:id="1">
    <w:p w14:paraId="242D8816" w14:textId="77777777" w:rsidR="002039AF" w:rsidRDefault="00203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69EF" w14:textId="77777777" w:rsidR="002C5820" w:rsidRDefault="002C5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eading=h.30j0zll" w:colFirst="0" w:colLast="0"/>
  <w:bookmarkEnd w:id="1"/>
  <w:p w14:paraId="2927BC74" w14:textId="48FFA529" w:rsidR="002C5820" w:rsidRDefault="002C5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5295">
      <w:rPr>
        <w:noProof/>
        <w:color w:val="000000"/>
      </w:rPr>
      <w:t>10</w:t>
    </w:r>
    <w:r>
      <w:rPr>
        <w:color w:val="000000"/>
      </w:rPr>
      <w:fldChar w:fldCharType="end"/>
    </w:r>
  </w:p>
  <w:p w14:paraId="747564D6" w14:textId="77777777" w:rsidR="002C5820" w:rsidRDefault="002C5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972" w14:textId="77777777" w:rsidR="002C5820" w:rsidRDefault="002C5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7AFC" w14:textId="77777777" w:rsidR="002039AF" w:rsidRDefault="002039AF">
      <w:pPr>
        <w:spacing w:after="0" w:line="240" w:lineRule="auto"/>
      </w:pPr>
      <w:r>
        <w:separator/>
      </w:r>
    </w:p>
  </w:footnote>
  <w:footnote w:type="continuationSeparator" w:id="0">
    <w:p w14:paraId="734C3C63" w14:textId="77777777" w:rsidR="002039AF" w:rsidRDefault="002039AF">
      <w:pPr>
        <w:spacing w:after="0" w:line="240" w:lineRule="auto"/>
      </w:pPr>
      <w:r>
        <w:continuationSeparator/>
      </w:r>
    </w:p>
  </w:footnote>
  <w:footnote w:type="continuationNotice" w:id="1">
    <w:p w14:paraId="29407B9D" w14:textId="77777777" w:rsidR="002039AF" w:rsidRDefault="00203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BE99" w14:textId="77777777" w:rsidR="002C5820" w:rsidRDefault="002C5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A14D" w14:textId="77777777" w:rsidR="002C5820" w:rsidRDefault="002C5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F23"/>
    <w:multiLevelType w:val="multilevel"/>
    <w:tmpl w:val="B896E7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4BC"/>
    <w:multiLevelType w:val="hybridMultilevel"/>
    <w:tmpl w:val="A2D410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FF6"/>
    <w:multiLevelType w:val="multilevel"/>
    <w:tmpl w:val="F33868F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F4A"/>
    <w:multiLevelType w:val="hybridMultilevel"/>
    <w:tmpl w:val="4EA8190A"/>
    <w:lvl w:ilvl="0" w:tplc="5F5841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1716E3"/>
    <w:multiLevelType w:val="hybridMultilevel"/>
    <w:tmpl w:val="4FA4C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572"/>
    <w:multiLevelType w:val="multilevel"/>
    <w:tmpl w:val="DDD48A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D3690"/>
    <w:multiLevelType w:val="hybridMultilevel"/>
    <w:tmpl w:val="D49AA2F8"/>
    <w:lvl w:ilvl="0" w:tplc="42704A24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320D6"/>
    <w:multiLevelType w:val="hybridMultilevel"/>
    <w:tmpl w:val="A2D41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E0641"/>
    <w:multiLevelType w:val="hybridMultilevel"/>
    <w:tmpl w:val="4FA4C3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84F9C"/>
    <w:multiLevelType w:val="hybridMultilevel"/>
    <w:tmpl w:val="ADB4852A"/>
    <w:lvl w:ilvl="0" w:tplc="5A944092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09741EE"/>
    <w:multiLevelType w:val="hybridMultilevel"/>
    <w:tmpl w:val="4FA4C3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5E8E"/>
    <w:multiLevelType w:val="hybridMultilevel"/>
    <w:tmpl w:val="4FA4C3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B4F09"/>
    <w:multiLevelType w:val="multilevel"/>
    <w:tmpl w:val="B896E7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5E35"/>
    <w:multiLevelType w:val="multilevel"/>
    <w:tmpl w:val="E4A2B2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B0"/>
    <w:multiLevelType w:val="multilevel"/>
    <w:tmpl w:val="7034D5E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0173D"/>
    <w:multiLevelType w:val="multilevel"/>
    <w:tmpl w:val="F33868F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0294C"/>
    <w:multiLevelType w:val="hybridMultilevel"/>
    <w:tmpl w:val="BBB6DD28"/>
    <w:lvl w:ilvl="0" w:tplc="8A4ACE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B518A4"/>
    <w:multiLevelType w:val="multilevel"/>
    <w:tmpl w:val="B896E7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E5660"/>
    <w:multiLevelType w:val="multilevel"/>
    <w:tmpl w:val="B896E7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6777E"/>
    <w:multiLevelType w:val="multilevel"/>
    <w:tmpl w:val="B896E7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E00D4"/>
    <w:multiLevelType w:val="multilevel"/>
    <w:tmpl w:val="FF5C03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A0BBF"/>
    <w:multiLevelType w:val="multilevel"/>
    <w:tmpl w:val="9200AA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03E3B04"/>
    <w:multiLevelType w:val="hybridMultilevel"/>
    <w:tmpl w:val="544C7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55151"/>
    <w:multiLevelType w:val="multilevel"/>
    <w:tmpl w:val="AE5E00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860B0"/>
    <w:multiLevelType w:val="multilevel"/>
    <w:tmpl w:val="F98C26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74DEA"/>
    <w:multiLevelType w:val="hybridMultilevel"/>
    <w:tmpl w:val="2AE4B47A"/>
    <w:lvl w:ilvl="0" w:tplc="04209C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7609F"/>
    <w:multiLevelType w:val="hybridMultilevel"/>
    <w:tmpl w:val="E430B9BC"/>
    <w:lvl w:ilvl="0" w:tplc="E340CC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08362">
    <w:abstractNumId w:val="21"/>
  </w:num>
  <w:num w:numId="2" w16cid:durableId="1344822881">
    <w:abstractNumId w:val="24"/>
  </w:num>
  <w:num w:numId="3" w16cid:durableId="1629628996">
    <w:abstractNumId w:val="15"/>
  </w:num>
  <w:num w:numId="4" w16cid:durableId="1588270369">
    <w:abstractNumId w:val="13"/>
  </w:num>
  <w:num w:numId="5" w16cid:durableId="1289318568">
    <w:abstractNumId w:val="23"/>
  </w:num>
  <w:num w:numId="6" w16cid:durableId="968435258">
    <w:abstractNumId w:val="20"/>
  </w:num>
  <w:num w:numId="7" w16cid:durableId="1530223643">
    <w:abstractNumId w:val="5"/>
  </w:num>
  <w:num w:numId="8" w16cid:durableId="1371034681">
    <w:abstractNumId w:val="18"/>
  </w:num>
  <w:num w:numId="9" w16cid:durableId="568735664">
    <w:abstractNumId w:val="16"/>
  </w:num>
  <w:num w:numId="10" w16cid:durableId="1973436242">
    <w:abstractNumId w:val="19"/>
  </w:num>
  <w:num w:numId="11" w16cid:durableId="203176093">
    <w:abstractNumId w:val="17"/>
  </w:num>
  <w:num w:numId="12" w16cid:durableId="1706903533">
    <w:abstractNumId w:val="14"/>
  </w:num>
  <w:num w:numId="13" w16cid:durableId="1367948334">
    <w:abstractNumId w:val="2"/>
  </w:num>
  <w:num w:numId="14" w16cid:durableId="147938789">
    <w:abstractNumId w:val="3"/>
  </w:num>
  <w:num w:numId="15" w16cid:durableId="297685723">
    <w:abstractNumId w:val="9"/>
  </w:num>
  <w:num w:numId="16" w16cid:durableId="2022973398">
    <w:abstractNumId w:val="25"/>
  </w:num>
  <w:num w:numId="17" w16cid:durableId="1422068856">
    <w:abstractNumId w:val="4"/>
  </w:num>
  <w:num w:numId="18" w16cid:durableId="160853289">
    <w:abstractNumId w:val="6"/>
  </w:num>
  <w:num w:numId="19" w16cid:durableId="2106686753">
    <w:abstractNumId w:val="11"/>
  </w:num>
  <w:num w:numId="20" w16cid:durableId="1955207322">
    <w:abstractNumId w:val="10"/>
  </w:num>
  <w:num w:numId="21" w16cid:durableId="371466722">
    <w:abstractNumId w:val="0"/>
  </w:num>
  <w:num w:numId="22" w16cid:durableId="1166557942">
    <w:abstractNumId w:val="22"/>
  </w:num>
  <w:num w:numId="23" w16cid:durableId="889146259">
    <w:abstractNumId w:val="12"/>
  </w:num>
  <w:num w:numId="24" w16cid:durableId="1741828879">
    <w:abstractNumId w:val="7"/>
  </w:num>
  <w:num w:numId="25" w16cid:durableId="1685395765">
    <w:abstractNumId w:val="1"/>
  </w:num>
  <w:num w:numId="26" w16cid:durableId="1238513260">
    <w:abstractNumId w:val="8"/>
  </w:num>
  <w:num w:numId="27" w16cid:durableId="16354068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34"/>
    <w:rsid w:val="00006D23"/>
    <w:rsid w:val="00010C2F"/>
    <w:rsid w:val="00011DE6"/>
    <w:rsid w:val="0001286D"/>
    <w:rsid w:val="0001289A"/>
    <w:rsid w:val="00014004"/>
    <w:rsid w:val="00015677"/>
    <w:rsid w:val="000168D2"/>
    <w:rsid w:val="00020D1B"/>
    <w:rsid w:val="00021854"/>
    <w:rsid w:val="00024028"/>
    <w:rsid w:val="00026723"/>
    <w:rsid w:val="000326DA"/>
    <w:rsid w:val="00033326"/>
    <w:rsid w:val="00033806"/>
    <w:rsid w:val="00035ADA"/>
    <w:rsid w:val="00035E2D"/>
    <w:rsid w:val="00036ED5"/>
    <w:rsid w:val="000377EF"/>
    <w:rsid w:val="000404F3"/>
    <w:rsid w:val="00042192"/>
    <w:rsid w:val="00050A9C"/>
    <w:rsid w:val="00053660"/>
    <w:rsid w:val="00055CE2"/>
    <w:rsid w:val="00056500"/>
    <w:rsid w:val="0006013B"/>
    <w:rsid w:val="00061D39"/>
    <w:rsid w:val="00062F41"/>
    <w:rsid w:val="00067EFB"/>
    <w:rsid w:val="00070F02"/>
    <w:rsid w:val="0007177A"/>
    <w:rsid w:val="00071D70"/>
    <w:rsid w:val="00072E49"/>
    <w:rsid w:val="00074C06"/>
    <w:rsid w:val="00076E8E"/>
    <w:rsid w:val="00077E3A"/>
    <w:rsid w:val="000806B9"/>
    <w:rsid w:val="00080926"/>
    <w:rsid w:val="00081BC4"/>
    <w:rsid w:val="0008290E"/>
    <w:rsid w:val="00082ECB"/>
    <w:rsid w:val="00084495"/>
    <w:rsid w:val="00085C13"/>
    <w:rsid w:val="000869FE"/>
    <w:rsid w:val="00093D36"/>
    <w:rsid w:val="000948ED"/>
    <w:rsid w:val="000A157D"/>
    <w:rsid w:val="000A3864"/>
    <w:rsid w:val="000A4FC4"/>
    <w:rsid w:val="000A58A8"/>
    <w:rsid w:val="000A5B27"/>
    <w:rsid w:val="000A7CF9"/>
    <w:rsid w:val="000B17CE"/>
    <w:rsid w:val="000B5662"/>
    <w:rsid w:val="000B5D94"/>
    <w:rsid w:val="000B7575"/>
    <w:rsid w:val="000C0001"/>
    <w:rsid w:val="000C0F1D"/>
    <w:rsid w:val="000C440E"/>
    <w:rsid w:val="000C56C9"/>
    <w:rsid w:val="000D62F1"/>
    <w:rsid w:val="000D706F"/>
    <w:rsid w:val="000D790D"/>
    <w:rsid w:val="000E1BD6"/>
    <w:rsid w:val="000E3E55"/>
    <w:rsid w:val="000E5851"/>
    <w:rsid w:val="000E5BBD"/>
    <w:rsid w:val="000E5CAA"/>
    <w:rsid w:val="000E65D4"/>
    <w:rsid w:val="000E7228"/>
    <w:rsid w:val="000F29C5"/>
    <w:rsid w:val="000F2EB8"/>
    <w:rsid w:val="000F4623"/>
    <w:rsid w:val="000F5E70"/>
    <w:rsid w:val="000F61C3"/>
    <w:rsid w:val="00101CE8"/>
    <w:rsid w:val="001025B0"/>
    <w:rsid w:val="001035A7"/>
    <w:rsid w:val="00103CC6"/>
    <w:rsid w:val="001040CA"/>
    <w:rsid w:val="001040D2"/>
    <w:rsid w:val="00104CBA"/>
    <w:rsid w:val="00110235"/>
    <w:rsid w:val="00110EB5"/>
    <w:rsid w:val="001117D6"/>
    <w:rsid w:val="0011794D"/>
    <w:rsid w:val="00117F3E"/>
    <w:rsid w:val="001326A8"/>
    <w:rsid w:val="001372C7"/>
    <w:rsid w:val="0013735F"/>
    <w:rsid w:val="00141126"/>
    <w:rsid w:val="001431B4"/>
    <w:rsid w:val="00143D73"/>
    <w:rsid w:val="00145791"/>
    <w:rsid w:val="001457BC"/>
    <w:rsid w:val="00147787"/>
    <w:rsid w:val="001547A1"/>
    <w:rsid w:val="001558A0"/>
    <w:rsid w:val="001560D5"/>
    <w:rsid w:val="00157F9E"/>
    <w:rsid w:val="001600E6"/>
    <w:rsid w:val="001602A4"/>
    <w:rsid w:val="001606C1"/>
    <w:rsid w:val="00161AEF"/>
    <w:rsid w:val="00162BBE"/>
    <w:rsid w:val="00164FBC"/>
    <w:rsid w:val="001676D6"/>
    <w:rsid w:val="00167999"/>
    <w:rsid w:val="00167DDB"/>
    <w:rsid w:val="00167FC8"/>
    <w:rsid w:val="00171F24"/>
    <w:rsid w:val="00173A06"/>
    <w:rsid w:val="00175555"/>
    <w:rsid w:val="00180CB7"/>
    <w:rsid w:val="00181F1C"/>
    <w:rsid w:val="00186330"/>
    <w:rsid w:val="001870C6"/>
    <w:rsid w:val="0019338D"/>
    <w:rsid w:val="001954B8"/>
    <w:rsid w:val="00196A75"/>
    <w:rsid w:val="001A3235"/>
    <w:rsid w:val="001A529C"/>
    <w:rsid w:val="001B1815"/>
    <w:rsid w:val="001C2A0C"/>
    <w:rsid w:val="001C32BF"/>
    <w:rsid w:val="001C470D"/>
    <w:rsid w:val="001C6948"/>
    <w:rsid w:val="001D0036"/>
    <w:rsid w:val="001D0CCC"/>
    <w:rsid w:val="001D1DC8"/>
    <w:rsid w:val="001D22B9"/>
    <w:rsid w:val="001D370B"/>
    <w:rsid w:val="001D3FEB"/>
    <w:rsid w:val="001D74DF"/>
    <w:rsid w:val="001F436A"/>
    <w:rsid w:val="001F6D3F"/>
    <w:rsid w:val="00200557"/>
    <w:rsid w:val="002006A8"/>
    <w:rsid w:val="002039AF"/>
    <w:rsid w:val="00205ABA"/>
    <w:rsid w:val="00206268"/>
    <w:rsid w:val="00207BB4"/>
    <w:rsid w:val="002123C9"/>
    <w:rsid w:val="00212C51"/>
    <w:rsid w:val="00220060"/>
    <w:rsid w:val="00223EB0"/>
    <w:rsid w:val="00232EE4"/>
    <w:rsid w:val="00233A06"/>
    <w:rsid w:val="00234635"/>
    <w:rsid w:val="002364E2"/>
    <w:rsid w:val="00240639"/>
    <w:rsid w:val="00240A0F"/>
    <w:rsid w:val="00241B1F"/>
    <w:rsid w:val="002443A7"/>
    <w:rsid w:val="00244C9A"/>
    <w:rsid w:val="00247AB3"/>
    <w:rsid w:val="002555F6"/>
    <w:rsid w:val="002560E7"/>
    <w:rsid w:val="00257639"/>
    <w:rsid w:val="002625CC"/>
    <w:rsid w:val="002627D8"/>
    <w:rsid w:val="00265250"/>
    <w:rsid w:val="00267B17"/>
    <w:rsid w:val="00271AB7"/>
    <w:rsid w:val="00271E28"/>
    <w:rsid w:val="002739AD"/>
    <w:rsid w:val="002744AE"/>
    <w:rsid w:val="002809A1"/>
    <w:rsid w:val="0028236F"/>
    <w:rsid w:val="002828B8"/>
    <w:rsid w:val="002851D6"/>
    <w:rsid w:val="00295166"/>
    <w:rsid w:val="002951CD"/>
    <w:rsid w:val="002A1A05"/>
    <w:rsid w:val="002A219D"/>
    <w:rsid w:val="002A35BA"/>
    <w:rsid w:val="002A473C"/>
    <w:rsid w:val="002A4E31"/>
    <w:rsid w:val="002A5662"/>
    <w:rsid w:val="002A640B"/>
    <w:rsid w:val="002A6B7A"/>
    <w:rsid w:val="002B26F6"/>
    <w:rsid w:val="002B3433"/>
    <w:rsid w:val="002B3A4B"/>
    <w:rsid w:val="002B540D"/>
    <w:rsid w:val="002C2B73"/>
    <w:rsid w:val="002C5820"/>
    <w:rsid w:val="002C5F8F"/>
    <w:rsid w:val="002C66D1"/>
    <w:rsid w:val="002D1904"/>
    <w:rsid w:val="002D2E04"/>
    <w:rsid w:val="002E05DF"/>
    <w:rsid w:val="002E06EA"/>
    <w:rsid w:val="002E4029"/>
    <w:rsid w:val="002E49AD"/>
    <w:rsid w:val="002E4B7F"/>
    <w:rsid w:val="002E745A"/>
    <w:rsid w:val="002F671A"/>
    <w:rsid w:val="002F75C8"/>
    <w:rsid w:val="00303036"/>
    <w:rsid w:val="00305176"/>
    <w:rsid w:val="00310CA5"/>
    <w:rsid w:val="003139D2"/>
    <w:rsid w:val="00313AD3"/>
    <w:rsid w:val="00315297"/>
    <w:rsid w:val="00320637"/>
    <w:rsid w:val="00322DCB"/>
    <w:rsid w:val="00323999"/>
    <w:rsid w:val="00323B23"/>
    <w:rsid w:val="00323DC2"/>
    <w:rsid w:val="003244B9"/>
    <w:rsid w:val="00325D8B"/>
    <w:rsid w:val="003265F8"/>
    <w:rsid w:val="003301AC"/>
    <w:rsid w:val="00331122"/>
    <w:rsid w:val="00332A6F"/>
    <w:rsid w:val="00332BF0"/>
    <w:rsid w:val="00334662"/>
    <w:rsid w:val="00334AF3"/>
    <w:rsid w:val="00336CF0"/>
    <w:rsid w:val="00340AC3"/>
    <w:rsid w:val="00341E0A"/>
    <w:rsid w:val="003424BF"/>
    <w:rsid w:val="00342FB0"/>
    <w:rsid w:val="0034316F"/>
    <w:rsid w:val="0034465B"/>
    <w:rsid w:val="00344FE9"/>
    <w:rsid w:val="003479DB"/>
    <w:rsid w:val="00347DF3"/>
    <w:rsid w:val="00350333"/>
    <w:rsid w:val="003513CD"/>
    <w:rsid w:val="003520D1"/>
    <w:rsid w:val="00357164"/>
    <w:rsid w:val="00357E99"/>
    <w:rsid w:val="00360BA3"/>
    <w:rsid w:val="00360CEC"/>
    <w:rsid w:val="00361EA2"/>
    <w:rsid w:val="00363B0E"/>
    <w:rsid w:val="00366B03"/>
    <w:rsid w:val="0036771A"/>
    <w:rsid w:val="0037350A"/>
    <w:rsid w:val="003758F0"/>
    <w:rsid w:val="00376723"/>
    <w:rsid w:val="0037706C"/>
    <w:rsid w:val="003811C1"/>
    <w:rsid w:val="00383F3D"/>
    <w:rsid w:val="0038466F"/>
    <w:rsid w:val="00384E58"/>
    <w:rsid w:val="00384FD6"/>
    <w:rsid w:val="00391857"/>
    <w:rsid w:val="00397F9E"/>
    <w:rsid w:val="003A093F"/>
    <w:rsid w:val="003A327B"/>
    <w:rsid w:val="003B4AAF"/>
    <w:rsid w:val="003B5FEF"/>
    <w:rsid w:val="003C0140"/>
    <w:rsid w:val="003C153F"/>
    <w:rsid w:val="003C4DF4"/>
    <w:rsid w:val="003C742E"/>
    <w:rsid w:val="003D1F1A"/>
    <w:rsid w:val="003D2155"/>
    <w:rsid w:val="003D368F"/>
    <w:rsid w:val="003D6079"/>
    <w:rsid w:val="003D6DFF"/>
    <w:rsid w:val="003E08F1"/>
    <w:rsid w:val="003E2478"/>
    <w:rsid w:val="003E26F5"/>
    <w:rsid w:val="003E288B"/>
    <w:rsid w:val="003E4697"/>
    <w:rsid w:val="003F2C45"/>
    <w:rsid w:val="003F47A2"/>
    <w:rsid w:val="003F490C"/>
    <w:rsid w:val="003F5B67"/>
    <w:rsid w:val="004029DB"/>
    <w:rsid w:val="00404E8B"/>
    <w:rsid w:val="0040510B"/>
    <w:rsid w:val="004051E5"/>
    <w:rsid w:val="00406CD1"/>
    <w:rsid w:val="00407628"/>
    <w:rsid w:val="00407D79"/>
    <w:rsid w:val="00411E25"/>
    <w:rsid w:val="004128F7"/>
    <w:rsid w:val="00415432"/>
    <w:rsid w:val="00416430"/>
    <w:rsid w:val="00417663"/>
    <w:rsid w:val="004214FA"/>
    <w:rsid w:val="00423BCB"/>
    <w:rsid w:val="0042674E"/>
    <w:rsid w:val="00431CD6"/>
    <w:rsid w:val="004327EC"/>
    <w:rsid w:val="00437723"/>
    <w:rsid w:val="00437D40"/>
    <w:rsid w:val="004449BF"/>
    <w:rsid w:val="00452A54"/>
    <w:rsid w:val="00453F4E"/>
    <w:rsid w:val="00454817"/>
    <w:rsid w:val="00454C0E"/>
    <w:rsid w:val="004558B0"/>
    <w:rsid w:val="00455D59"/>
    <w:rsid w:val="004564CF"/>
    <w:rsid w:val="004576BB"/>
    <w:rsid w:val="004601C8"/>
    <w:rsid w:val="00460301"/>
    <w:rsid w:val="00461FA3"/>
    <w:rsid w:val="00462489"/>
    <w:rsid w:val="004639C8"/>
    <w:rsid w:val="00464CEF"/>
    <w:rsid w:val="00465A45"/>
    <w:rsid w:val="00471175"/>
    <w:rsid w:val="00475EA2"/>
    <w:rsid w:val="004764FA"/>
    <w:rsid w:val="00482064"/>
    <w:rsid w:val="004834FE"/>
    <w:rsid w:val="00494A11"/>
    <w:rsid w:val="00497345"/>
    <w:rsid w:val="004B3AB9"/>
    <w:rsid w:val="004B5389"/>
    <w:rsid w:val="004B6C6C"/>
    <w:rsid w:val="004C13A6"/>
    <w:rsid w:val="004C5A1A"/>
    <w:rsid w:val="004C5D86"/>
    <w:rsid w:val="004D5D90"/>
    <w:rsid w:val="004D6CD9"/>
    <w:rsid w:val="004D75C3"/>
    <w:rsid w:val="004D7867"/>
    <w:rsid w:val="004E0B6A"/>
    <w:rsid w:val="004E4A69"/>
    <w:rsid w:val="004E5E7F"/>
    <w:rsid w:val="004E7BA9"/>
    <w:rsid w:val="004F0444"/>
    <w:rsid w:val="004F3006"/>
    <w:rsid w:val="004F5A7D"/>
    <w:rsid w:val="005003FF"/>
    <w:rsid w:val="0050051E"/>
    <w:rsid w:val="00500E72"/>
    <w:rsid w:val="005021FC"/>
    <w:rsid w:val="00503785"/>
    <w:rsid w:val="00505DBB"/>
    <w:rsid w:val="00505FD3"/>
    <w:rsid w:val="00507088"/>
    <w:rsid w:val="00507A37"/>
    <w:rsid w:val="00512E61"/>
    <w:rsid w:val="00513745"/>
    <w:rsid w:val="00516C8E"/>
    <w:rsid w:val="00517176"/>
    <w:rsid w:val="00520746"/>
    <w:rsid w:val="00520CDB"/>
    <w:rsid w:val="00522497"/>
    <w:rsid w:val="0052293C"/>
    <w:rsid w:val="005308BA"/>
    <w:rsid w:val="00533B75"/>
    <w:rsid w:val="005376EA"/>
    <w:rsid w:val="0054034E"/>
    <w:rsid w:val="00543CA0"/>
    <w:rsid w:val="005455EC"/>
    <w:rsid w:val="00545BFA"/>
    <w:rsid w:val="00545D2C"/>
    <w:rsid w:val="00550C3A"/>
    <w:rsid w:val="0055169C"/>
    <w:rsid w:val="005533BE"/>
    <w:rsid w:val="00560B0E"/>
    <w:rsid w:val="005630DA"/>
    <w:rsid w:val="00563FB9"/>
    <w:rsid w:val="00566BEA"/>
    <w:rsid w:val="005717B6"/>
    <w:rsid w:val="00574788"/>
    <w:rsid w:val="005750CC"/>
    <w:rsid w:val="00581458"/>
    <w:rsid w:val="00581988"/>
    <w:rsid w:val="005837ED"/>
    <w:rsid w:val="00584126"/>
    <w:rsid w:val="00584D16"/>
    <w:rsid w:val="00587328"/>
    <w:rsid w:val="00587394"/>
    <w:rsid w:val="005901B1"/>
    <w:rsid w:val="00590BDA"/>
    <w:rsid w:val="005913D3"/>
    <w:rsid w:val="0059204F"/>
    <w:rsid w:val="00592FFD"/>
    <w:rsid w:val="0059312D"/>
    <w:rsid w:val="00594455"/>
    <w:rsid w:val="00594A53"/>
    <w:rsid w:val="005969F8"/>
    <w:rsid w:val="005A168B"/>
    <w:rsid w:val="005A38F1"/>
    <w:rsid w:val="005B03DB"/>
    <w:rsid w:val="005B07F8"/>
    <w:rsid w:val="005B16DD"/>
    <w:rsid w:val="005B35D8"/>
    <w:rsid w:val="005B5A21"/>
    <w:rsid w:val="005B6AE5"/>
    <w:rsid w:val="005C0C57"/>
    <w:rsid w:val="005C2DC2"/>
    <w:rsid w:val="005C3BB6"/>
    <w:rsid w:val="005C5191"/>
    <w:rsid w:val="005D2F8E"/>
    <w:rsid w:val="005D3A0E"/>
    <w:rsid w:val="005D54EB"/>
    <w:rsid w:val="005D5A24"/>
    <w:rsid w:val="005D64FF"/>
    <w:rsid w:val="005E1F4F"/>
    <w:rsid w:val="005E48C1"/>
    <w:rsid w:val="005E4C64"/>
    <w:rsid w:val="005E6085"/>
    <w:rsid w:val="005E7792"/>
    <w:rsid w:val="005F12B9"/>
    <w:rsid w:val="005F3259"/>
    <w:rsid w:val="005F43F3"/>
    <w:rsid w:val="005F7077"/>
    <w:rsid w:val="0060151B"/>
    <w:rsid w:val="00601F4C"/>
    <w:rsid w:val="006058D6"/>
    <w:rsid w:val="006078DB"/>
    <w:rsid w:val="00610EFA"/>
    <w:rsid w:val="006111A2"/>
    <w:rsid w:val="00611714"/>
    <w:rsid w:val="00613F82"/>
    <w:rsid w:val="00615108"/>
    <w:rsid w:val="00615187"/>
    <w:rsid w:val="00617AD2"/>
    <w:rsid w:val="00621F48"/>
    <w:rsid w:val="0062327D"/>
    <w:rsid w:val="006245A3"/>
    <w:rsid w:val="00630F8E"/>
    <w:rsid w:val="00631020"/>
    <w:rsid w:val="006318E9"/>
    <w:rsid w:val="006326A2"/>
    <w:rsid w:val="006348FD"/>
    <w:rsid w:val="006356FE"/>
    <w:rsid w:val="0063783E"/>
    <w:rsid w:val="00640D1F"/>
    <w:rsid w:val="00645869"/>
    <w:rsid w:val="00647A68"/>
    <w:rsid w:val="00650603"/>
    <w:rsid w:val="00653172"/>
    <w:rsid w:val="006539FA"/>
    <w:rsid w:val="006542DD"/>
    <w:rsid w:val="0065603A"/>
    <w:rsid w:val="00657C92"/>
    <w:rsid w:val="006610B9"/>
    <w:rsid w:val="006621BB"/>
    <w:rsid w:val="00663081"/>
    <w:rsid w:val="0066444E"/>
    <w:rsid w:val="0066676F"/>
    <w:rsid w:val="00670BF4"/>
    <w:rsid w:val="0067537B"/>
    <w:rsid w:val="0067696A"/>
    <w:rsid w:val="006769D8"/>
    <w:rsid w:val="006809FE"/>
    <w:rsid w:val="00680F94"/>
    <w:rsid w:val="00684038"/>
    <w:rsid w:val="00684553"/>
    <w:rsid w:val="006876A7"/>
    <w:rsid w:val="00690A6B"/>
    <w:rsid w:val="00691A1E"/>
    <w:rsid w:val="00691AF2"/>
    <w:rsid w:val="006933BF"/>
    <w:rsid w:val="00694937"/>
    <w:rsid w:val="00694C5D"/>
    <w:rsid w:val="0069508E"/>
    <w:rsid w:val="00696736"/>
    <w:rsid w:val="006A0C67"/>
    <w:rsid w:val="006A0F49"/>
    <w:rsid w:val="006A21EB"/>
    <w:rsid w:val="006B1CD6"/>
    <w:rsid w:val="006B3DCA"/>
    <w:rsid w:val="006B474B"/>
    <w:rsid w:val="006B4F0A"/>
    <w:rsid w:val="006B5295"/>
    <w:rsid w:val="006B5E9F"/>
    <w:rsid w:val="006B73F3"/>
    <w:rsid w:val="006B7AB2"/>
    <w:rsid w:val="006B7E38"/>
    <w:rsid w:val="006C06FB"/>
    <w:rsid w:val="006C09E2"/>
    <w:rsid w:val="006C127F"/>
    <w:rsid w:val="006C4B95"/>
    <w:rsid w:val="006C5374"/>
    <w:rsid w:val="006C58C5"/>
    <w:rsid w:val="006C706B"/>
    <w:rsid w:val="006D07A2"/>
    <w:rsid w:val="006D378E"/>
    <w:rsid w:val="006D51A7"/>
    <w:rsid w:val="006D5316"/>
    <w:rsid w:val="006D73B5"/>
    <w:rsid w:val="006D77B3"/>
    <w:rsid w:val="006E26ED"/>
    <w:rsid w:val="006F000A"/>
    <w:rsid w:val="006F045D"/>
    <w:rsid w:val="006F2E44"/>
    <w:rsid w:val="006F70EC"/>
    <w:rsid w:val="0070175D"/>
    <w:rsid w:val="007021B0"/>
    <w:rsid w:val="00702635"/>
    <w:rsid w:val="00704031"/>
    <w:rsid w:val="00705311"/>
    <w:rsid w:val="00705785"/>
    <w:rsid w:val="0070791C"/>
    <w:rsid w:val="00712E6A"/>
    <w:rsid w:val="00713135"/>
    <w:rsid w:val="00716F36"/>
    <w:rsid w:val="00721D8B"/>
    <w:rsid w:val="00726D8B"/>
    <w:rsid w:val="00731DE1"/>
    <w:rsid w:val="0073229E"/>
    <w:rsid w:val="00734516"/>
    <w:rsid w:val="00734D1F"/>
    <w:rsid w:val="00735609"/>
    <w:rsid w:val="00740B2D"/>
    <w:rsid w:val="007436C2"/>
    <w:rsid w:val="0074590F"/>
    <w:rsid w:val="0074671D"/>
    <w:rsid w:val="007470B3"/>
    <w:rsid w:val="00747490"/>
    <w:rsid w:val="00750C97"/>
    <w:rsid w:val="00750DAB"/>
    <w:rsid w:val="00751211"/>
    <w:rsid w:val="00754D3C"/>
    <w:rsid w:val="00754FD1"/>
    <w:rsid w:val="00755281"/>
    <w:rsid w:val="00756A90"/>
    <w:rsid w:val="00761F84"/>
    <w:rsid w:val="00761FB0"/>
    <w:rsid w:val="007655A8"/>
    <w:rsid w:val="00767141"/>
    <w:rsid w:val="00767A2C"/>
    <w:rsid w:val="0077046D"/>
    <w:rsid w:val="00771C80"/>
    <w:rsid w:val="007762DF"/>
    <w:rsid w:val="00776BF7"/>
    <w:rsid w:val="00776CDF"/>
    <w:rsid w:val="0077733B"/>
    <w:rsid w:val="00781FE4"/>
    <w:rsid w:val="00785505"/>
    <w:rsid w:val="00790099"/>
    <w:rsid w:val="007914BE"/>
    <w:rsid w:val="007935FD"/>
    <w:rsid w:val="00793F3B"/>
    <w:rsid w:val="00795331"/>
    <w:rsid w:val="007A03B6"/>
    <w:rsid w:val="007A1473"/>
    <w:rsid w:val="007A4C53"/>
    <w:rsid w:val="007A733F"/>
    <w:rsid w:val="007A7E97"/>
    <w:rsid w:val="007B16C5"/>
    <w:rsid w:val="007B58E3"/>
    <w:rsid w:val="007B66C1"/>
    <w:rsid w:val="007C14F2"/>
    <w:rsid w:val="007C3041"/>
    <w:rsid w:val="007C5B21"/>
    <w:rsid w:val="007C7F55"/>
    <w:rsid w:val="007D1017"/>
    <w:rsid w:val="007D138F"/>
    <w:rsid w:val="007D2A78"/>
    <w:rsid w:val="007D2DC8"/>
    <w:rsid w:val="007D3941"/>
    <w:rsid w:val="007D5EB5"/>
    <w:rsid w:val="007E434D"/>
    <w:rsid w:val="007E4EDE"/>
    <w:rsid w:val="007E50E1"/>
    <w:rsid w:val="007E5CF0"/>
    <w:rsid w:val="007E6AB9"/>
    <w:rsid w:val="007E7BBD"/>
    <w:rsid w:val="007F14F3"/>
    <w:rsid w:val="007F1B55"/>
    <w:rsid w:val="007F3A41"/>
    <w:rsid w:val="007F5192"/>
    <w:rsid w:val="007F59D8"/>
    <w:rsid w:val="007F661B"/>
    <w:rsid w:val="008022FC"/>
    <w:rsid w:val="00803867"/>
    <w:rsid w:val="00804990"/>
    <w:rsid w:val="0080652C"/>
    <w:rsid w:val="00807D9B"/>
    <w:rsid w:val="008129C1"/>
    <w:rsid w:val="008142DC"/>
    <w:rsid w:val="008150EE"/>
    <w:rsid w:val="00815FCF"/>
    <w:rsid w:val="00816F5D"/>
    <w:rsid w:val="00817B7B"/>
    <w:rsid w:val="008213F3"/>
    <w:rsid w:val="00822125"/>
    <w:rsid w:val="008223BD"/>
    <w:rsid w:val="0082598B"/>
    <w:rsid w:val="00830F16"/>
    <w:rsid w:val="00830F2A"/>
    <w:rsid w:val="00833EF7"/>
    <w:rsid w:val="00835C7B"/>
    <w:rsid w:val="008414E4"/>
    <w:rsid w:val="00842E08"/>
    <w:rsid w:val="00843F0B"/>
    <w:rsid w:val="00844CC2"/>
    <w:rsid w:val="008459DA"/>
    <w:rsid w:val="00850385"/>
    <w:rsid w:val="008508CE"/>
    <w:rsid w:val="00852754"/>
    <w:rsid w:val="00854079"/>
    <w:rsid w:val="00860593"/>
    <w:rsid w:val="00861183"/>
    <w:rsid w:val="00861976"/>
    <w:rsid w:val="00863B71"/>
    <w:rsid w:val="00863F7A"/>
    <w:rsid w:val="00866A10"/>
    <w:rsid w:val="00867490"/>
    <w:rsid w:val="00872EA1"/>
    <w:rsid w:val="0087439F"/>
    <w:rsid w:val="00874590"/>
    <w:rsid w:val="00876418"/>
    <w:rsid w:val="00881614"/>
    <w:rsid w:val="008820FE"/>
    <w:rsid w:val="008855FC"/>
    <w:rsid w:val="00885AF8"/>
    <w:rsid w:val="00890703"/>
    <w:rsid w:val="00890E43"/>
    <w:rsid w:val="00892F24"/>
    <w:rsid w:val="00893BF9"/>
    <w:rsid w:val="008954AB"/>
    <w:rsid w:val="00896039"/>
    <w:rsid w:val="00897711"/>
    <w:rsid w:val="008979E4"/>
    <w:rsid w:val="008B515A"/>
    <w:rsid w:val="008C19CF"/>
    <w:rsid w:val="008C59BE"/>
    <w:rsid w:val="008C5EEE"/>
    <w:rsid w:val="008C6E57"/>
    <w:rsid w:val="008C7413"/>
    <w:rsid w:val="008D26F6"/>
    <w:rsid w:val="008D3CE1"/>
    <w:rsid w:val="008D475D"/>
    <w:rsid w:val="008D5446"/>
    <w:rsid w:val="008D7745"/>
    <w:rsid w:val="008E2764"/>
    <w:rsid w:val="008E38A9"/>
    <w:rsid w:val="008E39C4"/>
    <w:rsid w:val="008E62AB"/>
    <w:rsid w:val="008E73D1"/>
    <w:rsid w:val="008F09DB"/>
    <w:rsid w:val="008F64A4"/>
    <w:rsid w:val="008F66F1"/>
    <w:rsid w:val="00902CC2"/>
    <w:rsid w:val="00911ED0"/>
    <w:rsid w:val="00917C1C"/>
    <w:rsid w:val="00921CB9"/>
    <w:rsid w:val="00922C15"/>
    <w:rsid w:val="009269C1"/>
    <w:rsid w:val="0093178C"/>
    <w:rsid w:val="0093463D"/>
    <w:rsid w:val="00935931"/>
    <w:rsid w:val="00937CE1"/>
    <w:rsid w:val="00942652"/>
    <w:rsid w:val="00944D06"/>
    <w:rsid w:val="009473EA"/>
    <w:rsid w:val="009474CA"/>
    <w:rsid w:val="00947DCD"/>
    <w:rsid w:val="00953FAC"/>
    <w:rsid w:val="0095557D"/>
    <w:rsid w:val="00961363"/>
    <w:rsid w:val="009637C8"/>
    <w:rsid w:val="00963A0A"/>
    <w:rsid w:val="0096562A"/>
    <w:rsid w:val="00970CCC"/>
    <w:rsid w:val="00971A9C"/>
    <w:rsid w:val="00977F55"/>
    <w:rsid w:val="00980D40"/>
    <w:rsid w:val="009833D7"/>
    <w:rsid w:val="00986BA1"/>
    <w:rsid w:val="009941C1"/>
    <w:rsid w:val="009A0E58"/>
    <w:rsid w:val="009A1D51"/>
    <w:rsid w:val="009A747D"/>
    <w:rsid w:val="009B0115"/>
    <w:rsid w:val="009B4107"/>
    <w:rsid w:val="009B6AB6"/>
    <w:rsid w:val="009B6D46"/>
    <w:rsid w:val="009C0263"/>
    <w:rsid w:val="009C2176"/>
    <w:rsid w:val="009C25EB"/>
    <w:rsid w:val="009C4634"/>
    <w:rsid w:val="009C4F56"/>
    <w:rsid w:val="009C5527"/>
    <w:rsid w:val="009C6D10"/>
    <w:rsid w:val="009C6D30"/>
    <w:rsid w:val="009C707E"/>
    <w:rsid w:val="009D082E"/>
    <w:rsid w:val="009D0A1F"/>
    <w:rsid w:val="009D1049"/>
    <w:rsid w:val="009D2AFE"/>
    <w:rsid w:val="009D2D0A"/>
    <w:rsid w:val="009D7238"/>
    <w:rsid w:val="009D7B7D"/>
    <w:rsid w:val="009E2F3A"/>
    <w:rsid w:val="009E5954"/>
    <w:rsid w:val="009E5D84"/>
    <w:rsid w:val="009E6701"/>
    <w:rsid w:val="009F052E"/>
    <w:rsid w:val="009F09B6"/>
    <w:rsid w:val="009F1613"/>
    <w:rsid w:val="009F4056"/>
    <w:rsid w:val="009F5943"/>
    <w:rsid w:val="009F5DC1"/>
    <w:rsid w:val="009F67F6"/>
    <w:rsid w:val="00A0404D"/>
    <w:rsid w:val="00A046A3"/>
    <w:rsid w:val="00A04B6C"/>
    <w:rsid w:val="00A05A67"/>
    <w:rsid w:val="00A06EDA"/>
    <w:rsid w:val="00A11FC2"/>
    <w:rsid w:val="00A12CCA"/>
    <w:rsid w:val="00A14924"/>
    <w:rsid w:val="00A21146"/>
    <w:rsid w:val="00A219F3"/>
    <w:rsid w:val="00A22860"/>
    <w:rsid w:val="00A22941"/>
    <w:rsid w:val="00A22F4A"/>
    <w:rsid w:val="00A2320E"/>
    <w:rsid w:val="00A23559"/>
    <w:rsid w:val="00A23973"/>
    <w:rsid w:val="00A2419F"/>
    <w:rsid w:val="00A24819"/>
    <w:rsid w:val="00A3501C"/>
    <w:rsid w:val="00A35C05"/>
    <w:rsid w:val="00A40FFD"/>
    <w:rsid w:val="00A447FA"/>
    <w:rsid w:val="00A474BF"/>
    <w:rsid w:val="00A51652"/>
    <w:rsid w:val="00A535D6"/>
    <w:rsid w:val="00A53677"/>
    <w:rsid w:val="00A56C17"/>
    <w:rsid w:val="00A571E4"/>
    <w:rsid w:val="00A60D6A"/>
    <w:rsid w:val="00A63A6E"/>
    <w:rsid w:val="00A650BD"/>
    <w:rsid w:val="00A6754E"/>
    <w:rsid w:val="00A7344D"/>
    <w:rsid w:val="00A7432A"/>
    <w:rsid w:val="00A75EB4"/>
    <w:rsid w:val="00A847E8"/>
    <w:rsid w:val="00A84CB4"/>
    <w:rsid w:val="00A86D3F"/>
    <w:rsid w:val="00A900FD"/>
    <w:rsid w:val="00A977AC"/>
    <w:rsid w:val="00A97EE2"/>
    <w:rsid w:val="00AA1234"/>
    <w:rsid w:val="00AA19CC"/>
    <w:rsid w:val="00AA1E92"/>
    <w:rsid w:val="00AA2D35"/>
    <w:rsid w:val="00AA2FD8"/>
    <w:rsid w:val="00AA308D"/>
    <w:rsid w:val="00AA3706"/>
    <w:rsid w:val="00AA3832"/>
    <w:rsid w:val="00AA3AAE"/>
    <w:rsid w:val="00AA41A2"/>
    <w:rsid w:val="00AA50AD"/>
    <w:rsid w:val="00AA5E1A"/>
    <w:rsid w:val="00AB0100"/>
    <w:rsid w:val="00AB15DD"/>
    <w:rsid w:val="00AB1868"/>
    <w:rsid w:val="00AB1BAD"/>
    <w:rsid w:val="00AB38AA"/>
    <w:rsid w:val="00AB5553"/>
    <w:rsid w:val="00AC0353"/>
    <w:rsid w:val="00AC18C5"/>
    <w:rsid w:val="00AC50E7"/>
    <w:rsid w:val="00AC64CF"/>
    <w:rsid w:val="00AC7340"/>
    <w:rsid w:val="00AD1764"/>
    <w:rsid w:val="00AD1D34"/>
    <w:rsid w:val="00AD1F36"/>
    <w:rsid w:val="00AD2609"/>
    <w:rsid w:val="00AD2B9C"/>
    <w:rsid w:val="00AD57CF"/>
    <w:rsid w:val="00AD744D"/>
    <w:rsid w:val="00AE041B"/>
    <w:rsid w:val="00AE2C36"/>
    <w:rsid w:val="00AE2C49"/>
    <w:rsid w:val="00AE7199"/>
    <w:rsid w:val="00AF210F"/>
    <w:rsid w:val="00AF431C"/>
    <w:rsid w:val="00B01FF8"/>
    <w:rsid w:val="00B023D8"/>
    <w:rsid w:val="00B025D4"/>
    <w:rsid w:val="00B10145"/>
    <w:rsid w:val="00B13CD2"/>
    <w:rsid w:val="00B16B8A"/>
    <w:rsid w:val="00B2591A"/>
    <w:rsid w:val="00B265E3"/>
    <w:rsid w:val="00B2670A"/>
    <w:rsid w:val="00B27164"/>
    <w:rsid w:val="00B31740"/>
    <w:rsid w:val="00B32CCF"/>
    <w:rsid w:val="00B344E5"/>
    <w:rsid w:val="00B3757B"/>
    <w:rsid w:val="00B41341"/>
    <w:rsid w:val="00B4155C"/>
    <w:rsid w:val="00B41566"/>
    <w:rsid w:val="00B459DA"/>
    <w:rsid w:val="00B4665D"/>
    <w:rsid w:val="00B46AAE"/>
    <w:rsid w:val="00B47E55"/>
    <w:rsid w:val="00B525AE"/>
    <w:rsid w:val="00B535D5"/>
    <w:rsid w:val="00B620E2"/>
    <w:rsid w:val="00B63116"/>
    <w:rsid w:val="00B63CC6"/>
    <w:rsid w:val="00B6469A"/>
    <w:rsid w:val="00B649FC"/>
    <w:rsid w:val="00B6547C"/>
    <w:rsid w:val="00B70397"/>
    <w:rsid w:val="00B70A5D"/>
    <w:rsid w:val="00B7298F"/>
    <w:rsid w:val="00B77C01"/>
    <w:rsid w:val="00B810F0"/>
    <w:rsid w:val="00B81729"/>
    <w:rsid w:val="00B82EC5"/>
    <w:rsid w:val="00B832DB"/>
    <w:rsid w:val="00B834AE"/>
    <w:rsid w:val="00B83B35"/>
    <w:rsid w:val="00B86DB7"/>
    <w:rsid w:val="00B90061"/>
    <w:rsid w:val="00B904FC"/>
    <w:rsid w:val="00B9147D"/>
    <w:rsid w:val="00B937BE"/>
    <w:rsid w:val="00B93B42"/>
    <w:rsid w:val="00B941C1"/>
    <w:rsid w:val="00B9556D"/>
    <w:rsid w:val="00B956DC"/>
    <w:rsid w:val="00B95F35"/>
    <w:rsid w:val="00BA0CD9"/>
    <w:rsid w:val="00BA2033"/>
    <w:rsid w:val="00BA22A0"/>
    <w:rsid w:val="00BA538B"/>
    <w:rsid w:val="00BA7356"/>
    <w:rsid w:val="00BB5B32"/>
    <w:rsid w:val="00BC45E9"/>
    <w:rsid w:val="00BC4851"/>
    <w:rsid w:val="00BC4C33"/>
    <w:rsid w:val="00BC58AA"/>
    <w:rsid w:val="00BC7A25"/>
    <w:rsid w:val="00BD469D"/>
    <w:rsid w:val="00BF0888"/>
    <w:rsid w:val="00BF6351"/>
    <w:rsid w:val="00BF678B"/>
    <w:rsid w:val="00BF7922"/>
    <w:rsid w:val="00C034F9"/>
    <w:rsid w:val="00C0391B"/>
    <w:rsid w:val="00C102E4"/>
    <w:rsid w:val="00C10FED"/>
    <w:rsid w:val="00C145DD"/>
    <w:rsid w:val="00C2005E"/>
    <w:rsid w:val="00C22389"/>
    <w:rsid w:val="00C22499"/>
    <w:rsid w:val="00C22830"/>
    <w:rsid w:val="00C228B2"/>
    <w:rsid w:val="00C23FC1"/>
    <w:rsid w:val="00C24F04"/>
    <w:rsid w:val="00C255AB"/>
    <w:rsid w:val="00C261B0"/>
    <w:rsid w:val="00C265A8"/>
    <w:rsid w:val="00C270CD"/>
    <w:rsid w:val="00C27AB7"/>
    <w:rsid w:val="00C30437"/>
    <w:rsid w:val="00C3175F"/>
    <w:rsid w:val="00C32FA4"/>
    <w:rsid w:val="00C33703"/>
    <w:rsid w:val="00C516CC"/>
    <w:rsid w:val="00C521B4"/>
    <w:rsid w:val="00C53784"/>
    <w:rsid w:val="00C566E4"/>
    <w:rsid w:val="00C613A2"/>
    <w:rsid w:val="00C63AA9"/>
    <w:rsid w:val="00C67816"/>
    <w:rsid w:val="00C678F1"/>
    <w:rsid w:val="00C67ACC"/>
    <w:rsid w:val="00C83AEB"/>
    <w:rsid w:val="00C86B89"/>
    <w:rsid w:val="00C86D64"/>
    <w:rsid w:val="00C87EBA"/>
    <w:rsid w:val="00C92991"/>
    <w:rsid w:val="00C930C2"/>
    <w:rsid w:val="00C935DE"/>
    <w:rsid w:val="00C93D72"/>
    <w:rsid w:val="00C9537B"/>
    <w:rsid w:val="00C95645"/>
    <w:rsid w:val="00C95DC3"/>
    <w:rsid w:val="00C9717D"/>
    <w:rsid w:val="00CA0245"/>
    <w:rsid w:val="00CA0CF5"/>
    <w:rsid w:val="00CA4E06"/>
    <w:rsid w:val="00CA51AC"/>
    <w:rsid w:val="00CA5B6C"/>
    <w:rsid w:val="00CA61F6"/>
    <w:rsid w:val="00CB104D"/>
    <w:rsid w:val="00CB63B9"/>
    <w:rsid w:val="00CB6A72"/>
    <w:rsid w:val="00CC1FAF"/>
    <w:rsid w:val="00CC30BF"/>
    <w:rsid w:val="00CC457C"/>
    <w:rsid w:val="00CC73E5"/>
    <w:rsid w:val="00CD0DCE"/>
    <w:rsid w:val="00CD2E88"/>
    <w:rsid w:val="00CD3025"/>
    <w:rsid w:val="00CD6CD2"/>
    <w:rsid w:val="00CD76A3"/>
    <w:rsid w:val="00CD7E8B"/>
    <w:rsid w:val="00CE0443"/>
    <w:rsid w:val="00CE2DA4"/>
    <w:rsid w:val="00CE535E"/>
    <w:rsid w:val="00CE61B3"/>
    <w:rsid w:val="00CE6673"/>
    <w:rsid w:val="00CE73E8"/>
    <w:rsid w:val="00CF04B3"/>
    <w:rsid w:val="00CF06EC"/>
    <w:rsid w:val="00CF0C81"/>
    <w:rsid w:val="00CF27B7"/>
    <w:rsid w:val="00CF61FB"/>
    <w:rsid w:val="00CF75C7"/>
    <w:rsid w:val="00CF7DA1"/>
    <w:rsid w:val="00D00176"/>
    <w:rsid w:val="00D03B61"/>
    <w:rsid w:val="00D03DEA"/>
    <w:rsid w:val="00D04D9A"/>
    <w:rsid w:val="00D0579F"/>
    <w:rsid w:val="00D05DCD"/>
    <w:rsid w:val="00D116EC"/>
    <w:rsid w:val="00D13613"/>
    <w:rsid w:val="00D149DC"/>
    <w:rsid w:val="00D14E9F"/>
    <w:rsid w:val="00D17FCF"/>
    <w:rsid w:val="00D2214C"/>
    <w:rsid w:val="00D23DCE"/>
    <w:rsid w:val="00D2654E"/>
    <w:rsid w:val="00D327D3"/>
    <w:rsid w:val="00D349C2"/>
    <w:rsid w:val="00D35C3B"/>
    <w:rsid w:val="00D3608E"/>
    <w:rsid w:val="00D3635A"/>
    <w:rsid w:val="00D3736D"/>
    <w:rsid w:val="00D37DB7"/>
    <w:rsid w:val="00D41B0A"/>
    <w:rsid w:val="00D43D1A"/>
    <w:rsid w:val="00D44AC2"/>
    <w:rsid w:val="00D44EF8"/>
    <w:rsid w:val="00D477C9"/>
    <w:rsid w:val="00D4791A"/>
    <w:rsid w:val="00D53B6A"/>
    <w:rsid w:val="00D60FDF"/>
    <w:rsid w:val="00D621C9"/>
    <w:rsid w:val="00D62FC5"/>
    <w:rsid w:val="00D64AB4"/>
    <w:rsid w:val="00D65959"/>
    <w:rsid w:val="00D706C6"/>
    <w:rsid w:val="00D70F88"/>
    <w:rsid w:val="00D827DF"/>
    <w:rsid w:val="00D90319"/>
    <w:rsid w:val="00D94AF9"/>
    <w:rsid w:val="00DA0EBE"/>
    <w:rsid w:val="00DA1489"/>
    <w:rsid w:val="00DA1C0D"/>
    <w:rsid w:val="00DA2747"/>
    <w:rsid w:val="00DA4EAA"/>
    <w:rsid w:val="00DA523B"/>
    <w:rsid w:val="00DA5A06"/>
    <w:rsid w:val="00DB0731"/>
    <w:rsid w:val="00DB2A99"/>
    <w:rsid w:val="00DB321E"/>
    <w:rsid w:val="00DB3413"/>
    <w:rsid w:val="00DB42EE"/>
    <w:rsid w:val="00DB50F6"/>
    <w:rsid w:val="00DB6CD8"/>
    <w:rsid w:val="00DC008C"/>
    <w:rsid w:val="00DC747F"/>
    <w:rsid w:val="00DC7D6C"/>
    <w:rsid w:val="00DD1973"/>
    <w:rsid w:val="00DD7811"/>
    <w:rsid w:val="00DE063A"/>
    <w:rsid w:val="00DE3AF6"/>
    <w:rsid w:val="00DE67B7"/>
    <w:rsid w:val="00DE6EA0"/>
    <w:rsid w:val="00DE7207"/>
    <w:rsid w:val="00DF51E5"/>
    <w:rsid w:val="00DF5FF0"/>
    <w:rsid w:val="00DF6D03"/>
    <w:rsid w:val="00DF758F"/>
    <w:rsid w:val="00E003C9"/>
    <w:rsid w:val="00E006E4"/>
    <w:rsid w:val="00E01311"/>
    <w:rsid w:val="00E03EDF"/>
    <w:rsid w:val="00E040D3"/>
    <w:rsid w:val="00E0622C"/>
    <w:rsid w:val="00E06F49"/>
    <w:rsid w:val="00E13FCE"/>
    <w:rsid w:val="00E14D0C"/>
    <w:rsid w:val="00E15A28"/>
    <w:rsid w:val="00E16008"/>
    <w:rsid w:val="00E20EAB"/>
    <w:rsid w:val="00E23155"/>
    <w:rsid w:val="00E23701"/>
    <w:rsid w:val="00E27BD7"/>
    <w:rsid w:val="00E31C9E"/>
    <w:rsid w:val="00E32909"/>
    <w:rsid w:val="00E33698"/>
    <w:rsid w:val="00E3677E"/>
    <w:rsid w:val="00E420F9"/>
    <w:rsid w:val="00E424F9"/>
    <w:rsid w:val="00E434B0"/>
    <w:rsid w:val="00E459F4"/>
    <w:rsid w:val="00E47856"/>
    <w:rsid w:val="00E5093F"/>
    <w:rsid w:val="00E65488"/>
    <w:rsid w:val="00E7097A"/>
    <w:rsid w:val="00E72413"/>
    <w:rsid w:val="00E72A31"/>
    <w:rsid w:val="00E72BF2"/>
    <w:rsid w:val="00E72EBD"/>
    <w:rsid w:val="00E73357"/>
    <w:rsid w:val="00E747B7"/>
    <w:rsid w:val="00E76808"/>
    <w:rsid w:val="00E80F90"/>
    <w:rsid w:val="00E8302E"/>
    <w:rsid w:val="00E8460C"/>
    <w:rsid w:val="00E846AC"/>
    <w:rsid w:val="00E84A17"/>
    <w:rsid w:val="00E8539B"/>
    <w:rsid w:val="00E86A77"/>
    <w:rsid w:val="00E90692"/>
    <w:rsid w:val="00E91237"/>
    <w:rsid w:val="00E91C97"/>
    <w:rsid w:val="00E95FC4"/>
    <w:rsid w:val="00E973FF"/>
    <w:rsid w:val="00EA18BD"/>
    <w:rsid w:val="00EA1E0C"/>
    <w:rsid w:val="00EA239D"/>
    <w:rsid w:val="00EA38B4"/>
    <w:rsid w:val="00EA6803"/>
    <w:rsid w:val="00EB3A62"/>
    <w:rsid w:val="00EB4AD5"/>
    <w:rsid w:val="00EB6535"/>
    <w:rsid w:val="00EC100C"/>
    <w:rsid w:val="00EC17F0"/>
    <w:rsid w:val="00EC4909"/>
    <w:rsid w:val="00ED1A64"/>
    <w:rsid w:val="00ED2152"/>
    <w:rsid w:val="00ED4342"/>
    <w:rsid w:val="00EE00BB"/>
    <w:rsid w:val="00EE2AF4"/>
    <w:rsid w:val="00EE4798"/>
    <w:rsid w:val="00EE52A3"/>
    <w:rsid w:val="00EE53C6"/>
    <w:rsid w:val="00EF0A10"/>
    <w:rsid w:val="00EF1372"/>
    <w:rsid w:val="00EF7D1E"/>
    <w:rsid w:val="00F01C0D"/>
    <w:rsid w:val="00F03BCE"/>
    <w:rsid w:val="00F04191"/>
    <w:rsid w:val="00F05188"/>
    <w:rsid w:val="00F05FC6"/>
    <w:rsid w:val="00F06100"/>
    <w:rsid w:val="00F06279"/>
    <w:rsid w:val="00F13DE3"/>
    <w:rsid w:val="00F155A2"/>
    <w:rsid w:val="00F167FB"/>
    <w:rsid w:val="00F16D48"/>
    <w:rsid w:val="00F17048"/>
    <w:rsid w:val="00F204A4"/>
    <w:rsid w:val="00F26D98"/>
    <w:rsid w:val="00F36840"/>
    <w:rsid w:val="00F36E40"/>
    <w:rsid w:val="00F423EA"/>
    <w:rsid w:val="00F429E4"/>
    <w:rsid w:val="00F42DAF"/>
    <w:rsid w:val="00F43EFA"/>
    <w:rsid w:val="00F44F71"/>
    <w:rsid w:val="00F4727F"/>
    <w:rsid w:val="00F51249"/>
    <w:rsid w:val="00F5356F"/>
    <w:rsid w:val="00F6081F"/>
    <w:rsid w:val="00F6783A"/>
    <w:rsid w:val="00F72034"/>
    <w:rsid w:val="00F733ED"/>
    <w:rsid w:val="00F766B5"/>
    <w:rsid w:val="00F76C5A"/>
    <w:rsid w:val="00F77A98"/>
    <w:rsid w:val="00F77DB8"/>
    <w:rsid w:val="00F808AD"/>
    <w:rsid w:val="00F81A5C"/>
    <w:rsid w:val="00F82B28"/>
    <w:rsid w:val="00F83E9B"/>
    <w:rsid w:val="00F8402E"/>
    <w:rsid w:val="00F874FD"/>
    <w:rsid w:val="00F9195A"/>
    <w:rsid w:val="00F93485"/>
    <w:rsid w:val="00F942DC"/>
    <w:rsid w:val="00F95D23"/>
    <w:rsid w:val="00F963FB"/>
    <w:rsid w:val="00FA24F8"/>
    <w:rsid w:val="00FA3C54"/>
    <w:rsid w:val="00FA44E8"/>
    <w:rsid w:val="00FA4BF7"/>
    <w:rsid w:val="00FA6ED7"/>
    <w:rsid w:val="00FB093E"/>
    <w:rsid w:val="00FB3B5F"/>
    <w:rsid w:val="00FB43C9"/>
    <w:rsid w:val="00FB4E93"/>
    <w:rsid w:val="00FB7CE5"/>
    <w:rsid w:val="00FC07A0"/>
    <w:rsid w:val="00FC0E05"/>
    <w:rsid w:val="00FC6F9E"/>
    <w:rsid w:val="00FC78EF"/>
    <w:rsid w:val="00FD13F9"/>
    <w:rsid w:val="00FD1F5F"/>
    <w:rsid w:val="00FD524A"/>
    <w:rsid w:val="00FD57AD"/>
    <w:rsid w:val="00FD5C0C"/>
    <w:rsid w:val="00FD5F9B"/>
    <w:rsid w:val="00FE2707"/>
    <w:rsid w:val="00FE2DE0"/>
    <w:rsid w:val="00FE686A"/>
    <w:rsid w:val="00FE71DB"/>
    <w:rsid w:val="00FF3A38"/>
    <w:rsid w:val="00FF3BF4"/>
    <w:rsid w:val="00FF4DE2"/>
    <w:rsid w:val="00FF520F"/>
    <w:rsid w:val="00FF53D6"/>
    <w:rsid w:val="00FF5C6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D240"/>
  <w15:docId w15:val="{CB3CEB71-D75E-4AB2-A07A-9BB90684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1A6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3C5509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3C5509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09"/>
  </w:style>
  <w:style w:type="paragraph" w:styleId="Header">
    <w:name w:val="header"/>
    <w:basedOn w:val="Normal"/>
    <w:link w:val="HeaderChar"/>
    <w:uiPriority w:val="99"/>
    <w:unhideWhenUsed/>
    <w:rsid w:val="001C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4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2B3A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3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C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1F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ensus.gov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 K B I M A N A G E ! 2 0 0 3 4 2 5 . 1 2 < / d o c u m e n t i d >  
     < s e n d e r i d > E B K < / s e n d e r i d >  
     < s e n d e r e m a i l > E K R E T C H M E R @ K B - L A W . C O M < / s e n d e r e m a i l >  
     < l a s t m o d i f i e d > 2 0 2 3 - 0 8 - 2 8 T 1 7 : 2 5 : 0 0 . 0 0 0 0 0 0 0 - 0 4 : 0 0 < / l a s t m o d i f i e d >  
     < d a t a b a s e > K B I M A N A G E 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WTjhJoJtCK4Z95Ueoqtlhsnf9A==">AMUW2mX3kEAt7BbfiecQfIN2wP46MNUe6eRLT24cotJSGe7O9+PLhIEvvhqxzLRtzlhQXoXh5EOhrT3/SfjEt4cQXxBjZTRF71+XNjt/+NV/3bx+82z+sIHFJ5xtnn4UQbgT1XxblB5b</go:docsCustomData>
</go:gDocsCustomXmlDataStorage>
</file>

<file path=customXml/itemProps1.xml><?xml version="1.0" encoding="utf-8"?>
<ds:datastoreItem xmlns:ds="http://schemas.openxmlformats.org/officeDocument/2006/customXml" ds:itemID="{2FCEC1DF-1933-44C0-8C15-048875C8AC7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974D60E-7A67-47D0-9472-D3F2C8767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</Company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B. Kretchmer</dc:creator>
  <cp:keywords/>
  <dc:description/>
  <cp:lastModifiedBy>Marks, Brett (DPH)</cp:lastModifiedBy>
  <cp:revision>33</cp:revision>
  <dcterms:created xsi:type="dcterms:W3CDTF">2023-08-30T19:53:00Z</dcterms:created>
  <dcterms:modified xsi:type="dcterms:W3CDTF">2023-08-31T12:24:00Z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Location">
    <vt:lpwstr>END_OF_DOCUMENT</vt:lpwstr>
  </property>
  <property fmtid="{D5CDD505-2E9C-101B-9397-08002B2CF9AE}" pid="4" name="CUS_DocIDReference">
    <vt:lpwstr>endOfDocument</vt:lpwstr>
  </property>
  <property fmtid="{D5CDD505-2E9C-101B-9397-08002B2CF9AE}" pid="5" name="CUS_DocIDString">
    <vt:lpwstr>1240\0177\2003425.v8</vt:lpwstr>
  </property>
  <property fmtid="{D5CDD505-2E9C-101B-9397-08002B2CF9AE}" pid="6" name="CUS_DocIDChunk0">
    <vt:lpwstr>1240\0177\2003425.v8</vt:lpwstr>
  </property>
</Properties>
</file>