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224D8" w14:textId="77777777" w:rsidR="000D0D41" w:rsidRDefault="000D0D41" w:rsidP="0056515A">
      <w:pPr>
        <w:rPr>
          <w:rFonts w:cstheme="minorHAnsi"/>
          <w:b/>
          <w:bCs/>
        </w:rPr>
      </w:pPr>
    </w:p>
    <w:p w14:paraId="4A3220D6" w14:textId="7BE71F19" w:rsidR="002D06F7" w:rsidRPr="00450206" w:rsidRDefault="003A5F8B" w:rsidP="00335F54">
      <w:pPr>
        <w:pStyle w:val="ListParagraph"/>
        <w:numPr>
          <w:ilvl w:val="0"/>
          <w:numId w:val="29"/>
        </w:numPr>
        <w:spacing w:line="229" w:lineRule="exact"/>
        <w:rPr>
          <w:rFonts w:cstheme="minorHAnsi"/>
          <w:b/>
          <w:bCs/>
        </w:rPr>
      </w:pPr>
      <w:r w:rsidRPr="00450206">
        <w:rPr>
          <w:rStyle w:val="cf01"/>
          <w:rFonts w:asciiTheme="minorHAnsi" w:hAnsiTheme="minorHAnsi" w:cstheme="minorHAnsi"/>
          <w:b/>
          <w:bCs/>
          <w:sz w:val="22"/>
          <w:szCs w:val="22"/>
        </w:rPr>
        <w:t>We note that the BILH’s Patient Panel (see definition in 105 CMR 100)</w:t>
      </w:r>
      <w:r w:rsidR="00DF2716" w:rsidRPr="00450206">
        <w:rPr>
          <w:rStyle w:val="cf01"/>
          <w:rFonts w:asciiTheme="minorHAnsi" w:hAnsiTheme="minorHAnsi" w:cstheme="minorHAnsi"/>
          <w:b/>
          <w:bCs/>
          <w:sz w:val="22"/>
          <w:szCs w:val="22"/>
        </w:rPr>
        <w:t xml:space="preserve">, </w:t>
      </w:r>
      <w:r w:rsidR="006E5CDF" w:rsidRPr="00450206">
        <w:rPr>
          <w:rStyle w:val="cf01"/>
          <w:rFonts w:asciiTheme="minorHAnsi" w:hAnsiTheme="minorHAnsi" w:cstheme="minorHAnsi"/>
          <w:b/>
          <w:bCs/>
          <w:sz w:val="22"/>
          <w:szCs w:val="22"/>
        </w:rPr>
        <w:t xml:space="preserve">LHMC’s </w:t>
      </w:r>
      <w:r w:rsidR="00DF2716" w:rsidRPr="00450206">
        <w:rPr>
          <w:rStyle w:val="cf01"/>
          <w:rFonts w:asciiTheme="minorHAnsi" w:hAnsiTheme="minorHAnsi" w:cstheme="minorHAnsi"/>
          <w:b/>
          <w:bCs/>
          <w:sz w:val="22"/>
          <w:szCs w:val="22"/>
        </w:rPr>
        <w:t>patient population demographics,</w:t>
      </w:r>
      <w:r w:rsidRPr="00450206">
        <w:rPr>
          <w:rStyle w:val="cf01"/>
          <w:rFonts w:asciiTheme="minorHAnsi" w:hAnsiTheme="minorHAnsi" w:cstheme="minorHAnsi"/>
          <w:b/>
          <w:bCs/>
          <w:sz w:val="22"/>
          <w:szCs w:val="22"/>
        </w:rPr>
        <w:t xml:space="preserve"> and utilization </w:t>
      </w:r>
      <w:r w:rsidR="00DF2716" w:rsidRPr="00450206">
        <w:rPr>
          <w:rStyle w:val="cf01"/>
          <w:rFonts w:asciiTheme="minorHAnsi" w:hAnsiTheme="minorHAnsi" w:cstheme="minorHAnsi"/>
          <w:b/>
          <w:bCs/>
          <w:sz w:val="22"/>
          <w:szCs w:val="22"/>
        </w:rPr>
        <w:t>tables</w:t>
      </w:r>
      <w:r w:rsidRPr="00450206">
        <w:rPr>
          <w:rStyle w:val="cf01"/>
          <w:rFonts w:asciiTheme="minorHAnsi" w:hAnsiTheme="minorHAnsi" w:cstheme="minorHAnsi"/>
          <w:b/>
          <w:bCs/>
          <w:sz w:val="22"/>
          <w:szCs w:val="22"/>
        </w:rPr>
        <w:t xml:space="preserve"> </w:t>
      </w:r>
      <w:r w:rsidR="00B53AB1" w:rsidRPr="00450206">
        <w:rPr>
          <w:rStyle w:val="cf01"/>
          <w:rFonts w:asciiTheme="minorHAnsi" w:hAnsiTheme="minorHAnsi" w:cstheme="minorHAnsi"/>
          <w:b/>
          <w:bCs/>
          <w:sz w:val="22"/>
          <w:szCs w:val="22"/>
        </w:rPr>
        <w:t>did not include any data from FY2023</w:t>
      </w:r>
      <w:r w:rsidRPr="00450206">
        <w:rPr>
          <w:rStyle w:val="cf01"/>
          <w:rFonts w:asciiTheme="minorHAnsi" w:hAnsiTheme="minorHAnsi" w:cstheme="minorHAnsi"/>
          <w:b/>
          <w:bCs/>
          <w:sz w:val="22"/>
          <w:szCs w:val="22"/>
        </w:rPr>
        <w:t xml:space="preserve">. Please </w:t>
      </w:r>
      <w:r w:rsidR="00F101A5" w:rsidRPr="00450206">
        <w:rPr>
          <w:rStyle w:val="cf01"/>
          <w:rFonts w:asciiTheme="minorHAnsi" w:hAnsiTheme="minorHAnsi" w:cstheme="minorHAnsi"/>
          <w:b/>
          <w:bCs/>
          <w:sz w:val="22"/>
          <w:szCs w:val="22"/>
        </w:rPr>
        <w:t>provide</w:t>
      </w:r>
      <w:r w:rsidRPr="00450206">
        <w:rPr>
          <w:rStyle w:val="cf01"/>
          <w:rFonts w:asciiTheme="minorHAnsi" w:hAnsiTheme="minorHAnsi" w:cstheme="minorHAnsi"/>
          <w:b/>
          <w:bCs/>
          <w:sz w:val="22"/>
          <w:szCs w:val="22"/>
        </w:rPr>
        <w:t xml:space="preserve"> </w:t>
      </w:r>
      <w:r w:rsidR="00B53AB1" w:rsidRPr="00450206">
        <w:rPr>
          <w:rStyle w:val="cf01"/>
          <w:rFonts w:asciiTheme="minorHAnsi" w:hAnsiTheme="minorHAnsi" w:cstheme="minorHAnsi"/>
          <w:b/>
          <w:bCs/>
          <w:sz w:val="22"/>
          <w:szCs w:val="22"/>
        </w:rPr>
        <w:t>FY2023</w:t>
      </w:r>
      <w:r w:rsidRPr="00450206">
        <w:rPr>
          <w:rStyle w:val="cf01"/>
          <w:rFonts w:asciiTheme="minorHAnsi" w:hAnsiTheme="minorHAnsi" w:cstheme="minorHAnsi"/>
          <w:b/>
          <w:bCs/>
          <w:sz w:val="22"/>
          <w:szCs w:val="22"/>
        </w:rPr>
        <w:t xml:space="preserve"> data</w:t>
      </w:r>
      <w:r w:rsidR="00810C49" w:rsidRPr="00450206">
        <w:rPr>
          <w:rFonts w:cs="HQIEQ S+ Times New"/>
          <w:b/>
          <w:bCs/>
          <w:color w:val="000000"/>
        </w:rPr>
        <w:t xml:space="preserve"> for the following tables:</w:t>
      </w:r>
    </w:p>
    <w:p w14:paraId="6CA103C8" w14:textId="77777777" w:rsidR="00450206" w:rsidRPr="00450206" w:rsidRDefault="00450206" w:rsidP="00450206">
      <w:pPr>
        <w:pStyle w:val="ListParagraph"/>
        <w:spacing w:line="229" w:lineRule="exact"/>
        <w:ind w:left="360"/>
        <w:rPr>
          <w:rFonts w:cstheme="minorHAnsi"/>
          <w:b/>
          <w:bCs/>
        </w:rPr>
      </w:pPr>
    </w:p>
    <w:p w14:paraId="4D3BCD63" w14:textId="71695115" w:rsidR="00A15FC6" w:rsidRDefault="00A15FC6" w:rsidP="00A15FC6">
      <w:pPr>
        <w:pStyle w:val="ListParagraph"/>
        <w:numPr>
          <w:ilvl w:val="1"/>
          <w:numId w:val="29"/>
        </w:numPr>
        <w:spacing w:before="240" w:after="0" w:line="240" w:lineRule="auto"/>
        <w:jc w:val="both"/>
        <w:rPr>
          <w:rFonts w:eastAsia="Times New Roman" w:cstheme="minorHAnsi"/>
          <w:b/>
          <w:bCs/>
          <w:smallCaps/>
          <w:kern w:val="2"/>
          <w:sz w:val="24"/>
          <w:szCs w:val="24"/>
        </w:rPr>
      </w:pPr>
      <w:bookmarkStart w:id="0" w:name="_Hlk143068410"/>
      <w:r w:rsidRPr="00450206">
        <w:rPr>
          <w:rFonts w:eastAsia="Times New Roman" w:cstheme="minorHAnsi"/>
          <w:b/>
          <w:bCs/>
          <w:smallCaps/>
          <w:kern w:val="2"/>
          <w:sz w:val="24"/>
          <w:szCs w:val="24"/>
        </w:rPr>
        <w:t xml:space="preserve">Table 1: BILH Patient Panel Demographics </w:t>
      </w:r>
      <w:r w:rsidR="00D01766" w:rsidRPr="00450206">
        <w:rPr>
          <w:rFonts w:eastAsia="Times New Roman" w:cstheme="minorHAnsi"/>
          <w:b/>
          <w:bCs/>
          <w:smallCaps/>
          <w:kern w:val="2"/>
          <w:sz w:val="24"/>
          <w:szCs w:val="24"/>
        </w:rPr>
        <w:t>(Narrative page 3)</w:t>
      </w:r>
    </w:p>
    <w:p w14:paraId="1D351729" w14:textId="77777777" w:rsidR="009611FA" w:rsidRDefault="009611FA" w:rsidP="009611FA">
      <w:pPr>
        <w:pStyle w:val="ListParagraph"/>
        <w:spacing w:before="240" w:after="0" w:line="240" w:lineRule="auto"/>
        <w:ind w:left="360"/>
        <w:jc w:val="both"/>
        <w:rPr>
          <w:rFonts w:eastAsia="Times New Roman" w:cstheme="minorHAnsi"/>
          <w:kern w:val="2"/>
        </w:rPr>
      </w:pPr>
    </w:p>
    <w:p w14:paraId="08AADF4D" w14:textId="68C2B0C6" w:rsidR="009611FA" w:rsidRPr="009611FA" w:rsidRDefault="009611FA" w:rsidP="009611FA">
      <w:pPr>
        <w:pStyle w:val="ListParagraph"/>
        <w:spacing w:before="240" w:after="0" w:line="240" w:lineRule="auto"/>
        <w:ind w:left="360"/>
        <w:jc w:val="both"/>
        <w:rPr>
          <w:rFonts w:eastAsia="Times New Roman" w:cstheme="minorHAnsi"/>
          <w:kern w:val="2"/>
        </w:rPr>
      </w:pPr>
      <w:r w:rsidRPr="00215C87">
        <w:rPr>
          <w:rFonts w:eastAsia="Times New Roman" w:cstheme="minorHAnsi"/>
          <w:kern w:val="2"/>
        </w:rPr>
        <w:t xml:space="preserve">Please note that the data in Tables </w:t>
      </w:r>
      <w:r>
        <w:rPr>
          <w:rFonts w:eastAsia="Times New Roman" w:cstheme="minorHAnsi"/>
          <w:kern w:val="2"/>
        </w:rPr>
        <w:t>1-3</w:t>
      </w:r>
      <w:r w:rsidRPr="00215C87">
        <w:rPr>
          <w:rFonts w:eastAsia="Times New Roman" w:cstheme="minorHAnsi"/>
          <w:kern w:val="2"/>
        </w:rPr>
        <w:t xml:space="preserve"> </w:t>
      </w:r>
      <w:r w:rsidR="00021C7D">
        <w:rPr>
          <w:rFonts w:eastAsia="Times New Roman" w:cstheme="minorHAnsi"/>
          <w:kern w:val="2"/>
        </w:rPr>
        <w:t>are</w:t>
      </w:r>
      <w:r w:rsidRPr="00215C87">
        <w:rPr>
          <w:rFonts w:eastAsia="Times New Roman" w:cstheme="minorHAnsi"/>
          <w:kern w:val="2"/>
        </w:rPr>
        <w:t xml:space="preserve"> reported for the </w:t>
      </w:r>
      <w:r>
        <w:rPr>
          <w:rFonts w:eastAsia="Times New Roman" w:cstheme="minorHAnsi"/>
          <w:kern w:val="2"/>
        </w:rPr>
        <w:t>DPH Fiscal Year</w:t>
      </w:r>
      <w:r w:rsidRPr="00215C87">
        <w:rPr>
          <w:rFonts w:eastAsia="Times New Roman" w:cstheme="minorHAnsi"/>
          <w:kern w:val="2"/>
        </w:rPr>
        <w:t xml:space="preserve">, which runs from </w:t>
      </w:r>
      <w:r>
        <w:rPr>
          <w:rFonts w:eastAsia="Times New Roman" w:cstheme="minorHAnsi"/>
          <w:kern w:val="2"/>
        </w:rPr>
        <w:t>July</w:t>
      </w:r>
      <w:r w:rsidRPr="00215C87">
        <w:rPr>
          <w:rFonts w:eastAsia="Times New Roman" w:cstheme="minorHAnsi"/>
          <w:kern w:val="2"/>
        </w:rPr>
        <w:t xml:space="preserve"> 1</w:t>
      </w:r>
      <w:r w:rsidR="00E743A3">
        <w:rPr>
          <w:rFonts w:eastAsia="Times New Roman" w:cstheme="minorHAnsi"/>
          <w:kern w:val="2"/>
        </w:rPr>
        <w:t xml:space="preserve"> </w:t>
      </w:r>
      <w:r w:rsidRPr="00215C87">
        <w:rPr>
          <w:rFonts w:eastAsia="Times New Roman" w:cstheme="minorHAnsi"/>
          <w:kern w:val="2"/>
        </w:rPr>
        <w:t xml:space="preserve">through </w:t>
      </w:r>
      <w:r>
        <w:rPr>
          <w:rFonts w:eastAsia="Times New Roman" w:cstheme="minorHAnsi"/>
          <w:kern w:val="2"/>
        </w:rPr>
        <w:t>June</w:t>
      </w:r>
      <w:r w:rsidRPr="00215C87">
        <w:rPr>
          <w:rFonts w:eastAsia="Times New Roman" w:cstheme="minorHAnsi"/>
          <w:kern w:val="2"/>
        </w:rPr>
        <w:t xml:space="preserve"> 30. </w:t>
      </w:r>
      <w:r>
        <w:rPr>
          <w:rFonts w:eastAsia="Times New Roman" w:cstheme="minorHAnsi"/>
          <w:kern w:val="2"/>
        </w:rPr>
        <w:t xml:space="preserve">The data provided in the </w:t>
      </w:r>
      <w:proofErr w:type="spellStart"/>
      <w:r>
        <w:rPr>
          <w:rFonts w:eastAsia="Times New Roman" w:cstheme="minorHAnsi"/>
          <w:kern w:val="2"/>
        </w:rPr>
        <w:t>DoN</w:t>
      </w:r>
      <w:proofErr w:type="spellEnd"/>
      <w:r>
        <w:rPr>
          <w:rFonts w:eastAsia="Times New Roman" w:cstheme="minorHAnsi"/>
          <w:kern w:val="2"/>
        </w:rPr>
        <w:t xml:space="preserve"> Application Narrative for Tables 1-3 covered DPH Fiscal Years 2020-2022.  </w:t>
      </w:r>
    </w:p>
    <w:p w14:paraId="0361F88C" w14:textId="1E453A75" w:rsidR="00E921FC" w:rsidRDefault="00E921FC" w:rsidP="009611FA">
      <w:pPr>
        <w:pStyle w:val="ListParagraph"/>
        <w:spacing w:before="240" w:after="0" w:line="240" w:lineRule="auto"/>
        <w:ind w:left="360"/>
        <w:jc w:val="both"/>
        <w:rPr>
          <w:rFonts w:eastAsia="Times New Roman" w:cstheme="minorHAnsi"/>
          <w:b/>
          <w:bCs/>
          <w:smallCaps/>
          <w:kern w:val="2"/>
          <w:sz w:val="24"/>
          <w:szCs w:val="24"/>
        </w:rPr>
      </w:pPr>
    </w:p>
    <w:tbl>
      <w:tblPr>
        <w:tblStyle w:val="TableGrid"/>
        <w:tblW w:w="5485" w:type="dxa"/>
        <w:tblInd w:w="970" w:type="dxa"/>
        <w:tblLook w:val="04A0" w:firstRow="1" w:lastRow="0" w:firstColumn="1" w:lastColumn="0" w:noHBand="0" w:noVBand="1"/>
      </w:tblPr>
      <w:tblGrid>
        <w:gridCol w:w="3415"/>
        <w:gridCol w:w="1080"/>
        <w:gridCol w:w="990"/>
      </w:tblGrid>
      <w:tr w:rsidR="00E921FC" w14:paraId="28CA1EEA" w14:textId="77777777" w:rsidTr="00F51A26">
        <w:trPr>
          <w:cantSplit/>
          <w:tblHeader/>
        </w:trPr>
        <w:tc>
          <w:tcPr>
            <w:tcW w:w="3415" w:type="dxa"/>
            <w:vAlign w:val="center"/>
          </w:tcPr>
          <w:p w14:paraId="66C8ECA1" w14:textId="77777777" w:rsidR="00E921FC" w:rsidRDefault="00E921FC" w:rsidP="0017529F">
            <w:pPr>
              <w:jc w:val="center"/>
            </w:pPr>
            <w:r w:rsidRPr="003009E8">
              <w:rPr>
                <w:rFonts w:asciiTheme="majorHAnsi" w:hAnsiTheme="majorHAnsi" w:cstheme="majorHAnsi"/>
                <w:color w:val="000000"/>
                <w:sz w:val="20"/>
                <w:szCs w:val="20"/>
              </w:rPr>
              <w:t>Variables</w:t>
            </w:r>
          </w:p>
        </w:tc>
        <w:tc>
          <w:tcPr>
            <w:tcW w:w="1080" w:type="dxa"/>
            <w:vAlign w:val="center"/>
          </w:tcPr>
          <w:p w14:paraId="452ABC8C" w14:textId="7D2B0D42" w:rsidR="00E921FC" w:rsidRDefault="00E921FC" w:rsidP="0017529F">
            <w:pPr>
              <w:jc w:val="center"/>
            </w:pPr>
            <w:r w:rsidRPr="003009E8">
              <w:rPr>
                <w:rFonts w:asciiTheme="majorHAnsi" w:hAnsiTheme="majorHAnsi" w:cstheme="majorHAnsi"/>
                <w:color w:val="000000"/>
                <w:sz w:val="20"/>
                <w:szCs w:val="20"/>
              </w:rPr>
              <w:t>FY202</w:t>
            </w:r>
            <w:r>
              <w:rPr>
                <w:rFonts w:asciiTheme="majorHAnsi" w:hAnsiTheme="majorHAnsi" w:cstheme="majorHAnsi"/>
                <w:color w:val="000000"/>
                <w:sz w:val="20"/>
                <w:szCs w:val="20"/>
              </w:rPr>
              <w:t xml:space="preserve">3 </w:t>
            </w:r>
            <w:r w:rsidRPr="003009E8">
              <w:rPr>
                <w:rFonts w:asciiTheme="majorHAnsi" w:hAnsiTheme="majorHAnsi" w:cstheme="majorHAnsi"/>
                <w:color w:val="000000"/>
                <w:sz w:val="20"/>
                <w:szCs w:val="20"/>
              </w:rPr>
              <w:t>Count</w:t>
            </w:r>
          </w:p>
        </w:tc>
        <w:tc>
          <w:tcPr>
            <w:tcW w:w="990" w:type="dxa"/>
            <w:vAlign w:val="center"/>
          </w:tcPr>
          <w:p w14:paraId="13901B75" w14:textId="19806C99" w:rsidR="00E921FC" w:rsidRPr="003009E8" w:rsidRDefault="00E921FC" w:rsidP="0017529F">
            <w:pPr>
              <w:spacing w:before="240"/>
              <w:contextualSpacing/>
              <w:jc w:val="center"/>
              <w:rPr>
                <w:rFonts w:asciiTheme="majorHAnsi" w:hAnsiTheme="majorHAnsi" w:cstheme="majorHAnsi"/>
                <w:color w:val="000000"/>
                <w:sz w:val="20"/>
                <w:szCs w:val="20"/>
              </w:rPr>
            </w:pPr>
            <w:r w:rsidRPr="003009E8">
              <w:rPr>
                <w:rFonts w:asciiTheme="majorHAnsi" w:hAnsiTheme="majorHAnsi" w:cstheme="majorHAnsi"/>
                <w:color w:val="000000"/>
                <w:sz w:val="20"/>
                <w:szCs w:val="20"/>
              </w:rPr>
              <w:t>FY202</w:t>
            </w:r>
            <w:r>
              <w:rPr>
                <w:rFonts w:asciiTheme="majorHAnsi" w:hAnsiTheme="majorHAnsi" w:cstheme="majorHAnsi"/>
                <w:color w:val="000000"/>
                <w:sz w:val="20"/>
                <w:szCs w:val="20"/>
              </w:rPr>
              <w:t>3</w:t>
            </w:r>
          </w:p>
          <w:p w14:paraId="1A7A0DC1" w14:textId="77777777" w:rsidR="00E921FC" w:rsidRDefault="00E921FC" w:rsidP="0017529F">
            <w:pPr>
              <w:jc w:val="center"/>
            </w:pPr>
            <w:r w:rsidRPr="003009E8">
              <w:rPr>
                <w:rFonts w:asciiTheme="majorHAnsi" w:hAnsiTheme="majorHAnsi" w:cstheme="majorHAnsi"/>
                <w:color w:val="000000"/>
                <w:sz w:val="20"/>
                <w:szCs w:val="20"/>
              </w:rPr>
              <w:t>Percent</w:t>
            </w:r>
          </w:p>
        </w:tc>
      </w:tr>
      <w:tr w:rsidR="00E921FC" w14:paraId="7B5C287F" w14:textId="77777777" w:rsidTr="00F51A26">
        <w:trPr>
          <w:cantSplit/>
        </w:trPr>
        <w:tc>
          <w:tcPr>
            <w:tcW w:w="3415" w:type="dxa"/>
            <w:shd w:val="clear" w:color="auto" w:fill="D9D9D9" w:themeFill="background1" w:themeFillShade="D9"/>
            <w:vAlign w:val="center"/>
          </w:tcPr>
          <w:p w14:paraId="6D10D078" w14:textId="77777777" w:rsidR="00E921FC" w:rsidRDefault="00E921FC" w:rsidP="0017529F">
            <w:pPr>
              <w:jc w:val="right"/>
            </w:pPr>
            <w:r w:rsidRPr="00D8685A">
              <w:rPr>
                <w:rFonts w:asciiTheme="majorHAnsi" w:hAnsiTheme="majorHAnsi" w:cstheme="majorHAnsi"/>
                <w:b/>
                <w:bCs/>
                <w:color w:val="000000"/>
                <w:sz w:val="20"/>
                <w:szCs w:val="20"/>
              </w:rPr>
              <w:t>Total</w:t>
            </w:r>
          </w:p>
        </w:tc>
        <w:tc>
          <w:tcPr>
            <w:tcW w:w="1080" w:type="dxa"/>
            <w:shd w:val="clear" w:color="auto" w:fill="D9D9D9" w:themeFill="background1" w:themeFillShade="D9"/>
            <w:vAlign w:val="center"/>
          </w:tcPr>
          <w:p w14:paraId="391A8727" w14:textId="30484E48" w:rsidR="00E921FC" w:rsidRDefault="00E921FC" w:rsidP="0017529F">
            <w:pPr>
              <w:jc w:val="center"/>
            </w:pPr>
            <w:r w:rsidRPr="00E921FC">
              <w:rPr>
                <w:rFonts w:asciiTheme="majorHAnsi" w:hAnsiTheme="majorHAnsi" w:cstheme="majorHAnsi"/>
                <w:b/>
                <w:bCs/>
                <w:color w:val="000000"/>
                <w:sz w:val="20"/>
                <w:szCs w:val="20"/>
              </w:rPr>
              <w:t>1,324,649</w:t>
            </w:r>
          </w:p>
        </w:tc>
        <w:tc>
          <w:tcPr>
            <w:tcW w:w="990" w:type="dxa"/>
            <w:shd w:val="clear" w:color="auto" w:fill="D9D9D9" w:themeFill="background1" w:themeFillShade="D9"/>
            <w:vAlign w:val="center"/>
          </w:tcPr>
          <w:p w14:paraId="49BFAAE0" w14:textId="77777777" w:rsidR="00E921FC" w:rsidRDefault="00E921FC" w:rsidP="0017529F">
            <w:pPr>
              <w:jc w:val="center"/>
            </w:pPr>
            <w:r w:rsidRPr="00D8685A">
              <w:rPr>
                <w:rFonts w:asciiTheme="majorHAnsi" w:hAnsiTheme="majorHAnsi" w:cstheme="majorHAnsi"/>
                <w:b/>
                <w:bCs/>
                <w:color w:val="000000"/>
                <w:sz w:val="20"/>
                <w:szCs w:val="20"/>
              </w:rPr>
              <w:t>100%</w:t>
            </w:r>
          </w:p>
        </w:tc>
      </w:tr>
      <w:tr w:rsidR="00E921FC" w14:paraId="16496DC9" w14:textId="77777777" w:rsidTr="00F51A26">
        <w:trPr>
          <w:cantSplit/>
        </w:trPr>
        <w:tc>
          <w:tcPr>
            <w:tcW w:w="3415" w:type="dxa"/>
            <w:shd w:val="clear" w:color="auto" w:fill="FBE4D5" w:themeFill="accent2" w:themeFillTint="33"/>
            <w:vAlign w:val="center"/>
          </w:tcPr>
          <w:p w14:paraId="198A7811" w14:textId="77777777" w:rsidR="00E921FC" w:rsidRDefault="00E921FC" w:rsidP="00E921FC">
            <w:r>
              <w:rPr>
                <w:rFonts w:asciiTheme="majorHAnsi" w:hAnsiTheme="majorHAnsi" w:cstheme="majorHAnsi"/>
                <w:color w:val="000000"/>
                <w:sz w:val="20"/>
                <w:szCs w:val="20"/>
              </w:rPr>
              <w:t xml:space="preserve">Age - </w:t>
            </w:r>
            <w:r w:rsidRPr="000C14B0">
              <w:rPr>
                <w:rFonts w:asciiTheme="majorHAnsi" w:hAnsiTheme="majorHAnsi" w:cstheme="majorHAnsi"/>
                <w:color w:val="000000"/>
                <w:sz w:val="20"/>
                <w:szCs w:val="20"/>
              </w:rPr>
              <w:t>0 to 17</w:t>
            </w:r>
          </w:p>
        </w:tc>
        <w:tc>
          <w:tcPr>
            <w:tcW w:w="1080" w:type="dxa"/>
            <w:shd w:val="clear" w:color="auto" w:fill="FBE4D5" w:themeFill="accent2" w:themeFillTint="33"/>
          </w:tcPr>
          <w:p w14:paraId="702CD540" w14:textId="09E4428D" w:rsidR="00E921FC" w:rsidRPr="00E921FC" w:rsidRDefault="00E921FC" w:rsidP="00E921FC">
            <w:pPr>
              <w:jc w:val="center"/>
              <w:rPr>
                <w:rFonts w:asciiTheme="majorHAnsi" w:hAnsiTheme="majorHAnsi" w:cstheme="majorHAnsi"/>
                <w:sz w:val="20"/>
                <w:szCs w:val="20"/>
              </w:rPr>
            </w:pPr>
            <w:r w:rsidRPr="00E921FC">
              <w:rPr>
                <w:rFonts w:asciiTheme="majorHAnsi" w:hAnsiTheme="majorHAnsi" w:cstheme="majorHAnsi"/>
                <w:sz w:val="20"/>
                <w:szCs w:val="20"/>
              </w:rPr>
              <w:t xml:space="preserve"> 90,402 </w:t>
            </w:r>
          </w:p>
        </w:tc>
        <w:tc>
          <w:tcPr>
            <w:tcW w:w="990" w:type="dxa"/>
            <w:shd w:val="clear" w:color="auto" w:fill="FBE4D5" w:themeFill="accent2" w:themeFillTint="33"/>
          </w:tcPr>
          <w:p w14:paraId="02FDF77B" w14:textId="032BF715" w:rsidR="00E921FC" w:rsidRPr="00E921FC" w:rsidRDefault="00E921FC" w:rsidP="00E921FC">
            <w:pPr>
              <w:jc w:val="center"/>
              <w:rPr>
                <w:rFonts w:asciiTheme="majorHAnsi" w:hAnsiTheme="majorHAnsi" w:cstheme="majorHAnsi"/>
                <w:sz w:val="20"/>
                <w:szCs w:val="20"/>
              </w:rPr>
            </w:pPr>
            <w:r w:rsidRPr="00E921FC">
              <w:rPr>
                <w:rFonts w:asciiTheme="majorHAnsi" w:hAnsiTheme="majorHAnsi" w:cstheme="majorHAnsi"/>
                <w:sz w:val="20"/>
                <w:szCs w:val="20"/>
              </w:rPr>
              <w:t>6.82%</w:t>
            </w:r>
          </w:p>
        </w:tc>
      </w:tr>
      <w:tr w:rsidR="00E921FC" w14:paraId="33DFA737" w14:textId="77777777" w:rsidTr="00F51A26">
        <w:trPr>
          <w:cantSplit/>
        </w:trPr>
        <w:tc>
          <w:tcPr>
            <w:tcW w:w="3415" w:type="dxa"/>
            <w:shd w:val="clear" w:color="auto" w:fill="FBE4D5" w:themeFill="accent2" w:themeFillTint="33"/>
            <w:vAlign w:val="center"/>
          </w:tcPr>
          <w:p w14:paraId="1A057DA1" w14:textId="77777777" w:rsidR="00E921FC" w:rsidRDefault="00E921FC" w:rsidP="00E921FC">
            <w:r>
              <w:rPr>
                <w:rFonts w:asciiTheme="majorHAnsi" w:hAnsiTheme="majorHAnsi" w:cstheme="majorHAnsi"/>
                <w:color w:val="000000"/>
                <w:sz w:val="20"/>
                <w:szCs w:val="20"/>
              </w:rPr>
              <w:t xml:space="preserve">Age - </w:t>
            </w:r>
            <w:r w:rsidRPr="000C14B0">
              <w:rPr>
                <w:rFonts w:asciiTheme="majorHAnsi" w:hAnsiTheme="majorHAnsi" w:cstheme="majorHAnsi"/>
                <w:color w:val="000000"/>
                <w:sz w:val="20"/>
                <w:szCs w:val="20"/>
              </w:rPr>
              <w:t>18 to 64</w:t>
            </w:r>
          </w:p>
        </w:tc>
        <w:tc>
          <w:tcPr>
            <w:tcW w:w="1080" w:type="dxa"/>
            <w:shd w:val="clear" w:color="auto" w:fill="FBE4D5" w:themeFill="accent2" w:themeFillTint="33"/>
          </w:tcPr>
          <w:p w14:paraId="5FB15983" w14:textId="05CBE2C8" w:rsidR="00E921FC" w:rsidRPr="00E921FC" w:rsidRDefault="00E921FC" w:rsidP="00E921FC">
            <w:pPr>
              <w:jc w:val="center"/>
              <w:rPr>
                <w:rFonts w:asciiTheme="majorHAnsi" w:hAnsiTheme="majorHAnsi" w:cstheme="majorHAnsi"/>
                <w:sz w:val="20"/>
                <w:szCs w:val="20"/>
              </w:rPr>
            </w:pPr>
            <w:r w:rsidRPr="00E921FC">
              <w:rPr>
                <w:rFonts w:asciiTheme="majorHAnsi" w:hAnsiTheme="majorHAnsi" w:cstheme="majorHAnsi"/>
                <w:sz w:val="20"/>
                <w:szCs w:val="20"/>
              </w:rPr>
              <w:t xml:space="preserve"> 812,128 </w:t>
            </w:r>
          </w:p>
        </w:tc>
        <w:tc>
          <w:tcPr>
            <w:tcW w:w="990" w:type="dxa"/>
            <w:shd w:val="clear" w:color="auto" w:fill="FBE4D5" w:themeFill="accent2" w:themeFillTint="33"/>
          </w:tcPr>
          <w:p w14:paraId="31C3D021" w14:textId="7E178E65" w:rsidR="00E921FC" w:rsidRPr="00E921FC" w:rsidRDefault="00E921FC" w:rsidP="00E921FC">
            <w:pPr>
              <w:jc w:val="center"/>
              <w:rPr>
                <w:rFonts w:asciiTheme="majorHAnsi" w:hAnsiTheme="majorHAnsi" w:cstheme="majorHAnsi"/>
                <w:sz w:val="20"/>
                <w:szCs w:val="20"/>
              </w:rPr>
            </w:pPr>
            <w:r w:rsidRPr="00E921FC">
              <w:rPr>
                <w:rFonts w:asciiTheme="majorHAnsi" w:hAnsiTheme="majorHAnsi" w:cstheme="majorHAnsi"/>
                <w:sz w:val="20"/>
                <w:szCs w:val="20"/>
              </w:rPr>
              <w:t>61.31%</w:t>
            </w:r>
          </w:p>
        </w:tc>
      </w:tr>
      <w:tr w:rsidR="00E921FC" w14:paraId="2F8032DB" w14:textId="77777777" w:rsidTr="00F51A26">
        <w:trPr>
          <w:cantSplit/>
        </w:trPr>
        <w:tc>
          <w:tcPr>
            <w:tcW w:w="3415" w:type="dxa"/>
            <w:shd w:val="clear" w:color="auto" w:fill="FBE4D5" w:themeFill="accent2" w:themeFillTint="33"/>
            <w:vAlign w:val="center"/>
          </w:tcPr>
          <w:p w14:paraId="261EC25F" w14:textId="77777777" w:rsidR="00E921FC" w:rsidRDefault="00E921FC" w:rsidP="00E921FC">
            <w:r>
              <w:rPr>
                <w:rFonts w:asciiTheme="majorHAnsi" w:hAnsiTheme="majorHAnsi" w:cstheme="majorHAnsi"/>
                <w:color w:val="000000"/>
                <w:sz w:val="20"/>
                <w:szCs w:val="20"/>
              </w:rPr>
              <w:t xml:space="preserve">Age – </w:t>
            </w:r>
            <w:r w:rsidRPr="000C14B0">
              <w:rPr>
                <w:rFonts w:asciiTheme="majorHAnsi" w:hAnsiTheme="majorHAnsi" w:cstheme="majorHAnsi"/>
                <w:color w:val="000000"/>
                <w:sz w:val="20"/>
                <w:szCs w:val="20"/>
              </w:rPr>
              <w:t>65+</w:t>
            </w:r>
          </w:p>
        </w:tc>
        <w:tc>
          <w:tcPr>
            <w:tcW w:w="1080" w:type="dxa"/>
            <w:shd w:val="clear" w:color="auto" w:fill="FBE4D5" w:themeFill="accent2" w:themeFillTint="33"/>
          </w:tcPr>
          <w:p w14:paraId="051384BE" w14:textId="75555721" w:rsidR="00E921FC" w:rsidRPr="00E921FC" w:rsidRDefault="00E921FC" w:rsidP="00E921FC">
            <w:pPr>
              <w:jc w:val="center"/>
              <w:rPr>
                <w:rFonts w:asciiTheme="majorHAnsi" w:hAnsiTheme="majorHAnsi" w:cstheme="majorHAnsi"/>
                <w:sz w:val="20"/>
                <w:szCs w:val="20"/>
              </w:rPr>
            </w:pPr>
            <w:r w:rsidRPr="00E921FC">
              <w:rPr>
                <w:rFonts w:asciiTheme="majorHAnsi" w:hAnsiTheme="majorHAnsi" w:cstheme="majorHAnsi"/>
                <w:sz w:val="20"/>
                <w:szCs w:val="20"/>
              </w:rPr>
              <w:t xml:space="preserve"> 422,119 </w:t>
            </w:r>
          </w:p>
        </w:tc>
        <w:tc>
          <w:tcPr>
            <w:tcW w:w="990" w:type="dxa"/>
            <w:shd w:val="clear" w:color="auto" w:fill="FBE4D5" w:themeFill="accent2" w:themeFillTint="33"/>
          </w:tcPr>
          <w:p w14:paraId="58D81269" w14:textId="2262DDC3" w:rsidR="00E921FC" w:rsidRPr="00E921FC" w:rsidRDefault="00E921FC" w:rsidP="00E921FC">
            <w:pPr>
              <w:jc w:val="center"/>
              <w:rPr>
                <w:rFonts w:asciiTheme="majorHAnsi" w:hAnsiTheme="majorHAnsi" w:cstheme="majorHAnsi"/>
                <w:sz w:val="20"/>
                <w:szCs w:val="20"/>
              </w:rPr>
            </w:pPr>
            <w:r w:rsidRPr="00E921FC">
              <w:rPr>
                <w:rFonts w:asciiTheme="majorHAnsi" w:hAnsiTheme="majorHAnsi" w:cstheme="majorHAnsi"/>
                <w:sz w:val="20"/>
                <w:szCs w:val="20"/>
              </w:rPr>
              <w:t>31.87%</w:t>
            </w:r>
          </w:p>
        </w:tc>
      </w:tr>
      <w:tr w:rsidR="00E921FC" w14:paraId="07AEE366" w14:textId="77777777" w:rsidTr="00F51A26">
        <w:trPr>
          <w:cantSplit/>
        </w:trPr>
        <w:tc>
          <w:tcPr>
            <w:tcW w:w="3415" w:type="dxa"/>
            <w:shd w:val="clear" w:color="auto" w:fill="FFF2CC" w:themeFill="accent4" w:themeFillTint="33"/>
            <w:vAlign w:val="center"/>
          </w:tcPr>
          <w:p w14:paraId="642BD1CD" w14:textId="77777777" w:rsidR="00E921FC" w:rsidRDefault="00E921FC" w:rsidP="00E921FC">
            <w:r>
              <w:rPr>
                <w:rFonts w:asciiTheme="majorHAnsi" w:hAnsiTheme="majorHAnsi" w:cstheme="majorHAnsi"/>
                <w:color w:val="000000"/>
                <w:sz w:val="20"/>
                <w:szCs w:val="20"/>
              </w:rPr>
              <w:t xml:space="preserve">Gender - </w:t>
            </w:r>
            <w:r w:rsidRPr="000C14B0">
              <w:rPr>
                <w:rFonts w:asciiTheme="majorHAnsi" w:hAnsiTheme="majorHAnsi" w:cstheme="majorHAnsi"/>
                <w:color w:val="000000"/>
                <w:sz w:val="20"/>
                <w:szCs w:val="20"/>
              </w:rPr>
              <w:t xml:space="preserve">Male </w:t>
            </w:r>
          </w:p>
        </w:tc>
        <w:tc>
          <w:tcPr>
            <w:tcW w:w="1080" w:type="dxa"/>
            <w:shd w:val="clear" w:color="auto" w:fill="FFF2CC" w:themeFill="accent4" w:themeFillTint="33"/>
          </w:tcPr>
          <w:p w14:paraId="001C81F0" w14:textId="45E22868" w:rsidR="00E921FC" w:rsidRPr="00E921FC" w:rsidRDefault="00E921FC" w:rsidP="00E921FC">
            <w:pPr>
              <w:jc w:val="center"/>
              <w:rPr>
                <w:rFonts w:asciiTheme="majorHAnsi" w:hAnsiTheme="majorHAnsi" w:cstheme="majorHAnsi"/>
                <w:sz w:val="20"/>
                <w:szCs w:val="20"/>
              </w:rPr>
            </w:pPr>
            <w:r w:rsidRPr="00E921FC">
              <w:rPr>
                <w:rFonts w:asciiTheme="majorHAnsi" w:hAnsiTheme="majorHAnsi" w:cstheme="majorHAnsi"/>
                <w:sz w:val="20"/>
                <w:szCs w:val="20"/>
              </w:rPr>
              <w:t xml:space="preserve"> 547,782 </w:t>
            </w:r>
          </w:p>
        </w:tc>
        <w:tc>
          <w:tcPr>
            <w:tcW w:w="990" w:type="dxa"/>
            <w:shd w:val="clear" w:color="auto" w:fill="FFF2CC" w:themeFill="accent4" w:themeFillTint="33"/>
          </w:tcPr>
          <w:p w14:paraId="60B18D35" w14:textId="00EF58A9" w:rsidR="00E921FC" w:rsidRPr="00E921FC" w:rsidRDefault="00E921FC" w:rsidP="00E921FC">
            <w:pPr>
              <w:jc w:val="center"/>
              <w:rPr>
                <w:rFonts w:asciiTheme="majorHAnsi" w:hAnsiTheme="majorHAnsi" w:cstheme="majorHAnsi"/>
                <w:sz w:val="20"/>
                <w:szCs w:val="20"/>
              </w:rPr>
            </w:pPr>
            <w:r w:rsidRPr="00E921FC">
              <w:rPr>
                <w:rFonts w:asciiTheme="majorHAnsi" w:hAnsiTheme="majorHAnsi" w:cstheme="majorHAnsi"/>
                <w:sz w:val="20"/>
                <w:szCs w:val="20"/>
              </w:rPr>
              <w:t>41.35%</w:t>
            </w:r>
          </w:p>
        </w:tc>
      </w:tr>
      <w:tr w:rsidR="00E921FC" w14:paraId="5F1210CB" w14:textId="77777777" w:rsidTr="00F51A26">
        <w:trPr>
          <w:cantSplit/>
        </w:trPr>
        <w:tc>
          <w:tcPr>
            <w:tcW w:w="3415" w:type="dxa"/>
            <w:shd w:val="clear" w:color="auto" w:fill="FFF2CC" w:themeFill="accent4" w:themeFillTint="33"/>
            <w:vAlign w:val="center"/>
          </w:tcPr>
          <w:p w14:paraId="5B567A1F" w14:textId="77777777" w:rsidR="00E921FC" w:rsidRDefault="00E921FC" w:rsidP="00E921FC">
            <w:r>
              <w:rPr>
                <w:rFonts w:asciiTheme="majorHAnsi" w:hAnsiTheme="majorHAnsi" w:cstheme="majorHAnsi"/>
                <w:color w:val="000000"/>
                <w:sz w:val="20"/>
                <w:szCs w:val="20"/>
              </w:rPr>
              <w:t xml:space="preserve">Gender - </w:t>
            </w:r>
            <w:r w:rsidRPr="000C14B0">
              <w:rPr>
                <w:rFonts w:asciiTheme="majorHAnsi" w:hAnsiTheme="majorHAnsi" w:cstheme="majorHAnsi"/>
                <w:color w:val="000000"/>
                <w:sz w:val="20"/>
                <w:szCs w:val="20"/>
              </w:rPr>
              <w:t>Female</w:t>
            </w:r>
          </w:p>
        </w:tc>
        <w:tc>
          <w:tcPr>
            <w:tcW w:w="1080" w:type="dxa"/>
            <w:shd w:val="clear" w:color="auto" w:fill="FFF2CC" w:themeFill="accent4" w:themeFillTint="33"/>
          </w:tcPr>
          <w:p w14:paraId="1F97EEB3" w14:textId="596013B4" w:rsidR="00E921FC" w:rsidRPr="00E921FC" w:rsidRDefault="00E921FC" w:rsidP="00E921FC">
            <w:pPr>
              <w:jc w:val="center"/>
              <w:rPr>
                <w:rFonts w:asciiTheme="majorHAnsi" w:hAnsiTheme="majorHAnsi" w:cstheme="majorHAnsi"/>
                <w:sz w:val="20"/>
                <w:szCs w:val="20"/>
              </w:rPr>
            </w:pPr>
            <w:r w:rsidRPr="00E921FC">
              <w:rPr>
                <w:rFonts w:asciiTheme="majorHAnsi" w:hAnsiTheme="majorHAnsi" w:cstheme="majorHAnsi"/>
                <w:sz w:val="20"/>
                <w:szCs w:val="20"/>
              </w:rPr>
              <w:t xml:space="preserve"> 774,906 </w:t>
            </w:r>
          </w:p>
        </w:tc>
        <w:tc>
          <w:tcPr>
            <w:tcW w:w="990" w:type="dxa"/>
            <w:shd w:val="clear" w:color="auto" w:fill="FFF2CC" w:themeFill="accent4" w:themeFillTint="33"/>
          </w:tcPr>
          <w:p w14:paraId="22AD1109" w14:textId="3214A1B9" w:rsidR="00E921FC" w:rsidRPr="00E921FC" w:rsidRDefault="00E921FC" w:rsidP="00E921FC">
            <w:pPr>
              <w:jc w:val="center"/>
              <w:rPr>
                <w:rFonts w:asciiTheme="majorHAnsi" w:hAnsiTheme="majorHAnsi" w:cstheme="majorHAnsi"/>
                <w:sz w:val="20"/>
                <w:szCs w:val="20"/>
              </w:rPr>
            </w:pPr>
            <w:r w:rsidRPr="00E921FC">
              <w:rPr>
                <w:rFonts w:asciiTheme="majorHAnsi" w:hAnsiTheme="majorHAnsi" w:cstheme="majorHAnsi"/>
                <w:sz w:val="20"/>
                <w:szCs w:val="20"/>
              </w:rPr>
              <w:t>58.50%</w:t>
            </w:r>
          </w:p>
        </w:tc>
      </w:tr>
      <w:tr w:rsidR="00E921FC" w14:paraId="4974C690" w14:textId="77777777" w:rsidTr="00F51A26">
        <w:trPr>
          <w:cantSplit/>
        </w:trPr>
        <w:tc>
          <w:tcPr>
            <w:tcW w:w="3415" w:type="dxa"/>
            <w:shd w:val="clear" w:color="auto" w:fill="FFF2CC" w:themeFill="accent4" w:themeFillTint="33"/>
            <w:vAlign w:val="center"/>
          </w:tcPr>
          <w:p w14:paraId="531B2B2A" w14:textId="77777777" w:rsidR="00E921FC" w:rsidRDefault="00E921FC" w:rsidP="00E921FC">
            <w:r>
              <w:rPr>
                <w:rFonts w:asciiTheme="majorHAnsi" w:hAnsiTheme="majorHAnsi" w:cstheme="majorHAnsi"/>
                <w:color w:val="000000"/>
                <w:sz w:val="20"/>
                <w:szCs w:val="20"/>
              </w:rPr>
              <w:t xml:space="preserve">Gender – </w:t>
            </w:r>
            <w:r w:rsidRPr="000C14B0">
              <w:rPr>
                <w:rFonts w:asciiTheme="majorHAnsi" w:hAnsiTheme="majorHAnsi" w:cstheme="majorHAnsi"/>
                <w:color w:val="000000"/>
                <w:sz w:val="20"/>
                <w:szCs w:val="20"/>
              </w:rPr>
              <w:t>Other</w:t>
            </w:r>
            <w:r w:rsidRPr="000C14B0">
              <w:rPr>
                <w:rStyle w:val="FootnoteReference"/>
                <w:rFonts w:asciiTheme="majorHAnsi" w:hAnsiTheme="majorHAnsi" w:cstheme="majorHAnsi"/>
                <w:color w:val="000000"/>
                <w:sz w:val="20"/>
                <w:szCs w:val="20"/>
              </w:rPr>
              <w:footnoteReference w:id="2"/>
            </w:r>
            <w:r w:rsidRPr="000C14B0">
              <w:rPr>
                <w:rFonts w:asciiTheme="majorHAnsi" w:hAnsiTheme="majorHAnsi" w:cstheme="majorHAnsi"/>
                <w:color w:val="000000"/>
                <w:sz w:val="20"/>
                <w:szCs w:val="20"/>
              </w:rPr>
              <w:t xml:space="preserve"> </w:t>
            </w:r>
          </w:p>
        </w:tc>
        <w:tc>
          <w:tcPr>
            <w:tcW w:w="1080" w:type="dxa"/>
            <w:shd w:val="clear" w:color="auto" w:fill="FFF2CC" w:themeFill="accent4" w:themeFillTint="33"/>
          </w:tcPr>
          <w:p w14:paraId="5453C7EB" w14:textId="294C9B7F" w:rsidR="00E921FC" w:rsidRPr="00E921FC" w:rsidRDefault="00E921FC" w:rsidP="00E921FC">
            <w:pPr>
              <w:jc w:val="center"/>
              <w:rPr>
                <w:rFonts w:asciiTheme="majorHAnsi" w:hAnsiTheme="majorHAnsi" w:cstheme="majorHAnsi"/>
                <w:sz w:val="20"/>
                <w:szCs w:val="20"/>
              </w:rPr>
            </w:pPr>
            <w:r w:rsidRPr="00E921FC">
              <w:rPr>
                <w:rFonts w:asciiTheme="majorHAnsi" w:hAnsiTheme="majorHAnsi" w:cstheme="majorHAnsi"/>
                <w:sz w:val="20"/>
                <w:szCs w:val="20"/>
              </w:rPr>
              <w:t xml:space="preserve"> 1,961 </w:t>
            </w:r>
          </w:p>
        </w:tc>
        <w:tc>
          <w:tcPr>
            <w:tcW w:w="990" w:type="dxa"/>
            <w:shd w:val="clear" w:color="auto" w:fill="FFF2CC" w:themeFill="accent4" w:themeFillTint="33"/>
          </w:tcPr>
          <w:p w14:paraId="2D295E29" w14:textId="2B14E961" w:rsidR="00E921FC" w:rsidRPr="00E921FC" w:rsidRDefault="00E921FC" w:rsidP="00E921FC">
            <w:pPr>
              <w:jc w:val="center"/>
              <w:rPr>
                <w:rFonts w:asciiTheme="majorHAnsi" w:hAnsiTheme="majorHAnsi" w:cstheme="majorHAnsi"/>
                <w:sz w:val="20"/>
                <w:szCs w:val="20"/>
              </w:rPr>
            </w:pPr>
            <w:r w:rsidRPr="00E921FC">
              <w:rPr>
                <w:rFonts w:asciiTheme="majorHAnsi" w:hAnsiTheme="majorHAnsi" w:cstheme="majorHAnsi"/>
                <w:sz w:val="20"/>
                <w:szCs w:val="20"/>
              </w:rPr>
              <w:t>0.15%</w:t>
            </w:r>
          </w:p>
        </w:tc>
      </w:tr>
      <w:tr w:rsidR="00E921FC" w14:paraId="2B603345" w14:textId="77777777" w:rsidTr="00F51A26">
        <w:trPr>
          <w:cantSplit/>
        </w:trPr>
        <w:tc>
          <w:tcPr>
            <w:tcW w:w="3415" w:type="dxa"/>
            <w:shd w:val="clear" w:color="auto" w:fill="E2EFD9" w:themeFill="accent6" w:themeFillTint="33"/>
            <w:vAlign w:val="center"/>
          </w:tcPr>
          <w:p w14:paraId="1FF26D8A" w14:textId="77777777" w:rsidR="00E921FC" w:rsidRDefault="00E921FC" w:rsidP="00E921FC">
            <w:r>
              <w:rPr>
                <w:rFonts w:asciiTheme="majorHAnsi" w:hAnsiTheme="majorHAnsi" w:cstheme="majorHAnsi"/>
                <w:color w:val="000000"/>
                <w:sz w:val="20"/>
                <w:szCs w:val="20"/>
              </w:rPr>
              <w:t xml:space="preserve">Race - </w:t>
            </w:r>
            <w:r w:rsidRPr="000C14B0">
              <w:rPr>
                <w:rFonts w:asciiTheme="majorHAnsi" w:hAnsiTheme="majorHAnsi" w:cstheme="majorHAnsi"/>
                <w:color w:val="000000"/>
                <w:sz w:val="20"/>
                <w:szCs w:val="20"/>
              </w:rPr>
              <w:t>White</w:t>
            </w:r>
          </w:p>
        </w:tc>
        <w:tc>
          <w:tcPr>
            <w:tcW w:w="1080" w:type="dxa"/>
            <w:shd w:val="clear" w:color="auto" w:fill="E2EFD9" w:themeFill="accent6" w:themeFillTint="33"/>
          </w:tcPr>
          <w:p w14:paraId="3261034D" w14:textId="795C5E3D" w:rsidR="00E921FC" w:rsidRPr="00E921FC" w:rsidRDefault="00E921FC" w:rsidP="00E921FC">
            <w:pPr>
              <w:jc w:val="center"/>
              <w:rPr>
                <w:rFonts w:asciiTheme="majorHAnsi" w:hAnsiTheme="majorHAnsi" w:cstheme="majorHAnsi"/>
                <w:sz w:val="20"/>
                <w:szCs w:val="20"/>
              </w:rPr>
            </w:pPr>
            <w:r w:rsidRPr="00E921FC">
              <w:rPr>
                <w:rFonts w:asciiTheme="majorHAnsi" w:hAnsiTheme="majorHAnsi" w:cstheme="majorHAnsi"/>
                <w:sz w:val="20"/>
                <w:szCs w:val="20"/>
              </w:rPr>
              <w:t xml:space="preserve"> 987,428 </w:t>
            </w:r>
          </w:p>
        </w:tc>
        <w:tc>
          <w:tcPr>
            <w:tcW w:w="990" w:type="dxa"/>
            <w:shd w:val="clear" w:color="auto" w:fill="E2EFD9" w:themeFill="accent6" w:themeFillTint="33"/>
          </w:tcPr>
          <w:p w14:paraId="4EC87557" w14:textId="56F3F458" w:rsidR="00E921FC" w:rsidRPr="00E921FC" w:rsidRDefault="00E921FC" w:rsidP="00E921FC">
            <w:pPr>
              <w:jc w:val="center"/>
              <w:rPr>
                <w:rFonts w:asciiTheme="majorHAnsi" w:hAnsiTheme="majorHAnsi" w:cstheme="majorHAnsi"/>
                <w:sz w:val="20"/>
                <w:szCs w:val="20"/>
              </w:rPr>
            </w:pPr>
            <w:r w:rsidRPr="00E921FC">
              <w:rPr>
                <w:rFonts w:asciiTheme="majorHAnsi" w:hAnsiTheme="majorHAnsi" w:cstheme="majorHAnsi"/>
                <w:sz w:val="20"/>
                <w:szCs w:val="20"/>
              </w:rPr>
              <w:t>74.54%</w:t>
            </w:r>
          </w:p>
        </w:tc>
      </w:tr>
      <w:tr w:rsidR="00E921FC" w14:paraId="33611EB9" w14:textId="77777777" w:rsidTr="00F51A26">
        <w:trPr>
          <w:cantSplit/>
        </w:trPr>
        <w:tc>
          <w:tcPr>
            <w:tcW w:w="3415" w:type="dxa"/>
            <w:shd w:val="clear" w:color="auto" w:fill="E2EFD9" w:themeFill="accent6" w:themeFillTint="33"/>
            <w:vAlign w:val="center"/>
          </w:tcPr>
          <w:p w14:paraId="249BA553" w14:textId="77777777" w:rsidR="00E921FC" w:rsidRDefault="00E921FC" w:rsidP="00E921FC">
            <w:r>
              <w:rPr>
                <w:rFonts w:asciiTheme="majorHAnsi" w:hAnsiTheme="majorHAnsi" w:cstheme="majorHAnsi"/>
                <w:color w:val="000000"/>
                <w:sz w:val="20"/>
                <w:szCs w:val="20"/>
              </w:rPr>
              <w:t xml:space="preserve">Race - </w:t>
            </w:r>
            <w:r w:rsidRPr="000C14B0">
              <w:rPr>
                <w:rFonts w:asciiTheme="majorHAnsi" w:hAnsiTheme="majorHAnsi" w:cstheme="majorHAnsi"/>
                <w:color w:val="000000"/>
                <w:sz w:val="20"/>
                <w:szCs w:val="20"/>
              </w:rPr>
              <w:t>Black or African American</w:t>
            </w:r>
          </w:p>
        </w:tc>
        <w:tc>
          <w:tcPr>
            <w:tcW w:w="1080" w:type="dxa"/>
            <w:shd w:val="clear" w:color="auto" w:fill="E2EFD9" w:themeFill="accent6" w:themeFillTint="33"/>
          </w:tcPr>
          <w:p w14:paraId="02223108" w14:textId="3E6C06F3" w:rsidR="00E921FC" w:rsidRPr="00E921FC" w:rsidRDefault="00E921FC" w:rsidP="00E921FC">
            <w:pPr>
              <w:jc w:val="center"/>
              <w:rPr>
                <w:rFonts w:asciiTheme="majorHAnsi" w:hAnsiTheme="majorHAnsi" w:cstheme="majorHAnsi"/>
                <w:sz w:val="20"/>
                <w:szCs w:val="20"/>
              </w:rPr>
            </w:pPr>
            <w:r w:rsidRPr="00E921FC">
              <w:rPr>
                <w:rFonts w:asciiTheme="majorHAnsi" w:hAnsiTheme="majorHAnsi" w:cstheme="majorHAnsi"/>
                <w:sz w:val="20"/>
                <w:szCs w:val="20"/>
              </w:rPr>
              <w:t xml:space="preserve"> 71,981 </w:t>
            </w:r>
          </w:p>
        </w:tc>
        <w:tc>
          <w:tcPr>
            <w:tcW w:w="990" w:type="dxa"/>
            <w:shd w:val="clear" w:color="auto" w:fill="E2EFD9" w:themeFill="accent6" w:themeFillTint="33"/>
          </w:tcPr>
          <w:p w14:paraId="74BFA525" w14:textId="06DDF6A3" w:rsidR="00E921FC" w:rsidRPr="00E921FC" w:rsidRDefault="00E921FC" w:rsidP="00E921FC">
            <w:pPr>
              <w:jc w:val="center"/>
              <w:rPr>
                <w:rFonts w:asciiTheme="majorHAnsi" w:hAnsiTheme="majorHAnsi" w:cstheme="majorHAnsi"/>
                <w:sz w:val="20"/>
                <w:szCs w:val="20"/>
              </w:rPr>
            </w:pPr>
            <w:r w:rsidRPr="00E921FC">
              <w:rPr>
                <w:rFonts w:asciiTheme="majorHAnsi" w:hAnsiTheme="majorHAnsi" w:cstheme="majorHAnsi"/>
                <w:sz w:val="20"/>
                <w:szCs w:val="20"/>
              </w:rPr>
              <w:t>5.43%</w:t>
            </w:r>
          </w:p>
        </w:tc>
      </w:tr>
      <w:tr w:rsidR="00E921FC" w14:paraId="72760BC4" w14:textId="77777777" w:rsidTr="00F51A26">
        <w:trPr>
          <w:cantSplit/>
        </w:trPr>
        <w:tc>
          <w:tcPr>
            <w:tcW w:w="3415" w:type="dxa"/>
            <w:shd w:val="clear" w:color="auto" w:fill="E2EFD9" w:themeFill="accent6" w:themeFillTint="33"/>
            <w:vAlign w:val="center"/>
          </w:tcPr>
          <w:p w14:paraId="2FE46737" w14:textId="77777777" w:rsidR="00E921FC" w:rsidRDefault="00E921FC" w:rsidP="00E921FC">
            <w:r>
              <w:rPr>
                <w:rFonts w:asciiTheme="majorHAnsi" w:hAnsiTheme="majorHAnsi" w:cstheme="majorHAnsi"/>
                <w:color w:val="000000"/>
                <w:sz w:val="20"/>
                <w:szCs w:val="20"/>
              </w:rPr>
              <w:t xml:space="preserve">Race - </w:t>
            </w:r>
            <w:r w:rsidRPr="000C14B0">
              <w:rPr>
                <w:rFonts w:asciiTheme="majorHAnsi" w:hAnsiTheme="majorHAnsi" w:cstheme="majorHAnsi"/>
                <w:color w:val="000000"/>
                <w:sz w:val="20"/>
                <w:szCs w:val="20"/>
              </w:rPr>
              <w:t>American Indian or Alaska Native</w:t>
            </w:r>
          </w:p>
        </w:tc>
        <w:tc>
          <w:tcPr>
            <w:tcW w:w="1080" w:type="dxa"/>
            <w:shd w:val="clear" w:color="auto" w:fill="E2EFD9" w:themeFill="accent6" w:themeFillTint="33"/>
          </w:tcPr>
          <w:p w14:paraId="685871CF" w14:textId="48FFEA2F" w:rsidR="00E921FC" w:rsidRPr="00E921FC" w:rsidRDefault="00E921FC" w:rsidP="00E921FC">
            <w:pPr>
              <w:jc w:val="center"/>
              <w:rPr>
                <w:rFonts w:asciiTheme="majorHAnsi" w:hAnsiTheme="majorHAnsi" w:cstheme="majorHAnsi"/>
                <w:sz w:val="20"/>
                <w:szCs w:val="20"/>
              </w:rPr>
            </w:pPr>
            <w:r w:rsidRPr="00E921FC">
              <w:rPr>
                <w:rFonts w:asciiTheme="majorHAnsi" w:hAnsiTheme="majorHAnsi" w:cstheme="majorHAnsi"/>
                <w:sz w:val="20"/>
                <w:szCs w:val="20"/>
              </w:rPr>
              <w:t xml:space="preserve"> 1,496 </w:t>
            </w:r>
          </w:p>
        </w:tc>
        <w:tc>
          <w:tcPr>
            <w:tcW w:w="990" w:type="dxa"/>
            <w:shd w:val="clear" w:color="auto" w:fill="E2EFD9" w:themeFill="accent6" w:themeFillTint="33"/>
          </w:tcPr>
          <w:p w14:paraId="24130152" w14:textId="3F1FEC15" w:rsidR="00E921FC" w:rsidRPr="00E921FC" w:rsidRDefault="00E921FC" w:rsidP="00E921FC">
            <w:pPr>
              <w:jc w:val="center"/>
              <w:rPr>
                <w:rFonts w:asciiTheme="majorHAnsi" w:hAnsiTheme="majorHAnsi" w:cstheme="majorHAnsi"/>
                <w:sz w:val="20"/>
                <w:szCs w:val="20"/>
              </w:rPr>
            </w:pPr>
            <w:r w:rsidRPr="00E921FC">
              <w:rPr>
                <w:rFonts w:asciiTheme="majorHAnsi" w:hAnsiTheme="majorHAnsi" w:cstheme="majorHAnsi"/>
                <w:sz w:val="20"/>
                <w:szCs w:val="20"/>
              </w:rPr>
              <w:t>0.11%</w:t>
            </w:r>
          </w:p>
        </w:tc>
      </w:tr>
      <w:tr w:rsidR="00E921FC" w14:paraId="490CD3AE" w14:textId="77777777" w:rsidTr="00F51A26">
        <w:trPr>
          <w:cantSplit/>
        </w:trPr>
        <w:tc>
          <w:tcPr>
            <w:tcW w:w="3415" w:type="dxa"/>
            <w:shd w:val="clear" w:color="auto" w:fill="E2EFD9" w:themeFill="accent6" w:themeFillTint="33"/>
            <w:vAlign w:val="center"/>
          </w:tcPr>
          <w:p w14:paraId="35AE40F6" w14:textId="77777777" w:rsidR="00E921FC" w:rsidRDefault="00E921FC" w:rsidP="00E921FC">
            <w:r>
              <w:rPr>
                <w:rFonts w:asciiTheme="majorHAnsi" w:hAnsiTheme="majorHAnsi" w:cstheme="majorHAnsi"/>
                <w:color w:val="000000"/>
                <w:sz w:val="20"/>
                <w:szCs w:val="20"/>
              </w:rPr>
              <w:t xml:space="preserve">Race - </w:t>
            </w:r>
            <w:r w:rsidRPr="000C14B0">
              <w:rPr>
                <w:rFonts w:asciiTheme="majorHAnsi" w:hAnsiTheme="majorHAnsi" w:cstheme="majorHAnsi"/>
                <w:color w:val="000000"/>
                <w:sz w:val="20"/>
                <w:szCs w:val="20"/>
              </w:rPr>
              <w:t>Asian</w:t>
            </w:r>
          </w:p>
        </w:tc>
        <w:tc>
          <w:tcPr>
            <w:tcW w:w="1080" w:type="dxa"/>
            <w:shd w:val="clear" w:color="auto" w:fill="E2EFD9" w:themeFill="accent6" w:themeFillTint="33"/>
          </w:tcPr>
          <w:p w14:paraId="78FEEBD0" w14:textId="02B6378F" w:rsidR="00E921FC" w:rsidRPr="00E921FC" w:rsidRDefault="00E921FC" w:rsidP="00E921FC">
            <w:pPr>
              <w:jc w:val="center"/>
              <w:rPr>
                <w:rFonts w:asciiTheme="majorHAnsi" w:hAnsiTheme="majorHAnsi" w:cstheme="majorHAnsi"/>
                <w:sz w:val="20"/>
                <w:szCs w:val="20"/>
              </w:rPr>
            </w:pPr>
            <w:r w:rsidRPr="00E921FC">
              <w:rPr>
                <w:rFonts w:asciiTheme="majorHAnsi" w:hAnsiTheme="majorHAnsi" w:cstheme="majorHAnsi"/>
                <w:sz w:val="20"/>
                <w:szCs w:val="20"/>
              </w:rPr>
              <w:t xml:space="preserve"> 90,532 </w:t>
            </w:r>
          </w:p>
        </w:tc>
        <w:tc>
          <w:tcPr>
            <w:tcW w:w="990" w:type="dxa"/>
            <w:shd w:val="clear" w:color="auto" w:fill="E2EFD9" w:themeFill="accent6" w:themeFillTint="33"/>
          </w:tcPr>
          <w:p w14:paraId="66A99195" w14:textId="36188A2A" w:rsidR="00E921FC" w:rsidRPr="00E921FC" w:rsidRDefault="00E921FC" w:rsidP="00E921FC">
            <w:pPr>
              <w:jc w:val="center"/>
              <w:rPr>
                <w:rFonts w:asciiTheme="majorHAnsi" w:hAnsiTheme="majorHAnsi" w:cstheme="majorHAnsi"/>
                <w:sz w:val="20"/>
                <w:szCs w:val="20"/>
              </w:rPr>
            </w:pPr>
            <w:r w:rsidRPr="00E921FC">
              <w:rPr>
                <w:rFonts w:asciiTheme="majorHAnsi" w:hAnsiTheme="majorHAnsi" w:cstheme="majorHAnsi"/>
                <w:sz w:val="20"/>
                <w:szCs w:val="20"/>
              </w:rPr>
              <w:t>6.83%</w:t>
            </w:r>
          </w:p>
        </w:tc>
      </w:tr>
      <w:tr w:rsidR="00E921FC" w14:paraId="3FB9ACF6" w14:textId="77777777" w:rsidTr="00F51A26">
        <w:trPr>
          <w:cantSplit/>
        </w:trPr>
        <w:tc>
          <w:tcPr>
            <w:tcW w:w="3415" w:type="dxa"/>
            <w:shd w:val="clear" w:color="auto" w:fill="E2EFD9" w:themeFill="accent6" w:themeFillTint="33"/>
            <w:vAlign w:val="center"/>
          </w:tcPr>
          <w:p w14:paraId="0C21A942" w14:textId="77777777" w:rsidR="00E921FC" w:rsidRDefault="00E921FC" w:rsidP="00E921FC">
            <w:r>
              <w:rPr>
                <w:rFonts w:asciiTheme="majorHAnsi" w:hAnsiTheme="majorHAnsi" w:cstheme="majorHAnsi"/>
                <w:color w:val="000000"/>
                <w:sz w:val="20"/>
                <w:szCs w:val="20"/>
              </w:rPr>
              <w:t xml:space="preserve">Race - </w:t>
            </w:r>
            <w:r w:rsidRPr="000C14B0">
              <w:rPr>
                <w:rFonts w:asciiTheme="majorHAnsi" w:hAnsiTheme="majorHAnsi" w:cstheme="majorHAnsi"/>
                <w:color w:val="000000"/>
                <w:sz w:val="20"/>
                <w:szCs w:val="20"/>
              </w:rPr>
              <w:t xml:space="preserve">Native Hawaiian or Other Pacific Islander </w:t>
            </w:r>
          </w:p>
        </w:tc>
        <w:tc>
          <w:tcPr>
            <w:tcW w:w="1080" w:type="dxa"/>
            <w:shd w:val="clear" w:color="auto" w:fill="E2EFD9" w:themeFill="accent6" w:themeFillTint="33"/>
          </w:tcPr>
          <w:p w14:paraId="026703CD" w14:textId="535EF623" w:rsidR="00E921FC" w:rsidRPr="00E921FC" w:rsidRDefault="00E921FC" w:rsidP="00E921FC">
            <w:pPr>
              <w:jc w:val="center"/>
              <w:rPr>
                <w:rFonts w:asciiTheme="majorHAnsi" w:hAnsiTheme="majorHAnsi" w:cstheme="majorHAnsi"/>
                <w:sz w:val="20"/>
                <w:szCs w:val="20"/>
              </w:rPr>
            </w:pPr>
            <w:r w:rsidRPr="00E921FC">
              <w:rPr>
                <w:rFonts w:asciiTheme="majorHAnsi" w:hAnsiTheme="majorHAnsi" w:cstheme="majorHAnsi"/>
                <w:sz w:val="20"/>
                <w:szCs w:val="20"/>
              </w:rPr>
              <w:t xml:space="preserve"> 710 </w:t>
            </w:r>
          </w:p>
        </w:tc>
        <w:tc>
          <w:tcPr>
            <w:tcW w:w="990" w:type="dxa"/>
            <w:shd w:val="clear" w:color="auto" w:fill="E2EFD9" w:themeFill="accent6" w:themeFillTint="33"/>
          </w:tcPr>
          <w:p w14:paraId="45097323" w14:textId="3AE23DBA" w:rsidR="00E921FC" w:rsidRPr="00E921FC" w:rsidRDefault="00E921FC" w:rsidP="00E921FC">
            <w:pPr>
              <w:jc w:val="center"/>
              <w:rPr>
                <w:rFonts w:asciiTheme="majorHAnsi" w:hAnsiTheme="majorHAnsi" w:cstheme="majorHAnsi"/>
                <w:sz w:val="20"/>
                <w:szCs w:val="20"/>
              </w:rPr>
            </w:pPr>
            <w:r w:rsidRPr="00E921FC">
              <w:rPr>
                <w:rFonts w:asciiTheme="majorHAnsi" w:hAnsiTheme="majorHAnsi" w:cstheme="majorHAnsi"/>
                <w:sz w:val="20"/>
                <w:szCs w:val="20"/>
              </w:rPr>
              <w:t>0.05%</w:t>
            </w:r>
          </w:p>
        </w:tc>
      </w:tr>
      <w:tr w:rsidR="00E921FC" w14:paraId="53CB1F7C" w14:textId="77777777" w:rsidTr="00F51A26">
        <w:trPr>
          <w:cantSplit/>
        </w:trPr>
        <w:tc>
          <w:tcPr>
            <w:tcW w:w="3415" w:type="dxa"/>
            <w:shd w:val="clear" w:color="auto" w:fill="E2EFD9" w:themeFill="accent6" w:themeFillTint="33"/>
            <w:vAlign w:val="center"/>
          </w:tcPr>
          <w:p w14:paraId="512D27AB" w14:textId="77777777" w:rsidR="00E921FC" w:rsidRDefault="00E921FC" w:rsidP="00E921FC">
            <w:r>
              <w:rPr>
                <w:rFonts w:asciiTheme="majorHAnsi" w:hAnsiTheme="majorHAnsi" w:cstheme="majorHAnsi"/>
                <w:color w:val="000000"/>
                <w:sz w:val="20"/>
                <w:szCs w:val="20"/>
              </w:rPr>
              <w:t xml:space="preserve">Race - </w:t>
            </w:r>
            <w:r w:rsidRPr="000C14B0">
              <w:rPr>
                <w:rFonts w:asciiTheme="majorHAnsi" w:hAnsiTheme="majorHAnsi" w:cstheme="majorHAnsi"/>
                <w:color w:val="000000"/>
                <w:sz w:val="20"/>
                <w:szCs w:val="20"/>
              </w:rPr>
              <w:t>Other</w:t>
            </w:r>
            <w:r w:rsidRPr="000C14B0">
              <w:rPr>
                <w:rStyle w:val="FootnoteReference"/>
                <w:rFonts w:asciiTheme="majorHAnsi" w:hAnsiTheme="majorHAnsi" w:cstheme="majorHAnsi"/>
                <w:color w:val="000000"/>
                <w:sz w:val="20"/>
                <w:szCs w:val="20"/>
              </w:rPr>
              <w:footnoteReference w:id="3"/>
            </w:r>
          </w:p>
        </w:tc>
        <w:tc>
          <w:tcPr>
            <w:tcW w:w="1080" w:type="dxa"/>
            <w:shd w:val="clear" w:color="auto" w:fill="E2EFD9" w:themeFill="accent6" w:themeFillTint="33"/>
          </w:tcPr>
          <w:p w14:paraId="4C579DD7" w14:textId="4659D23C" w:rsidR="00E921FC" w:rsidRPr="00E921FC" w:rsidRDefault="00E921FC" w:rsidP="00E921FC">
            <w:pPr>
              <w:jc w:val="center"/>
              <w:rPr>
                <w:rFonts w:asciiTheme="majorHAnsi" w:hAnsiTheme="majorHAnsi" w:cstheme="majorHAnsi"/>
                <w:sz w:val="20"/>
                <w:szCs w:val="20"/>
              </w:rPr>
            </w:pPr>
            <w:r w:rsidRPr="00E921FC">
              <w:rPr>
                <w:rFonts w:asciiTheme="majorHAnsi" w:hAnsiTheme="majorHAnsi" w:cstheme="majorHAnsi"/>
                <w:sz w:val="20"/>
                <w:szCs w:val="20"/>
              </w:rPr>
              <w:t xml:space="preserve"> 94,601 </w:t>
            </w:r>
          </w:p>
        </w:tc>
        <w:tc>
          <w:tcPr>
            <w:tcW w:w="990" w:type="dxa"/>
            <w:shd w:val="clear" w:color="auto" w:fill="E2EFD9" w:themeFill="accent6" w:themeFillTint="33"/>
          </w:tcPr>
          <w:p w14:paraId="584F2F53" w14:textId="6BD5ED24" w:rsidR="00E921FC" w:rsidRPr="00E921FC" w:rsidRDefault="00E921FC" w:rsidP="00E921FC">
            <w:pPr>
              <w:jc w:val="center"/>
              <w:rPr>
                <w:rFonts w:asciiTheme="majorHAnsi" w:hAnsiTheme="majorHAnsi" w:cstheme="majorHAnsi"/>
                <w:sz w:val="20"/>
                <w:szCs w:val="20"/>
              </w:rPr>
            </w:pPr>
            <w:r w:rsidRPr="00E921FC">
              <w:rPr>
                <w:rFonts w:asciiTheme="majorHAnsi" w:hAnsiTheme="majorHAnsi" w:cstheme="majorHAnsi"/>
                <w:sz w:val="20"/>
                <w:szCs w:val="20"/>
              </w:rPr>
              <w:t>7.14%</w:t>
            </w:r>
          </w:p>
        </w:tc>
      </w:tr>
      <w:tr w:rsidR="00E921FC" w14:paraId="2F03F658" w14:textId="77777777" w:rsidTr="00F51A26">
        <w:trPr>
          <w:cantSplit/>
        </w:trPr>
        <w:tc>
          <w:tcPr>
            <w:tcW w:w="3415" w:type="dxa"/>
            <w:shd w:val="clear" w:color="auto" w:fill="E2EFD9" w:themeFill="accent6" w:themeFillTint="33"/>
            <w:vAlign w:val="center"/>
          </w:tcPr>
          <w:p w14:paraId="3283C418" w14:textId="77777777" w:rsidR="00E921FC" w:rsidRDefault="00E921FC" w:rsidP="00E921FC">
            <w:r>
              <w:rPr>
                <w:rFonts w:asciiTheme="majorHAnsi" w:hAnsiTheme="majorHAnsi" w:cstheme="majorHAnsi"/>
                <w:color w:val="000000"/>
                <w:sz w:val="20"/>
                <w:szCs w:val="20"/>
              </w:rPr>
              <w:t xml:space="preserve">Race - </w:t>
            </w:r>
            <w:r w:rsidRPr="000C14B0">
              <w:rPr>
                <w:rFonts w:asciiTheme="majorHAnsi" w:hAnsiTheme="majorHAnsi" w:cstheme="majorHAnsi"/>
                <w:color w:val="000000"/>
                <w:sz w:val="20"/>
                <w:szCs w:val="20"/>
              </w:rPr>
              <w:t xml:space="preserve">Unknown </w:t>
            </w:r>
          </w:p>
        </w:tc>
        <w:tc>
          <w:tcPr>
            <w:tcW w:w="1080" w:type="dxa"/>
            <w:shd w:val="clear" w:color="auto" w:fill="E2EFD9" w:themeFill="accent6" w:themeFillTint="33"/>
          </w:tcPr>
          <w:p w14:paraId="0406A3B7" w14:textId="1838F2FA" w:rsidR="00E921FC" w:rsidRPr="00E921FC" w:rsidRDefault="00E921FC" w:rsidP="00E921FC">
            <w:pPr>
              <w:jc w:val="center"/>
              <w:rPr>
                <w:rFonts w:asciiTheme="majorHAnsi" w:hAnsiTheme="majorHAnsi" w:cstheme="majorHAnsi"/>
                <w:sz w:val="20"/>
                <w:szCs w:val="20"/>
              </w:rPr>
            </w:pPr>
            <w:r w:rsidRPr="00E921FC">
              <w:rPr>
                <w:rFonts w:asciiTheme="majorHAnsi" w:hAnsiTheme="majorHAnsi" w:cstheme="majorHAnsi"/>
                <w:sz w:val="20"/>
                <w:szCs w:val="20"/>
              </w:rPr>
              <w:t xml:space="preserve"> 25,698 </w:t>
            </w:r>
          </w:p>
        </w:tc>
        <w:tc>
          <w:tcPr>
            <w:tcW w:w="990" w:type="dxa"/>
            <w:shd w:val="clear" w:color="auto" w:fill="E2EFD9" w:themeFill="accent6" w:themeFillTint="33"/>
          </w:tcPr>
          <w:p w14:paraId="0DC3528A" w14:textId="0DF00223" w:rsidR="00E921FC" w:rsidRPr="00E921FC" w:rsidRDefault="00E921FC" w:rsidP="00E921FC">
            <w:pPr>
              <w:jc w:val="center"/>
              <w:rPr>
                <w:rFonts w:asciiTheme="majorHAnsi" w:hAnsiTheme="majorHAnsi" w:cstheme="majorHAnsi"/>
                <w:sz w:val="20"/>
                <w:szCs w:val="20"/>
              </w:rPr>
            </w:pPr>
            <w:r w:rsidRPr="00E921FC">
              <w:rPr>
                <w:rFonts w:asciiTheme="majorHAnsi" w:hAnsiTheme="majorHAnsi" w:cstheme="majorHAnsi"/>
                <w:sz w:val="20"/>
                <w:szCs w:val="20"/>
              </w:rPr>
              <w:t>1.94%</w:t>
            </w:r>
          </w:p>
        </w:tc>
      </w:tr>
      <w:tr w:rsidR="00E921FC" w14:paraId="6CCB6CD6" w14:textId="77777777" w:rsidTr="00F51A26">
        <w:trPr>
          <w:cantSplit/>
        </w:trPr>
        <w:tc>
          <w:tcPr>
            <w:tcW w:w="3415" w:type="dxa"/>
            <w:shd w:val="clear" w:color="auto" w:fill="E2EFD9" w:themeFill="accent6" w:themeFillTint="33"/>
            <w:vAlign w:val="center"/>
          </w:tcPr>
          <w:p w14:paraId="460E4D0F" w14:textId="77777777" w:rsidR="00E921FC" w:rsidRDefault="00E921FC" w:rsidP="00E921FC">
            <w:r>
              <w:rPr>
                <w:rFonts w:asciiTheme="majorHAnsi" w:hAnsiTheme="majorHAnsi" w:cstheme="majorHAnsi"/>
                <w:color w:val="000000"/>
                <w:sz w:val="20"/>
                <w:szCs w:val="20"/>
              </w:rPr>
              <w:t xml:space="preserve">Race - </w:t>
            </w:r>
            <w:r w:rsidRPr="000C14B0">
              <w:rPr>
                <w:rFonts w:asciiTheme="majorHAnsi" w:hAnsiTheme="majorHAnsi" w:cstheme="majorHAnsi"/>
                <w:color w:val="000000"/>
                <w:sz w:val="20"/>
                <w:szCs w:val="20"/>
              </w:rPr>
              <w:t xml:space="preserve">Patient Declined </w:t>
            </w:r>
          </w:p>
        </w:tc>
        <w:tc>
          <w:tcPr>
            <w:tcW w:w="1080" w:type="dxa"/>
            <w:shd w:val="clear" w:color="auto" w:fill="E2EFD9" w:themeFill="accent6" w:themeFillTint="33"/>
          </w:tcPr>
          <w:p w14:paraId="2DAF100B" w14:textId="3A0F1561" w:rsidR="00E921FC" w:rsidRPr="00E921FC" w:rsidRDefault="00E921FC" w:rsidP="00E921FC">
            <w:pPr>
              <w:jc w:val="center"/>
              <w:rPr>
                <w:rFonts w:asciiTheme="majorHAnsi" w:hAnsiTheme="majorHAnsi" w:cstheme="majorHAnsi"/>
                <w:sz w:val="20"/>
                <w:szCs w:val="20"/>
              </w:rPr>
            </w:pPr>
            <w:r w:rsidRPr="00E921FC">
              <w:rPr>
                <w:rFonts w:asciiTheme="majorHAnsi" w:hAnsiTheme="majorHAnsi" w:cstheme="majorHAnsi"/>
                <w:sz w:val="20"/>
                <w:szCs w:val="20"/>
              </w:rPr>
              <w:t xml:space="preserve"> 52,216 </w:t>
            </w:r>
          </w:p>
        </w:tc>
        <w:tc>
          <w:tcPr>
            <w:tcW w:w="990" w:type="dxa"/>
            <w:shd w:val="clear" w:color="auto" w:fill="E2EFD9" w:themeFill="accent6" w:themeFillTint="33"/>
          </w:tcPr>
          <w:p w14:paraId="30073670" w14:textId="6935579D" w:rsidR="00E921FC" w:rsidRPr="00E921FC" w:rsidRDefault="00E921FC" w:rsidP="00E921FC">
            <w:pPr>
              <w:jc w:val="center"/>
              <w:rPr>
                <w:rFonts w:asciiTheme="majorHAnsi" w:hAnsiTheme="majorHAnsi" w:cstheme="majorHAnsi"/>
                <w:sz w:val="20"/>
                <w:szCs w:val="20"/>
              </w:rPr>
            </w:pPr>
            <w:r w:rsidRPr="00E921FC">
              <w:rPr>
                <w:rFonts w:asciiTheme="majorHAnsi" w:hAnsiTheme="majorHAnsi" w:cstheme="majorHAnsi"/>
                <w:sz w:val="20"/>
                <w:szCs w:val="20"/>
              </w:rPr>
              <w:t>3.94%</w:t>
            </w:r>
          </w:p>
        </w:tc>
      </w:tr>
      <w:tr w:rsidR="000F7B6C" w14:paraId="2ECD19DF" w14:textId="77777777" w:rsidTr="00F51A26">
        <w:trPr>
          <w:cantSplit/>
        </w:trPr>
        <w:tc>
          <w:tcPr>
            <w:tcW w:w="3415" w:type="dxa"/>
            <w:shd w:val="clear" w:color="auto" w:fill="D9E2F3" w:themeFill="accent1" w:themeFillTint="33"/>
            <w:vAlign w:val="center"/>
          </w:tcPr>
          <w:p w14:paraId="531B3FDB" w14:textId="77777777" w:rsidR="000F7B6C" w:rsidRDefault="000F7B6C" w:rsidP="000F7B6C">
            <w:r w:rsidRPr="001B42EC">
              <w:rPr>
                <w:rFonts w:asciiTheme="majorHAnsi" w:hAnsiTheme="majorHAnsi" w:cstheme="majorHAnsi"/>
                <w:color w:val="000000"/>
                <w:sz w:val="20"/>
                <w:szCs w:val="20"/>
              </w:rPr>
              <w:t>Ethnicity</w:t>
            </w:r>
            <w:r w:rsidRPr="001B42EC">
              <w:rPr>
                <w:rStyle w:val="FootnoteReference"/>
                <w:rFonts w:asciiTheme="majorHAnsi" w:hAnsiTheme="majorHAnsi" w:cstheme="majorHAnsi"/>
                <w:color w:val="000000"/>
                <w:sz w:val="20"/>
                <w:szCs w:val="20"/>
              </w:rPr>
              <w:footnoteReference w:id="4"/>
            </w:r>
            <w:r>
              <w:rPr>
                <w:rFonts w:asciiTheme="majorHAnsi" w:hAnsiTheme="majorHAnsi" w:cstheme="majorHAnsi"/>
                <w:color w:val="000000"/>
                <w:sz w:val="20"/>
                <w:szCs w:val="20"/>
              </w:rPr>
              <w:t xml:space="preserve"> - </w:t>
            </w:r>
            <w:r w:rsidRPr="000C14B0">
              <w:rPr>
                <w:rFonts w:asciiTheme="majorHAnsi" w:hAnsiTheme="majorHAnsi" w:cstheme="majorHAnsi"/>
                <w:color w:val="000000"/>
                <w:sz w:val="20"/>
                <w:szCs w:val="20"/>
              </w:rPr>
              <w:t>Hispanic/Latino</w:t>
            </w:r>
          </w:p>
        </w:tc>
        <w:tc>
          <w:tcPr>
            <w:tcW w:w="1080" w:type="dxa"/>
            <w:shd w:val="clear" w:color="auto" w:fill="D9E2F3" w:themeFill="accent1" w:themeFillTint="33"/>
          </w:tcPr>
          <w:p w14:paraId="576DA6F9" w14:textId="102647C0" w:rsidR="000F7B6C" w:rsidRPr="000F7B6C" w:rsidRDefault="000F7B6C" w:rsidP="000F7B6C">
            <w:pPr>
              <w:jc w:val="center"/>
              <w:rPr>
                <w:rFonts w:asciiTheme="majorHAnsi" w:hAnsiTheme="majorHAnsi" w:cstheme="majorHAnsi"/>
                <w:sz w:val="20"/>
                <w:szCs w:val="20"/>
              </w:rPr>
            </w:pPr>
            <w:r w:rsidRPr="000F7B6C">
              <w:rPr>
                <w:rFonts w:asciiTheme="majorHAnsi" w:hAnsiTheme="majorHAnsi" w:cstheme="majorHAnsi"/>
                <w:sz w:val="20"/>
                <w:szCs w:val="20"/>
              </w:rPr>
              <w:t xml:space="preserve"> 77,524 </w:t>
            </w:r>
          </w:p>
        </w:tc>
        <w:tc>
          <w:tcPr>
            <w:tcW w:w="990" w:type="dxa"/>
            <w:shd w:val="clear" w:color="auto" w:fill="D9E2F3" w:themeFill="accent1" w:themeFillTint="33"/>
          </w:tcPr>
          <w:p w14:paraId="24AB864F" w14:textId="0AA675F8" w:rsidR="000F7B6C" w:rsidRPr="000F7B6C" w:rsidRDefault="000F7B6C" w:rsidP="000F7B6C">
            <w:pPr>
              <w:jc w:val="center"/>
              <w:rPr>
                <w:rFonts w:asciiTheme="majorHAnsi" w:hAnsiTheme="majorHAnsi" w:cstheme="majorHAnsi"/>
                <w:sz w:val="20"/>
                <w:szCs w:val="20"/>
              </w:rPr>
            </w:pPr>
            <w:r w:rsidRPr="000F7B6C">
              <w:rPr>
                <w:rFonts w:asciiTheme="majorHAnsi" w:hAnsiTheme="majorHAnsi" w:cstheme="majorHAnsi"/>
                <w:sz w:val="20"/>
                <w:szCs w:val="20"/>
              </w:rPr>
              <w:t>7.13%</w:t>
            </w:r>
          </w:p>
        </w:tc>
      </w:tr>
      <w:tr w:rsidR="000F7B6C" w14:paraId="1A82D737" w14:textId="77777777" w:rsidTr="00F51A26">
        <w:trPr>
          <w:cantSplit/>
        </w:trPr>
        <w:tc>
          <w:tcPr>
            <w:tcW w:w="3415" w:type="dxa"/>
            <w:shd w:val="clear" w:color="auto" w:fill="D9E2F3" w:themeFill="accent1" w:themeFillTint="33"/>
            <w:vAlign w:val="center"/>
          </w:tcPr>
          <w:p w14:paraId="0D665CDA" w14:textId="77777777" w:rsidR="000F7B6C" w:rsidRDefault="000F7B6C" w:rsidP="000F7B6C">
            <w:r>
              <w:rPr>
                <w:rFonts w:asciiTheme="majorHAnsi" w:hAnsiTheme="majorHAnsi" w:cstheme="majorHAnsi"/>
                <w:color w:val="000000"/>
                <w:sz w:val="20"/>
                <w:szCs w:val="20"/>
              </w:rPr>
              <w:t xml:space="preserve">Ethnicity - </w:t>
            </w:r>
            <w:r w:rsidRPr="000C14B0">
              <w:rPr>
                <w:rFonts w:asciiTheme="majorHAnsi" w:hAnsiTheme="majorHAnsi" w:cstheme="majorHAnsi"/>
                <w:color w:val="000000"/>
                <w:sz w:val="20"/>
                <w:szCs w:val="20"/>
              </w:rPr>
              <w:t>Not Hispanic/Latino</w:t>
            </w:r>
          </w:p>
        </w:tc>
        <w:tc>
          <w:tcPr>
            <w:tcW w:w="1080" w:type="dxa"/>
            <w:shd w:val="clear" w:color="auto" w:fill="D9E2F3" w:themeFill="accent1" w:themeFillTint="33"/>
          </w:tcPr>
          <w:p w14:paraId="2B04CCB2" w14:textId="711AC1F2" w:rsidR="000F7B6C" w:rsidRPr="000F7B6C" w:rsidRDefault="000F7B6C" w:rsidP="000F7B6C">
            <w:pPr>
              <w:jc w:val="center"/>
              <w:rPr>
                <w:rFonts w:asciiTheme="majorHAnsi" w:hAnsiTheme="majorHAnsi" w:cstheme="majorHAnsi"/>
                <w:sz w:val="20"/>
                <w:szCs w:val="20"/>
              </w:rPr>
            </w:pPr>
            <w:r w:rsidRPr="000F7B6C">
              <w:rPr>
                <w:rFonts w:asciiTheme="majorHAnsi" w:hAnsiTheme="majorHAnsi" w:cstheme="majorHAnsi"/>
                <w:sz w:val="20"/>
                <w:szCs w:val="20"/>
              </w:rPr>
              <w:t xml:space="preserve"> 920,499 </w:t>
            </w:r>
          </w:p>
        </w:tc>
        <w:tc>
          <w:tcPr>
            <w:tcW w:w="990" w:type="dxa"/>
            <w:shd w:val="clear" w:color="auto" w:fill="D9E2F3" w:themeFill="accent1" w:themeFillTint="33"/>
          </w:tcPr>
          <w:p w14:paraId="722D96A9" w14:textId="5A064836" w:rsidR="000F7B6C" w:rsidRPr="000F7B6C" w:rsidRDefault="000F7B6C" w:rsidP="000F7B6C">
            <w:pPr>
              <w:jc w:val="center"/>
              <w:rPr>
                <w:rFonts w:asciiTheme="majorHAnsi" w:hAnsiTheme="majorHAnsi" w:cstheme="majorHAnsi"/>
                <w:sz w:val="20"/>
                <w:szCs w:val="20"/>
              </w:rPr>
            </w:pPr>
            <w:r w:rsidRPr="000F7B6C">
              <w:rPr>
                <w:rFonts w:asciiTheme="majorHAnsi" w:hAnsiTheme="majorHAnsi" w:cstheme="majorHAnsi"/>
                <w:sz w:val="20"/>
                <w:szCs w:val="20"/>
              </w:rPr>
              <w:t>84.71%</w:t>
            </w:r>
          </w:p>
        </w:tc>
      </w:tr>
      <w:tr w:rsidR="000F7B6C" w14:paraId="1E54D571" w14:textId="77777777" w:rsidTr="00F51A26">
        <w:trPr>
          <w:cantSplit/>
        </w:trPr>
        <w:tc>
          <w:tcPr>
            <w:tcW w:w="3415" w:type="dxa"/>
            <w:shd w:val="clear" w:color="auto" w:fill="D9E2F3" w:themeFill="accent1" w:themeFillTint="33"/>
            <w:vAlign w:val="center"/>
          </w:tcPr>
          <w:p w14:paraId="28871E71" w14:textId="77777777" w:rsidR="000F7B6C" w:rsidRDefault="000F7B6C" w:rsidP="000F7B6C">
            <w:r>
              <w:rPr>
                <w:rFonts w:asciiTheme="majorHAnsi" w:hAnsiTheme="majorHAnsi" w:cstheme="majorHAnsi"/>
                <w:color w:val="000000"/>
                <w:sz w:val="20"/>
                <w:szCs w:val="20"/>
              </w:rPr>
              <w:t xml:space="preserve">Ethnicity - </w:t>
            </w:r>
            <w:r w:rsidRPr="000C14B0">
              <w:rPr>
                <w:rFonts w:asciiTheme="majorHAnsi" w:hAnsiTheme="majorHAnsi" w:cstheme="majorHAnsi"/>
                <w:color w:val="000000"/>
                <w:sz w:val="20"/>
                <w:szCs w:val="20"/>
              </w:rPr>
              <w:t xml:space="preserve">Patient Declined </w:t>
            </w:r>
          </w:p>
        </w:tc>
        <w:tc>
          <w:tcPr>
            <w:tcW w:w="1080" w:type="dxa"/>
            <w:shd w:val="clear" w:color="auto" w:fill="D9E2F3" w:themeFill="accent1" w:themeFillTint="33"/>
          </w:tcPr>
          <w:p w14:paraId="62A79723" w14:textId="1B5F2398" w:rsidR="000F7B6C" w:rsidRPr="000F7B6C" w:rsidRDefault="000F7B6C" w:rsidP="000F7B6C">
            <w:pPr>
              <w:jc w:val="center"/>
              <w:rPr>
                <w:rFonts w:asciiTheme="majorHAnsi" w:hAnsiTheme="majorHAnsi" w:cstheme="majorHAnsi"/>
                <w:sz w:val="20"/>
                <w:szCs w:val="20"/>
              </w:rPr>
            </w:pPr>
            <w:r w:rsidRPr="000F7B6C">
              <w:rPr>
                <w:rFonts w:asciiTheme="majorHAnsi" w:hAnsiTheme="majorHAnsi" w:cstheme="majorHAnsi"/>
                <w:sz w:val="20"/>
                <w:szCs w:val="20"/>
              </w:rPr>
              <w:t xml:space="preserve"> 14,301 </w:t>
            </w:r>
          </w:p>
        </w:tc>
        <w:tc>
          <w:tcPr>
            <w:tcW w:w="990" w:type="dxa"/>
            <w:shd w:val="clear" w:color="auto" w:fill="D9E2F3" w:themeFill="accent1" w:themeFillTint="33"/>
          </w:tcPr>
          <w:p w14:paraId="525DFB7F" w14:textId="1736B738" w:rsidR="000F7B6C" w:rsidRPr="000F7B6C" w:rsidRDefault="000F7B6C" w:rsidP="000F7B6C">
            <w:pPr>
              <w:jc w:val="center"/>
              <w:rPr>
                <w:rFonts w:asciiTheme="majorHAnsi" w:hAnsiTheme="majorHAnsi" w:cstheme="majorHAnsi"/>
                <w:sz w:val="20"/>
                <w:szCs w:val="20"/>
              </w:rPr>
            </w:pPr>
            <w:r w:rsidRPr="000F7B6C">
              <w:rPr>
                <w:rFonts w:asciiTheme="majorHAnsi" w:hAnsiTheme="majorHAnsi" w:cstheme="majorHAnsi"/>
                <w:sz w:val="20"/>
                <w:szCs w:val="20"/>
              </w:rPr>
              <w:t>1.32%</w:t>
            </w:r>
          </w:p>
        </w:tc>
      </w:tr>
      <w:tr w:rsidR="000F7B6C" w14:paraId="04BA77E0" w14:textId="77777777" w:rsidTr="00F51A26">
        <w:trPr>
          <w:cantSplit/>
        </w:trPr>
        <w:tc>
          <w:tcPr>
            <w:tcW w:w="3415" w:type="dxa"/>
            <w:shd w:val="clear" w:color="auto" w:fill="D9E2F3" w:themeFill="accent1" w:themeFillTint="33"/>
            <w:vAlign w:val="center"/>
          </w:tcPr>
          <w:p w14:paraId="378D11C4" w14:textId="77777777" w:rsidR="000F7B6C" w:rsidRDefault="000F7B6C" w:rsidP="000F7B6C">
            <w:r>
              <w:rPr>
                <w:rFonts w:asciiTheme="majorHAnsi" w:hAnsiTheme="majorHAnsi" w:cstheme="majorHAnsi"/>
                <w:color w:val="000000"/>
                <w:sz w:val="20"/>
                <w:szCs w:val="20"/>
              </w:rPr>
              <w:t xml:space="preserve">Ethnicity - </w:t>
            </w:r>
            <w:r w:rsidRPr="000C14B0">
              <w:rPr>
                <w:rFonts w:asciiTheme="majorHAnsi" w:hAnsiTheme="majorHAnsi" w:cstheme="majorHAnsi"/>
                <w:color w:val="000000"/>
                <w:sz w:val="20"/>
                <w:szCs w:val="20"/>
              </w:rPr>
              <w:t>Unknown</w:t>
            </w:r>
          </w:p>
        </w:tc>
        <w:tc>
          <w:tcPr>
            <w:tcW w:w="1080" w:type="dxa"/>
            <w:shd w:val="clear" w:color="auto" w:fill="D9E2F3" w:themeFill="accent1" w:themeFillTint="33"/>
          </w:tcPr>
          <w:p w14:paraId="39EF4B25" w14:textId="3F5285CB" w:rsidR="000F7B6C" w:rsidRPr="000F7B6C" w:rsidRDefault="000F7B6C" w:rsidP="000F7B6C">
            <w:pPr>
              <w:jc w:val="center"/>
              <w:rPr>
                <w:rFonts w:asciiTheme="majorHAnsi" w:hAnsiTheme="majorHAnsi" w:cstheme="majorHAnsi"/>
                <w:sz w:val="20"/>
                <w:szCs w:val="20"/>
              </w:rPr>
            </w:pPr>
            <w:r w:rsidRPr="000F7B6C">
              <w:rPr>
                <w:rFonts w:asciiTheme="majorHAnsi" w:hAnsiTheme="majorHAnsi" w:cstheme="majorHAnsi"/>
                <w:sz w:val="20"/>
                <w:szCs w:val="20"/>
              </w:rPr>
              <w:t xml:space="preserve"> 53,482 </w:t>
            </w:r>
          </w:p>
        </w:tc>
        <w:tc>
          <w:tcPr>
            <w:tcW w:w="990" w:type="dxa"/>
            <w:shd w:val="clear" w:color="auto" w:fill="D9E2F3" w:themeFill="accent1" w:themeFillTint="33"/>
          </w:tcPr>
          <w:p w14:paraId="2C229419" w14:textId="43010217" w:rsidR="000F7B6C" w:rsidRPr="000F7B6C" w:rsidRDefault="000F7B6C" w:rsidP="000F7B6C">
            <w:pPr>
              <w:jc w:val="center"/>
              <w:rPr>
                <w:rFonts w:asciiTheme="majorHAnsi" w:hAnsiTheme="majorHAnsi" w:cstheme="majorHAnsi"/>
                <w:sz w:val="20"/>
                <w:szCs w:val="20"/>
              </w:rPr>
            </w:pPr>
            <w:r w:rsidRPr="000F7B6C">
              <w:rPr>
                <w:rFonts w:asciiTheme="majorHAnsi" w:hAnsiTheme="majorHAnsi" w:cstheme="majorHAnsi"/>
                <w:sz w:val="20"/>
                <w:szCs w:val="20"/>
              </w:rPr>
              <w:t>4.92%</w:t>
            </w:r>
          </w:p>
        </w:tc>
      </w:tr>
      <w:tr w:rsidR="000F7B6C" w14:paraId="304AAB23" w14:textId="77777777" w:rsidTr="00F51A26">
        <w:trPr>
          <w:cantSplit/>
        </w:trPr>
        <w:tc>
          <w:tcPr>
            <w:tcW w:w="3415" w:type="dxa"/>
            <w:shd w:val="clear" w:color="auto" w:fill="D9E2F3" w:themeFill="accent1" w:themeFillTint="33"/>
            <w:vAlign w:val="center"/>
          </w:tcPr>
          <w:p w14:paraId="00957211" w14:textId="77777777" w:rsidR="000F7B6C" w:rsidRDefault="000F7B6C" w:rsidP="000F7B6C">
            <w:r>
              <w:rPr>
                <w:rFonts w:asciiTheme="majorHAnsi" w:hAnsiTheme="majorHAnsi" w:cstheme="majorHAnsi"/>
                <w:color w:val="000000"/>
                <w:sz w:val="20"/>
                <w:szCs w:val="20"/>
              </w:rPr>
              <w:t xml:space="preserve">Ethnicity - </w:t>
            </w:r>
            <w:r w:rsidRPr="000C14B0">
              <w:rPr>
                <w:rFonts w:asciiTheme="majorHAnsi" w:hAnsiTheme="majorHAnsi" w:cstheme="majorHAnsi"/>
                <w:color w:val="000000"/>
                <w:sz w:val="20"/>
                <w:szCs w:val="20"/>
              </w:rPr>
              <w:t xml:space="preserve">Other </w:t>
            </w:r>
          </w:p>
        </w:tc>
        <w:tc>
          <w:tcPr>
            <w:tcW w:w="1080" w:type="dxa"/>
            <w:shd w:val="clear" w:color="auto" w:fill="D9E2F3" w:themeFill="accent1" w:themeFillTint="33"/>
          </w:tcPr>
          <w:p w14:paraId="0045B7AB" w14:textId="32C06705" w:rsidR="000F7B6C" w:rsidRPr="000F7B6C" w:rsidRDefault="000F7B6C" w:rsidP="000F7B6C">
            <w:pPr>
              <w:jc w:val="center"/>
              <w:rPr>
                <w:rFonts w:asciiTheme="majorHAnsi" w:hAnsiTheme="majorHAnsi" w:cstheme="majorHAnsi"/>
                <w:sz w:val="20"/>
                <w:szCs w:val="20"/>
              </w:rPr>
            </w:pPr>
            <w:r w:rsidRPr="000F7B6C">
              <w:rPr>
                <w:rFonts w:asciiTheme="majorHAnsi" w:hAnsiTheme="majorHAnsi" w:cstheme="majorHAnsi"/>
                <w:sz w:val="20"/>
                <w:szCs w:val="20"/>
              </w:rPr>
              <w:t xml:space="preserve"> 20,883 </w:t>
            </w:r>
          </w:p>
        </w:tc>
        <w:tc>
          <w:tcPr>
            <w:tcW w:w="990" w:type="dxa"/>
            <w:shd w:val="clear" w:color="auto" w:fill="D9E2F3" w:themeFill="accent1" w:themeFillTint="33"/>
          </w:tcPr>
          <w:p w14:paraId="0DA3C529" w14:textId="2FB22C2E" w:rsidR="000F7B6C" w:rsidRPr="000F7B6C" w:rsidRDefault="000F7B6C" w:rsidP="000F7B6C">
            <w:pPr>
              <w:jc w:val="center"/>
              <w:rPr>
                <w:rFonts w:asciiTheme="majorHAnsi" w:hAnsiTheme="majorHAnsi" w:cstheme="majorHAnsi"/>
                <w:sz w:val="20"/>
                <w:szCs w:val="20"/>
              </w:rPr>
            </w:pPr>
            <w:r w:rsidRPr="000F7B6C">
              <w:rPr>
                <w:rFonts w:asciiTheme="majorHAnsi" w:hAnsiTheme="majorHAnsi" w:cstheme="majorHAnsi"/>
                <w:sz w:val="20"/>
                <w:szCs w:val="20"/>
              </w:rPr>
              <w:t>1.92%</w:t>
            </w:r>
          </w:p>
        </w:tc>
      </w:tr>
      <w:tr w:rsidR="000F7B6C" w14:paraId="0D301A68" w14:textId="77777777" w:rsidTr="00F51A26">
        <w:trPr>
          <w:cantSplit/>
        </w:trPr>
        <w:tc>
          <w:tcPr>
            <w:tcW w:w="3415" w:type="dxa"/>
            <w:shd w:val="clear" w:color="auto" w:fill="EDEDED" w:themeFill="accent3" w:themeFillTint="33"/>
            <w:vAlign w:val="center"/>
          </w:tcPr>
          <w:p w14:paraId="3B942D5D" w14:textId="77777777" w:rsidR="000F7B6C" w:rsidRDefault="000F7B6C" w:rsidP="000F7B6C">
            <w:r>
              <w:rPr>
                <w:rFonts w:asciiTheme="majorHAnsi" w:hAnsiTheme="majorHAnsi" w:cstheme="majorHAnsi"/>
                <w:color w:val="000000"/>
                <w:sz w:val="20"/>
                <w:szCs w:val="20"/>
              </w:rPr>
              <w:t xml:space="preserve">Payor - </w:t>
            </w:r>
            <w:r w:rsidRPr="000C14B0">
              <w:rPr>
                <w:rFonts w:asciiTheme="majorHAnsi" w:hAnsiTheme="majorHAnsi" w:cstheme="majorHAnsi"/>
                <w:color w:val="000000"/>
                <w:sz w:val="20"/>
                <w:szCs w:val="20"/>
              </w:rPr>
              <w:t>Commercial</w:t>
            </w:r>
          </w:p>
        </w:tc>
        <w:tc>
          <w:tcPr>
            <w:tcW w:w="1080" w:type="dxa"/>
            <w:shd w:val="clear" w:color="auto" w:fill="EDEDED" w:themeFill="accent3" w:themeFillTint="33"/>
          </w:tcPr>
          <w:p w14:paraId="3E9D25D9" w14:textId="015588FE" w:rsidR="000F7B6C" w:rsidRPr="000F7B6C" w:rsidRDefault="000F7B6C" w:rsidP="000F7B6C">
            <w:pPr>
              <w:jc w:val="center"/>
              <w:rPr>
                <w:rFonts w:asciiTheme="majorHAnsi" w:hAnsiTheme="majorHAnsi" w:cstheme="majorHAnsi"/>
                <w:sz w:val="20"/>
                <w:szCs w:val="20"/>
              </w:rPr>
            </w:pPr>
            <w:r w:rsidRPr="000F7B6C">
              <w:rPr>
                <w:rFonts w:asciiTheme="majorHAnsi" w:hAnsiTheme="majorHAnsi" w:cstheme="majorHAnsi"/>
                <w:sz w:val="20"/>
                <w:szCs w:val="20"/>
              </w:rPr>
              <w:t xml:space="preserve"> 625,200 </w:t>
            </w:r>
          </w:p>
        </w:tc>
        <w:tc>
          <w:tcPr>
            <w:tcW w:w="990" w:type="dxa"/>
            <w:shd w:val="clear" w:color="auto" w:fill="EDEDED" w:themeFill="accent3" w:themeFillTint="33"/>
          </w:tcPr>
          <w:p w14:paraId="2DC1C03D" w14:textId="2C6495B9" w:rsidR="000F7B6C" w:rsidRPr="000F7B6C" w:rsidRDefault="000F7B6C" w:rsidP="000F7B6C">
            <w:pPr>
              <w:jc w:val="center"/>
              <w:rPr>
                <w:rFonts w:asciiTheme="majorHAnsi" w:hAnsiTheme="majorHAnsi" w:cstheme="majorHAnsi"/>
                <w:sz w:val="20"/>
                <w:szCs w:val="20"/>
              </w:rPr>
            </w:pPr>
            <w:r w:rsidRPr="000F7B6C">
              <w:rPr>
                <w:rFonts w:asciiTheme="majorHAnsi" w:hAnsiTheme="majorHAnsi" w:cstheme="majorHAnsi"/>
                <w:sz w:val="20"/>
                <w:szCs w:val="20"/>
              </w:rPr>
              <w:t>47.20%</w:t>
            </w:r>
          </w:p>
        </w:tc>
      </w:tr>
      <w:tr w:rsidR="000F7B6C" w14:paraId="37D58275" w14:textId="77777777" w:rsidTr="00F51A26">
        <w:trPr>
          <w:cantSplit/>
        </w:trPr>
        <w:tc>
          <w:tcPr>
            <w:tcW w:w="3415" w:type="dxa"/>
            <w:shd w:val="clear" w:color="auto" w:fill="EDEDED" w:themeFill="accent3" w:themeFillTint="33"/>
            <w:vAlign w:val="center"/>
          </w:tcPr>
          <w:p w14:paraId="0971C06E" w14:textId="77777777" w:rsidR="000F7B6C" w:rsidRDefault="000F7B6C" w:rsidP="000F7B6C">
            <w:r>
              <w:rPr>
                <w:rFonts w:asciiTheme="majorHAnsi" w:hAnsiTheme="majorHAnsi" w:cstheme="majorHAnsi"/>
                <w:color w:val="000000"/>
                <w:sz w:val="20"/>
                <w:szCs w:val="20"/>
              </w:rPr>
              <w:t xml:space="preserve">Payor - </w:t>
            </w:r>
            <w:r w:rsidRPr="000C14B0">
              <w:rPr>
                <w:rFonts w:asciiTheme="majorHAnsi" w:hAnsiTheme="majorHAnsi" w:cstheme="majorHAnsi"/>
                <w:color w:val="000000"/>
                <w:sz w:val="20"/>
                <w:szCs w:val="20"/>
              </w:rPr>
              <w:t>Medica</w:t>
            </w:r>
            <w:r>
              <w:rPr>
                <w:rFonts w:asciiTheme="majorHAnsi" w:hAnsiTheme="majorHAnsi" w:cstheme="majorHAnsi"/>
                <w:color w:val="000000"/>
                <w:sz w:val="20"/>
                <w:szCs w:val="20"/>
              </w:rPr>
              <w:t>re</w:t>
            </w:r>
          </w:p>
        </w:tc>
        <w:tc>
          <w:tcPr>
            <w:tcW w:w="1080" w:type="dxa"/>
            <w:shd w:val="clear" w:color="auto" w:fill="EDEDED" w:themeFill="accent3" w:themeFillTint="33"/>
          </w:tcPr>
          <w:p w14:paraId="6BEFFBB9" w14:textId="4279117E" w:rsidR="000F7B6C" w:rsidRPr="000F7B6C" w:rsidRDefault="000F7B6C" w:rsidP="000F7B6C">
            <w:pPr>
              <w:jc w:val="center"/>
              <w:rPr>
                <w:rFonts w:asciiTheme="majorHAnsi" w:hAnsiTheme="majorHAnsi" w:cstheme="majorHAnsi"/>
                <w:sz w:val="20"/>
                <w:szCs w:val="20"/>
              </w:rPr>
            </w:pPr>
            <w:r w:rsidRPr="000F7B6C">
              <w:rPr>
                <w:rFonts w:asciiTheme="majorHAnsi" w:hAnsiTheme="majorHAnsi" w:cstheme="majorHAnsi"/>
                <w:sz w:val="20"/>
                <w:szCs w:val="20"/>
              </w:rPr>
              <w:t xml:space="preserve"> 370,908 </w:t>
            </w:r>
          </w:p>
        </w:tc>
        <w:tc>
          <w:tcPr>
            <w:tcW w:w="990" w:type="dxa"/>
            <w:shd w:val="clear" w:color="auto" w:fill="EDEDED" w:themeFill="accent3" w:themeFillTint="33"/>
          </w:tcPr>
          <w:p w14:paraId="7098D826" w14:textId="6F67256B" w:rsidR="000F7B6C" w:rsidRPr="000F7B6C" w:rsidRDefault="000F7B6C" w:rsidP="000F7B6C">
            <w:pPr>
              <w:jc w:val="center"/>
              <w:rPr>
                <w:rFonts w:asciiTheme="majorHAnsi" w:hAnsiTheme="majorHAnsi" w:cstheme="majorHAnsi"/>
                <w:sz w:val="20"/>
                <w:szCs w:val="20"/>
              </w:rPr>
            </w:pPr>
            <w:r w:rsidRPr="000F7B6C">
              <w:rPr>
                <w:rFonts w:asciiTheme="majorHAnsi" w:hAnsiTheme="majorHAnsi" w:cstheme="majorHAnsi"/>
                <w:sz w:val="20"/>
                <w:szCs w:val="20"/>
              </w:rPr>
              <w:t>28.00%</w:t>
            </w:r>
          </w:p>
        </w:tc>
      </w:tr>
      <w:tr w:rsidR="000F7B6C" w14:paraId="590D7A96" w14:textId="77777777" w:rsidTr="00F51A26">
        <w:trPr>
          <w:cantSplit/>
        </w:trPr>
        <w:tc>
          <w:tcPr>
            <w:tcW w:w="3415" w:type="dxa"/>
            <w:shd w:val="clear" w:color="auto" w:fill="EDEDED" w:themeFill="accent3" w:themeFillTint="33"/>
            <w:vAlign w:val="center"/>
          </w:tcPr>
          <w:p w14:paraId="14FA862B" w14:textId="77777777" w:rsidR="000F7B6C" w:rsidRDefault="000F7B6C" w:rsidP="000F7B6C">
            <w:r>
              <w:rPr>
                <w:rFonts w:asciiTheme="majorHAnsi" w:hAnsiTheme="majorHAnsi" w:cstheme="majorHAnsi"/>
                <w:color w:val="000000"/>
                <w:sz w:val="20"/>
                <w:szCs w:val="20"/>
              </w:rPr>
              <w:t xml:space="preserve">Payor - </w:t>
            </w:r>
            <w:r w:rsidRPr="000C14B0">
              <w:rPr>
                <w:rFonts w:asciiTheme="majorHAnsi" w:hAnsiTheme="majorHAnsi" w:cstheme="majorHAnsi"/>
                <w:color w:val="000000"/>
                <w:sz w:val="20"/>
                <w:szCs w:val="20"/>
              </w:rPr>
              <w:t>Medica</w:t>
            </w:r>
            <w:r>
              <w:rPr>
                <w:rFonts w:asciiTheme="majorHAnsi" w:hAnsiTheme="majorHAnsi" w:cstheme="majorHAnsi"/>
                <w:color w:val="000000"/>
                <w:sz w:val="20"/>
                <w:szCs w:val="20"/>
              </w:rPr>
              <w:t>id</w:t>
            </w:r>
          </w:p>
        </w:tc>
        <w:tc>
          <w:tcPr>
            <w:tcW w:w="1080" w:type="dxa"/>
            <w:shd w:val="clear" w:color="auto" w:fill="EDEDED" w:themeFill="accent3" w:themeFillTint="33"/>
          </w:tcPr>
          <w:p w14:paraId="69F9EAEC" w14:textId="79598972" w:rsidR="000F7B6C" w:rsidRPr="000F7B6C" w:rsidRDefault="000F7B6C" w:rsidP="000F7B6C">
            <w:pPr>
              <w:jc w:val="center"/>
              <w:rPr>
                <w:rFonts w:asciiTheme="majorHAnsi" w:hAnsiTheme="majorHAnsi" w:cstheme="majorHAnsi"/>
                <w:sz w:val="20"/>
                <w:szCs w:val="20"/>
              </w:rPr>
            </w:pPr>
            <w:r w:rsidRPr="000F7B6C">
              <w:rPr>
                <w:rFonts w:asciiTheme="majorHAnsi" w:hAnsiTheme="majorHAnsi" w:cstheme="majorHAnsi"/>
                <w:sz w:val="20"/>
                <w:szCs w:val="20"/>
              </w:rPr>
              <w:t xml:space="preserve"> 158,827 </w:t>
            </w:r>
          </w:p>
        </w:tc>
        <w:tc>
          <w:tcPr>
            <w:tcW w:w="990" w:type="dxa"/>
            <w:shd w:val="clear" w:color="auto" w:fill="EDEDED" w:themeFill="accent3" w:themeFillTint="33"/>
          </w:tcPr>
          <w:p w14:paraId="33B64EA1" w14:textId="0625BFC4" w:rsidR="000F7B6C" w:rsidRPr="000F7B6C" w:rsidRDefault="000F7B6C" w:rsidP="000F7B6C">
            <w:pPr>
              <w:jc w:val="center"/>
              <w:rPr>
                <w:rFonts w:asciiTheme="majorHAnsi" w:hAnsiTheme="majorHAnsi" w:cstheme="majorHAnsi"/>
                <w:sz w:val="20"/>
                <w:szCs w:val="20"/>
              </w:rPr>
            </w:pPr>
            <w:r w:rsidRPr="000F7B6C">
              <w:rPr>
                <w:rFonts w:asciiTheme="majorHAnsi" w:hAnsiTheme="majorHAnsi" w:cstheme="majorHAnsi"/>
                <w:sz w:val="20"/>
                <w:szCs w:val="20"/>
              </w:rPr>
              <w:t>11.99%</w:t>
            </w:r>
          </w:p>
        </w:tc>
      </w:tr>
      <w:tr w:rsidR="000F7B6C" w14:paraId="65C8F848" w14:textId="77777777" w:rsidTr="00F51A26">
        <w:trPr>
          <w:cantSplit/>
        </w:trPr>
        <w:tc>
          <w:tcPr>
            <w:tcW w:w="3415" w:type="dxa"/>
            <w:shd w:val="clear" w:color="auto" w:fill="EDEDED" w:themeFill="accent3" w:themeFillTint="33"/>
            <w:vAlign w:val="center"/>
          </w:tcPr>
          <w:p w14:paraId="7524A368" w14:textId="77777777" w:rsidR="000F7B6C" w:rsidRDefault="000F7B6C" w:rsidP="000F7B6C">
            <w:r>
              <w:rPr>
                <w:rFonts w:asciiTheme="majorHAnsi" w:hAnsiTheme="majorHAnsi" w:cstheme="majorHAnsi"/>
                <w:color w:val="000000"/>
                <w:sz w:val="20"/>
                <w:szCs w:val="20"/>
              </w:rPr>
              <w:t xml:space="preserve">Payor - </w:t>
            </w:r>
            <w:r w:rsidRPr="000C14B0">
              <w:rPr>
                <w:rFonts w:asciiTheme="majorHAnsi" w:hAnsiTheme="majorHAnsi" w:cstheme="majorHAnsi"/>
                <w:color w:val="000000"/>
                <w:sz w:val="20"/>
                <w:szCs w:val="20"/>
              </w:rPr>
              <w:t>Multiple Payers</w:t>
            </w:r>
          </w:p>
        </w:tc>
        <w:tc>
          <w:tcPr>
            <w:tcW w:w="1080" w:type="dxa"/>
            <w:shd w:val="clear" w:color="auto" w:fill="EDEDED" w:themeFill="accent3" w:themeFillTint="33"/>
          </w:tcPr>
          <w:p w14:paraId="199DC199" w14:textId="69E6EFB6" w:rsidR="000F7B6C" w:rsidRPr="000F7B6C" w:rsidRDefault="000F7B6C" w:rsidP="000F7B6C">
            <w:pPr>
              <w:jc w:val="center"/>
              <w:rPr>
                <w:rFonts w:asciiTheme="majorHAnsi" w:hAnsiTheme="majorHAnsi" w:cstheme="majorHAnsi"/>
                <w:sz w:val="20"/>
                <w:szCs w:val="20"/>
              </w:rPr>
            </w:pPr>
            <w:r w:rsidRPr="000F7B6C">
              <w:rPr>
                <w:rFonts w:asciiTheme="majorHAnsi" w:hAnsiTheme="majorHAnsi" w:cstheme="majorHAnsi"/>
                <w:sz w:val="20"/>
                <w:szCs w:val="20"/>
              </w:rPr>
              <w:t xml:space="preserve"> 76,406 </w:t>
            </w:r>
          </w:p>
        </w:tc>
        <w:tc>
          <w:tcPr>
            <w:tcW w:w="990" w:type="dxa"/>
            <w:shd w:val="clear" w:color="auto" w:fill="EDEDED" w:themeFill="accent3" w:themeFillTint="33"/>
          </w:tcPr>
          <w:p w14:paraId="5418C4F3" w14:textId="64096854" w:rsidR="000F7B6C" w:rsidRPr="000F7B6C" w:rsidRDefault="000F7B6C" w:rsidP="000F7B6C">
            <w:pPr>
              <w:jc w:val="center"/>
              <w:rPr>
                <w:rFonts w:asciiTheme="majorHAnsi" w:hAnsiTheme="majorHAnsi" w:cstheme="majorHAnsi"/>
                <w:sz w:val="20"/>
                <w:szCs w:val="20"/>
              </w:rPr>
            </w:pPr>
            <w:r w:rsidRPr="000F7B6C">
              <w:rPr>
                <w:rFonts w:asciiTheme="majorHAnsi" w:hAnsiTheme="majorHAnsi" w:cstheme="majorHAnsi"/>
                <w:sz w:val="20"/>
                <w:szCs w:val="20"/>
              </w:rPr>
              <w:t>5.77%</w:t>
            </w:r>
          </w:p>
        </w:tc>
      </w:tr>
      <w:tr w:rsidR="000F7B6C" w14:paraId="74D001CA" w14:textId="77777777" w:rsidTr="00F51A26">
        <w:trPr>
          <w:cantSplit/>
        </w:trPr>
        <w:tc>
          <w:tcPr>
            <w:tcW w:w="3415" w:type="dxa"/>
            <w:shd w:val="clear" w:color="auto" w:fill="EDEDED" w:themeFill="accent3" w:themeFillTint="33"/>
            <w:vAlign w:val="center"/>
          </w:tcPr>
          <w:p w14:paraId="69E9D5EB" w14:textId="77777777" w:rsidR="000F7B6C" w:rsidRDefault="000F7B6C" w:rsidP="000F7B6C">
            <w:r>
              <w:rPr>
                <w:rFonts w:asciiTheme="majorHAnsi" w:hAnsiTheme="majorHAnsi" w:cstheme="majorHAnsi"/>
                <w:color w:val="000000"/>
                <w:sz w:val="20"/>
                <w:szCs w:val="20"/>
              </w:rPr>
              <w:t xml:space="preserve">Payor - </w:t>
            </w:r>
            <w:r w:rsidRPr="000C14B0">
              <w:rPr>
                <w:rFonts w:asciiTheme="majorHAnsi" w:hAnsiTheme="majorHAnsi" w:cstheme="majorHAnsi"/>
                <w:color w:val="000000"/>
                <w:sz w:val="20"/>
                <w:szCs w:val="20"/>
              </w:rPr>
              <w:t>Other</w:t>
            </w:r>
            <w:r w:rsidRPr="000C14B0">
              <w:rPr>
                <w:rStyle w:val="FootnoteReference"/>
                <w:rFonts w:asciiTheme="majorHAnsi" w:hAnsiTheme="majorHAnsi" w:cstheme="majorHAnsi"/>
                <w:color w:val="000000"/>
                <w:sz w:val="20"/>
                <w:szCs w:val="20"/>
              </w:rPr>
              <w:footnoteReference w:id="5"/>
            </w:r>
          </w:p>
        </w:tc>
        <w:tc>
          <w:tcPr>
            <w:tcW w:w="1080" w:type="dxa"/>
            <w:shd w:val="clear" w:color="auto" w:fill="EDEDED" w:themeFill="accent3" w:themeFillTint="33"/>
          </w:tcPr>
          <w:p w14:paraId="4AC08A90" w14:textId="5167729B" w:rsidR="000F7B6C" w:rsidRPr="000F7B6C" w:rsidRDefault="000F7B6C" w:rsidP="000F7B6C">
            <w:pPr>
              <w:jc w:val="center"/>
              <w:rPr>
                <w:rFonts w:asciiTheme="majorHAnsi" w:hAnsiTheme="majorHAnsi" w:cstheme="majorHAnsi"/>
                <w:sz w:val="20"/>
                <w:szCs w:val="20"/>
              </w:rPr>
            </w:pPr>
            <w:r w:rsidRPr="000F7B6C">
              <w:rPr>
                <w:rFonts w:asciiTheme="majorHAnsi" w:hAnsiTheme="majorHAnsi" w:cstheme="majorHAnsi"/>
                <w:sz w:val="20"/>
                <w:szCs w:val="20"/>
              </w:rPr>
              <w:t xml:space="preserve"> 84,270 </w:t>
            </w:r>
          </w:p>
        </w:tc>
        <w:tc>
          <w:tcPr>
            <w:tcW w:w="990" w:type="dxa"/>
            <w:shd w:val="clear" w:color="auto" w:fill="EDEDED" w:themeFill="accent3" w:themeFillTint="33"/>
          </w:tcPr>
          <w:p w14:paraId="57908942" w14:textId="2B31B657" w:rsidR="000F7B6C" w:rsidRPr="000F7B6C" w:rsidRDefault="000F7B6C" w:rsidP="000F7B6C">
            <w:pPr>
              <w:jc w:val="center"/>
              <w:rPr>
                <w:rFonts w:asciiTheme="majorHAnsi" w:hAnsiTheme="majorHAnsi" w:cstheme="majorHAnsi"/>
                <w:sz w:val="20"/>
                <w:szCs w:val="20"/>
              </w:rPr>
            </w:pPr>
            <w:r w:rsidRPr="000F7B6C">
              <w:rPr>
                <w:rFonts w:asciiTheme="majorHAnsi" w:hAnsiTheme="majorHAnsi" w:cstheme="majorHAnsi"/>
                <w:sz w:val="20"/>
                <w:szCs w:val="20"/>
              </w:rPr>
              <w:t>6.36%</w:t>
            </w:r>
          </w:p>
        </w:tc>
      </w:tr>
      <w:tr w:rsidR="00937D0C" w14:paraId="75B4457D" w14:textId="77777777" w:rsidTr="00F51A26">
        <w:trPr>
          <w:cantSplit/>
        </w:trPr>
        <w:tc>
          <w:tcPr>
            <w:tcW w:w="3415" w:type="dxa"/>
            <w:shd w:val="clear" w:color="auto" w:fill="EDEDED" w:themeFill="accent3" w:themeFillTint="33"/>
            <w:vAlign w:val="center"/>
          </w:tcPr>
          <w:p w14:paraId="4D7C03B3" w14:textId="03C19595" w:rsidR="00937D0C" w:rsidRDefault="00937D0C" w:rsidP="00937D0C">
            <w:pPr>
              <w:rPr>
                <w:rFonts w:asciiTheme="majorHAnsi" w:hAnsiTheme="majorHAnsi" w:cstheme="majorHAnsi"/>
                <w:color w:val="000000"/>
                <w:sz w:val="20"/>
                <w:szCs w:val="20"/>
              </w:rPr>
            </w:pPr>
            <w:r>
              <w:rPr>
                <w:rFonts w:asciiTheme="majorHAnsi" w:hAnsiTheme="majorHAnsi" w:cstheme="majorHAnsi"/>
                <w:color w:val="000000"/>
                <w:sz w:val="20"/>
                <w:szCs w:val="20"/>
              </w:rPr>
              <w:t>Payor - Unknown</w:t>
            </w:r>
          </w:p>
        </w:tc>
        <w:tc>
          <w:tcPr>
            <w:tcW w:w="1080" w:type="dxa"/>
            <w:shd w:val="clear" w:color="auto" w:fill="EDEDED" w:themeFill="accent3" w:themeFillTint="33"/>
          </w:tcPr>
          <w:p w14:paraId="29A6C2F8" w14:textId="7BB1FCE4"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 xml:space="preserve"> 9,038 </w:t>
            </w:r>
          </w:p>
        </w:tc>
        <w:tc>
          <w:tcPr>
            <w:tcW w:w="990" w:type="dxa"/>
            <w:shd w:val="clear" w:color="auto" w:fill="EDEDED" w:themeFill="accent3" w:themeFillTint="33"/>
          </w:tcPr>
          <w:p w14:paraId="7D926EDE" w14:textId="763FAA97"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0.68%</w:t>
            </w:r>
          </w:p>
        </w:tc>
      </w:tr>
    </w:tbl>
    <w:bookmarkEnd w:id="0"/>
    <w:p w14:paraId="10DA2B9A" w14:textId="1C920844" w:rsidR="00450206" w:rsidRDefault="000906E1" w:rsidP="00450206">
      <w:pPr>
        <w:pStyle w:val="ListParagraph"/>
        <w:numPr>
          <w:ilvl w:val="1"/>
          <w:numId w:val="29"/>
        </w:numPr>
        <w:spacing w:before="240" w:after="0" w:line="240" w:lineRule="auto"/>
        <w:jc w:val="both"/>
        <w:rPr>
          <w:rFonts w:eastAsia="Times New Roman" w:cstheme="minorHAnsi"/>
          <w:b/>
          <w:bCs/>
          <w:smallCaps/>
          <w:kern w:val="2"/>
          <w:sz w:val="24"/>
          <w:szCs w:val="24"/>
        </w:rPr>
      </w:pPr>
      <w:r w:rsidRPr="00450206">
        <w:rPr>
          <w:rFonts w:eastAsia="Times New Roman" w:cstheme="minorHAnsi"/>
          <w:b/>
          <w:bCs/>
          <w:smallCaps/>
          <w:kern w:val="2"/>
          <w:sz w:val="24"/>
          <w:szCs w:val="24"/>
        </w:rPr>
        <w:lastRenderedPageBreak/>
        <w:t xml:space="preserve"> </w:t>
      </w:r>
      <w:r w:rsidR="001E4503" w:rsidRPr="00450206">
        <w:rPr>
          <w:rFonts w:eastAsia="Times New Roman" w:cstheme="minorHAnsi"/>
          <w:b/>
          <w:bCs/>
          <w:smallCaps/>
          <w:kern w:val="2"/>
          <w:sz w:val="24"/>
          <w:szCs w:val="24"/>
        </w:rPr>
        <w:t xml:space="preserve">Table </w:t>
      </w:r>
      <w:r w:rsidRPr="00450206">
        <w:rPr>
          <w:rFonts w:eastAsia="Times New Roman" w:cstheme="minorHAnsi"/>
          <w:b/>
          <w:bCs/>
          <w:smallCaps/>
          <w:kern w:val="2"/>
          <w:sz w:val="24"/>
          <w:szCs w:val="24"/>
        </w:rPr>
        <w:t>2: LHMC Patient Panel Demographics</w:t>
      </w:r>
      <w:r w:rsidR="00D01766" w:rsidRPr="00450206">
        <w:rPr>
          <w:rFonts w:eastAsia="Times New Roman" w:cstheme="minorHAnsi"/>
          <w:b/>
          <w:bCs/>
          <w:smallCaps/>
          <w:kern w:val="2"/>
          <w:sz w:val="24"/>
          <w:szCs w:val="24"/>
        </w:rPr>
        <w:t xml:space="preserve"> (Nar</w:t>
      </w:r>
      <w:r w:rsidR="00CB6DF4">
        <w:rPr>
          <w:rFonts w:eastAsia="Times New Roman" w:cstheme="minorHAnsi"/>
          <w:b/>
          <w:bCs/>
          <w:smallCaps/>
          <w:kern w:val="2"/>
          <w:sz w:val="24"/>
          <w:szCs w:val="24"/>
        </w:rPr>
        <w:t>r</w:t>
      </w:r>
      <w:r w:rsidR="00D01766" w:rsidRPr="00450206">
        <w:rPr>
          <w:rFonts w:eastAsia="Times New Roman" w:cstheme="minorHAnsi"/>
          <w:b/>
          <w:bCs/>
          <w:smallCaps/>
          <w:kern w:val="2"/>
          <w:sz w:val="24"/>
          <w:szCs w:val="24"/>
        </w:rPr>
        <w:t>ative page 4)</w:t>
      </w:r>
    </w:p>
    <w:p w14:paraId="3AD251D5" w14:textId="319A35E4" w:rsidR="000F7B6C" w:rsidRDefault="000F7B6C" w:rsidP="000F7B6C">
      <w:pPr>
        <w:pStyle w:val="ListParagraph"/>
        <w:spacing w:before="240" w:after="0" w:line="240" w:lineRule="auto"/>
        <w:ind w:left="1080"/>
        <w:jc w:val="both"/>
        <w:rPr>
          <w:rFonts w:eastAsia="Times New Roman" w:cstheme="minorHAnsi"/>
          <w:b/>
          <w:bCs/>
          <w:smallCaps/>
          <w:kern w:val="2"/>
          <w:sz w:val="24"/>
          <w:szCs w:val="24"/>
        </w:rPr>
      </w:pPr>
    </w:p>
    <w:tbl>
      <w:tblPr>
        <w:tblStyle w:val="TableGrid"/>
        <w:tblW w:w="5485" w:type="dxa"/>
        <w:tblInd w:w="970" w:type="dxa"/>
        <w:tblLook w:val="04A0" w:firstRow="1" w:lastRow="0" w:firstColumn="1" w:lastColumn="0" w:noHBand="0" w:noVBand="1"/>
      </w:tblPr>
      <w:tblGrid>
        <w:gridCol w:w="3415"/>
        <w:gridCol w:w="1080"/>
        <w:gridCol w:w="990"/>
      </w:tblGrid>
      <w:tr w:rsidR="000F7B6C" w14:paraId="21A395BD" w14:textId="77777777" w:rsidTr="001342EB">
        <w:trPr>
          <w:cantSplit/>
          <w:tblHeader/>
        </w:trPr>
        <w:tc>
          <w:tcPr>
            <w:tcW w:w="3415" w:type="dxa"/>
            <w:vAlign w:val="center"/>
          </w:tcPr>
          <w:p w14:paraId="11350F80" w14:textId="77777777" w:rsidR="000F7B6C" w:rsidRDefault="000F7B6C" w:rsidP="0017529F">
            <w:pPr>
              <w:jc w:val="center"/>
            </w:pPr>
            <w:r w:rsidRPr="003009E8">
              <w:rPr>
                <w:rFonts w:asciiTheme="majorHAnsi" w:hAnsiTheme="majorHAnsi" w:cstheme="majorHAnsi"/>
                <w:color w:val="000000"/>
                <w:sz w:val="20"/>
                <w:szCs w:val="20"/>
              </w:rPr>
              <w:t>Variables</w:t>
            </w:r>
          </w:p>
        </w:tc>
        <w:tc>
          <w:tcPr>
            <w:tcW w:w="1080" w:type="dxa"/>
            <w:vAlign w:val="center"/>
          </w:tcPr>
          <w:p w14:paraId="3BA06144" w14:textId="77777777" w:rsidR="000F7B6C" w:rsidRDefault="000F7B6C" w:rsidP="0017529F">
            <w:pPr>
              <w:jc w:val="center"/>
            </w:pPr>
            <w:r w:rsidRPr="003009E8">
              <w:rPr>
                <w:rFonts w:asciiTheme="majorHAnsi" w:hAnsiTheme="majorHAnsi" w:cstheme="majorHAnsi"/>
                <w:color w:val="000000"/>
                <w:sz w:val="20"/>
                <w:szCs w:val="20"/>
              </w:rPr>
              <w:t>FY202</w:t>
            </w:r>
            <w:r>
              <w:rPr>
                <w:rFonts w:asciiTheme="majorHAnsi" w:hAnsiTheme="majorHAnsi" w:cstheme="majorHAnsi"/>
                <w:color w:val="000000"/>
                <w:sz w:val="20"/>
                <w:szCs w:val="20"/>
              </w:rPr>
              <w:t xml:space="preserve">3 </w:t>
            </w:r>
            <w:r w:rsidRPr="003009E8">
              <w:rPr>
                <w:rFonts w:asciiTheme="majorHAnsi" w:hAnsiTheme="majorHAnsi" w:cstheme="majorHAnsi"/>
                <w:color w:val="000000"/>
                <w:sz w:val="20"/>
                <w:szCs w:val="20"/>
              </w:rPr>
              <w:t>Count</w:t>
            </w:r>
          </w:p>
        </w:tc>
        <w:tc>
          <w:tcPr>
            <w:tcW w:w="990" w:type="dxa"/>
            <w:vAlign w:val="center"/>
          </w:tcPr>
          <w:p w14:paraId="12C03749" w14:textId="77777777" w:rsidR="000F7B6C" w:rsidRPr="003009E8" w:rsidRDefault="000F7B6C" w:rsidP="0017529F">
            <w:pPr>
              <w:spacing w:before="240"/>
              <w:contextualSpacing/>
              <w:jc w:val="center"/>
              <w:rPr>
                <w:rFonts w:asciiTheme="majorHAnsi" w:hAnsiTheme="majorHAnsi" w:cstheme="majorHAnsi"/>
                <w:color w:val="000000"/>
                <w:sz w:val="20"/>
                <w:szCs w:val="20"/>
              </w:rPr>
            </w:pPr>
            <w:r w:rsidRPr="003009E8">
              <w:rPr>
                <w:rFonts w:asciiTheme="majorHAnsi" w:hAnsiTheme="majorHAnsi" w:cstheme="majorHAnsi"/>
                <w:color w:val="000000"/>
                <w:sz w:val="20"/>
                <w:szCs w:val="20"/>
              </w:rPr>
              <w:t>FY202</w:t>
            </w:r>
            <w:r>
              <w:rPr>
                <w:rFonts w:asciiTheme="majorHAnsi" w:hAnsiTheme="majorHAnsi" w:cstheme="majorHAnsi"/>
                <w:color w:val="000000"/>
                <w:sz w:val="20"/>
                <w:szCs w:val="20"/>
              </w:rPr>
              <w:t>3</w:t>
            </w:r>
          </w:p>
          <w:p w14:paraId="7315AD3B" w14:textId="77777777" w:rsidR="000F7B6C" w:rsidRDefault="000F7B6C" w:rsidP="0017529F">
            <w:pPr>
              <w:jc w:val="center"/>
            </w:pPr>
            <w:r w:rsidRPr="003009E8">
              <w:rPr>
                <w:rFonts w:asciiTheme="majorHAnsi" w:hAnsiTheme="majorHAnsi" w:cstheme="majorHAnsi"/>
                <w:color w:val="000000"/>
                <w:sz w:val="20"/>
                <w:szCs w:val="20"/>
              </w:rPr>
              <w:t>Percent</w:t>
            </w:r>
          </w:p>
        </w:tc>
      </w:tr>
      <w:tr w:rsidR="000F7B6C" w14:paraId="555B1360" w14:textId="77777777" w:rsidTr="001342EB">
        <w:trPr>
          <w:cantSplit/>
        </w:trPr>
        <w:tc>
          <w:tcPr>
            <w:tcW w:w="3415" w:type="dxa"/>
            <w:shd w:val="clear" w:color="auto" w:fill="D9D9D9" w:themeFill="background1" w:themeFillShade="D9"/>
            <w:vAlign w:val="center"/>
          </w:tcPr>
          <w:p w14:paraId="1BB43D51" w14:textId="77777777" w:rsidR="000F7B6C" w:rsidRDefault="000F7B6C" w:rsidP="0017529F">
            <w:pPr>
              <w:jc w:val="right"/>
            </w:pPr>
            <w:r w:rsidRPr="00D8685A">
              <w:rPr>
                <w:rFonts w:asciiTheme="majorHAnsi" w:hAnsiTheme="majorHAnsi" w:cstheme="majorHAnsi"/>
                <w:b/>
                <w:bCs/>
                <w:color w:val="000000"/>
                <w:sz w:val="20"/>
                <w:szCs w:val="20"/>
              </w:rPr>
              <w:t>Total</w:t>
            </w:r>
          </w:p>
        </w:tc>
        <w:tc>
          <w:tcPr>
            <w:tcW w:w="1080" w:type="dxa"/>
            <w:shd w:val="clear" w:color="auto" w:fill="D9D9D9" w:themeFill="background1" w:themeFillShade="D9"/>
            <w:vAlign w:val="center"/>
          </w:tcPr>
          <w:p w14:paraId="6CA1151B" w14:textId="0DB5429F" w:rsidR="000F7B6C" w:rsidRDefault="00937D0C" w:rsidP="0017529F">
            <w:pPr>
              <w:jc w:val="center"/>
            </w:pPr>
            <w:r w:rsidRPr="00937D0C">
              <w:rPr>
                <w:rFonts w:asciiTheme="majorHAnsi" w:hAnsiTheme="majorHAnsi" w:cstheme="majorHAnsi"/>
                <w:b/>
                <w:bCs/>
                <w:color w:val="000000"/>
                <w:sz w:val="20"/>
                <w:szCs w:val="20"/>
              </w:rPr>
              <w:t>243,084</w:t>
            </w:r>
          </w:p>
        </w:tc>
        <w:tc>
          <w:tcPr>
            <w:tcW w:w="990" w:type="dxa"/>
            <w:shd w:val="clear" w:color="auto" w:fill="D9D9D9" w:themeFill="background1" w:themeFillShade="D9"/>
            <w:vAlign w:val="center"/>
          </w:tcPr>
          <w:p w14:paraId="7AB38DFD" w14:textId="77777777" w:rsidR="000F7B6C" w:rsidRDefault="000F7B6C" w:rsidP="0017529F">
            <w:pPr>
              <w:jc w:val="center"/>
            </w:pPr>
            <w:r w:rsidRPr="00D8685A">
              <w:rPr>
                <w:rFonts w:asciiTheme="majorHAnsi" w:hAnsiTheme="majorHAnsi" w:cstheme="majorHAnsi"/>
                <w:b/>
                <w:bCs/>
                <w:color w:val="000000"/>
                <w:sz w:val="20"/>
                <w:szCs w:val="20"/>
              </w:rPr>
              <w:t>100%</w:t>
            </w:r>
          </w:p>
        </w:tc>
      </w:tr>
      <w:tr w:rsidR="00937D0C" w:rsidRPr="00E921FC" w14:paraId="3858492A" w14:textId="77777777" w:rsidTr="001342EB">
        <w:trPr>
          <w:cantSplit/>
        </w:trPr>
        <w:tc>
          <w:tcPr>
            <w:tcW w:w="3415" w:type="dxa"/>
            <w:shd w:val="clear" w:color="auto" w:fill="FBE4D5" w:themeFill="accent2" w:themeFillTint="33"/>
            <w:vAlign w:val="center"/>
          </w:tcPr>
          <w:p w14:paraId="22033C71" w14:textId="77777777" w:rsidR="00937D0C" w:rsidRPr="00937D0C" w:rsidRDefault="00937D0C" w:rsidP="00937D0C">
            <w:pPr>
              <w:rPr>
                <w:rFonts w:asciiTheme="majorHAnsi" w:hAnsiTheme="majorHAnsi" w:cstheme="majorHAnsi"/>
                <w:sz w:val="20"/>
                <w:szCs w:val="20"/>
              </w:rPr>
            </w:pPr>
            <w:r w:rsidRPr="00937D0C">
              <w:rPr>
                <w:rFonts w:asciiTheme="majorHAnsi" w:hAnsiTheme="majorHAnsi" w:cstheme="majorHAnsi"/>
                <w:color w:val="000000"/>
                <w:sz w:val="20"/>
                <w:szCs w:val="20"/>
              </w:rPr>
              <w:t>Age - 0 to 17</w:t>
            </w:r>
          </w:p>
        </w:tc>
        <w:tc>
          <w:tcPr>
            <w:tcW w:w="1080" w:type="dxa"/>
            <w:shd w:val="clear" w:color="auto" w:fill="FBE4D5" w:themeFill="accent2" w:themeFillTint="33"/>
          </w:tcPr>
          <w:p w14:paraId="71328A79" w14:textId="5E256FEC"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 xml:space="preserve"> 4,838 </w:t>
            </w:r>
          </w:p>
        </w:tc>
        <w:tc>
          <w:tcPr>
            <w:tcW w:w="990" w:type="dxa"/>
            <w:shd w:val="clear" w:color="auto" w:fill="FBE4D5" w:themeFill="accent2" w:themeFillTint="33"/>
          </w:tcPr>
          <w:p w14:paraId="3AF7327A" w14:textId="02AF4083"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1.99%</w:t>
            </w:r>
          </w:p>
        </w:tc>
      </w:tr>
      <w:tr w:rsidR="00937D0C" w:rsidRPr="00E921FC" w14:paraId="0F8D546A" w14:textId="77777777" w:rsidTr="001342EB">
        <w:trPr>
          <w:cantSplit/>
        </w:trPr>
        <w:tc>
          <w:tcPr>
            <w:tcW w:w="3415" w:type="dxa"/>
            <w:shd w:val="clear" w:color="auto" w:fill="FBE4D5" w:themeFill="accent2" w:themeFillTint="33"/>
            <w:vAlign w:val="center"/>
          </w:tcPr>
          <w:p w14:paraId="2DFB97BE" w14:textId="77777777" w:rsidR="00937D0C" w:rsidRPr="00937D0C" w:rsidRDefault="00937D0C" w:rsidP="00937D0C">
            <w:pPr>
              <w:rPr>
                <w:rFonts w:asciiTheme="majorHAnsi" w:hAnsiTheme="majorHAnsi" w:cstheme="majorHAnsi"/>
                <w:sz w:val="20"/>
                <w:szCs w:val="20"/>
              </w:rPr>
            </w:pPr>
            <w:r w:rsidRPr="00937D0C">
              <w:rPr>
                <w:rFonts w:asciiTheme="majorHAnsi" w:hAnsiTheme="majorHAnsi" w:cstheme="majorHAnsi"/>
                <w:color w:val="000000"/>
                <w:sz w:val="20"/>
                <w:szCs w:val="20"/>
              </w:rPr>
              <w:t>Age - 18 to 64</w:t>
            </w:r>
          </w:p>
        </w:tc>
        <w:tc>
          <w:tcPr>
            <w:tcW w:w="1080" w:type="dxa"/>
            <w:shd w:val="clear" w:color="auto" w:fill="FBE4D5" w:themeFill="accent2" w:themeFillTint="33"/>
          </w:tcPr>
          <w:p w14:paraId="27F91271" w14:textId="7D659FF4"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 xml:space="preserve"> 146,375 </w:t>
            </w:r>
          </w:p>
        </w:tc>
        <w:tc>
          <w:tcPr>
            <w:tcW w:w="990" w:type="dxa"/>
            <w:shd w:val="clear" w:color="auto" w:fill="FBE4D5" w:themeFill="accent2" w:themeFillTint="33"/>
          </w:tcPr>
          <w:p w14:paraId="1945384B" w14:textId="743CB151"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60.22%</w:t>
            </w:r>
          </w:p>
        </w:tc>
      </w:tr>
      <w:tr w:rsidR="00937D0C" w:rsidRPr="00E921FC" w14:paraId="00925A4D" w14:textId="77777777" w:rsidTr="001342EB">
        <w:trPr>
          <w:cantSplit/>
        </w:trPr>
        <w:tc>
          <w:tcPr>
            <w:tcW w:w="3415" w:type="dxa"/>
            <w:shd w:val="clear" w:color="auto" w:fill="FBE4D5" w:themeFill="accent2" w:themeFillTint="33"/>
            <w:vAlign w:val="center"/>
          </w:tcPr>
          <w:p w14:paraId="3BEC1EB4" w14:textId="77777777" w:rsidR="00937D0C" w:rsidRPr="00937D0C" w:rsidRDefault="00937D0C" w:rsidP="00937D0C">
            <w:pPr>
              <w:rPr>
                <w:rFonts w:asciiTheme="majorHAnsi" w:hAnsiTheme="majorHAnsi" w:cstheme="majorHAnsi"/>
                <w:sz w:val="20"/>
                <w:szCs w:val="20"/>
              </w:rPr>
            </w:pPr>
            <w:r w:rsidRPr="00937D0C">
              <w:rPr>
                <w:rFonts w:asciiTheme="majorHAnsi" w:hAnsiTheme="majorHAnsi" w:cstheme="majorHAnsi"/>
                <w:color w:val="000000"/>
                <w:sz w:val="20"/>
                <w:szCs w:val="20"/>
              </w:rPr>
              <w:t>Age – 65+</w:t>
            </w:r>
          </w:p>
        </w:tc>
        <w:tc>
          <w:tcPr>
            <w:tcW w:w="1080" w:type="dxa"/>
            <w:shd w:val="clear" w:color="auto" w:fill="FBE4D5" w:themeFill="accent2" w:themeFillTint="33"/>
          </w:tcPr>
          <w:p w14:paraId="6C62C212" w14:textId="50AFB818"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 xml:space="preserve"> 91,871 </w:t>
            </w:r>
          </w:p>
        </w:tc>
        <w:tc>
          <w:tcPr>
            <w:tcW w:w="990" w:type="dxa"/>
            <w:shd w:val="clear" w:color="auto" w:fill="FBE4D5" w:themeFill="accent2" w:themeFillTint="33"/>
          </w:tcPr>
          <w:p w14:paraId="23BC0ED9" w14:textId="3D10CA8C"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37.79%</w:t>
            </w:r>
          </w:p>
        </w:tc>
      </w:tr>
      <w:tr w:rsidR="00937D0C" w:rsidRPr="00E921FC" w14:paraId="74E7DD61" w14:textId="77777777" w:rsidTr="001342EB">
        <w:trPr>
          <w:cantSplit/>
        </w:trPr>
        <w:tc>
          <w:tcPr>
            <w:tcW w:w="3415" w:type="dxa"/>
            <w:shd w:val="clear" w:color="auto" w:fill="FFF2CC" w:themeFill="accent4" w:themeFillTint="33"/>
            <w:vAlign w:val="center"/>
          </w:tcPr>
          <w:p w14:paraId="099EE9AF" w14:textId="77777777" w:rsidR="00937D0C" w:rsidRPr="00937D0C" w:rsidRDefault="00937D0C" w:rsidP="00937D0C">
            <w:pPr>
              <w:rPr>
                <w:rFonts w:asciiTheme="majorHAnsi" w:hAnsiTheme="majorHAnsi" w:cstheme="majorHAnsi"/>
                <w:sz w:val="20"/>
                <w:szCs w:val="20"/>
              </w:rPr>
            </w:pPr>
            <w:r w:rsidRPr="00937D0C">
              <w:rPr>
                <w:rFonts w:asciiTheme="majorHAnsi" w:hAnsiTheme="majorHAnsi" w:cstheme="majorHAnsi"/>
                <w:color w:val="000000"/>
                <w:sz w:val="20"/>
                <w:szCs w:val="20"/>
              </w:rPr>
              <w:t xml:space="preserve">Gender - Male </w:t>
            </w:r>
          </w:p>
        </w:tc>
        <w:tc>
          <w:tcPr>
            <w:tcW w:w="1080" w:type="dxa"/>
            <w:shd w:val="clear" w:color="auto" w:fill="FFF2CC" w:themeFill="accent4" w:themeFillTint="33"/>
          </w:tcPr>
          <w:p w14:paraId="30778A69" w14:textId="5E1946C4"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 xml:space="preserve"> 109,011 </w:t>
            </w:r>
          </w:p>
        </w:tc>
        <w:tc>
          <w:tcPr>
            <w:tcW w:w="990" w:type="dxa"/>
            <w:shd w:val="clear" w:color="auto" w:fill="FFF2CC" w:themeFill="accent4" w:themeFillTint="33"/>
          </w:tcPr>
          <w:p w14:paraId="7505A716" w14:textId="036F5684"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44.84%</w:t>
            </w:r>
          </w:p>
        </w:tc>
      </w:tr>
      <w:tr w:rsidR="00937D0C" w:rsidRPr="00E921FC" w14:paraId="5D342BF7" w14:textId="77777777" w:rsidTr="001342EB">
        <w:trPr>
          <w:cantSplit/>
        </w:trPr>
        <w:tc>
          <w:tcPr>
            <w:tcW w:w="3415" w:type="dxa"/>
            <w:shd w:val="clear" w:color="auto" w:fill="FFF2CC" w:themeFill="accent4" w:themeFillTint="33"/>
            <w:vAlign w:val="center"/>
          </w:tcPr>
          <w:p w14:paraId="7E24C77F" w14:textId="77777777" w:rsidR="00937D0C" w:rsidRPr="00937D0C" w:rsidRDefault="00937D0C" w:rsidP="00937D0C">
            <w:pPr>
              <w:rPr>
                <w:rFonts w:asciiTheme="majorHAnsi" w:hAnsiTheme="majorHAnsi" w:cstheme="majorHAnsi"/>
                <w:sz w:val="20"/>
                <w:szCs w:val="20"/>
              </w:rPr>
            </w:pPr>
            <w:r w:rsidRPr="00937D0C">
              <w:rPr>
                <w:rFonts w:asciiTheme="majorHAnsi" w:hAnsiTheme="majorHAnsi" w:cstheme="majorHAnsi"/>
                <w:color w:val="000000"/>
                <w:sz w:val="20"/>
                <w:szCs w:val="20"/>
              </w:rPr>
              <w:t>Gender - Female</w:t>
            </w:r>
          </w:p>
        </w:tc>
        <w:tc>
          <w:tcPr>
            <w:tcW w:w="1080" w:type="dxa"/>
            <w:shd w:val="clear" w:color="auto" w:fill="FFF2CC" w:themeFill="accent4" w:themeFillTint="33"/>
          </w:tcPr>
          <w:p w14:paraId="64065DAD" w14:textId="567389E0"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 xml:space="preserve"> 133,911 </w:t>
            </w:r>
          </w:p>
        </w:tc>
        <w:tc>
          <w:tcPr>
            <w:tcW w:w="990" w:type="dxa"/>
            <w:shd w:val="clear" w:color="auto" w:fill="FFF2CC" w:themeFill="accent4" w:themeFillTint="33"/>
          </w:tcPr>
          <w:p w14:paraId="6344B081" w14:textId="42B53F65"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55.09%</w:t>
            </w:r>
          </w:p>
        </w:tc>
      </w:tr>
      <w:tr w:rsidR="00937D0C" w:rsidRPr="00E921FC" w14:paraId="55F0B3F6" w14:textId="77777777" w:rsidTr="001342EB">
        <w:trPr>
          <w:cantSplit/>
        </w:trPr>
        <w:tc>
          <w:tcPr>
            <w:tcW w:w="3415" w:type="dxa"/>
            <w:shd w:val="clear" w:color="auto" w:fill="FFF2CC" w:themeFill="accent4" w:themeFillTint="33"/>
            <w:vAlign w:val="center"/>
          </w:tcPr>
          <w:p w14:paraId="35877A2C" w14:textId="77777777" w:rsidR="00937D0C" w:rsidRPr="00937D0C" w:rsidRDefault="00937D0C" w:rsidP="00937D0C">
            <w:pPr>
              <w:rPr>
                <w:rFonts w:asciiTheme="majorHAnsi" w:hAnsiTheme="majorHAnsi" w:cstheme="majorHAnsi"/>
                <w:sz w:val="20"/>
                <w:szCs w:val="20"/>
              </w:rPr>
            </w:pPr>
            <w:r w:rsidRPr="00937D0C">
              <w:rPr>
                <w:rFonts w:asciiTheme="majorHAnsi" w:hAnsiTheme="majorHAnsi" w:cstheme="majorHAnsi"/>
                <w:color w:val="000000"/>
                <w:sz w:val="20"/>
                <w:szCs w:val="20"/>
              </w:rPr>
              <w:t>Gender – Other</w:t>
            </w:r>
            <w:r w:rsidRPr="00937D0C">
              <w:rPr>
                <w:rStyle w:val="FootnoteReference"/>
                <w:rFonts w:asciiTheme="majorHAnsi" w:hAnsiTheme="majorHAnsi" w:cstheme="majorHAnsi"/>
                <w:color w:val="000000"/>
                <w:sz w:val="20"/>
                <w:szCs w:val="20"/>
              </w:rPr>
              <w:footnoteReference w:id="6"/>
            </w:r>
            <w:r w:rsidRPr="00937D0C">
              <w:rPr>
                <w:rFonts w:asciiTheme="majorHAnsi" w:hAnsiTheme="majorHAnsi" w:cstheme="majorHAnsi"/>
                <w:color w:val="000000"/>
                <w:sz w:val="20"/>
                <w:szCs w:val="20"/>
              </w:rPr>
              <w:t xml:space="preserve"> </w:t>
            </w:r>
          </w:p>
        </w:tc>
        <w:tc>
          <w:tcPr>
            <w:tcW w:w="1080" w:type="dxa"/>
            <w:shd w:val="clear" w:color="auto" w:fill="FFF2CC" w:themeFill="accent4" w:themeFillTint="33"/>
          </w:tcPr>
          <w:p w14:paraId="2966C2DA" w14:textId="4B37C514"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 xml:space="preserve"> 162 </w:t>
            </w:r>
          </w:p>
        </w:tc>
        <w:tc>
          <w:tcPr>
            <w:tcW w:w="990" w:type="dxa"/>
            <w:shd w:val="clear" w:color="auto" w:fill="FFF2CC" w:themeFill="accent4" w:themeFillTint="33"/>
          </w:tcPr>
          <w:p w14:paraId="664DE901" w14:textId="02D881BD"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0.07%</w:t>
            </w:r>
          </w:p>
        </w:tc>
      </w:tr>
      <w:tr w:rsidR="00937D0C" w:rsidRPr="00E921FC" w14:paraId="5688D5D8" w14:textId="77777777" w:rsidTr="001342EB">
        <w:trPr>
          <w:cantSplit/>
        </w:trPr>
        <w:tc>
          <w:tcPr>
            <w:tcW w:w="3415" w:type="dxa"/>
            <w:shd w:val="clear" w:color="auto" w:fill="E2EFD9" w:themeFill="accent6" w:themeFillTint="33"/>
            <w:vAlign w:val="center"/>
          </w:tcPr>
          <w:p w14:paraId="0E34D417" w14:textId="77777777" w:rsidR="00937D0C" w:rsidRPr="00937D0C" w:rsidRDefault="00937D0C" w:rsidP="00937D0C">
            <w:pPr>
              <w:rPr>
                <w:rFonts w:asciiTheme="majorHAnsi" w:hAnsiTheme="majorHAnsi" w:cstheme="majorHAnsi"/>
                <w:sz w:val="20"/>
                <w:szCs w:val="20"/>
              </w:rPr>
            </w:pPr>
            <w:r w:rsidRPr="00937D0C">
              <w:rPr>
                <w:rFonts w:asciiTheme="majorHAnsi" w:hAnsiTheme="majorHAnsi" w:cstheme="majorHAnsi"/>
                <w:color w:val="000000"/>
                <w:sz w:val="20"/>
                <w:szCs w:val="20"/>
              </w:rPr>
              <w:t>Race - White</w:t>
            </w:r>
          </w:p>
        </w:tc>
        <w:tc>
          <w:tcPr>
            <w:tcW w:w="1080" w:type="dxa"/>
            <w:shd w:val="clear" w:color="auto" w:fill="E2EFD9" w:themeFill="accent6" w:themeFillTint="33"/>
          </w:tcPr>
          <w:p w14:paraId="1BB9232A" w14:textId="5719A1B5"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 xml:space="preserve"> 205,534 </w:t>
            </w:r>
          </w:p>
        </w:tc>
        <w:tc>
          <w:tcPr>
            <w:tcW w:w="990" w:type="dxa"/>
            <w:shd w:val="clear" w:color="auto" w:fill="E2EFD9" w:themeFill="accent6" w:themeFillTint="33"/>
          </w:tcPr>
          <w:p w14:paraId="2886CD90" w14:textId="58B7B311"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84.55%</w:t>
            </w:r>
          </w:p>
        </w:tc>
      </w:tr>
      <w:tr w:rsidR="00937D0C" w:rsidRPr="00E921FC" w14:paraId="0057604E" w14:textId="77777777" w:rsidTr="001342EB">
        <w:trPr>
          <w:cantSplit/>
        </w:trPr>
        <w:tc>
          <w:tcPr>
            <w:tcW w:w="3415" w:type="dxa"/>
            <w:shd w:val="clear" w:color="auto" w:fill="E2EFD9" w:themeFill="accent6" w:themeFillTint="33"/>
            <w:vAlign w:val="center"/>
          </w:tcPr>
          <w:p w14:paraId="5A8092B6" w14:textId="77777777" w:rsidR="00937D0C" w:rsidRPr="00937D0C" w:rsidRDefault="00937D0C" w:rsidP="00937D0C">
            <w:pPr>
              <w:rPr>
                <w:rFonts w:asciiTheme="majorHAnsi" w:hAnsiTheme="majorHAnsi" w:cstheme="majorHAnsi"/>
                <w:sz w:val="20"/>
                <w:szCs w:val="20"/>
              </w:rPr>
            </w:pPr>
            <w:r w:rsidRPr="00937D0C">
              <w:rPr>
                <w:rFonts w:asciiTheme="majorHAnsi" w:hAnsiTheme="majorHAnsi" w:cstheme="majorHAnsi"/>
                <w:color w:val="000000"/>
                <w:sz w:val="20"/>
                <w:szCs w:val="20"/>
              </w:rPr>
              <w:t>Race - Black or African American</w:t>
            </w:r>
          </w:p>
        </w:tc>
        <w:tc>
          <w:tcPr>
            <w:tcW w:w="1080" w:type="dxa"/>
            <w:shd w:val="clear" w:color="auto" w:fill="E2EFD9" w:themeFill="accent6" w:themeFillTint="33"/>
          </w:tcPr>
          <w:p w14:paraId="118948C1" w14:textId="0E8214BD"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 xml:space="preserve"> 7,171 </w:t>
            </w:r>
          </w:p>
        </w:tc>
        <w:tc>
          <w:tcPr>
            <w:tcW w:w="990" w:type="dxa"/>
            <w:shd w:val="clear" w:color="auto" w:fill="E2EFD9" w:themeFill="accent6" w:themeFillTint="33"/>
          </w:tcPr>
          <w:p w14:paraId="5AB8D886" w14:textId="69F0C4CE"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2.95%</w:t>
            </w:r>
          </w:p>
        </w:tc>
      </w:tr>
      <w:tr w:rsidR="00937D0C" w:rsidRPr="00E921FC" w14:paraId="791097E5" w14:textId="77777777" w:rsidTr="001342EB">
        <w:trPr>
          <w:cantSplit/>
        </w:trPr>
        <w:tc>
          <w:tcPr>
            <w:tcW w:w="3415" w:type="dxa"/>
            <w:shd w:val="clear" w:color="auto" w:fill="E2EFD9" w:themeFill="accent6" w:themeFillTint="33"/>
            <w:vAlign w:val="center"/>
          </w:tcPr>
          <w:p w14:paraId="331638B9" w14:textId="77777777" w:rsidR="00937D0C" w:rsidRPr="00937D0C" w:rsidRDefault="00937D0C" w:rsidP="00937D0C">
            <w:pPr>
              <w:rPr>
                <w:rFonts w:asciiTheme="majorHAnsi" w:hAnsiTheme="majorHAnsi" w:cstheme="majorHAnsi"/>
                <w:sz w:val="20"/>
                <w:szCs w:val="20"/>
              </w:rPr>
            </w:pPr>
            <w:r w:rsidRPr="00937D0C">
              <w:rPr>
                <w:rFonts w:asciiTheme="majorHAnsi" w:hAnsiTheme="majorHAnsi" w:cstheme="majorHAnsi"/>
                <w:color w:val="000000"/>
                <w:sz w:val="20"/>
                <w:szCs w:val="20"/>
              </w:rPr>
              <w:t>Race - American Indian or Alaska Native</w:t>
            </w:r>
          </w:p>
        </w:tc>
        <w:tc>
          <w:tcPr>
            <w:tcW w:w="1080" w:type="dxa"/>
            <w:shd w:val="clear" w:color="auto" w:fill="E2EFD9" w:themeFill="accent6" w:themeFillTint="33"/>
          </w:tcPr>
          <w:p w14:paraId="768AE75F" w14:textId="2629EB93"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 xml:space="preserve"> 364 </w:t>
            </w:r>
          </w:p>
        </w:tc>
        <w:tc>
          <w:tcPr>
            <w:tcW w:w="990" w:type="dxa"/>
            <w:shd w:val="clear" w:color="auto" w:fill="E2EFD9" w:themeFill="accent6" w:themeFillTint="33"/>
          </w:tcPr>
          <w:p w14:paraId="49DB31C1" w14:textId="6287BC95"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0.15%</w:t>
            </w:r>
          </w:p>
        </w:tc>
      </w:tr>
      <w:tr w:rsidR="00937D0C" w:rsidRPr="00E921FC" w14:paraId="0FF3FA68" w14:textId="77777777" w:rsidTr="001342EB">
        <w:trPr>
          <w:cantSplit/>
        </w:trPr>
        <w:tc>
          <w:tcPr>
            <w:tcW w:w="3415" w:type="dxa"/>
            <w:shd w:val="clear" w:color="auto" w:fill="E2EFD9" w:themeFill="accent6" w:themeFillTint="33"/>
            <w:vAlign w:val="center"/>
          </w:tcPr>
          <w:p w14:paraId="0CA023C8" w14:textId="77777777" w:rsidR="00937D0C" w:rsidRPr="00937D0C" w:rsidRDefault="00937D0C" w:rsidP="00937D0C">
            <w:pPr>
              <w:rPr>
                <w:rFonts w:asciiTheme="majorHAnsi" w:hAnsiTheme="majorHAnsi" w:cstheme="majorHAnsi"/>
                <w:sz w:val="20"/>
                <w:szCs w:val="20"/>
              </w:rPr>
            </w:pPr>
            <w:r w:rsidRPr="00937D0C">
              <w:rPr>
                <w:rFonts w:asciiTheme="majorHAnsi" w:hAnsiTheme="majorHAnsi" w:cstheme="majorHAnsi"/>
                <w:color w:val="000000"/>
                <w:sz w:val="20"/>
                <w:szCs w:val="20"/>
              </w:rPr>
              <w:t>Race - Asian</w:t>
            </w:r>
          </w:p>
        </w:tc>
        <w:tc>
          <w:tcPr>
            <w:tcW w:w="1080" w:type="dxa"/>
            <w:shd w:val="clear" w:color="auto" w:fill="E2EFD9" w:themeFill="accent6" w:themeFillTint="33"/>
          </w:tcPr>
          <w:p w14:paraId="76895F3C" w14:textId="07CEFC35"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 xml:space="preserve"> 13,478 </w:t>
            </w:r>
          </w:p>
        </w:tc>
        <w:tc>
          <w:tcPr>
            <w:tcW w:w="990" w:type="dxa"/>
            <w:shd w:val="clear" w:color="auto" w:fill="E2EFD9" w:themeFill="accent6" w:themeFillTint="33"/>
          </w:tcPr>
          <w:p w14:paraId="0F1767C0" w14:textId="77092DAE"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5.54%</w:t>
            </w:r>
          </w:p>
        </w:tc>
      </w:tr>
      <w:tr w:rsidR="00937D0C" w:rsidRPr="00E921FC" w14:paraId="057DFD47" w14:textId="77777777" w:rsidTr="001342EB">
        <w:trPr>
          <w:cantSplit/>
        </w:trPr>
        <w:tc>
          <w:tcPr>
            <w:tcW w:w="3415" w:type="dxa"/>
            <w:shd w:val="clear" w:color="auto" w:fill="E2EFD9" w:themeFill="accent6" w:themeFillTint="33"/>
            <w:vAlign w:val="center"/>
          </w:tcPr>
          <w:p w14:paraId="1DDA3077" w14:textId="77777777" w:rsidR="00937D0C" w:rsidRPr="00937D0C" w:rsidRDefault="00937D0C" w:rsidP="00937D0C">
            <w:pPr>
              <w:rPr>
                <w:rFonts w:asciiTheme="majorHAnsi" w:hAnsiTheme="majorHAnsi" w:cstheme="majorHAnsi"/>
                <w:sz w:val="20"/>
                <w:szCs w:val="20"/>
              </w:rPr>
            </w:pPr>
            <w:r w:rsidRPr="00937D0C">
              <w:rPr>
                <w:rFonts w:asciiTheme="majorHAnsi" w:hAnsiTheme="majorHAnsi" w:cstheme="majorHAnsi"/>
                <w:color w:val="000000"/>
                <w:sz w:val="20"/>
                <w:szCs w:val="20"/>
              </w:rPr>
              <w:t xml:space="preserve">Race - Native Hawaiian or Other Pacific Islander </w:t>
            </w:r>
          </w:p>
        </w:tc>
        <w:tc>
          <w:tcPr>
            <w:tcW w:w="1080" w:type="dxa"/>
            <w:shd w:val="clear" w:color="auto" w:fill="E2EFD9" w:themeFill="accent6" w:themeFillTint="33"/>
          </w:tcPr>
          <w:p w14:paraId="5682000C" w14:textId="14C48DE0"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 xml:space="preserve"> 124 </w:t>
            </w:r>
          </w:p>
        </w:tc>
        <w:tc>
          <w:tcPr>
            <w:tcW w:w="990" w:type="dxa"/>
            <w:shd w:val="clear" w:color="auto" w:fill="E2EFD9" w:themeFill="accent6" w:themeFillTint="33"/>
          </w:tcPr>
          <w:p w14:paraId="5448BCC0" w14:textId="7848F14D"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0.05%</w:t>
            </w:r>
          </w:p>
        </w:tc>
      </w:tr>
      <w:tr w:rsidR="00937D0C" w:rsidRPr="00E921FC" w14:paraId="4891F10F" w14:textId="77777777" w:rsidTr="001342EB">
        <w:trPr>
          <w:cantSplit/>
        </w:trPr>
        <w:tc>
          <w:tcPr>
            <w:tcW w:w="3415" w:type="dxa"/>
            <w:shd w:val="clear" w:color="auto" w:fill="E2EFD9" w:themeFill="accent6" w:themeFillTint="33"/>
            <w:vAlign w:val="center"/>
          </w:tcPr>
          <w:p w14:paraId="4D6A3302" w14:textId="4FD9A124" w:rsidR="00937D0C" w:rsidRPr="00937D0C" w:rsidRDefault="00937D0C" w:rsidP="00937D0C">
            <w:pPr>
              <w:rPr>
                <w:rFonts w:asciiTheme="majorHAnsi" w:hAnsiTheme="majorHAnsi" w:cstheme="majorHAnsi"/>
                <w:sz w:val="20"/>
                <w:szCs w:val="20"/>
              </w:rPr>
            </w:pPr>
            <w:r w:rsidRPr="00937D0C">
              <w:rPr>
                <w:rFonts w:asciiTheme="majorHAnsi" w:hAnsiTheme="majorHAnsi" w:cstheme="majorHAnsi"/>
                <w:color w:val="000000"/>
                <w:sz w:val="20"/>
                <w:szCs w:val="20"/>
              </w:rPr>
              <w:t>Race - Other</w:t>
            </w:r>
          </w:p>
        </w:tc>
        <w:tc>
          <w:tcPr>
            <w:tcW w:w="1080" w:type="dxa"/>
            <w:shd w:val="clear" w:color="auto" w:fill="E2EFD9" w:themeFill="accent6" w:themeFillTint="33"/>
          </w:tcPr>
          <w:p w14:paraId="7E339FA0" w14:textId="3124D119"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 xml:space="preserve"> 11,184 </w:t>
            </w:r>
          </w:p>
        </w:tc>
        <w:tc>
          <w:tcPr>
            <w:tcW w:w="990" w:type="dxa"/>
            <w:shd w:val="clear" w:color="auto" w:fill="E2EFD9" w:themeFill="accent6" w:themeFillTint="33"/>
          </w:tcPr>
          <w:p w14:paraId="1D7FBD68" w14:textId="1A331DF4"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4.60%</w:t>
            </w:r>
          </w:p>
        </w:tc>
      </w:tr>
      <w:tr w:rsidR="00937D0C" w:rsidRPr="00E921FC" w14:paraId="47262EAD" w14:textId="77777777" w:rsidTr="001342EB">
        <w:trPr>
          <w:cantSplit/>
        </w:trPr>
        <w:tc>
          <w:tcPr>
            <w:tcW w:w="3415" w:type="dxa"/>
            <w:shd w:val="clear" w:color="auto" w:fill="E2EFD9" w:themeFill="accent6" w:themeFillTint="33"/>
            <w:vAlign w:val="center"/>
          </w:tcPr>
          <w:p w14:paraId="21D9A1B8" w14:textId="77777777" w:rsidR="00937D0C" w:rsidRPr="00937D0C" w:rsidRDefault="00937D0C" w:rsidP="00937D0C">
            <w:pPr>
              <w:rPr>
                <w:rFonts w:asciiTheme="majorHAnsi" w:hAnsiTheme="majorHAnsi" w:cstheme="majorHAnsi"/>
                <w:sz w:val="20"/>
                <w:szCs w:val="20"/>
              </w:rPr>
            </w:pPr>
            <w:r w:rsidRPr="00937D0C">
              <w:rPr>
                <w:rFonts w:asciiTheme="majorHAnsi" w:hAnsiTheme="majorHAnsi" w:cstheme="majorHAnsi"/>
                <w:color w:val="000000"/>
                <w:sz w:val="20"/>
                <w:szCs w:val="20"/>
              </w:rPr>
              <w:t xml:space="preserve">Race - Unknown </w:t>
            </w:r>
          </w:p>
        </w:tc>
        <w:tc>
          <w:tcPr>
            <w:tcW w:w="1080" w:type="dxa"/>
            <w:shd w:val="clear" w:color="auto" w:fill="E2EFD9" w:themeFill="accent6" w:themeFillTint="33"/>
          </w:tcPr>
          <w:p w14:paraId="351DDE72" w14:textId="3D4F0CEF"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 xml:space="preserve"> 2,683 </w:t>
            </w:r>
          </w:p>
        </w:tc>
        <w:tc>
          <w:tcPr>
            <w:tcW w:w="990" w:type="dxa"/>
            <w:shd w:val="clear" w:color="auto" w:fill="E2EFD9" w:themeFill="accent6" w:themeFillTint="33"/>
          </w:tcPr>
          <w:p w14:paraId="55EB83A5" w14:textId="26BA87EB"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1.10%</w:t>
            </w:r>
          </w:p>
        </w:tc>
      </w:tr>
      <w:tr w:rsidR="00937D0C" w:rsidRPr="00E921FC" w14:paraId="675F732A" w14:textId="77777777" w:rsidTr="001342EB">
        <w:trPr>
          <w:cantSplit/>
        </w:trPr>
        <w:tc>
          <w:tcPr>
            <w:tcW w:w="3415" w:type="dxa"/>
            <w:shd w:val="clear" w:color="auto" w:fill="E2EFD9" w:themeFill="accent6" w:themeFillTint="33"/>
            <w:vAlign w:val="center"/>
          </w:tcPr>
          <w:p w14:paraId="1ED9859B" w14:textId="77777777" w:rsidR="00937D0C" w:rsidRPr="00937D0C" w:rsidRDefault="00937D0C" w:rsidP="00937D0C">
            <w:pPr>
              <w:rPr>
                <w:rFonts w:asciiTheme="majorHAnsi" w:hAnsiTheme="majorHAnsi" w:cstheme="majorHAnsi"/>
                <w:sz w:val="20"/>
                <w:szCs w:val="20"/>
              </w:rPr>
            </w:pPr>
            <w:r w:rsidRPr="00937D0C">
              <w:rPr>
                <w:rFonts w:asciiTheme="majorHAnsi" w:hAnsiTheme="majorHAnsi" w:cstheme="majorHAnsi"/>
                <w:color w:val="000000"/>
                <w:sz w:val="20"/>
                <w:szCs w:val="20"/>
              </w:rPr>
              <w:t xml:space="preserve">Race - Patient Declined </w:t>
            </w:r>
          </w:p>
        </w:tc>
        <w:tc>
          <w:tcPr>
            <w:tcW w:w="1080" w:type="dxa"/>
            <w:shd w:val="clear" w:color="auto" w:fill="E2EFD9" w:themeFill="accent6" w:themeFillTint="33"/>
          </w:tcPr>
          <w:p w14:paraId="19E74E39" w14:textId="6F8D1635"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 xml:space="preserve"> 2,559 </w:t>
            </w:r>
          </w:p>
        </w:tc>
        <w:tc>
          <w:tcPr>
            <w:tcW w:w="990" w:type="dxa"/>
            <w:shd w:val="clear" w:color="auto" w:fill="E2EFD9" w:themeFill="accent6" w:themeFillTint="33"/>
          </w:tcPr>
          <w:p w14:paraId="59B09C0D" w14:textId="3605B2F1"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1.05%</w:t>
            </w:r>
          </w:p>
        </w:tc>
      </w:tr>
      <w:tr w:rsidR="00937D0C" w:rsidRPr="000F7B6C" w14:paraId="6B8B19B1" w14:textId="77777777" w:rsidTr="001342EB">
        <w:trPr>
          <w:cantSplit/>
        </w:trPr>
        <w:tc>
          <w:tcPr>
            <w:tcW w:w="3415" w:type="dxa"/>
            <w:shd w:val="clear" w:color="auto" w:fill="D9E2F3" w:themeFill="accent1" w:themeFillTint="33"/>
            <w:vAlign w:val="center"/>
          </w:tcPr>
          <w:p w14:paraId="53D2074B" w14:textId="6B07C55B" w:rsidR="00937D0C" w:rsidRPr="00937D0C" w:rsidRDefault="00937D0C" w:rsidP="00937D0C">
            <w:pPr>
              <w:rPr>
                <w:rFonts w:asciiTheme="majorHAnsi" w:hAnsiTheme="majorHAnsi" w:cstheme="majorHAnsi"/>
                <w:sz w:val="20"/>
                <w:szCs w:val="20"/>
              </w:rPr>
            </w:pPr>
            <w:r w:rsidRPr="00937D0C">
              <w:rPr>
                <w:rFonts w:asciiTheme="majorHAnsi" w:hAnsiTheme="majorHAnsi" w:cstheme="majorHAnsi"/>
                <w:color w:val="000000"/>
                <w:sz w:val="20"/>
                <w:szCs w:val="20"/>
              </w:rPr>
              <w:t>Ethnicity - Hispanic/Latino</w:t>
            </w:r>
          </w:p>
        </w:tc>
        <w:tc>
          <w:tcPr>
            <w:tcW w:w="1080" w:type="dxa"/>
            <w:shd w:val="clear" w:color="auto" w:fill="D9E2F3" w:themeFill="accent1" w:themeFillTint="33"/>
          </w:tcPr>
          <w:p w14:paraId="3B6EBDCF" w14:textId="59191458"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 xml:space="preserve"> 15,137 </w:t>
            </w:r>
          </w:p>
        </w:tc>
        <w:tc>
          <w:tcPr>
            <w:tcW w:w="990" w:type="dxa"/>
            <w:shd w:val="clear" w:color="auto" w:fill="D9E2F3" w:themeFill="accent1" w:themeFillTint="33"/>
          </w:tcPr>
          <w:p w14:paraId="227487D1" w14:textId="3817F118"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6.23%</w:t>
            </w:r>
          </w:p>
        </w:tc>
      </w:tr>
      <w:tr w:rsidR="00937D0C" w:rsidRPr="000F7B6C" w14:paraId="5B4B4953" w14:textId="77777777" w:rsidTr="001342EB">
        <w:trPr>
          <w:cantSplit/>
        </w:trPr>
        <w:tc>
          <w:tcPr>
            <w:tcW w:w="3415" w:type="dxa"/>
            <w:shd w:val="clear" w:color="auto" w:fill="D9E2F3" w:themeFill="accent1" w:themeFillTint="33"/>
            <w:vAlign w:val="center"/>
          </w:tcPr>
          <w:p w14:paraId="5265810D" w14:textId="77777777" w:rsidR="00937D0C" w:rsidRPr="00937D0C" w:rsidRDefault="00937D0C" w:rsidP="00937D0C">
            <w:pPr>
              <w:rPr>
                <w:rFonts w:asciiTheme="majorHAnsi" w:hAnsiTheme="majorHAnsi" w:cstheme="majorHAnsi"/>
                <w:sz w:val="20"/>
                <w:szCs w:val="20"/>
              </w:rPr>
            </w:pPr>
            <w:r w:rsidRPr="00937D0C">
              <w:rPr>
                <w:rFonts w:asciiTheme="majorHAnsi" w:hAnsiTheme="majorHAnsi" w:cstheme="majorHAnsi"/>
                <w:color w:val="000000"/>
                <w:sz w:val="20"/>
                <w:szCs w:val="20"/>
              </w:rPr>
              <w:t>Ethnicity - Not Hispanic/Latino</w:t>
            </w:r>
          </w:p>
        </w:tc>
        <w:tc>
          <w:tcPr>
            <w:tcW w:w="1080" w:type="dxa"/>
            <w:shd w:val="clear" w:color="auto" w:fill="D9E2F3" w:themeFill="accent1" w:themeFillTint="33"/>
          </w:tcPr>
          <w:p w14:paraId="1B14C357" w14:textId="646E08E6"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 xml:space="preserve"> 222,885 </w:t>
            </w:r>
          </w:p>
        </w:tc>
        <w:tc>
          <w:tcPr>
            <w:tcW w:w="990" w:type="dxa"/>
            <w:shd w:val="clear" w:color="auto" w:fill="D9E2F3" w:themeFill="accent1" w:themeFillTint="33"/>
          </w:tcPr>
          <w:p w14:paraId="06969E80" w14:textId="14223561"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91.69%</w:t>
            </w:r>
          </w:p>
        </w:tc>
      </w:tr>
      <w:tr w:rsidR="00937D0C" w:rsidRPr="000F7B6C" w14:paraId="5651AC63" w14:textId="77777777" w:rsidTr="001342EB">
        <w:trPr>
          <w:cantSplit/>
        </w:trPr>
        <w:tc>
          <w:tcPr>
            <w:tcW w:w="3415" w:type="dxa"/>
            <w:shd w:val="clear" w:color="auto" w:fill="D9E2F3" w:themeFill="accent1" w:themeFillTint="33"/>
            <w:vAlign w:val="center"/>
          </w:tcPr>
          <w:p w14:paraId="7248D129" w14:textId="77777777" w:rsidR="00937D0C" w:rsidRPr="00937D0C" w:rsidRDefault="00937D0C" w:rsidP="00937D0C">
            <w:pPr>
              <w:rPr>
                <w:rFonts w:asciiTheme="majorHAnsi" w:hAnsiTheme="majorHAnsi" w:cstheme="majorHAnsi"/>
                <w:sz w:val="20"/>
                <w:szCs w:val="20"/>
              </w:rPr>
            </w:pPr>
            <w:r w:rsidRPr="00937D0C">
              <w:rPr>
                <w:rFonts w:asciiTheme="majorHAnsi" w:hAnsiTheme="majorHAnsi" w:cstheme="majorHAnsi"/>
                <w:color w:val="000000"/>
                <w:sz w:val="20"/>
                <w:szCs w:val="20"/>
              </w:rPr>
              <w:t xml:space="preserve">Ethnicity - Patient Declined </w:t>
            </w:r>
          </w:p>
        </w:tc>
        <w:tc>
          <w:tcPr>
            <w:tcW w:w="1080" w:type="dxa"/>
            <w:shd w:val="clear" w:color="auto" w:fill="D9E2F3" w:themeFill="accent1" w:themeFillTint="33"/>
          </w:tcPr>
          <w:p w14:paraId="6E8D1431" w14:textId="18D23416"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 xml:space="preserve"> 1,320 </w:t>
            </w:r>
          </w:p>
        </w:tc>
        <w:tc>
          <w:tcPr>
            <w:tcW w:w="990" w:type="dxa"/>
            <w:shd w:val="clear" w:color="auto" w:fill="D9E2F3" w:themeFill="accent1" w:themeFillTint="33"/>
          </w:tcPr>
          <w:p w14:paraId="354C9735" w14:textId="4D7013A3"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0.54%</w:t>
            </w:r>
          </w:p>
        </w:tc>
      </w:tr>
      <w:tr w:rsidR="00937D0C" w:rsidRPr="000F7B6C" w14:paraId="2E973B4A" w14:textId="77777777" w:rsidTr="001342EB">
        <w:trPr>
          <w:cantSplit/>
        </w:trPr>
        <w:tc>
          <w:tcPr>
            <w:tcW w:w="3415" w:type="dxa"/>
            <w:shd w:val="clear" w:color="auto" w:fill="D9E2F3" w:themeFill="accent1" w:themeFillTint="33"/>
            <w:vAlign w:val="center"/>
          </w:tcPr>
          <w:p w14:paraId="164F2D88" w14:textId="77777777" w:rsidR="00937D0C" w:rsidRPr="00937D0C" w:rsidRDefault="00937D0C" w:rsidP="00937D0C">
            <w:pPr>
              <w:rPr>
                <w:rFonts w:asciiTheme="majorHAnsi" w:hAnsiTheme="majorHAnsi" w:cstheme="majorHAnsi"/>
                <w:sz w:val="20"/>
                <w:szCs w:val="20"/>
              </w:rPr>
            </w:pPr>
            <w:r w:rsidRPr="00937D0C">
              <w:rPr>
                <w:rFonts w:asciiTheme="majorHAnsi" w:hAnsiTheme="majorHAnsi" w:cstheme="majorHAnsi"/>
                <w:color w:val="000000"/>
                <w:sz w:val="20"/>
                <w:szCs w:val="20"/>
              </w:rPr>
              <w:t>Ethnicity - Unknown</w:t>
            </w:r>
          </w:p>
        </w:tc>
        <w:tc>
          <w:tcPr>
            <w:tcW w:w="1080" w:type="dxa"/>
            <w:shd w:val="clear" w:color="auto" w:fill="D9E2F3" w:themeFill="accent1" w:themeFillTint="33"/>
          </w:tcPr>
          <w:p w14:paraId="76926C88" w14:textId="3B99392F"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 xml:space="preserve"> 2,495 </w:t>
            </w:r>
          </w:p>
        </w:tc>
        <w:tc>
          <w:tcPr>
            <w:tcW w:w="990" w:type="dxa"/>
            <w:shd w:val="clear" w:color="auto" w:fill="D9E2F3" w:themeFill="accent1" w:themeFillTint="33"/>
          </w:tcPr>
          <w:p w14:paraId="6A5A8B19" w14:textId="5750EFEB"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1.03%</w:t>
            </w:r>
          </w:p>
        </w:tc>
      </w:tr>
      <w:tr w:rsidR="00937D0C" w:rsidRPr="000F7B6C" w14:paraId="405EC068" w14:textId="77777777" w:rsidTr="001342EB">
        <w:trPr>
          <w:cantSplit/>
        </w:trPr>
        <w:tc>
          <w:tcPr>
            <w:tcW w:w="3415" w:type="dxa"/>
            <w:shd w:val="clear" w:color="auto" w:fill="D9E2F3" w:themeFill="accent1" w:themeFillTint="33"/>
            <w:vAlign w:val="center"/>
          </w:tcPr>
          <w:p w14:paraId="7ACA4D5C" w14:textId="77777777" w:rsidR="00937D0C" w:rsidRPr="00937D0C" w:rsidRDefault="00937D0C" w:rsidP="00937D0C">
            <w:pPr>
              <w:rPr>
                <w:rFonts w:asciiTheme="majorHAnsi" w:hAnsiTheme="majorHAnsi" w:cstheme="majorHAnsi"/>
                <w:sz w:val="20"/>
                <w:szCs w:val="20"/>
              </w:rPr>
            </w:pPr>
            <w:r w:rsidRPr="00937D0C">
              <w:rPr>
                <w:rFonts w:asciiTheme="majorHAnsi" w:hAnsiTheme="majorHAnsi" w:cstheme="majorHAnsi"/>
                <w:color w:val="000000"/>
                <w:sz w:val="20"/>
                <w:szCs w:val="20"/>
              </w:rPr>
              <w:t xml:space="preserve">Ethnicity - Other </w:t>
            </w:r>
          </w:p>
        </w:tc>
        <w:tc>
          <w:tcPr>
            <w:tcW w:w="1080" w:type="dxa"/>
            <w:shd w:val="clear" w:color="auto" w:fill="D9E2F3" w:themeFill="accent1" w:themeFillTint="33"/>
          </w:tcPr>
          <w:p w14:paraId="3E06CD90" w14:textId="412EE7B9"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 xml:space="preserve"> 1,247 </w:t>
            </w:r>
          </w:p>
        </w:tc>
        <w:tc>
          <w:tcPr>
            <w:tcW w:w="990" w:type="dxa"/>
            <w:shd w:val="clear" w:color="auto" w:fill="D9E2F3" w:themeFill="accent1" w:themeFillTint="33"/>
          </w:tcPr>
          <w:p w14:paraId="2608F2FE" w14:textId="25FC6408"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0.51%</w:t>
            </w:r>
          </w:p>
        </w:tc>
      </w:tr>
      <w:tr w:rsidR="00937D0C" w:rsidRPr="000F7B6C" w14:paraId="4FF9E367" w14:textId="77777777" w:rsidTr="001342EB">
        <w:trPr>
          <w:cantSplit/>
        </w:trPr>
        <w:tc>
          <w:tcPr>
            <w:tcW w:w="3415" w:type="dxa"/>
            <w:shd w:val="clear" w:color="auto" w:fill="EDEDED" w:themeFill="accent3" w:themeFillTint="33"/>
            <w:vAlign w:val="center"/>
          </w:tcPr>
          <w:p w14:paraId="0E083039" w14:textId="77777777" w:rsidR="00937D0C" w:rsidRPr="00937D0C" w:rsidRDefault="00937D0C" w:rsidP="00937D0C">
            <w:pPr>
              <w:rPr>
                <w:rFonts w:asciiTheme="majorHAnsi" w:hAnsiTheme="majorHAnsi" w:cstheme="majorHAnsi"/>
                <w:sz w:val="20"/>
                <w:szCs w:val="20"/>
              </w:rPr>
            </w:pPr>
            <w:r w:rsidRPr="00937D0C">
              <w:rPr>
                <w:rFonts w:asciiTheme="majorHAnsi" w:hAnsiTheme="majorHAnsi" w:cstheme="majorHAnsi"/>
                <w:color w:val="000000"/>
                <w:sz w:val="20"/>
                <w:szCs w:val="20"/>
              </w:rPr>
              <w:t>Payor - Commercial</w:t>
            </w:r>
          </w:p>
        </w:tc>
        <w:tc>
          <w:tcPr>
            <w:tcW w:w="1080" w:type="dxa"/>
            <w:shd w:val="clear" w:color="auto" w:fill="EDEDED" w:themeFill="accent3" w:themeFillTint="33"/>
          </w:tcPr>
          <w:p w14:paraId="6B2EB766" w14:textId="2856DE11"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 xml:space="preserve"> 115,126 </w:t>
            </w:r>
          </w:p>
        </w:tc>
        <w:tc>
          <w:tcPr>
            <w:tcW w:w="990" w:type="dxa"/>
            <w:shd w:val="clear" w:color="auto" w:fill="EDEDED" w:themeFill="accent3" w:themeFillTint="33"/>
          </w:tcPr>
          <w:p w14:paraId="7A3EA2D6" w14:textId="2779976C"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47.36%</w:t>
            </w:r>
          </w:p>
        </w:tc>
      </w:tr>
      <w:tr w:rsidR="00937D0C" w:rsidRPr="000F7B6C" w14:paraId="3038B568" w14:textId="77777777" w:rsidTr="001342EB">
        <w:trPr>
          <w:cantSplit/>
        </w:trPr>
        <w:tc>
          <w:tcPr>
            <w:tcW w:w="3415" w:type="dxa"/>
            <w:shd w:val="clear" w:color="auto" w:fill="EDEDED" w:themeFill="accent3" w:themeFillTint="33"/>
            <w:vAlign w:val="center"/>
          </w:tcPr>
          <w:p w14:paraId="4095C367" w14:textId="77777777" w:rsidR="00937D0C" w:rsidRPr="00937D0C" w:rsidRDefault="00937D0C" w:rsidP="00937D0C">
            <w:pPr>
              <w:rPr>
                <w:rFonts w:asciiTheme="majorHAnsi" w:hAnsiTheme="majorHAnsi" w:cstheme="majorHAnsi"/>
                <w:sz w:val="20"/>
                <w:szCs w:val="20"/>
              </w:rPr>
            </w:pPr>
            <w:r w:rsidRPr="00937D0C">
              <w:rPr>
                <w:rFonts w:asciiTheme="majorHAnsi" w:hAnsiTheme="majorHAnsi" w:cstheme="majorHAnsi"/>
                <w:color w:val="000000"/>
                <w:sz w:val="20"/>
                <w:szCs w:val="20"/>
              </w:rPr>
              <w:t>Payor - Medicare</w:t>
            </w:r>
          </w:p>
        </w:tc>
        <w:tc>
          <w:tcPr>
            <w:tcW w:w="1080" w:type="dxa"/>
            <w:shd w:val="clear" w:color="auto" w:fill="EDEDED" w:themeFill="accent3" w:themeFillTint="33"/>
          </w:tcPr>
          <w:p w14:paraId="4C763037" w14:textId="2D271E22"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 xml:space="preserve"> 83,224 </w:t>
            </w:r>
          </w:p>
        </w:tc>
        <w:tc>
          <w:tcPr>
            <w:tcW w:w="990" w:type="dxa"/>
            <w:shd w:val="clear" w:color="auto" w:fill="EDEDED" w:themeFill="accent3" w:themeFillTint="33"/>
          </w:tcPr>
          <w:p w14:paraId="6D249A19" w14:textId="4CCCD63D"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34.24%</w:t>
            </w:r>
          </w:p>
        </w:tc>
      </w:tr>
      <w:tr w:rsidR="00937D0C" w:rsidRPr="000F7B6C" w14:paraId="66B85012" w14:textId="77777777" w:rsidTr="001342EB">
        <w:trPr>
          <w:cantSplit/>
        </w:trPr>
        <w:tc>
          <w:tcPr>
            <w:tcW w:w="3415" w:type="dxa"/>
            <w:shd w:val="clear" w:color="auto" w:fill="EDEDED" w:themeFill="accent3" w:themeFillTint="33"/>
            <w:vAlign w:val="center"/>
          </w:tcPr>
          <w:p w14:paraId="0A94283B" w14:textId="77777777" w:rsidR="00937D0C" w:rsidRPr="00937D0C" w:rsidRDefault="00937D0C" w:rsidP="00937D0C">
            <w:pPr>
              <w:rPr>
                <w:rFonts w:asciiTheme="majorHAnsi" w:hAnsiTheme="majorHAnsi" w:cstheme="majorHAnsi"/>
                <w:sz w:val="20"/>
                <w:szCs w:val="20"/>
              </w:rPr>
            </w:pPr>
            <w:r w:rsidRPr="00937D0C">
              <w:rPr>
                <w:rFonts w:asciiTheme="majorHAnsi" w:hAnsiTheme="majorHAnsi" w:cstheme="majorHAnsi"/>
                <w:color w:val="000000"/>
                <w:sz w:val="20"/>
                <w:szCs w:val="20"/>
              </w:rPr>
              <w:t>Payor - Medicaid</w:t>
            </w:r>
          </w:p>
        </w:tc>
        <w:tc>
          <w:tcPr>
            <w:tcW w:w="1080" w:type="dxa"/>
            <w:shd w:val="clear" w:color="auto" w:fill="EDEDED" w:themeFill="accent3" w:themeFillTint="33"/>
          </w:tcPr>
          <w:p w14:paraId="70D823EA" w14:textId="6581E9D4"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 xml:space="preserve"> 20,785 </w:t>
            </w:r>
          </w:p>
        </w:tc>
        <w:tc>
          <w:tcPr>
            <w:tcW w:w="990" w:type="dxa"/>
            <w:shd w:val="clear" w:color="auto" w:fill="EDEDED" w:themeFill="accent3" w:themeFillTint="33"/>
          </w:tcPr>
          <w:p w14:paraId="2EE6C8F6" w14:textId="0D5A748B"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8.55%</w:t>
            </w:r>
          </w:p>
        </w:tc>
      </w:tr>
      <w:tr w:rsidR="00937D0C" w:rsidRPr="000F7B6C" w14:paraId="695E6B6E" w14:textId="77777777" w:rsidTr="001342EB">
        <w:trPr>
          <w:cantSplit/>
        </w:trPr>
        <w:tc>
          <w:tcPr>
            <w:tcW w:w="3415" w:type="dxa"/>
            <w:shd w:val="clear" w:color="auto" w:fill="EDEDED" w:themeFill="accent3" w:themeFillTint="33"/>
            <w:vAlign w:val="center"/>
          </w:tcPr>
          <w:p w14:paraId="47E4A00D" w14:textId="77777777" w:rsidR="00937D0C" w:rsidRPr="00937D0C" w:rsidRDefault="00937D0C" w:rsidP="00937D0C">
            <w:pPr>
              <w:rPr>
                <w:rFonts w:asciiTheme="majorHAnsi" w:hAnsiTheme="majorHAnsi" w:cstheme="majorHAnsi"/>
                <w:sz w:val="20"/>
                <w:szCs w:val="20"/>
              </w:rPr>
            </w:pPr>
            <w:r w:rsidRPr="00937D0C">
              <w:rPr>
                <w:rFonts w:asciiTheme="majorHAnsi" w:hAnsiTheme="majorHAnsi" w:cstheme="majorHAnsi"/>
                <w:color w:val="000000"/>
                <w:sz w:val="20"/>
                <w:szCs w:val="20"/>
              </w:rPr>
              <w:t>Payor - Multiple Payers</w:t>
            </w:r>
          </w:p>
        </w:tc>
        <w:tc>
          <w:tcPr>
            <w:tcW w:w="1080" w:type="dxa"/>
            <w:shd w:val="clear" w:color="auto" w:fill="EDEDED" w:themeFill="accent3" w:themeFillTint="33"/>
          </w:tcPr>
          <w:p w14:paraId="28DCE093" w14:textId="41946FCD"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 xml:space="preserve"> 8,902 </w:t>
            </w:r>
          </w:p>
        </w:tc>
        <w:tc>
          <w:tcPr>
            <w:tcW w:w="990" w:type="dxa"/>
            <w:shd w:val="clear" w:color="auto" w:fill="EDEDED" w:themeFill="accent3" w:themeFillTint="33"/>
          </w:tcPr>
          <w:p w14:paraId="3CA036AD" w14:textId="53C11AA2"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3.66%</w:t>
            </w:r>
          </w:p>
        </w:tc>
      </w:tr>
      <w:tr w:rsidR="00937D0C" w:rsidRPr="000F7B6C" w14:paraId="63730998" w14:textId="77777777" w:rsidTr="001342EB">
        <w:trPr>
          <w:cantSplit/>
        </w:trPr>
        <w:tc>
          <w:tcPr>
            <w:tcW w:w="3415" w:type="dxa"/>
            <w:shd w:val="clear" w:color="auto" w:fill="EDEDED" w:themeFill="accent3" w:themeFillTint="33"/>
            <w:vAlign w:val="center"/>
          </w:tcPr>
          <w:p w14:paraId="664C39F8" w14:textId="242B27C0" w:rsidR="00937D0C" w:rsidRPr="00937D0C" w:rsidRDefault="00937D0C" w:rsidP="00937D0C">
            <w:pPr>
              <w:rPr>
                <w:rFonts w:asciiTheme="majorHAnsi" w:hAnsiTheme="majorHAnsi" w:cstheme="majorHAnsi"/>
                <w:sz w:val="20"/>
                <w:szCs w:val="20"/>
              </w:rPr>
            </w:pPr>
            <w:r w:rsidRPr="00937D0C">
              <w:rPr>
                <w:rFonts w:asciiTheme="majorHAnsi" w:hAnsiTheme="majorHAnsi" w:cstheme="majorHAnsi"/>
                <w:color w:val="000000"/>
                <w:sz w:val="20"/>
                <w:szCs w:val="20"/>
              </w:rPr>
              <w:t>Payor - Other</w:t>
            </w:r>
          </w:p>
        </w:tc>
        <w:tc>
          <w:tcPr>
            <w:tcW w:w="1080" w:type="dxa"/>
            <w:shd w:val="clear" w:color="auto" w:fill="EDEDED" w:themeFill="accent3" w:themeFillTint="33"/>
          </w:tcPr>
          <w:p w14:paraId="1558C539" w14:textId="3521CBBB"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 xml:space="preserve"> 15,047 </w:t>
            </w:r>
          </w:p>
        </w:tc>
        <w:tc>
          <w:tcPr>
            <w:tcW w:w="990" w:type="dxa"/>
            <w:shd w:val="clear" w:color="auto" w:fill="EDEDED" w:themeFill="accent3" w:themeFillTint="33"/>
          </w:tcPr>
          <w:p w14:paraId="0992E54A" w14:textId="26B643EF" w:rsidR="00937D0C" w:rsidRPr="00937D0C" w:rsidRDefault="00937D0C" w:rsidP="00937D0C">
            <w:pPr>
              <w:jc w:val="center"/>
              <w:rPr>
                <w:rFonts w:asciiTheme="majorHAnsi" w:hAnsiTheme="majorHAnsi" w:cstheme="majorHAnsi"/>
                <w:sz w:val="20"/>
                <w:szCs w:val="20"/>
              </w:rPr>
            </w:pPr>
            <w:r w:rsidRPr="00937D0C">
              <w:rPr>
                <w:rFonts w:asciiTheme="majorHAnsi" w:hAnsiTheme="majorHAnsi" w:cstheme="majorHAnsi"/>
                <w:sz w:val="20"/>
                <w:szCs w:val="20"/>
              </w:rPr>
              <w:t>6.19%</w:t>
            </w:r>
          </w:p>
        </w:tc>
      </w:tr>
    </w:tbl>
    <w:p w14:paraId="3908FF59" w14:textId="1221F7A5" w:rsidR="00450206" w:rsidRDefault="001E4503" w:rsidP="00450206">
      <w:pPr>
        <w:pStyle w:val="ListParagraph"/>
        <w:numPr>
          <w:ilvl w:val="1"/>
          <w:numId w:val="29"/>
        </w:numPr>
        <w:spacing w:before="240" w:after="0" w:line="240" w:lineRule="auto"/>
        <w:jc w:val="both"/>
        <w:rPr>
          <w:rFonts w:eastAsia="Times New Roman" w:cstheme="minorHAnsi"/>
          <w:b/>
          <w:bCs/>
          <w:smallCaps/>
          <w:kern w:val="2"/>
          <w:sz w:val="24"/>
          <w:szCs w:val="24"/>
        </w:rPr>
      </w:pPr>
      <w:r w:rsidRPr="00450206">
        <w:rPr>
          <w:rFonts w:eastAsia="Times New Roman" w:cstheme="minorHAnsi"/>
          <w:b/>
          <w:bCs/>
          <w:smallCaps/>
          <w:kern w:val="2"/>
          <w:sz w:val="24"/>
          <w:szCs w:val="24"/>
        </w:rPr>
        <w:t>Table 3: LHMC Patient Population Geographics</w:t>
      </w:r>
      <w:r w:rsidR="00AE1E9E" w:rsidRPr="00450206">
        <w:rPr>
          <w:rFonts w:eastAsia="Times New Roman" w:cstheme="minorHAnsi"/>
          <w:b/>
          <w:bCs/>
          <w:smallCaps/>
          <w:kern w:val="2"/>
          <w:sz w:val="24"/>
          <w:szCs w:val="24"/>
        </w:rPr>
        <w:t xml:space="preserve"> (Narrative page </w:t>
      </w:r>
      <w:r w:rsidR="00E54E73" w:rsidRPr="00450206">
        <w:rPr>
          <w:rFonts w:eastAsia="Times New Roman" w:cstheme="minorHAnsi"/>
          <w:b/>
          <w:bCs/>
          <w:smallCaps/>
          <w:kern w:val="2"/>
          <w:sz w:val="24"/>
          <w:szCs w:val="24"/>
        </w:rPr>
        <w:t>5</w:t>
      </w:r>
      <w:r w:rsidR="00AE1E9E" w:rsidRPr="00450206">
        <w:rPr>
          <w:rFonts w:eastAsia="Times New Roman" w:cstheme="minorHAnsi"/>
          <w:b/>
          <w:bCs/>
          <w:smallCaps/>
          <w:kern w:val="2"/>
          <w:sz w:val="24"/>
          <w:szCs w:val="24"/>
        </w:rPr>
        <w:t>)</w:t>
      </w:r>
    </w:p>
    <w:p w14:paraId="3C261F6D" w14:textId="77777777" w:rsidR="001E592B" w:rsidRPr="00450206" w:rsidRDefault="001E592B" w:rsidP="001E592B">
      <w:pPr>
        <w:pStyle w:val="ListParagraph"/>
        <w:spacing w:before="240" w:after="0" w:line="240" w:lineRule="auto"/>
        <w:ind w:left="1080"/>
        <w:jc w:val="both"/>
        <w:rPr>
          <w:rFonts w:eastAsia="Times New Roman" w:cstheme="minorHAnsi"/>
          <w:b/>
          <w:bCs/>
          <w:smallCaps/>
          <w:kern w:val="2"/>
          <w:sz w:val="24"/>
          <w:szCs w:val="24"/>
        </w:rPr>
      </w:pPr>
    </w:p>
    <w:tbl>
      <w:tblPr>
        <w:tblStyle w:val="TableGrid1"/>
        <w:tblW w:w="0" w:type="auto"/>
        <w:tblInd w:w="1000" w:type="dxa"/>
        <w:tblLook w:val="04A0" w:firstRow="1" w:lastRow="0" w:firstColumn="1" w:lastColumn="0" w:noHBand="0" w:noVBand="1"/>
      </w:tblPr>
      <w:tblGrid>
        <w:gridCol w:w="2065"/>
        <w:gridCol w:w="1260"/>
        <w:gridCol w:w="1268"/>
      </w:tblGrid>
      <w:tr w:rsidR="00937D0C" w:rsidRPr="00937D0C" w14:paraId="3F72E41D" w14:textId="77777777" w:rsidTr="001342EB">
        <w:trPr>
          <w:cantSplit/>
          <w:tblHeader/>
        </w:trPr>
        <w:tc>
          <w:tcPr>
            <w:tcW w:w="2065" w:type="dxa"/>
          </w:tcPr>
          <w:p w14:paraId="71FBEFDE" w14:textId="77777777" w:rsidR="00937D0C" w:rsidRPr="00BE667E" w:rsidRDefault="00937D0C" w:rsidP="00937D0C">
            <w:pPr>
              <w:spacing w:line="256" w:lineRule="auto"/>
              <w:jc w:val="center"/>
              <w:rPr>
                <w:rFonts w:asciiTheme="majorHAnsi" w:eastAsiaTheme="minorHAnsi" w:hAnsiTheme="majorHAnsi" w:cstheme="majorHAnsi"/>
                <w:sz w:val="20"/>
                <w:szCs w:val="20"/>
              </w:rPr>
            </w:pPr>
            <w:r w:rsidRPr="00BE667E">
              <w:rPr>
                <w:rFonts w:asciiTheme="majorHAnsi" w:eastAsiaTheme="minorHAnsi" w:hAnsiTheme="majorHAnsi" w:cstheme="majorHAnsi"/>
                <w:color w:val="000000"/>
                <w:sz w:val="20"/>
                <w:szCs w:val="20"/>
              </w:rPr>
              <w:t>Geographic Origin</w:t>
            </w:r>
          </w:p>
        </w:tc>
        <w:tc>
          <w:tcPr>
            <w:tcW w:w="1260" w:type="dxa"/>
          </w:tcPr>
          <w:p w14:paraId="692E11A1" w14:textId="4DBFD46F" w:rsidR="00937D0C" w:rsidRPr="00BE667E" w:rsidRDefault="00937D0C" w:rsidP="00937D0C">
            <w:pPr>
              <w:spacing w:line="256" w:lineRule="auto"/>
              <w:jc w:val="center"/>
              <w:rPr>
                <w:rFonts w:asciiTheme="majorHAnsi" w:eastAsiaTheme="minorHAnsi" w:hAnsiTheme="majorHAnsi" w:cstheme="majorHAnsi"/>
                <w:sz w:val="20"/>
                <w:szCs w:val="20"/>
              </w:rPr>
            </w:pPr>
            <w:r w:rsidRPr="00BE667E">
              <w:rPr>
                <w:rFonts w:asciiTheme="majorHAnsi" w:eastAsiaTheme="minorHAnsi" w:hAnsiTheme="majorHAnsi" w:cstheme="majorHAnsi"/>
                <w:color w:val="000000"/>
                <w:sz w:val="20"/>
                <w:szCs w:val="20"/>
              </w:rPr>
              <w:t>FY202</w:t>
            </w:r>
            <w:r w:rsidR="001E592B" w:rsidRPr="00BE667E">
              <w:rPr>
                <w:rFonts w:asciiTheme="majorHAnsi" w:eastAsiaTheme="minorHAnsi" w:hAnsiTheme="majorHAnsi" w:cstheme="majorHAnsi"/>
                <w:color w:val="000000"/>
                <w:sz w:val="20"/>
                <w:szCs w:val="20"/>
              </w:rPr>
              <w:t>3</w:t>
            </w:r>
            <w:r w:rsidRPr="00BE667E">
              <w:rPr>
                <w:rFonts w:asciiTheme="majorHAnsi" w:eastAsiaTheme="minorHAnsi" w:hAnsiTheme="majorHAnsi" w:cstheme="majorHAnsi"/>
                <w:color w:val="000000"/>
                <w:sz w:val="20"/>
                <w:szCs w:val="20"/>
              </w:rPr>
              <w:t xml:space="preserve"> Count</w:t>
            </w:r>
          </w:p>
        </w:tc>
        <w:tc>
          <w:tcPr>
            <w:tcW w:w="1268" w:type="dxa"/>
          </w:tcPr>
          <w:p w14:paraId="2767429A" w14:textId="574F23EC" w:rsidR="00937D0C" w:rsidRPr="00BE667E" w:rsidRDefault="00937D0C" w:rsidP="00937D0C">
            <w:pPr>
              <w:spacing w:line="256" w:lineRule="auto"/>
              <w:jc w:val="center"/>
              <w:rPr>
                <w:rFonts w:asciiTheme="majorHAnsi" w:eastAsiaTheme="minorHAnsi" w:hAnsiTheme="majorHAnsi" w:cstheme="majorHAnsi"/>
                <w:sz w:val="20"/>
                <w:szCs w:val="20"/>
              </w:rPr>
            </w:pPr>
            <w:r w:rsidRPr="00BE667E">
              <w:rPr>
                <w:rFonts w:asciiTheme="majorHAnsi" w:eastAsiaTheme="minorHAnsi" w:hAnsiTheme="majorHAnsi" w:cstheme="majorHAnsi"/>
                <w:color w:val="000000"/>
                <w:sz w:val="20"/>
                <w:szCs w:val="20"/>
              </w:rPr>
              <w:t>FY202</w:t>
            </w:r>
            <w:r w:rsidR="001E592B" w:rsidRPr="00BE667E">
              <w:rPr>
                <w:rFonts w:asciiTheme="majorHAnsi" w:eastAsiaTheme="minorHAnsi" w:hAnsiTheme="majorHAnsi" w:cstheme="majorHAnsi"/>
                <w:color w:val="000000"/>
                <w:sz w:val="20"/>
                <w:szCs w:val="20"/>
              </w:rPr>
              <w:t xml:space="preserve">3 </w:t>
            </w:r>
            <w:r w:rsidRPr="00BE667E">
              <w:rPr>
                <w:rFonts w:asciiTheme="majorHAnsi" w:eastAsiaTheme="minorHAnsi" w:hAnsiTheme="majorHAnsi" w:cstheme="majorHAnsi"/>
                <w:color w:val="000000"/>
                <w:sz w:val="20"/>
                <w:szCs w:val="20"/>
              </w:rPr>
              <w:t>Percent</w:t>
            </w:r>
          </w:p>
        </w:tc>
      </w:tr>
      <w:tr w:rsidR="00BE667E" w:rsidRPr="00937D0C" w14:paraId="193C2FB8" w14:textId="77777777" w:rsidTr="001342EB">
        <w:trPr>
          <w:cantSplit/>
        </w:trPr>
        <w:tc>
          <w:tcPr>
            <w:tcW w:w="2065" w:type="dxa"/>
          </w:tcPr>
          <w:p w14:paraId="35A60207" w14:textId="388EBFED" w:rsidR="00BE667E" w:rsidRPr="00BE667E" w:rsidRDefault="00BE667E" w:rsidP="00BE667E">
            <w:pPr>
              <w:spacing w:line="256" w:lineRule="auto"/>
              <w:rPr>
                <w:rFonts w:asciiTheme="majorHAnsi" w:eastAsiaTheme="minorHAnsi" w:hAnsiTheme="majorHAnsi" w:cstheme="majorHAnsi"/>
                <w:sz w:val="20"/>
                <w:szCs w:val="20"/>
              </w:rPr>
            </w:pPr>
            <w:r w:rsidRPr="00BE667E">
              <w:rPr>
                <w:rFonts w:asciiTheme="majorHAnsi" w:hAnsiTheme="majorHAnsi" w:cstheme="majorHAnsi"/>
                <w:sz w:val="20"/>
                <w:szCs w:val="20"/>
              </w:rPr>
              <w:t xml:space="preserve">Peabody </w:t>
            </w:r>
          </w:p>
        </w:tc>
        <w:tc>
          <w:tcPr>
            <w:tcW w:w="1260" w:type="dxa"/>
          </w:tcPr>
          <w:p w14:paraId="3CA8AA0C" w14:textId="22A77D69" w:rsidR="00BE667E" w:rsidRPr="00BE667E" w:rsidRDefault="00BE667E" w:rsidP="00BE667E">
            <w:pPr>
              <w:spacing w:line="256" w:lineRule="auto"/>
              <w:jc w:val="center"/>
              <w:rPr>
                <w:rFonts w:asciiTheme="majorHAnsi" w:eastAsiaTheme="minorHAnsi" w:hAnsiTheme="majorHAnsi" w:cstheme="majorHAnsi"/>
                <w:sz w:val="20"/>
                <w:szCs w:val="20"/>
              </w:rPr>
            </w:pPr>
            <w:r w:rsidRPr="00BE667E">
              <w:rPr>
                <w:rFonts w:asciiTheme="majorHAnsi" w:hAnsiTheme="majorHAnsi" w:cstheme="majorHAnsi"/>
                <w:sz w:val="20"/>
                <w:szCs w:val="20"/>
              </w:rPr>
              <w:t>13,559</w:t>
            </w:r>
          </w:p>
        </w:tc>
        <w:tc>
          <w:tcPr>
            <w:tcW w:w="1268" w:type="dxa"/>
            <w:vAlign w:val="center"/>
          </w:tcPr>
          <w:p w14:paraId="2D907098" w14:textId="625B1F89" w:rsidR="00BE667E" w:rsidRPr="00BE667E" w:rsidRDefault="00BE667E" w:rsidP="00BE667E">
            <w:pPr>
              <w:spacing w:line="256" w:lineRule="auto"/>
              <w:jc w:val="center"/>
              <w:rPr>
                <w:rFonts w:asciiTheme="majorHAnsi" w:eastAsiaTheme="minorHAnsi" w:hAnsiTheme="majorHAnsi" w:cstheme="majorHAnsi"/>
                <w:sz w:val="20"/>
                <w:szCs w:val="20"/>
              </w:rPr>
            </w:pPr>
            <w:r>
              <w:rPr>
                <w:rFonts w:ascii="Calibri Light" w:hAnsi="Calibri Light" w:cs="Calibri Light"/>
                <w:color w:val="000000"/>
                <w:sz w:val="20"/>
                <w:szCs w:val="20"/>
              </w:rPr>
              <w:t>5.43%</w:t>
            </w:r>
          </w:p>
        </w:tc>
      </w:tr>
      <w:tr w:rsidR="00BE667E" w:rsidRPr="00937D0C" w14:paraId="0AF925BF" w14:textId="77777777" w:rsidTr="001342EB">
        <w:trPr>
          <w:cantSplit/>
        </w:trPr>
        <w:tc>
          <w:tcPr>
            <w:tcW w:w="2065" w:type="dxa"/>
          </w:tcPr>
          <w:p w14:paraId="34FF57AC" w14:textId="2564DE57" w:rsidR="00BE667E" w:rsidRPr="00BE667E" w:rsidRDefault="00BE667E" w:rsidP="00BE667E">
            <w:pPr>
              <w:spacing w:line="256" w:lineRule="auto"/>
              <w:rPr>
                <w:rFonts w:asciiTheme="majorHAnsi" w:eastAsiaTheme="minorHAnsi" w:hAnsiTheme="majorHAnsi" w:cstheme="majorHAnsi"/>
                <w:sz w:val="20"/>
                <w:szCs w:val="20"/>
              </w:rPr>
            </w:pPr>
            <w:r w:rsidRPr="00BE667E">
              <w:rPr>
                <w:rFonts w:asciiTheme="majorHAnsi" w:hAnsiTheme="majorHAnsi" w:cstheme="majorHAnsi"/>
                <w:sz w:val="20"/>
                <w:szCs w:val="20"/>
              </w:rPr>
              <w:t xml:space="preserve">Burlington </w:t>
            </w:r>
          </w:p>
        </w:tc>
        <w:tc>
          <w:tcPr>
            <w:tcW w:w="1260" w:type="dxa"/>
          </w:tcPr>
          <w:p w14:paraId="42D3334E" w14:textId="0E82E596" w:rsidR="00BE667E" w:rsidRPr="00BE667E" w:rsidRDefault="00BE667E" w:rsidP="00BE667E">
            <w:pPr>
              <w:spacing w:line="256" w:lineRule="auto"/>
              <w:jc w:val="center"/>
              <w:rPr>
                <w:rFonts w:asciiTheme="majorHAnsi" w:eastAsiaTheme="minorHAnsi" w:hAnsiTheme="majorHAnsi" w:cstheme="majorHAnsi"/>
                <w:sz w:val="20"/>
                <w:szCs w:val="20"/>
              </w:rPr>
            </w:pPr>
            <w:r w:rsidRPr="00BE667E">
              <w:rPr>
                <w:rFonts w:asciiTheme="majorHAnsi" w:hAnsiTheme="majorHAnsi" w:cstheme="majorHAnsi"/>
                <w:sz w:val="20"/>
                <w:szCs w:val="20"/>
              </w:rPr>
              <w:t>10,720</w:t>
            </w:r>
          </w:p>
        </w:tc>
        <w:tc>
          <w:tcPr>
            <w:tcW w:w="1268" w:type="dxa"/>
            <w:vAlign w:val="center"/>
          </w:tcPr>
          <w:p w14:paraId="3B641EAA" w14:textId="5CD5C114" w:rsidR="00BE667E" w:rsidRPr="00BE667E" w:rsidRDefault="00BE667E" w:rsidP="00BE667E">
            <w:pPr>
              <w:spacing w:line="256" w:lineRule="auto"/>
              <w:jc w:val="center"/>
              <w:rPr>
                <w:rFonts w:asciiTheme="majorHAnsi" w:eastAsiaTheme="minorHAnsi" w:hAnsiTheme="majorHAnsi" w:cstheme="majorHAnsi"/>
                <w:sz w:val="20"/>
                <w:szCs w:val="20"/>
              </w:rPr>
            </w:pPr>
            <w:r>
              <w:rPr>
                <w:rFonts w:ascii="Calibri Light" w:hAnsi="Calibri Light" w:cs="Calibri Light"/>
                <w:color w:val="000000"/>
                <w:sz w:val="20"/>
                <w:szCs w:val="20"/>
              </w:rPr>
              <w:t>4.29%</w:t>
            </w:r>
          </w:p>
        </w:tc>
      </w:tr>
      <w:tr w:rsidR="00BE667E" w:rsidRPr="00937D0C" w14:paraId="5719F2D3" w14:textId="77777777" w:rsidTr="001342EB">
        <w:trPr>
          <w:cantSplit/>
        </w:trPr>
        <w:tc>
          <w:tcPr>
            <w:tcW w:w="2065" w:type="dxa"/>
          </w:tcPr>
          <w:p w14:paraId="1329B687" w14:textId="28A59DC9" w:rsidR="00BE667E" w:rsidRPr="00BE667E" w:rsidRDefault="00BE667E" w:rsidP="00BE667E">
            <w:pPr>
              <w:spacing w:line="256" w:lineRule="auto"/>
              <w:rPr>
                <w:rFonts w:asciiTheme="majorHAnsi" w:eastAsiaTheme="minorHAnsi" w:hAnsiTheme="majorHAnsi" w:cstheme="majorHAnsi"/>
                <w:sz w:val="20"/>
                <w:szCs w:val="20"/>
              </w:rPr>
            </w:pPr>
            <w:r w:rsidRPr="00BE667E">
              <w:rPr>
                <w:rFonts w:asciiTheme="majorHAnsi" w:hAnsiTheme="majorHAnsi" w:cstheme="majorHAnsi"/>
                <w:sz w:val="20"/>
                <w:szCs w:val="20"/>
              </w:rPr>
              <w:t xml:space="preserve">Billerica </w:t>
            </w:r>
          </w:p>
        </w:tc>
        <w:tc>
          <w:tcPr>
            <w:tcW w:w="1260" w:type="dxa"/>
          </w:tcPr>
          <w:p w14:paraId="424C1DFA" w14:textId="4EAE670F" w:rsidR="00BE667E" w:rsidRPr="00BE667E" w:rsidRDefault="00BE667E" w:rsidP="00BE667E">
            <w:pPr>
              <w:spacing w:line="256" w:lineRule="auto"/>
              <w:jc w:val="center"/>
              <w:rPr>
                <w:rFonts w:asciiTheme="majorHAnsi" w:eastAsiaTheme="minorHAnsi" w:hAnsiTheme="majorHAnsi" w:cstheme="majorHAnsi"/>
                <w:sz w:val="20"/>
                <w:szCs w:val="20"/>
              </w:rPr>
            </w:pPr>
            <w:r w:rsidRPr="00BE667E">
              <w:rPr>
                <w:rFonts w:asciiTheme="majorHAnsi" w:hAnsiTheme="majorHAnsi" w:cstheme="majorHAnsi"/>
                <w:sz w:val="20"/>
                <w:szCs w:val="20"/>
              </w:rPr>
              <w:t>10,670</w:t>
            </w:r>
          </w:p>
        </w:tc>
        <w:tc>
          <w:tcPr>
            <w:tcW w:w="1268" w:type="dxa"/>
            <w:vAlign w:val="center"/>
          </w:tcPr>
          <w:p w14:paraId="7D26DDDA" w14:textId="0F5D1534" w:rsidR="00BE667E" w:rsidRPr="00BE667E" w:rsidRDefault="00BE667E" w:rsidP="00BE667E">
            <w:pPr>
              <w:spacing w:line="256" w:lineRule="auto"/>
              <w:jc w:val="center"/>
              <w:rPr>
                <w:rFonts w:asciiTheme="majorHAnsi" w:eastAsiaTheme="minorHAnsi" w:hAnsiTheme="majorHAnsi" w:cstheme="majorHAnsi"/>
                <w:sz w:val="20"/>
                <w:szCs w:val="20"/>
              </w:rPr>
            </w:pPr>
            <w:r>
              <w:rPr>
                <w:rFonts w:ascii="Calibri Light" w:hAnsi="Calibri Light" w:cs="Calibri Light"/>
                <w:color w:val="000000"/>
                <w:sz w:val="20"/>
                <w:szCs w:val="20"/>
              </w:rPr>
              <w:t>4.27%</w:t>
            </w:r>
          </w:p>
        </w:tc>
      </w:tr>
      <w:tr w:rsidR="00BE667E" w:rsidRPr="00937D0C" w14:paraId="7900D5A0" w14:textId="77777777" w:rsidTr="001342EB">
        <w:trPr>
          <w:cantSplit/>
        </w:trPr>
        <w:tc>
          <w:tcPr>
            <w:tcW w:w="2065" w:type="dxa"/>
          </w:tcPr>
          <w:p w14:paraId="19856198" w14:textId="01F738A4" w:rsidR="00BE667E" w:rsidRPr="00BE667E" w:rsidRDefault="00BE667E" w:rsidP="00BE667E">
            <w:pPr>
              <w:spacing w:line="256" w:lineRule="auto"/>
              <w:rPr>
                <w:rFonts w:asciiTheme="majorHAnsi" w:eastAsiaTheme="minorHAnsi" w:hAnsiTheme="majorHAnsi" w:cstheme="majorHAnsi"/>
                <w:sz w:val="20"/>
                <w:szCs w:val="20"/>
              </w:rPr>
            </w:pPr>
            <w:r w:rsidRPr="00BE667E">
              <w:rPr>
                <w:rFonts w:asciiTheme="majorHAnsi" w:hAnsiTheme="majorHAnsi" w:cstheme="majorHAnsi"/>
                <w:sz w:val="20"/>
                <w:szCs w:val="20"/>
              </w:rPr>
              <w:t>Woburn</w:t>
            </w:r>
          </w:p>
        </w:tc>
        <w:tc>
          <w:tcPr>
            <w:tcW w:w="1260" w:type="dxa"/>
          </w:tcPr>
          <w:p w14:paraId="2CFDCF00" w14:textId="13B493CD" w:rsidR="00BE667E" w:rsidRPr="00BE667E" w:rsidRDefault="00BE667E" w:rsidP="00BE667E">
            <w:pPr>
              <w:spacing w:line="256" w:lineRule="auto"/>
              <w:jc w:val="center"/>
              <w:rPr>
                <w:rFonts w:asciiTheme="majorHAnsi" w:eastAsiaTheme="minorHAnsi" w:hAnsiTheme="majorHAnsi" w:cstheme="majorHAnsi"/>
                <w:sz w:val="20"/>
                <w:szCs w:val="20"/>
              </w:rPr>
            </w:pPr>
            <w:r w:rsidRPr="00BE667E">
              <w:rPr>
                <w:rFonts w:asciiTheme="majorHAnsi" w:hAnsiTheme="majorHAnsi" w:cstheme="majorHAnsi"/>
                <w:sz w:val="20"/>
                <w:szCs w:val="20"/>
              </w:rPr>
              <w:t>10,247</w:t>
            </w:r>
          </w:p>
        </w:tc>
        <w:tc>
          <w:tcPr>
            <w:tcW w:w="1268" w:type="dxa"/>
            <w:vAlign w:val="center"/>
          </w:tcPr>
          <w:p w14:paraId="1FFAF11E" w14:textId="010325D0" w:rsidR="00BE667E" w:rsidRPr="00BE667E" w:rsidRDefault="00BE667E" w:rsidP="00BE667E">
            <w:pPr>
              <w:spacing w:line="256" w:lineRule="auto"/>
              <w:jc w:val="center"/>
              <w:rPr>
                <w:rFonts w:asciiTheme="majorHAnsi" w:eastAsiaTheme="minorHAnsi" w:hAnsiTheme="majorHAnsi" w:cstheme="majorHAnsi"/>
                <w:sz w:val="20"/>
                <w:szCs w:val="20"/>
              </w:rPr>
            </w:pPr>
            <w:r>
              <w:rPr>
                <w:rFonts w:ascii="Calibri Light" w:hAnsi="Calibri Light" w:cs="Calibri Light"/>
                <w:color w:val="000000"/>
                <w:sz w:val="20"/>
                <w:szCs w:val="20"/>
              </w:rPr>
              <w:t>4.11%</w:t>
            </w:r>
          </w:p>
        </w:tc>
      </w:tr>
      <w:tr w:rsidR="00BE667E" w:rsidRPr="00937D0C" w14:paraId="71D072B4" w14:textId="77777777" w:rsidTr="001342EB">
        <w:trPr>
          <w:cantSplit/>
        </w:trPr>
        <w:tc>
          <w:tcPr>
            <w:tcW w:w="2065" w:type="dxa"/>
          </w:tcPr>
          <w:p w14:paraId="30105123" w14:textId="09AC9A09" w:rsidR="00BE667E" w:rsidRPr="00BE667E" w:rsidRDefault="00BE667E" w:rsidP="00BE667E">
            <w:pPr>
              <w:spacing w:line="256" w:lineRule="auto"/>
              <w:rPr>
                <w:rFonts w:asciiTheme="majorHAnsi" w:eastAsiaTheme="minorHAnsi" w:hAnsiTheme="majorHAnsi" w:cstheme="majorHAnsi"/>
                <w:sz w:val="20"/>
                <w:szCs w:val="20"/>
              </w:rPr>
            </w:pPr>
            <w:r w:rsidRPr="00BE667E">
              <w:rPr>
                <w:rFonts w:asciiTheme="majorHAnsi" w:hAnsiTheme="majorHAnsi" w:cstheme="majorHAnsi"/>
                <w:sz w:val="20"/>
                <w:szCs w:val="20"/>
              </w:rPr>
              <w:t>Lexington</w:t>
            </w:r>
          </w:p>
        </w:tc>
        <w:tc>
          <w:tcPr>
            <w:tcW w:w="1260" w:type="dxa"/>
          </w:tcPr>
          <w:p w14:paraId="7D0588D9" w14:textId="1196E1CA" w:rsidR="00BE667E" w:rsidRPr="00BE667E" w:rsidRDefault="00BE667E" w:rsidP="00BE667E">
            <w:pPr>
              <w:spacing w:line="256" w:lineRule="auto"/>
              <w:jc w:val="center"/>
              <w:rPr>
                <w:rFonts w:asciiTheme="majorHAnsi" w:eastAsiaTheme="minorHAnsi" w:hAnsiTheme="majorHAnsi" w:cstheme="majorHAnsi"/>
                <w:sz w:val="20"/>
                <w:szCs w:val="20"/>
              </w:rPr>
            </w:pPr>
            <w:r w:rsidRPr="00BE667E">
              <w:rPr>
                <w:rFonts w:asciiTheme="majorHAnsi" w:hAnsiTheme="majorHAnsi" w:cstheme="majorHAnsi"/>
                <w:sz w:val="20"/>
                <w:szCs w:val="20"/>
              </w:rPr>
              <w:t>7,728</w:t>
            </w:r>
          </w:p>
        </w:tc>
        <w:tc>
          <w:tcPr>
            <w:tcW w:w="1268" w:type="dxa"/>
            <w:vAlign w:val="center"/>
          </w:tcPr>
          <w:p w14:paraId="585FE491" w14:textId="70CE5FB2" w:rsidR="00BE667E" w:rsidRPr="00BE667E" w:rsidRDefault="00BE667E" w:rsidP="00BE667E">
            <w:pPr>
              <w:spacing w:line="256" w:lineRule="auto"/>
              <w:jc w:val="center"/>
              <w:rPr>
                <w:rFonts w:asciiTheme="majorHAnsi" w:eastAsiaTheme="minorHAnsi" w:hAnsiTheme="majorHAnsi" w:cstheme="majorHAnsi"/>
                <w:sz w:val="20"/>
                <w:szCs w:val="20"/>
              </w:rPr>
            </w:pPr>
            <w:r>
              <w:rPr>
                <w:rFonts w:ascii="Calibri Light" w:hAnsi="Calibri Light" w:cs="Calibri Light"/>
                <w:color w:val="000000"/>
                <w:sz w:val="20"/>
                <w:szCs w:val="20"/>
              </w:rPr>
              <w:t>3.10%</w:t>
            </w:r>
          </w:p>
        </w:tc>
      </w:tr>
      <w:tr w:rsidR="00BE667E" w:rsidRPr="00937D0C" w14:paraId="7A05FC6D" w14:textId="77777777" w:rsidTr="001342EB">
        <w:trPr>
          <w:cantSplit/>
        </w:trPr>
        <w:tc>
          <w:tcPr>
            <w:tcW w:w="2065" w:type="dxa"/>
          </w:tcPr>
          <w:p w14:paraId="64CD5009" w14:textId="73CA39C7" w:rsidR="00BE667E" w:rsidRPr="00BE667E" w:rsidRDefault="00BE667E" w:rsidP="00BE667E">
            <w:pPr>
              <w:spacing w:line="256" w:lineRule="auto"/>
              <w:rPr>
                <w:rFonts w:asciiTheme="majorHAnsi" w:eastAsiaTheme="minorHAnsi" w:hAnsiTheme="majorHAnsi" w:cstheme="majorHAnsi"/>
                <w:sz w:val="20"/>
                <w:szCs w:val="20"/>
              </w:rPr>
            </w:pPr>
            <w:r w:rsidRPr="00BE667E">
              <w:rPr>
                <w:rFonts w:asciiTheme="majorHAnsi" w:hAnsiTheme="majorHAnsi" w:cstheme="majorHAnsi"/>
                <w:sz w:val="20"/>
                <w:szCs w:val="20"/>
              </w:rPr>
              <w:t>Beverly</w:t>
            </w:r>
          </w:p>
        </w:tc>
        <w:tc>
          <w:tcPr>
            <w:tcW w:w="1260" w:type="dxa"/>
          </w:tcPr>
          <w:p w14:paraId="338451CC" w14:textId="6460AC57" w:rsidR="00BE667E" w:rsidRPr="00BE667E" w:rsidRDefault="00BE667E" w:rsidP="00BE667E">
            <w:pPr>
              <w:spacing w:line="256" w:lineRule="auto"/>
              <w:jc w:val="center"/>
              <w:rPr>
                <w:rFonts w:asciiTheme="majorHAnsi" w:eastAsiaTheme="minorHAnsi" w:hAnsiTheme="majorHAnsi" w:cstheme="majorHAnsi"/>
                <w:sz w:val="20"/>
                <w:szCs w:val="20"/>
              </w:rPr>
            </w:pPr>
            <w:r w:rsidRPr="00BE667E">
              <w:rPr>
                <w:rFonts w:asciiTheme="majorHAnsi" w:hAnsiTheme="majorHAnsi" w:cstheme="majorHAnsi"/>
                <w:sz w:val="20"/>
                <w:szCs w:val="20"/>
              </w:rPr>
              <w:t>7,422</w:t>
            </w:r>
          </w:p>
        </w:tc>
        <w:tc>
          <w:tcPr>
            <w:tcW w:w="1268" w:type="dxa"/>
            <w:vAlign w:val="center"/>
          </w:tcPr>
          <w:p w14:paraId="7642C17E" w14:textId="383A2647" w:rsidR="00BE667E" w:rsidRPr="00BE667E" w:rsidRDefault="00BE667E" w:rsidP="00BE667E">
            <w:pPr>
              <w:spacing w:line="256" w:lineRule="auto"/>
              <w:jc w:val="center"/>
              <w:rPr>
                <w:rFonts w:asciiTheme="majorHAnsi" w:eastAsiaTheme="minorHAnsi" w:hAnsiTheme="majorHAnsi" w:cstheme="majorHAnsi"/>
                <w:sz w:val="20"/>
                <w:szCs w:val="20"/>
              </w:rPr>
            </w:pPr>
            <w:r>
              <w:rPr>
                <w:rFonts w:ascii="Calibri Light" w:hAnsi="Calibri Light" w:cs="Calibri Light"/>
                <w:color w:val="000000"/>
                <w:sz w:val="20"/>
                <w:szCs w:val="20"/>
              </w:rPr>
              <w:t>2.97%</w:t>
            </w:r>
          </w:p>
        </w:tc>
      </w:tr>
      <w:tr w:rsidR="00BE667E" w:rsidRPr="00937D0C" w14:paraId="05462E5A" w14:textId="77777777" w:rsidTr="001342EB">
        <w:trPr>
          <w:cantSplit/>
        </w:trPr>
        <w:tc>
          <w:tcPr>
            <w:tcW w:w="2065" w:type="dxa"/>
          </w:tcPr>
          <w:p w14:paraId="52B1D2F7" w14:textId="1B1758C8" w:rsidR="00BE667E" w:rsidRPr="00BE667E" w:rsidRDefault="00BE667E" w:rsidP="00BE667E">
            <w:pPr>
              <w:spacing w:line="256" w:lineRule="auto"/>
              <w:rPr>
                <w:rFonts w:asciiTheme="majorHAnsi" w:eastAsiaTheme="minorHAnsi" w:hAnsiTheme="majorHAnsi" w:cstheme="majorHAnsi"/>
                <w:sz w:val="20"/>
                <w:szCs w:val="20"/>
              </w:rPr>
            </w:pPr>
            <w:r w:rsidRPr="00BE667E">
              <w:rPr>
                <w:rFonts w:asciiTheme="majorHAnsi" w:hAnsiTheme="majorHAnsi" w:cstheme="majorHAnsi"/>
                <w:sz w:val="20"/>
                <w:szCs w:val="20"/>
              </w:rPr>
              <w:t>Lynn</w:t>
            </w:r>
          </w:p>
        </w:tc>
        <w:tc>
          <w:tcPr>
            <w:tcW w:w="1260" w:type="dxa"/>
          </w:tcPr>
          <w:p w14:paraId="0AF720D4" w14:textId="6BC07B04" w:rsidR="00BE667E" w:rsidRPr="00BE667E" w:rsidRDefault="00BE667E" w:rsidP="00BE667E">
            <w:pPr>
              <w:spacing w:line="256" w:lineRule="auto"/>
              <w:jc w:val="center"/>
              <w:rPr>
                <w:rFonts w:asciiTheme="majorHAnsi" w:eastAsiaTheme="minorHAnsi" w:hAnsiTheme="majorHAnsi" w:cstheme="majorHAnsi"/>
                <w:sz w:val="20"/>
                <w:szCs w:val="20"/>
              </w:rPr>
            </w:pPr>
            <w:r w:rsidRPr="00BE667E">
              <w:rPr>
                <w:rFonts w:asciiTheme="majorHAnsi" w:hAnsiTheme="majorHAnsi" w:cstheme="majorHAnsi"/>
                <w:sz w:val="20"/>
                <w:szCs w:val="20"/>
              </w:rPr>
              <w:t>6,496</w:t>
            </w:r>
          </w:p>
        </w:tc>
        <w:tc>
          <w:tcPr>
            <w:tcW w:w="1268" w:type="dxa"/>
            <w:vAlign w:val="center"/>
          </w:tcPr>
          <w:p w14:paraId="45B3295A" w14:textId="29DB457D" w:rsidR="00BE667E" w:rsidRPr="00BE667E" w:rsidRDefault="00BE667E" w:rsidP="00BE667E">
            <w:pPr>
              <w:spacing w:line="256" w:lineRule="auto"/>
              <w:jc w:val="center"/>
              <w:rPr>
                <w:rFonts w:asciiTheme="majorHAnsi" w:eastAsiaTheme="minorHAnsi" w:hAnsiTheme="majorHAnsi" w:cstheme="majorHAnsi"/>
                <w:sz w:val="20"/>
                <w:szCs w:val="20"/>
              </w:rPr>
            </w:pPr>
            <w:r>
              <w:rPr>
                <w:rFonts w:ascii="Calibri Light" w:hAnsi="Calibri Light" w:cs="Calibri Light"/>
                <w:color w:val="000000"/>
                <w:sz w:val="20"/>
                <w:szCs w:val="20"/>
              </w:rPr>
              <w:t>2.60%</w:t>
            </w:r>
          </w:p>
        </w:tc>
      </w:tr>
      <w:tr w:rsidR="00BE667E" w:rsidRPr="00937D0C" w14:paraId="2FADD779" w14:textId="77777777" w:rsidTr="001342EB">
        <w:trPr>
          <w:cantSplit/>
        </w:trPr>
        <w:tc>
          <w:tcPr>
            <w:tcW w:w="2065" w:type="dxa"/>
          </w:tcPr>
          <w:p w14:paraId="706CDF33" w14:textId="0D827E1C" w:rsidR="00BE667E" w:rsidRPr="00BE667E" w:rsidRDefault="00BE667E" w:rsidP="00BE667E">
            <w:pPr>
              <w:spacing w:line="256" w:lineRule="auto"/>
              <w:rPr>
                <w:rFonts w:asciiTheme="majorHAnsi" w:eastAsiaTheme="minorHAnsi" w:hAnsiTheme="majorHAnsi" w:cstheme="majorHAnsi"/>
                <w:sz w:val="20"/>
                <w:szCs w:val="20"/>
              </w:rPr>
            </w:pPr>
            <w:r w:rsidRPr="00BE667E">
              <w:rPr>
                <w:rFonts w:asciiTheme="majorHAnsi" w:hAnsiTheme="majorHAnsi" w:cstheme="majorHAnsi"/>
                <w:sz w:val="20"/>
                <w:szCs w:val="20"/>
              </w:rPr>
              <w:t>Salem</w:t>
            </w:r>
          </w:p>
        </w:tc>
        <w:tc>
          <w:tcPr>
            <w:tcW w:w="1260" w:type="dxa"/>
          </w:tcPr>
          <w:p w14:paraId="1BBBA3B0" w14:textId="523C3A7E" w:rsidR="00BE667E" w:rsidRPr="00BE667E" w:rsidRDefault="00BE667E" w:rsidP="00BE667E">
            <w:pPr>
              <w:spacing w:line="256" w:lineRule="auto"/>
              <w:jc w:val="center"/>
              <w:rPr>
                <w:rFonts w:asciiTheme="majorHAnsi" w:eastAsiaTheme="minorHAnsi" w:hAnsiTheme="majorHAnsi" w:cstheme="majorHAnsi"/>
                <w:sz w:val="20"/>
                <w:szCs w:val="20"/>
              </w:rPr>
            </w:pPr>
            <w:r w:rsidRPr="00BE667E">
              <w:rPr>
                <w:rFonts w:asciiTheme="majorHAnsi" w:hAnsiTheme="majorHAnsi" w:cstheme="majorHAnsi"/>
                <w:sz w:val="20"/>
                <w:szCs w:val="20"/>
              </w:rPr>
              <w:t>6,125</w:t>
            </w:r>
          </w:p>
        </w:tc>
        <w:tc>
          <w:tcPr>
            <w:tcW w:w="1268" w:type="dxa"/>
            <w:vAlign w:val="center"/>
          </w:tcPr>
          <w:p w14:paraId="088349AB" w14:textId="5C05A220" w:rsidR="00BE667E" w:rsidRPr="00BE667E" w:rsidRDefault="00BE667E" w:rsidP="00BE667E">
            <w:pPr>
              <w:spacing w:line="256" w:lineRule="auto"/>
              <w:jc w:val="center"/>
              <w:rPr>
                <w:rFonts w:asciiTheme="majorHAnsi" w:eastAsiaTheme="minorHAnsi" w:hAnsiTheme="majorHAnsi" w:cstheme="majorHAnsi"/>
                <w:sz w:val="20"/>
                <w:szCs w:val="20"/>
              </w:rPr>
            </w:pPr>
            <w:r>
              <w:rPr>
                <w:rFonts w:ascii="Calibri Light" w:hAnsi="Calibri Light" w:cs="Calibri Light"/>
                <w:color w:val="000000"/>
                <w:sz w:val="20"/>
                <w:szCs w:val="20"/>
              </w:rPr>
              <w:t>2.45%</w:t>
            </w:r>
          </w:p>
        </w:tc>
      </w:tr>
      <w:tr w:rsidR="00BE667E" w:rsidRPr="00937D0C" w14:paraId="539B1412" w14:textId="77777777" w:rsidTr="001342EB">
        <w:trPr>
          <w:cantSplit/>
        </w:trPr>
        <w:tc>
          <w:tcPr>
            <w:tcW w:w="2065" w:type="dxa"/>
          </w:tcPr>
          <w:p w14:paraId="3B301932" w14:textId="0BC5A00C" w:rsidR="00BE667E" w:rsidRPr="00BE667E" w:rsidRDefault="00BE667E" w:rsidP="00BE667E">
            <w:pPr>
              <w:spacing w:line="256" w:lineRule="auto"/>
              <w:rPr>
                <w:rFonts w:asciiTheme="majorHAnsi" w:eastAsiaTheme="minorHAnsi" w:hAnsiTheme="majorHAnsi" w:cstheme="majorHAnsi"/>
                <w:sz w:val="20"/>
                <w:szCs w:val="20"/>
              </w:rPr>
            </w:pPr>
            <w:r w:rsidRPr="00BE667E">
              <w:rPr>
                <w:rFonts w:asciiTheme="majorHAnsi" w:hAnsiTheme="majorHAnsi" w:cstheme="majorHAnsi"/>
                <w:sz w:val="20"/>
                <w:szCs w:val="20"/>
              </w:rPr>
              <w:t>Danvers</w:t>
            </w:r>
          </w:p>
        </w:tc>
        <w:tc>
          <w:tcPr>
            <w:tcW w:w="1260" w:type="dxa"/>
          </w:tcPr>
          <w:p w14:paraId="3F435DA5" w14:textId="6B9CDF4B" w:rsidR="00BE667E" w:rsidRPr="00BE667E" w:rsidRDefault="00BE667E" w:rsidP="00BE667E">
            <w:pPr>
              <w:spacing w:line="256" w:lineRule="auto"/>
              <w:jc w:val="center"/>
              <w:rPr>
                <w:rFonts w:asciiTheme="majorHAnsi" w:eastAsiaTheme="minorHAnsi" w:hAnsiTheme="majorHAnsi" w:cstheme="majorHAnsi"/>
                <w:sz w:val="20"/>
                <w:szCs w:val="20"/>
              </w:rPr>
            </w:pPr>
            <w:r w:rsidRPr="00BE667E">
              <w:rPr>
                <w:rFonts w:asciiTheme="majorHAnsi" w:hAnsiTheme="majorHAnsi" w:cstheme="majorHAnsi"/>
                <w:sz w:val="20"/>
                <w:szCs w:val="20"/>
              </w:rPr>
              <w:t>6,023</w:t>
            </w:r>
          </w:p>
        </w:tc>
        <w:tc>
          <w:tcPr>
            <w:tcW w:w="1268" w:type="dxa"/>
            <w:vAlign w:val="center"/>
          </w:tcPr>
          <w:p w14:paraId="166C4B8D" w14:textId="5F299E08" w:rsidR="00BE667E" w:rsidRPr="00BE667E" w:rsidRDefault="00BE667E" w:rsidP="00BE667E">
            <w:pPr>
              <w:spacing w:line="256" w:lineRule="auto"/>
              <w:jc w:val="center"/>
              <w:rPr>
                <w:rFonts w:asciiTheme="majorHAnsi" w:eastAsiaTheme="minorHAnsi" w:hAnsiTheme="majorHAnsi" w:cstheme="majorHAnsi"/>
                <w:sz w:val="20"/>
                <w:szCs w:val="20"/>
              </w:rPr>
            </w:pPr>
            <w:r>
              <w:rPr>
                <w:rFonts w:ascii="Calibri Light" w:hAnsi="Calibri Light" w:cs="Calibri Light"/>
                <w:color w:val="000000"/>
                <w:sz w:val="20"/>
                <w:szCs w:val="20"/>
              </w:rPr>
              <w:t>2.41%</w:t>
            </w:r>
          </w:p>
        </w:tc>
      </w:tr>
      <w:tr w:rsidR="00BE667E" w:rsidRPr="00937D0C" w14:paraId="7FE65D6B" w14:textId="77777777" w:rsidTr="001342EB">
        <w:trPr>
          <w:cantSplit/>
        </w:trPr>
        <w:tc>
          <w:tcPr>
            <w:tcW w:w="2065" w:type="dxa"/>
          </w:tcPr>
          <w:p w14:paraId="7F5DEB0D" w14:textId="6F0DA19B" w:rsidR="00BE667E" w:rsidRPr="00BE667E" w:rsidRDefault="00BE667E" w:rsidP="00BE667E">
            <w:pPr>
              <w:spacing w:line="256" w:lineRule="auto"/>
              <w:rPr>
                <w:rFonts w:asciiTheme="majorHAnsi" w:eastAsiaTheme="minorHAnsi" w:hAnsiTheme="majorHAnsi" w:cstheme="majorHAnsi"/>
                <w:sz w:val="20"/>
                <w:szCs w:val="20"/>
              </w:rPr>
            </w:pPr>
            <w:r w:rsidRPr="00BE667E">
              <w:rPr>
                <w:rFonts w:asciiTheme="majorHAnsi" w:hAnsiTheme="majorHAnsi" w:cstheme="majorHAnsi"/>
                <w:sz w:val="20"/>
                <w:szCs w:val="20"/>
              </w:rPr>
              <w:t>Wilmington</w:t>
            </w:r>
          </w:p>
        </w:tc>
        <w:tc>
          <w:tcPr>
            <w:tcW w:w="1260" w:type="dxa"/>
          </w:tcPr>
          <w:p w14:paraId="510F3CDF" w14:textId="7C2F332F" w:rsidR="00BE667E" w:rsidRPr="00BE667E" w:rsidRDefault="00BE667E" w:rsidP="00BE667E">
            <w:pPr>
              <w:spacing w:line="256" w:lineRule="auto"/>
              <w:jc w:val="center"/>
              <w:rPr>
                <w:rFonts w:asciiTheme="majorHAnsi" w:eastAsiaTheme="minorHAnsi" w:hAnsiTheme="majorHAnsi" w:cstheme="majorHAnsi"/>
                <w:sz w:val="20"/>
                <w:szCs w:val="20"/>
              </w:rPr>
            </w:pPr>
            <w:r w:rsidRPr="00BE667E">
              <w:rPr>
                <w:rFonts w:asciiTheme="majorHAnsi" w:hAnsiTheme="majorHAnsi" w:cstheme="majorHAnsi"/>
                <w:sz w:val="20"/>
                <w:szCs w:val="20"/>
              </w:rPr>
              <w:t>5,829</w:t>
            </w:r>
          </w:p>
        </w:tc>
        <w:tc>
          <w:tcPr>
            <w:tcW w:w="1268" w:type="dxa"/>
            <w:vAlign w:val="center"/>
          </w:tcPr>
          <w:p w14:paraId="509F0742" w14:textId="5AA09523" w:rsidR="00BE667E" w:rsidRPr="00BE667E" w:rsidRDefault="00BE667E" w:rsidP="00BE667E">
            <w:pPr>
              <w:spacing w:line="256" w:lineRule="auto"/>
              <w:jc w:val="center"/>
              <w:rPr>
                <w:rFonts w:asciiTheme="majorHAnsi" w:eastAsiaTheme="minorHAnsi" w:hAnsiTheme="majorHAnsi" w:cstheme="majorHAnsi"/>
                <w:sz w:val="20"/>
                <w:szCs w:val="20"/>
              </w:rPr>
            </w:pPr>
            <w:r>
              <w:rPr>
                <w:rFonts w:ascii="Calibri Light" w:hAnsi="Calibri Light" w:cs="Calibri Light"/>
                <w:color w:val="000000"/>
                <w:sz w:val="20"/>
                <w:szCs w:val="20"/>
              </w:rPr>
              <w:t>2.34%</w:t>
            </w:r>
          </w:p>
        </w:tc>
      </w:tr>
      <w:tr w:rsidR="00BE667E" w:rsidRPr="00937D0C" w14:paraId="5A4F9CB1" w14:textId="77777777" w:rsidTr="001342EB">
        <w:trPr>
          <w:cantSplit/>
        </w:trPr>
        <w:tc>
          <w:tcPr>
            <w:tcW w:w="2065" w:type="dxa"/>
          </w:tcPr>
          <w:p w14:paraId="439AC808" w14:textId="1721A4EA" w:rsidR="00BE667E" w:rsidRPr="00BE667E" w:rsidRDefault="00BE667E" w:rsidP="00BE667E">
            <w:pPr>
              <w:spacing w:line="256" w:lineRule="auto"/>
              <w:rPr>
                <w:rFonts w:asciiTheme="majorHAnsi" w:eastAsiaTheme="minorHAnsi" w:hAnsiTheme="majorHAnsi" w:cstheme="majorHAnsi"/>
                <w:sz w:val="20"/>
                <w:szCs w:val="20"/>
              </w:rPr>
            </w:pPr>
            <w:r w:rsidRPr="00BE667E">
              <w:rPr>
                <w:rFonts w:asciiTheme="majorHAnsi" w:hAnsiTheme="majorHAnsi" w:cstheme="majorHAnsi"/>
                <w:sz w:val="20"/>
                <w:szCs w:val="20"/>
              </w:rPr>
              <w:t>Tewksbury</w:t>
            </w:r>
          </w:p>
        </w:tc>
        <w:tc>
          <w:tcPr>
            <w:tcW w:w="1260" w:type="dxa"/>
          </w:tcPr>
          <w:p w14:paraId="23F8C5FB" w14:textId="39CB847E" w:rsidR="00BE667E" w:rsidRPr="00BE667E" w:rsidRDefault="00BE667E" w:rsidP="00BE667E">
            <w:pPr>
              <w:spacing w:line="256" w:lineRule="auto"/>
              <w:jc w:val="center"/>
              <w:rPr>
                <w:rFonts w:asciiTheme="majorHAnsi" w:eastAsiaTheme="minorHAnsi" w:hAnsiTheme="majorHAnsi" w:cstheme="majorHAnsi"/>
                <w:sz w:val="20"/>
                <w:szCs w:val="20"/>
              </w:rPr>
            </w:pPr>
            <w:r w:rsidRPr="00BE667E">
              <w:rPr>
                <w:rFonts w:asciiTheme="majorHAnsi" w:hAnsiTheme="majorHAnsi" w:cstheme="majorHAnsi"/>
                <w:sz w:val="20"/>
                <w:szCs w:val="20"/>
              </w:rPr>
              <w:t>5,222</w:t>
            </w:r>
          </w:p>
        </w:tc>
        <w:tc>
          <w:tcPr>
            <w:tcW w:w="1268" w:type="dxa"/>
            <w:vAlign w:val="center"/>
          </w:tcPr>
          <w:p w14:paraId="19CFF751" w14:textId="5D863FB2" w:rsidR="00BE667E" w:rsidRPr="00BE667E" w:rsidRDefault="00BE667E" w:rsidP="00BE667E">
            <w:pPr>
              <w:spacing w:line="256" w:lineRule="auto"/>
              <w:jc w:val="center"/>
              <w:rPr>
                <w:rFonts w:asciiTheme="majorHAnsi" w:eastAsiaTheme="minorHAnsi" w:hAnsiTheme="majorHAnsi" w:cstheme="majorHAnsi"/>
                <w:sz w:val="20"/>
                <w:szCs w:val="20"/>
              </w:rPr>
            </w:pPr>
            <w:r>
              <w:rPr>
                <w:rFonts w:ascii="Calibri Light" w:hAnsi="Calibri Light" w:cs="Calibri Light"/>
                <w:color w:val="000000"/>
                <w:sz w:val="20"/>
                <w:szCs w:val="20"/>
              </w:rPr>
              <w:t>2.09%</w:t>
            </w:r>
          </w:p>
        </w:tc>
      </w:tr>
      <w:tr w:rsidR="00BE667E" w:rsidRPr="00937D0C" w14:paraId="71D7826C" w14:textId="77777777" w:rsidTr="001342EB">
        <w:trPr>
          <w:cantSplit/>
        </w:trPr>
        <w:tc>
          <w:tcPr>
            <w:tcW w:w="2065" w:type="dxa"/>
          </w:tcPr>
          <w:p w14:paraId="3B3B09F8" w14:textId="6B976F9C" w:rsidR="00BE667E" w:rsidRPr="00BE667E" w:rsidRDefault="00BE667E" w:rsidP="00BE667E">
            <w:pPr>
              <w:spacing w:line="256" w:lineRule="auto"/>
              <w:rPr>
                <w:rFonts w:asciiTheme="majorHAnsi" w:eastAsiaTheme="minorHAnsi" w:hAnsiTheme="majorHAnsi" w:cstheme="majorHAnsi"/>
                <w:sz w:val="20"/>
                <w:szCs w:val="20"/>
              </w:rPr>
            </w:pPr>
            <w:r w:rsidRPr="00BE667E">
              <w:rPr>
                <w:rFonts w:asciiTheme="majorHAnsi" w:hAnsiTheme="majorHAnsi" w:cstheme="majorHAnsi"/>
                <w:sz w:val="20"/>
                <w:szCs w:val="20"/>
              </w:rPr>
              <w:lastRenderedPageBreak/>
              <w:t>Arlington</w:t>
            </w:r>
          </w:p>
        </w:tc>
        <w:tc>
          <w:tcPr>
            <w:tcW w:w="1260" w:type="dxa"/>
          </w:tcPr>
          <w:p w14:paraId="62FA3680" w14:textId="4FA69756" w:rsidR="00BE667E" w:rsidRPr="00BE667E" w:rsidRDefault="00BE667E" w:rsidP="00BE667E">
            <w:pPr>
              <w:spacing w:line="256" w:lineRule="auto"/>
              <w:jc w:val="center"/>
              <w:rPr>
                <w:rFonts w:asciiTheme="majorHAnsi" w:eastAsiaTheme="minorHAnsi" w:hAnsiTheme="majorHAnsi" w:cstheme="majorHAnsi"/>
                <w:sz w:val="20"/>
                <w:szCs w:val="20"/>
              </w:rPr>
            </w:pPr>
            <w:r w:rsidRPr="00BE667E">
              <w:rPr>
                <w:rFonts w:asciiTheme="majorHAnsi" w:hAnsiTheme="majorHAnsi" w:cstheme="majorHAnsi"/>
                <w:sz w:val="20"/>
                <w:szCs w:val="20"/>
              </w:rPr>
              <w:t>5,008</w:t>
            </w:r>
          </w:p>
        </w:tc>
        <w:tc>
          <w:tcPr>
            <w:tcW w:w="1268" w:type="dxa"/>
            <w:vAlign w:val="center"/>
          </w:tcPr>
          <w:p w14:paraId="3409AA50" w14:textId="024683A8" w:rsidR="00BE667E" w:rsidRPr="00BE667E" w:rsidRDefault="00BE667E" w:rsidP="00BE667E">
            <w:pPr>
              <w:spacing w:line="256" w:lineRule="auto"/>
              <w:jc w:val="center"/>
              <w:rPr>
                <w:rFonts w:asciiTheme="majorHAnsi" w:eastAsiaTheme="minorHAnsi" w:hAnsiTheme="majorHAnsi" w:cstheme="majorHAnsi"/>
                <w:sz w:val="20"/>
                <w:szCs w:val="20"/>
              </w:rPr>
            </w:pPr>
            <w:r>
              <w:rPr>
                <w:rFonts w:ascii="Calibri Light" w:hAnsi="Calibri Light" w:cs="Calibri Light"/>
                <w:color w:val="000000"/>
                <w:sz w:val="20"/>
                <w:szCs w:val="20"/>
              </w:rPr>
              <w:t>2.01%</w:t>
            </w:r>
          </w:p>
        </w:tc>
      </w:tr>
      <w:tr w:rsidR="00BE667E" w:rsidRPr="00937D0C" w14:paraId="2050653E" w14:textId="77777777" w:rsidTr="001342EB">
        <w:trPr>
          <w:cantSplit/>
        </w:trPr>
        <w:tc>
          <w:tcPr>
            <w:tcW w:w="2065" w:type="dxa"/>
          </w:tcPr>
          <w:p w14:paraId="73B34E62" w14:textId="59D9B8C3" w:rsidR="00BE667E" w:rsidRPr="00BE667E" w:rsidRDefault="00BE667E" w:rsidP="00BE667E">
            <w:pPr>
              <w:spacing w:line="256" w:lineRule="auto"/>
              <w:rPr>
                <w:rFonts w:asciiTheme="majorHAnsi" w:eastAsiaTheme="minorHAnsi" w:hAnsiTheme="majorHAnsi" w:cstheme="majorHAnsi"/>
                <w:sz w:val="20"/>
                <w:szCs w:val="20"/>
              </w:rPr>
            </w:pPr>
            <w:r w:rsidRPr="00BE667E">
              <w:rPr>
                <w:rFonts w:asciiTheme="majorHAnsi" w:hAnsiTheme="majorHAnsi" w:cstheme="majorHAnsi"/>
                <w:sz w:val="20"/>
                <w:szCs w:val="20"/>
              </w:rPr>
              <w:t>Gloucester</w:t>
            </w:r>
          </w:p>
        </w:tc>
        <w:tc>
          <w:tcPr>
            <w:tcW w:w="1260" w:type="dxa"/>
          </w:tcPr>
          <w:p w14:paraId="40D30E32" w14:textId="4508959C" w:rsidR="00BE667E" w:rsidRPr="00BE667E" w:rsidRDefault="00BE667E" w:rsidP="00BE667E">
            <w:pPr>
              <w:spacing w:line="256" w:lineRule="auto"/>
              <w:jc w:val="center"/>
              <w:rPr>
                <w:rFonts w:asciiTheme="majorHAnsi" w:eastAsiaTheme="minorHAnsi" w:hAnsiTheme="majorHAnsi" w:cstheme="majorHAnsi"/>
                <w:sz w:val="20"/>
                <w:szCs w:val="20"/>
              </w:rPr>
            </w:pPr>
            <w:r w:rsidRPr="00BE667E">
              <w:rPr>
                <w:rFonts w:asciiTheme="majorHAnsi" w:hAnsiTheme="majorHAnsi" w:cstheme="majorHAnsi"/>
                <w:sz w:val="20"/>
                <w:szCs w:val="20"/>
              </w:rPr>
              <w:t>4,913</w:t>
            </w:r>
          </w:p>
        </w:tc>
        <w:tc>
          <w:tcPr>
            <w:tcW w:w="1268" w:type="dxa"/>
            <w:vAlign w:val="center"/>
          </w:tcPr>
          <w:p w14:paraId="7BD47318" w14:textId="66357E66" w:rsidR="00BE667E" w:rsidRPr="00BE667E" w:rsidRDefault="00BE667E" w:rsidP="00BE667E">
            <w:pPr>
              <w:spacing w:line="256" w:lineRule="auto"/>
              <w:jc w:val="center"/>
              <w:rPr>
                <w:rFonts w:asciiTheme="majorHAnsi" w:eastAsiaTheme="minorHAnsi" w:hAnsiTheme="majorHAnsi" w:cstheme="majorHAnsi"/>
                <w:sz w:val="20"/>
                <w:szCs w:val="20"/>
              </w:rPr>
            </w:pPr>
            <w:r>
              <w:rPr>
                <w:rFonts w:ascii="Calibri Light" w:hAnsi="Calibri Light" w:cs="Calibri Light"/>
                <w:color w:val="000000"/>
                <w:sz w:val="20"/>
                <w:szCs w:val="20"/>
              </w:rPr>
              <w:t>1.97%</w:t>
            </w:r>
          </w:p>
        </w:tc>
      </w:tr>
      <w:tr w:rsidR="00BE667E" w:rsidRPr="00937D0C" w14:paraId="493EEDF9" w14:textId="77777777" w:rsidTr="001342EB">
        <w:trPr>
          <w:cantSplit/>
        </w:trPr>
        <w:tc>
          <w:tcPr>
            <w:tcW w:w="2065" w:type="dxa"/>
          </w:tcPr>
          <w:p w14:paraId="4748C960" w14:textId="01EC798A" w:rsidR="00BE667E" w:rsidRPr="00BE667E" w:rsidRDefault="00BE667E" w:rsidP="00BE667E">
            <w:pPr>
              <w:spacing w:line="256" w:lineRule="auto"/>
              <w:rPr>
                <w:rFonts w:asciiTheme="majorHAnsi" w:eastAsiaTheme="minorHAnsi" w:hAnsiTheme="majorHAnsi" w:cstheme="majorHAnsi"/>
                <w:sz w:val="20"/>
                <w:szCs w:val="20"/>
              </w:rPr>
            </w:pPr>
            <w:r w:rsidRPr="00BE667E">
              <w:rPr>
                <w:rFonts w:asciiTheme="majorHAnsi" w:hAnsiTheme="majorHAnsi" w:cstheme="majorHAnsi"/>
                <w:sz w:val="20"/>
                <w:szCs w:val="20"/>
              </w:rPr>
              <w:t>Reading</w:t>
            </w:r>
          </w:p>
        </w:tc>
        <w:tc>
          <w:tcPr>
            <w:tcW w:w="1260" w:type="dxa"/>
          </w:tcPr>
          <w:p w14:paraId="4E623726" w14:textId="75605391" w:rsidR="00BE667E" w:rsidRPr="00BE667E" w:rsidRDefault="00BE667E" w:rsidP="00BE667E">
            <w:pPr>
              <w:spacing w:line="256" w:lineRule="auto"/>
              <w:jc w:val="center"/>
              <w:rPr>
                <w:rFonts w:asciiTheme="majorHAnsi" w:eastAsiaTheme="minorHAnsi" w:hAnsiTheme="majorHAnsi" w:cstheme="majorHAnsi"/>
                <w:sz w:val="20"/>
                <w:szCs w:val="20"/>
              </w:rPr>
            </w:pPr>
            <w:r w:rsidRPr="00BE667E">
              <w:rPr>
                <w:rFonts w:asciiTheme="majorHAnsi" w:hAnsiTheme="majorHAnsi" w:cstheme="majorHAnsi"/>
                <w:sz w:val="20"/>
                <w:szCs w:val="20"/>
              </w:rPr>
              <w:t>4,571</w:t>
            </w:r>
          </w:p>
        </w:tc>
        <w:tc>
          <w:tcPr>
            <w:tcW w:w="1268" w:type="dxa"/>
            <w:vAlign w:val="center"/>
          </w:tcPr>
          <w:p w14:paraId="28EA8D64" w14:textId="2D3EFC01" w:rsidR="00BE667E" w:rsidRPr="00BE667E" w:rsidRDefault="00BE667E" w:rsidP="00BE667E">
            <w:pPr>
              <w:spacing w:line="256" w:lineRule="auto"/>
              <w:jc w:val="center"/>
              <w:rPr>
                <w:rFonts w:asciiTheme="majorHAnsi" w:eastAsiaTheme="minorHAnsi" w:hAnsiTheme="majorHAnsi" w:cstheme="majorHAnsi"/>
                <w:sz w:val="20"/>
                <w:szCs w:val="20"/>
              </w:rPr>
            </w:pPr>
            <w:r>
              <w:rPr>
                <w:rFonts w:ascii="Calibri Light" w:hAnsi="Calibri Light" w:cs="Calibri Light"/>
                <w:color w:val="000000"/>
                <w:sz w:val="20"/>
                <w:szCs w:val="20"/>
              </w:rPr>
              <w:t>1.83%</w:t>
            </w:r>
          </w:p>
        </w:tc>
      </w:tr>
      <w:tr w:rsidR="00BE667E" w:rsidRPr="00937D0C" w14:paraId="56754D56" w14:textId="77777777" w:rsidTr="001342EB">
        <w:trPr>
          <w:cantSplit/>
        </w:trPr>
        <w:tc>
          <w:tcPr>
            <w:tcW w:w="2065" w:type="dxa"/>
          </w:tcPr>
          <w:p w14:paraId="0E3C4F96" w14:textId="47D71E05" w:rsidR="00BE667E" w:rsidRPr="00BE667E" w:rsidRDefault="00BE667E" w:rsidP="00BE667E">
            <w:pPr>
              <w:spacing w:line="256" w:lineRule="auto"/>
              <w:rPr>
                <w:rFonts w:asciiTheme="majorHAnsi" w:eastAsiaTheme="minorHAnsi" w:hAnsiTheme="majorHAnsi" w:cstheme="majorHAnsi"/>
                <w:sz w:val="20"/>
                <w:szCs w:val="20"/>
              </w:rPr>
            </w:pPr>
            <w:r w:rsidRPr="00BE667E">
              <w:rPr>
                <w:rFonts w:asciiTheme="majorHAnsi" w:hAnsiTheme="majorHAnsi" w:cstheme="majorHAnsi"/>
                <w:sz w:val="20"/>
                <w:szCs w:val="20"/>
              </w:rPr>
              <w:t>Lowell</w:t>
            </w:r>
          </w:p>
        </w:tc>
        <w:tc>
          <w:tcPr>
            <w:tcW w:w="1260" w:type="dxa"/>
          </w:tcPr>
          <w:p w14:paraId="3AC5F713" w14:textId="0B72CFF9" w:rsidR="00BE667E" w:rsidRPr="00BE667E" w:rsidRDefault="00BE667E" w:rsidP="00BE667E">
            <w:pPr>
              <w:spacing w:line="256" w:lineRule="auto"/>
              <w:jc w:val="center"/>
              <w:rPr>
                <w:rFonts w:asciiTheme="majorHAnsi" w:eastAsiaTheme="minorHAnsi" w:hAnsiTheme="majorHAnsi" w:cstheme="majorHAnsi"/>
                <w:sz w:val="20"/>
                <w:szCs w:val="20"/>
              </w:rPr>
            </w:pPr>
            <w:r w:rsidRPr="00BE667E">
              <w:rPr>
                <w:rFonts w:asciiTheme="majorHAnsi" w:hAnsiTheme="majorHAnsi" w:cstheme="majorHAnsi"/>
                <w:sz w:val="20"/>
                <w:szCs w:val="20"/>
              </w:rPr>
              <w:t>4,535</w:t>
            </w:r>
          </w:p>
        </w:tc>
        <w:tc>
          <w:tcPr>
            <w:tcW w:w="1268" w:type="dxa"/>
            <w:vAlign w:val="center"/>
          </w:tcPr>
          <w:p w14:paraId="57A4559D" w14:textId="645680E3" w:rsidR="00BE667E" w:rsidRPr="00BE667E" w:rsidRDefault="00BE667E" w:rsidP="00BE667E">
            <w:pPr>
              <w:spacing w:line="256" w:lineRule="auto"/>
              <w:jc w:val="center"/>
              <w:rPr>
                <w:rFonts w:asciiTheme="majorHAnsi" w:eastAsiaTheme="minorHAnsi" w:hAnsiTheme="majorHAnsi" w:cstheme="majorHAnsi"/>
                <w:sz w:val="20"/>
                <w:szCs w:val="20"/>
              </w:rPr>
            </w:pPr>
            <w:r>
              <w:rPr>
                <w:rFonts w:ascii="Calibri Light" w:hAnsi="Calibri Light" w:cs="Calibri Light"/>
                <w:color w:val="000000"/>
                <w:sz w:val="20"/>
                <w:szCs w:val="20"/>
              </w:rPr>
              <w:t>1.82%</w:t>
            </w:r>
          </w:p>
        </w:tc>
      </w:tr>
    </w:tbl>
    <w:p w14:paraId="0ED642CC" w14:textId="7D20CF04" w:rsidR="00450206" w:rsidRDefault="00C55E62" w:rsidP="00450206">
      <w:pPr>
        <w:pStyle w:val="ListParagraph"/>
        <w:numPr>
          <w:ilvl w:val="1"/>
          <w:numId w:val="29"/>
        </w:numPr>
        <w:spacing w:before="240" w:after="0" w:line="240" w:lineRule="auto"/>
        <w:jc w:val="both"/>
        <w:rPr>
          <w:rFonts w:eastAsia="Times New Roman" w:cstheme="minorHAnsi"/>
          <w:b/>
          <w:bCs/>
          <w:smallCaps/>
          <w:kern w:val="2"/>
          <w:sz w:val="24"/>
          <w:szCs w:val="24"/>
        </w:rPr>
      </w:pPr>
      <w:r w:rsidRPr="00450206">
        <w:rPr>
          <w:rFonts w:eastAsia="Times New Roman" w:cstheme="minorHAnsi"/>
          <w:b/>
          <w:bCs/>
          <w:smallCaps/>
          <w:kern w:val="2"/>
          <w:sz w:val="24"/>
          <w:szCs w:val="24"/>
        </w:rPr>
        <w:t>Table 4: LHMC Radiation Oncology Patient Demographics</w:t>
      </w:r>
      <w:r w:rsidR="00AE1E9E" w:rsidRPr="00450206">
        <w:rPr>
          <w:rFonts w:eastAsia="Times New Roman" w:cstheme="minorHAnsi"/>
          <w:b/>
          <w:bCs/>
          <w:smallCaps/>
          <w:kern w:val="2"/>
          <w:sz w:val="24"/>
          <w:szCs w:val="24"/>
        </w:rPr>
        <w:t xml:space="preserve"> (Narrative page 6)</w:t>
      </w:r>
    </w:p>
    <w:p w14:paraId="6EB2C1A3" w14:textId="6ED6C58A" w:rsidR="000B4EED" w:rsidRDefault="000B4EED" w:rsidP="000B4EED">
      <w:pPr>
        <w:pStyle w:val="ListParagraph"/>
        <w:spacing w:before="240" w:after="0" w:line="240" w:lineRule="auto"/>
        <w:ind w:left="1080"/>
        <w:jc w:val="both"/>
        <w:rPr>
          <w:rFonts w:eastAsia="Times New Roman" w:cstheme="minorHAnsi"/>
          <w:b/>
          <w:bCs/>
          <w:smallCaps/>
          <w:kern w:val="2"/>
          <w:sz w:val="24"/>
          <w:szCs w:val="24"/>
        </w:rPr>
      </w:pPr>
    </w:p>
    <w:p w14:paraId="40652EB4" w14:textId="4BE37DC0" w:rsidR="00215C87" w:rsidRPr="00215C87" w:rsidRDefault="00215C87" w:rsidP="000B4EED">
      <w:pPr>
        <w:pStyle w:val="ListParagraph"/>
        <w:spacing w:before="240" w:after="0" w:line="240" w:lineRule="auto"/>
        <w:ind w:left="1080"/>
        <w:jc w:val="both"/>
        <w:rPr>
          <w:rFonts w:eastAsia="Times New Roman" w:cstheme="minorHAnsi"/>
          <w:kern w:val="2"/>
        </w:rPr>
      </w:pPr>
      <w:r w:rsidRPr="00215C87">
        <w:rPr>
          <w:rFonts w:eastAsia="Times New Roman" w:cstheme="minorHAnsi"/>
          <w:kern w:val="2"/>
        </w:rPr>
        <w:t>Please note that the data in Tables 4</w:t>
      </w:r>
      <w:r>
        <w:rPr>
          <w:rFonts w:eastAsia="Times New Roman" w:cstheme="minorHAnsi"/>
          <w:kern w:val="2"/>
        </w:rPr>
        <w:t>-6</w:t>
      </w:r>
      <w:r w:rsidRPr="00215C87">
        <w:rPr>
          <w:rFonts w:eastAsia="Times New Roman" w:cstheme="minorHAnsi"/>
          <w:kern w:val="2"/>
        </w:rPr>
        <w:t xml:space="preserve"> </w:t>
      </w:r>
      <w:r w:rsidR="00021C7D">
        <w:rPr>
          <w:rFonts w:eastAsia="Times New Roman" w:cstheme="minorHAnsi"/>
          <w:kern w:val="2"/>
        </w:rPr>
        <w:t>are</w:t>
      </w:r>
      <w:r w:rsidRPr="00215C87">
        <w:rPr>
          <w:rFonts w:eastAsia="Times New Roman" w:cstheme="minorHAnsi"/>
          <w:kern w:val="2"/>
        </w:rPr>
        <w:t xml:space="preserve"> reported for the </w:t>
      </w:r>
      <w:r>
        <w:rPr>
          <w:rFonts w:eastAsia="Times New Roman" w:cstheme="minorHAnsi"/>
          <w:kern w:val="2"/>
        </w:rPr>
        <w:t>BILH</w:t>
      </w:r>
      <w:r w:rsidRPr="00215C87">
        <w:rPr>
          <w:rFonts w:eastAsia="Times New Roman" w:cstheme="minorHAnsi"/>
          <w:kern w:val="2"/>
        </w:rPr>
        <w:t xml:space="preserve"> Fiscal Year, which runs from October 1</w:t>
      </w:r>
      <w:r w:rsidR="00E743A3">
        <w:rPr>
          <w:rFonts w:eastAsia="Times New Roman" w:cstheme="minorHAnsi"/>
          <w:kern w:val="2"/>
        </w:rPr>
        <w:t xml:space="preserve"> through September 30</w:t>
      </w:r>
      <w:r w:rsidRPr="00215C87">
        <w:rPr>
          <w:rFonts w:eastAsia="Times New Roman" w:cstheme="minorHAnsi"/>
          <w:kern w:val="2"/>
        </w:rPr>
        <w:t xml:space="preserve">. The data provided </w:t>
      </w:r>
      <w:r w:rsidR="00E743A3">
        <w:rPr>
          <w:rFonts w:eastAsia="Times New Roman" w:cstheme="minorHAnsi"/>
          <w:kern w:val="2"/>
        </w:rPr>
        <w:t xml:space="preserve">for the 2023 Fiscal Year </w:t>
      </w:r>
      <w:r w:rsidRPr="00215C87">
        <w:rPr>
          <w:rFonts w:eastAsia="Times New Roman" w:cstheme="minorHAnsi"/>
          <w:kern w:val="2"/>
        </w:rPr>
        <w:t xml:space="preserve">are </w:t>
      </w:r>
      <w:r>
        <w:rPr>
          <w:rFonts w:eastAsia="Times New Roman" w:cstheme="minorHAnsi"/>
          <w:kern w:val="2"/>
        </w:rPr>
        <w:t>current through July 24, 2023, as the</w:t>
      </w:r>
      <w:r w:rsidR="009611FA">
        <w:rPr>
          <w:rFonts w:eastAsia="Times New Roman" w:cstheme="minorHAnsi"/>
          <w:kern w:val="2"/>
        </w:rPr>
        <w:t xml:space="preserve"> 2023</w:t>
      </w:r>
      <w:r>
        <w:rPr>
          <w:rFonts w:eastAsia="Times New Roman" w:cstheme="minorHAnsi"/>
          <w:kern w:val="2"/>
        </w:rPr>
        <w:t xml:space="preserve"> </w:t>
      </w:r>
      <w:r w:rsidR="00021C7D">
        <w:rPr>
          <w:rFonts w:eastAsia="Times New Roman" w:cstheme="minorHAnsi"/>
          <w:kern w:val="2"/>
        </w:rPr>
        <w:t xml:space="preserve">BILH </w:t>
      </w:r>
      <w:r>
        <w:rPr>
          <w:rFonts w:eastAsia="Times New Roman" w:cstheme="minorHAnsi"/>
          <w:kern w:val="2"/>
        </w:rPr>
        <w:t xml:space="preserve">Fiscal Year is ongoing. </w:t>
      </w:r>
      <w:r w:rsidR="009611FA">
        <w:rPr>
          <w:rFonts w:eastAsia="Times New Roman" w:cstheme="minorHAnsi"/>
          <w:kern w:val="2"/>
        </w:rPr>
        <w:t xml:space="preserve">The data provided in the </w:t>
      </w:r>
      <w:proofErr w:type="spellStart"/>
      <w:r w:rsidR="009611FA">
        <w:rPr>
          <w:rFonts w:eastAsia="Times New Roman" w:cstheme="minorHAnsi"/>
          <w:kern w:val="2"/>
        </w:rPr>
        <w:t>DoN</w:t>
      </w:r>
      <w:proofErr w:type="spellEnd"/>
      <w:r w:rsidR="009611FA">
        <w:rPr>
          <w:rFonts w:eastAsia="Times New Roman" w:cstheme="minorHAnsi"/>
          <w:kern w:val="2"/>
        </w:rPr>
        <w:t xml:space="preserve"> Application Narrative for Tables 4-6 covered the BILH Fiscal Years 2020-2022.  </w:t>
      </w:r>
    </w:p>
    <w:p w14:paraId="10E788DD" w14:textId="77777777" w:rsidR="00215C87" w:rsidRPr="00215C87" w:rsidRDefault="00215C87" w:rsidP="000B4EED">
      <w:pPr>
        <w:pStyle w:val="ListParagraph"/>
        <w:spacing w:before="240" w:after="0" w:line="240" w:lineRule="auto"/>
        <w:ind w:left="1080"/>
        <w:jc w:val="both"/>
        <w:rPr>
          <w:rFonts w:eastAsia="Times New Roman" w:cstheme="minorHAnsi"/>
          <w:kern w:val="2"/>
          <w:sz w:val="24"/>
          <w:szCs w:val="24"/>
        </w:rPr>
      </w:pPr>
    </w:p>
    <w:tbl>
      <w:tblPr>
        <w:tblStyle w:val="TableGrid"/>
        <w:tblW w:w="0" w:type="auto"/>
        <w:tblInd w:w="985" w:type="dxa"/>
        <w:tblLook w:val="04A0" w:firstRow="1" w:lastRow="0" w:firstColumn="1" w:lastColumn="0" w:noHBand="0" w:noVBand="1"/>
      </w:tblPr>
      <w:tblGrid>
        <w:gridCol w:w="3145"/>
        <w:gridCol w:w="900"/>
        <w:gridCol w:w="1187"/>
      </w:tblGrid>
      <w:tr w:rsidR="000B4EED" w14:paraId="6C4CAD98" w14:textId="77777777" w:rsidTr="00F37923">
        <w:trPr>
          <w:cantSplit/>
          <w:tblHeader/>
        </w:trPr>
        <w:tc>
          <w:tcPr>
            <w:tcW w:w="3145" w:type="dxa"/>
          </w:tcPr>
          <w:p w14:paraId="4B375354" w14:textId="77777777" w:rsidR="000B4EED" w:rsidRDefault="000B4EED" w:rsidP="0017529F">
            <w:pPr>
              <w:jc w:val="center"/>
            </w:pPr>
            <w:r>
              <w:rPr>
                <w:rFonts w:ascii="Calibri Light" w:hAnsi="Calibri Light" w:cs="Calibri Light"/>
                <w:color w:val="000000"/>
                <w:sz w:val="20"/>
                <w:szCs w:val="20"/>
              </w:rPr>
              <w:t>Variables</w:t>
            </w:r>
          </w:p>
        </w:tc>
        <w:tc>
          <w:tcPr>
            <w:tcW w:w="900" w:type="dxa"/>
            <w:vAlign w:val="center"/>
          </w:tcPr>
          <w:p w14:paraId="24848E5E" w14:textId="06C771C1" w:rsidR="000B4EED" w:rsidRDefault="000B4EED" w:rsidP="0017529F">
            <w:pPr>
              <w:jc w:val="center"/>
            </w:pPr>
            <w:r w:rsidRPr="003009E8">
              <w:rPr>
                <w:rFonts w:asciiTheme="majorHAnsi" w:eastAsia="Verdana" w:hAnsiTheme="majorHAnsi" w:cstheme="majorHAnsi"/>
                <w:sz w:val="20"/>
              </w:rPr>
              <w:t>FY202</w:t>
            </w:r>
            <w:r>
              <w:rPr>
                <w:rFonts w:asciiTheme="majorHAnsi" w:eastAsia="Verdana" w:hAnsiTheme="majorHAnsi" w:cstheme="majorHAnsi"/>
                <w:sz w:val="20"/>
              </w:rPr>
              <w:t>3</w:t>
            </w:r>
            <w:r w:rsidRPr="003009E8">
              <w:rPr>
                <w:rFonts w:asciiTheme="majorHAnsi" w:eastAsia="Verdana" w:hAnsiTheme="majorHAnsi" w:cstheme="majorHAnsi"/>
                <w:sz w:val="20"/>
              </w:rPr>
              <w:t xml:space="preserve"> Count</w:t>
            </w:r>
          </w:p>
        </w:tc>
        <w:tc>
          <w:tcPr>
            <w:tcW w:w="1187" w:type="dxa"/>
            <w:vAlign w:val="center"/>
          </w:tcPr>
          <w:p w14:paraId="0C565F41" w14:textId="07092CB8" w:rsidR="000B4EED" w:rsidRDefault="000B4EED" w:rsidP="0017529F">
            <w:pPr>
              <w:jc w:val="center"/>
            </w:pPr>
            <w:r w:rsidRPr="003009E8">
              <w:rPr>
                <w:rFonts w:asciiTheme="majorHAnsi" w:eastAsia="Verdana" w:hAnsiTheme="majorHAnsi" w:cstheme="majorHAnsi"/>
                <w:sz w:val="20"/>
              </w:rPr>
              <w:t>FY202</w:t>
            </w:r>
            <w:r>
              <w:rPr>
                <w:rFonts w:asciiTheme="majorHAnsi" w:eastAsia="Verdana" w:hAnsiTheme="majorHAnsi" w:cstheme="majorHAnsi"/>
                <w:sz w:val="20"/>
              </w:rPr>
              <w:t>3</w:t>
            </w:r>
            <w:r w:rsidRPr="003009E8">
              <w:rPr>
                <w:rFonts w:asciiTheme="majorHAnsi" w:eastAsia="Verdana" w:hAnsiTheme="majorHAnsi" w:cstheme="majorHAnsi"/>
                <w:sz w:val="20"/>
              </w:rPr>
              <w:t xml:space="preserve"> Percent</w:t>
            </w:r>
          </w:p>
        </w:tc>
      </w:tr>
      <w:tr w:rsidR="000B4EED" w14:paraId="09F66864" w14:textId="77777777" w:rsidTr="001342EB">
        <w:trPr>
          <w:cantSplit/>
        </w:trPr>
        <w:tc>
          <w:tcPr>
            <w:tcW w:w="3145" w:type="dxa"/>
            <w:shd w:val="clear" w:color="auto" w:fill="D9D9D9" w:themeFill="background1" w:themeFillShade="D9"/>
          </w:tcPr>
          <w:p w14:paraId="54AC9E19" w14:textId="77777777" w:rsidR="000B4EED" w:rsidRDefault="000B4EED" w:rsidP="0017529F">
            <w:r w:rsidRPr="003B4889">
              <w:rPr>
                <w:rFonts w:asciiTheme="majorHAnsi" w:eastAsia="Verdana" w:hAnsiTheme="majorHAnsi" w:cstheme="majorHAnsi"/>
                <w:b/>
                <w:bCs/>
                <w:sz w:val="20"/>
              </w:rPr>
              <w:t xml:space="preserve">Total Unique Patients </w:t>
            </w:r>
          </w:p>
        </w:tc>
        <w:tc>
          <w:tcPr>
            <w:tcW w:w="900" w:type="dxa"/>
            <w:shd w:val="clear" w:color="auto" w:fill="D9D9D9" w:themeFill="background1" w:themeFillShade="D9"/>
          </w:tcPr>
          <w:p w14:paraId="7D3A04E9" w14:textId="00699DC9" w:rsidR="000B4EED" w:rsidRPr="00215C87" w:rsidRDefault="00215C87" w:rsidP="0017529F">
            <w:pPr>
              <w:jc w:val="center"/>
              <w:rPr>
                <w:rFonts w:asciiTheme="majorHAnsi" w:hAnsiTheme="majorHAnsi" w:cstheme="majorHAnsi"/>
                <w:sz w:val="20"/>
                <w:szCs w:val="20"/>
              </w:rPr>
            </w:pPr>
            <w:r w:rsidRPr="00215C87">
              <w:rPr>
                <w:rFonts w:asciiTheme="majorHAnsi" w:hAnsiTheme="majorHAnsi" w:cstheme="majorHAnsi"/>
                <w:sz w:val="20"/>
                <w:szCs w:val="20"/>
              </w:rPr>
              <w:t>519</w:t>
            </w:r>
          </w:p>
        </w:tc>
        <w:tc>
          <w:tcPr>
            <w:tcW w:w="1187" w:type="dxa"/>
            <w:shd w:val="clear" w:color="auto" w:fill="D9D9D9" w:themeFill="background1" w:themeFillShade="D9"/>
          </w:tcPr>
          <w:p w14:paraId="35DB6B10" w14:textId="63A74FBD" w:rsidR="000B4EED" w:rsidRPr="00215C87" w:rsidRDefault="00215C87" w:rsidP="0017529F">
            <w:pPr>
              <w:jc w:val="center"/>
              <w:rPr>
                <w:rFonts w:asciiTheme="majorHAnsi" w:hAnsiTheme="majorHAnsi" w:cstheme="majorHAnsi"/>
                <w:sz w:val="20"/>
                <w:szCs w:val="20"/>
              </w:rPr>
            </w:pPr>
            <w:r w:rsidRPr="00215C87">
              <w:rPr>
                <w:rFonts w:asciiTheme="majorHAnsi" w:hAnsiTheme="majorHAnsi" w:cstheme="majorHAnsi"/>
                <w:sz w:val="20"/>
                <w:szCs w:val="20"/>
              </w:rPr>
              <w:t>100%</w:t>
            </w:r>
          </w:p>
        </w:tc>
      </w:tr>
      <w:tr w:rsidR="000B4EED" w14:paraId="1A52379E" w14:textId="77777777" w:rsidTr="001342EB">
        <w:trPr>
          <w:cantSplit/>
        </w:trPr>
        <w:tc>
          <w:tcPr>
            <w:tcW w:w="3145" w:type="dxa"/>
            <w:shd w:val="clear" w:color="auto" w:fill="FBE4D5" w:themeFill="accent2" w:themeFillTint="33"/>
          </w:tcPr>
          <w:p w14:paraId="4D0F7A6D" w14:textId="77777777" w:rsidR="000B4EED" w:rsidRPr="00C81D67" w:rsidRDefault="000B4EED" w:rsidP="0017529F">
            <w:pPr>
              <w:rPr>
                <w:rFonts w:asciiTheme="majorHAnsi" w:hAnsiTheme="majorHAnsi" w:cstheme="majorHAnsi"/>
                <w:sz w:val="20"/>
                <w:szCs w:val="20"/>
              </w:rPr>
            </w:pPr>
            <w:r w:rsidRPr="00C81D67">
              <w:rPr>
                <w:rFonts w:asciiTheme="majorHAnsi" w:hAnsiTheme="majorHAnsi" w:cstheme="majorHAnsi"/>
                <w:sz w:val="20"/>
                <w:szCs w:val="20"/>
              </w:rPr>
              <w:t>Age - 0-17</w:t>
            </w:r>
          </w:p>
        </w:tc>
        <w:tc>
          <w:tcPr>
            <w:tcW w:w="900" w:type="dxa"/>
            <w:shd w:val="clear" w:color="auto" w:fill="FBE4D5" w:themeFill="accent2" w:themeFillTint="33"/>
          </w:tcPr>
          <w:p w14:paraId="65D886FB" w14:textId="1EAD032C" w:rsidR="00FA5262" w:rsidRPr="00C81D67" w:rsidRDefault="00FA5262" w:rsidP="00FA5262">
            <w:pPr>
              <w:jc w:val="center"/>
              <w:rPr>
                <w:rFonts w:asciiTheme="majorHAnsi" w:hAnsiTheme="majorHAnsi" w:cstheme="majorHAnsi"/>
                <w:sz w:val="20"/>
                <w:szCs w:val="20"/>
              </w:rPr>
            </w:pPr>
            <w:r w:rsidRPr="00C81D67">
              <w:rPr>
                <w:rFonts w:asciiTheme="majorHAnsi" w:hAnsiTheme="majorHAnsi" w:cstheme="majorHAnsi"/>
                <w:sz w:val="20"/>
                <w:szCs w:val="20"/>
              </w:rPr>
              <w:t>0</w:t>
            </w:r>
          </w:p>
        </w:tc>
        <w:tc>
          <w:tcPr>
            <w:tcW w:w="1187" w:type="dxa"/>
            <w:shd w:val="clear" w:color="auto" w:fill="FBE4D5" w:themeFill="accent2" w:themeFillTint="33"/>
          </w:tcPr>
          <w:p w14:paraId="3EBF2DCA" w14:textId="654AEDC1" w:rsidR="000B4EED" w:rsidRPr="00C81D67" w:rsidRDefault="00BD67C2" w:rsidP="0017529F">
            <w:pPr>
              <w:jc w:val="center"/>
              <w:rPr>
                <w:rFonts w:asciiTheme="majorHAnsi" w:hAnsiTheme="majorHAnsi" w:cstheme="majorHAnsi"/>
                <w:sz w:val="20"/>
                <w:szCs w:val="20"/>
              </w:rPr>
            </w:pPr>
            <w:r w:rsidRPr="00C81D67">
              <w:rPr>
                <w:rFonts w:asciiTheme="majorHAnsi" w:hAnsiTheme="majorHAnsi" w:cstheme="majorHAnsi"/>
                <w:sz w:val="20"/>
                <w:szCs w:val="20"/>
              </w:rPr>
              <w:t>0%</w:t>
            </w:r>
          </w:p>
        </w:tc>
      </w:tr>
      <w:tr w:rsidR="000B4EED" w14:paraId="69BEB6C7" w14:textId="77777777" w:rsidTr="001342EB">
        <w:trPr>
          <w:cantSplit/>
        </w:trPr>
        <w:tc>
          <w:tcPr>
            <w:tcW w:w="3145" w:type="dxa"/>
            <w:shd w:val="clear" w:color="auto" w:fill="FBE4D5" w:themeFill="accent2" w:themeFillTint="33"/>
          </w:tcPr>
          <w:p w14:paraId="5F2C57FA" w14:textId="77777777" w:rsidR="000B4EED" w:rsidRPr="00C81D67" w:rsidRDefault="000B4EED" w:rsidP="0017529F">
            <w:pPr>
              <w:rPr>
                <w:rFonts w:asciiTheme="majorHAnsi" w:hAnsiTheme="majorHAnsi" w:cstheme="majorHAnsi"/>
                <w:sz w:val="20"/>
                <w:szCs w:val="20"/>
              </w:rPr>
            </w:pPr>
            <w:r w:rsidRPr="00C81D67">
              <w:rPr>
                <w:rFonts w:asciiTheme="majorHAnsi" w:hAnsiTheme="majorHAnsi" w:cstheme="majorHAnsi"/>
                <w:sz w:val="20"/>
                <w:szCs w:val="20"/>
              </w:rPr>
              <w:t>Age - 18-25</w:t>
            </w:r>
          </w:p>
        </w:tc>
        <w:tc>
          <w:tcPr>
            <w:tcW w:w="900" w:type="dxa"/>
            <w:shd w:val="clear" w:color="auto" w:fill="FBE4D5" w:themeFill="accent2" w:themeFillTint="33"/>
          </w:tcPr>
          <w:p w14:paraId="4337F8C6" w14:textId="778B1148" w:rsidR="000B4EED" w:rsidRPr="00C81D67" w:rsidRDefault="00651C57" w:rsidP="0017529F">
            <w:pPr>
              <w:jc w:val="center"/>
              <w:rPr>
                <w:rFonts w:asciiTheme="majorHAnsi" w:hAnsiTheme="majorHAnsi" w:cstheme="majorHAnsi"/>
                <w:sz w:val="20"/>
                <w:szCs w:val="20"/>
              </w:rPr>
            </w:pPr>
            <w:r w:rsidRPr="00C81D67">
              <w:rPr>
                <w:rFonts w:asciiTheme="majorHAnsi" w:hAnsiTheme="majorHAnsi" w:cstheme="majorHAnsi"/>
                <w:sz w:val="20"/>
                <w:szCs w:val="20"/>
              </w:rPr>
              <w:t>0</w:t>
            </w:r>
          </w:p>
        </w:tc>
        <w:tc>
          <w:tcPr>
            <w:tcW w:w="1187" w:type="dxa"/>
            <w:shd w:val="clear" w:color="auto" w:fill="FBE4D5" w:themeFill="accent2" w:themeFillTint="33"/>
          </w:tcPr>
          <w:p w14:paraId="554F8D6F" w14:textId="58AE0535" w:rsidR="000B4EED" w:rsidRPr="00C81D67" w:rsidRDefault="00BD67C2" w:rsidP="0017529F">
            <w:pPr>
              <w:jc w:val="center"/>
              <w:rPr>
                <w:rFonts w:asciiTheme="majorHAnsi" w:hAnsiTheme="majorHAnsi" w:cstheme="majorHAnsi"/>
                <w:sz w:val="20"/>
                <w:szCs w:val="20"/>
              </w:rPr>
            </w:pPr>
            <w:r w:rsidRPr="00C81D67">
              <w:rPr>
                <w:rFonts w:asciiTheme="majorHAnsi" w:hAnsiTheme="majorHAnsi" w:cstheme="majorHAnsi"/>
                <w:sz w:val="20"/>
                <w:szCs w:val="20"/>
              </w:rPr>
              <w:t>0%</w:t>
            </w:r>
          </w:p>
        </w:tc>
      </w:tr>
      <w:tr w:rsidR="000B4EED" w14:paraId="66968657" w14:textId="77777777" w:rsidTr="001342EB">
        <w:trPr>
          <w:cantSplit/>
        </w:trPr>
        <w:tc>
          <w:tcPr>
            <w:tcW w:w="3145" w:type="dxa"/>
            <w:shd w:val="clear" w:color="auto" w:fill="FBE4D5" w:themeFill="accent2" w:themeFillTint="33"/>
          </w:tcPr>
          <w:p w14:paraId="5476DED0" w14:textId="77777777" w:rsidR="000B4EED" w:rsidRPr="00C81D67" w:rsidRDefault="000B4EED" w:rsidP="0017529F">
            <w:pPr>
              <w:rPr>
                <w:rFonts w:asciiTheme="majorHAnsi" w:hAnsiTheme="majorHAnsi" w:cstheme="majorHAnsi"/>
                <w:sz w:val="20"/>
                <w:szCs w:val="20"/>
              </w:rPr>
            </w:pPr>
            <w:r w:rsidRPr="00C81D67">
              <w:rPr>
                <w:rFonts w:asciiTheme="majorHAnsi" w:hAnsiTheme="majorHAnsi" w:cstheme="majorHAnsi"/>
                <w:sz w:val="20"/>
                <w:szCs w:val="20"/>
              </w:rPr>
              <w:t>Age - 26-45</w:t>
            </w:r>
          </w:p>
        </w:tc>
        <w:tc>
          <w:tcPr>
            <w:tcW w:w="900" w:type="dxa"/>
            <w:shd w:val="clear" w:color="auto" w:fill="FBE4D5" w:themeFill="accent2" w:themeFillTint="33"/>
          </w:tcPr>
          <w:p w14:paraId="6F4EA854" w14:textId="1BA8A66C" w:rsidR="000B4EED" w:rsidRPr="00C81D67" w:rsidRDefault="00617403" w:rsidP="0017529F">
            <w:pPr>
              <w:jc w:val="center"/>
              <w:rPr>
                <w:rFonts w:asciiTheme="majorHAnsi" w:hAnsiTheme="majorHAnsi" w:cstheme="majorHAnsi"/>
                <w:sz w:val="20"/>
                <w:szCs w:val="20"/>
              </w:rPr>
            </w:pPr>
            <w:r w:rsidRPr="00C81D67">
              <w:rPr>
                <w:rFonts w:asciiTheme="majorHAnsi" w:hAnsiTheme="majorHAnsi" w:cstheme="majorHAnsi"/>
                <w:sz w:val="20"/>
                <w:szCs w:val="20"/>
              </w:rPr>
              <w:t>24</w:t>
            </w:r>
          </w:p>
        </w:tc>
        <w:tc>
          <w:tcPr>
            <w:tcW w:w="1187" w:type="dxa"/>
            <w:shd w:val="clear" w:color="auto" w:fill="FBE4D5" w:themeFill="accent2" w:themeFillTint="33"/>
          </w:tcPr>
          <w:p w14:paraId="379C8565" w14:textId="3BB92005" w:rsidR="000B4EED" w:rsidRPr="00C81D67" w:rsidRDefault="00BD67C2" w:rsidP="0017529F">
            <w:pPr>
              <w:jc w:val="center"/>
              <w:rPr>
                <w:rFonts w:asciiTheme="majorHAnsi" w:hAnsiTheme="majorHAnsi" w:cstheme="majorHAnsi"/>
                <w:sz w:val="20"/>
                <w:szCs w:val="20"/>
              </w:rPr>
            </w:pPr>
            <w:r w:rsidRPr="00C81D67">
              <w:rPr>
                <w:rFonts w:asciiTheme="majorHAnsi" w:hAnsiTheme="majorHAnsi" w:cstheme="majorHAnsi"/>
                <w:sz w:val="20"/>
                <w:szCs w:val="20"/>
              </w:rPr>
              <w:t>4.62%</w:t>
            </w:r>
          </w:p>
        </w:tc>
      </w:tr>
      <w:tr w:rsidR="000B4EED" w14:paraId="1BB727D4" w14:textId="77777777" w:rsidTr="001342EB">
        <w:trPr>
          <w:cantSplit/>
        </w:trPr>
        <w:tc>
          <w:tcPr>
            <w:tcW w:w="3145" w:type="dxa"/>
            <w:shd w:val="clear" w:color="auto" w:fill="FBE4D5" w:themeFill="accent2" w:themeFillTint="33"/>
          </w:tcPr>
          <w:p w14:paraId="37AC96EA" w14:textId="77777777" w:rsidR="000B4EED" w:rsidRPr="00C81D67" w:rsidRDefault="000B4EED" w:rsidP="0017529F">
            <w:pPr>
              <w:rPr>
                <w:rFonts w:asciiTheme="majorHAnsi" w:hAnsiTheme="majorHAnsi" w:cstheme="majorHAnsi"/>
                <w:sz w:val="20"/>
                <w:szCs w:val="20"/>
              </w:rPr>
            </w:pPr>
            <w:r w:rsidRPr="00C81D67">
              <w:rPr>
                <w:rFonts w:asciiTheme="majorHAnsi" w:hAnsiTheme="majorHAnsi" w:cstheme="majorHAnsi"/>
                <w:sz w:val="20"/>
                <w:szCs w:val="20"/>
              </w:rPr>
              <w:t>Age - 46-64</w:t>
            </w:r>
          </w:p>
        </w:tc>
        <w:tc>
          <w:tcPr>
            <w:tcW w:w="900" w:type="dxa"/>
            <w:shd w:val="clear" w:color="auto" w:fill="FBE4D5" w:themeFill="accent2" w:themeFillTint="33"/>
          </w:tcPr>
          <w:p w14:paraId="73266AA4" w14:textId="7B578C3E" w:rsidR="000B4EED" w:rsidRPr="00C81D67" w:rsidRDefault="005A6431" w:rsidP="0017529F">
            <w:pPr>
              <w:jc w:val="center"/>
              <w:rPr>
                <w:rFonts w:asciiTheme="majorHAnsi" w:hAnsiTheme="majorHAnsi" w:cstheme="majorHAnsi"/>
                <w:sz w:val="20"/>
                <w:szCs w:val="20"/>
              </w:rPr>
            </w:pPr>
            <w:r w:rsidRPr="00C81D67">
              <w:rPr>
                <w:rFonts w:asciiTheme="majorHAnsi" w:hAnsiTheme="majorHAnsi" w:cstheme="majorHAnsi"/>
                <w:sz w:val="20"/>
                <w:szCs w:val="20"/>
              </w:rPr>
              <w:t>160</w:t>
            </w:r>
          </w:p>
        </w:tc>
        <w:tc>
          <w:tcPr>
            <w:tcW w:w="1187" w:type="dxa"/>
            <w:shd w:val="clear" w:color="auto" w:fill="FBE4D5" w:themeFill="accent2" w:themeFillTint="33"/>
          </w:tcPr>
          <w:p w14:paraId="23D61B67" w14:textId="2D22FD6E" w:rsidR="000B4EED" w:rsidRPr="00C81D67" w:rsidRDefault="00651C57" w:rsidP="0017529F">
            <w:pPr>
              <w:jc w:val="center"/>
              <w:rPr>
                <w:rFonts w:asciiTheme="majorHAnsi" w:hAnsiTheme="majorHAnsi" w:cstheme="majorHAnsi"/>
                <w:sz w:val="20"/>
                <w:szCs w:val="20"/>
              </w:rPr>
            </w:pPr>
            <w:r w:rsidRPr="00C81D67">
              <w:rPr>
                <w:rFonts w:asciiTheme="majorHAnsi" w:hAnsiTheme="majorHAnsi" w:cstheme="majorHAnsi"/>
                <w:sz w:val="20"/>
                <w:szCs w:val="20"/>
              </w:rPr>
              <w:t>30.83%</w:t>
            </w:r>
          </w:p>
        </w:tc>
      </w:tr>
      <w:tr w:rsidR="000B4EED" w14:paraId="365FF472" w14:textId="77777777" w:rsidTr="001342EB">
        <w:trPr>
          <w:cantSplit/>
        </w:trPr>
        <w:tc>
          <w:tcPr>
            <w:tcW w:w="3145" w:type="dxa"/>
            <w:shd w:val="clear" w:color="auto" w:fill="FBE4D5" w:themeFill="accent2" w:themeFillTint="33"/>
          </w:tcPr>
          <w:p w14:paraId="5C7FC3EF" w14:textId="77777777" w:rsidR="000B4EED" w:rsidRPr="00C81D67" w:rsidRDefault="000B4EED" w:rsidP="0017529F">
            <w:pPr>
              <w:rPr>
                <w:rFonts w:asciiTheme="majorHAnsi" w:hAnsiTheme="majorHAnsi" w:cstheme="majorHAnsi"/>
                <w:sz w:val="20"/>
                <w:szCs w:val="20"/>
              </w:rPr>
            </w:pPr>
            <w:r w:rsidRPr="00C81D67">
              <w:rPr>
                <w:rFonts w:asciiTheme="majorHAnsi" w:hAnsiTheme="majorHAnsi" w:cstheme="majorHAnsi"/>
                <w:sz w:val="20"/>
                <w:szCs w:val="20"/>
              </w:rPr>
              <w:t>Age - 65+</w:t>
            </w:r>
          </w:p>
        </w:tc>
        <w:tc>
          <w:tcPr>
            <w:tcW w:w="900" w:type="dxa"/>
            <w:shd w:val="clear" w:color="auto" w:fill="FBE4D5" w:themeFill="accent2" w:themeFillTint="33"/>
          </w:tcPr>
          <w:p w14:paraId="2C8C9273" w14:textId="74BD5A96" w:rsidR="000B4EED" w:rsidRPr="00C81D67" w:rsidRDefault="006A0DF8" w:rsidP="0017529F">
            <w:pPr>
              <w:jc w:val="center"/>
              <w:rPr>
                <w:rFonts w:asciiTheme="majorHAnsi" w:hAnsiTheme="majorHAnsi" w:cstheme="majorHAnsi"/>
                <w:sz w:val="20"/>
                <w:szCs w:val="20"/>
              </w:rPr>
            </w:pPr>
            <w:r w:rsidRPr="00C81D67">
              <w:rPr>
                <w:rFonts w:asciiTheme="majorHAnsi" w:hAnsiTheme="majorHAnsi" w:cstheme="majorHAnsi"/>
                <w:sz w:val="20"/>
                <w:szCs w:val="20"/>
              </w:rPr>
              <w:t>335</w:t>
            </w:r>
          </w:p>
        </w:tc>
        <w:tc>
          <w:tcPr>
            <w:tcW w:w="1187" w:type="dxa"/>
            <w:shd w:val="clear" w:color="auto" w:fill="FBE4D5" w:themeFill="accent2" w:themeFillTint="33"/>
          </w:tcPr>
          <w:p w14:paraId="27DB0B76" w14:textId="6DF6AF79" w:rsidR="000B4EED" w:rsidRPr="00C81D67" w:rsidRDefault="006D3FA9" w:rsidP="0017529F">
            <w:pPr>
              <w:jc w:val="center"/>
              <w:rPr>
                <w:rFonts w:asciiTheme="majorHAnsi" w:hAnsiTheme="majorHAnsi" w:cstheme="majorHAnsi"/>
                <w:sz w:val="20"/>
                <w:szCs w:val="20"/>
              </w:rPr>
            </w:pPr>
            <w:r w:rsidRPr="00C81D67">
              <w:rPr>
                <w:rFonts w:asciiTheme="majorHAnsi" w:hAnsiTheme="majorHAnsi" w:cstheme="majorHAnsi"/>
                <w:sz w:val="20"/>
                <w:szCs w:val="20"/>
              </w:rPr>
              <w:t>64.5</w:t>
            </w:r>
            <w:r w:rsidR="00651C57" w:rsidRPr="00C81D67">
              <w:rPr>
                <w:rFonts w:asciiTheme="majorHAnsi" w:hAnsiTheme="majorHAnsi" w:cstheme="majorHAnsi"/>
                <w:sz w:val="20"/>
                <w:szCs w:val="20"/>
              </w:rPr>
              <w:t>4</w:t>
            </w:r>
            <w:r w:rsidRPr="00C81D67">
              <w:rPr>
                <w:rFonts w:asciiTheme="majorHAnsi" w:hAnsiTheme="majorHAnsi" w:cstheme="majorHAnsi"/>
                <w:sz w:val="20"/>
                <w:szCs w:val="20"/>
              </w:rPr>
              <w:t>%</w:t>
            </w:r>
          </w:p>
        </w:tc>
      </w:tr>
      <w:tr w:rsidR="00215C87" w14:paraId="7C2AB81B" w14:textId="77777777" w:rsidTr="001342EB">
        <w:trPr>
          <w:cantSplit/>
        </w:trPr>
        <w:tc>
          <w:tcPr>
            <w:tcW w:w="3145" w:type="dxa"/>
            <w:shd w:val="clear" w:color="auto" w:fill="FFF2CC" w:themeFill="accent4" w:themeFillTint="33"/>
          </w:tcPr>
          <w:p w14:paraId="1A319534" w14:textId="77777777" w:rsidR="00215C87" w:rsidRPr="00C81D67" w:rsidRDefault="00215C87" w:rsidP="00215C87">
            <w:pPr>
              <w:rPr>
                <w:rFonts w:asciiTheme="majorHAnsi" w:hAnsiTheme="majorHAnsi" w:cstheme="majorHAnsi"/>
                <w:sz w:val="20"/>
                <w:szCs w:val="20"/>
              </w:rPr>
            </w:pPr>
            <w:r w:rsidRPr="00C81D67">
              <w:rPr>
                <w:rFonts w:asciiTheme="majorHAnsi" w:eastAsia="Verdana" w:hAnsiTheme="majorHAnsi" w:cstheme="majorHAnsi"/>
                <w:sz w:val="20"/>
                <w:szCs w:val="20"/>
              </w:rPr>
              <w:t>Gender - Male</w:t>
            </w:r>
          </w:p>
        </w:tc>
        <w:tc>
          <w:tcPr>
            <w:tcW w:w="900" w:type="dxa"/>
            <w:shd w:val="clear" w:color="auto" w:fill="FFF2CC" w:themeFill="accent4" w:themeFillTint="33"/>
          </w:tcPr>
          <w:p w14:paraId="7B35B2EB" w14:textId="248359C3" w:rsidR="00215C87" w:rsidRPr="00C81D67" w:rsidRDefault="00215C87" w:rsidP="00215C87">
            <w:pPr>
              <w:jc w:val="center"/>
              <w:rPr>
                <w:rFonts w:asciiTheme="majorHAnsi" w:hAnsiTheme="majorHAnsi" w:cstheme="majorHAnsi"/>
                <w:sz w:val="20"/>
                <w:szCs w:val="20"/>
              </w:rPr>
            </w:pPr>
            <w:r w:rsidRPr="00C81D67">
              <w:rPr>
                <w:rFonts w:asciiTheme="majorHAnsi" w:hAnsiTheme="majorHAnsi" w:cstheme="majorHAnsi"/>
                <w:sz w:val="20"/>
                <w:szCs w:val="20"/>
              </w:rPr>
              <w:t>263</w:t>
            </w:r>
          </w:p>
        </w:tc>
        <w:tc>
          <w:tcPr>
            <w:tcW w:w="1187" w:type="dxa"/>
            <w:shd w:val="clear" w:color="auto" w:fill="FFF2CC" w:themeFill="accent4" w:themeFillTint="33"/>
            <w:vAlign w:val="center"/>
          </w:tcPr>
          <w:p w14:paraId="561DE911" w14:textId="02AA691C" w:rsidR="00215C87" w:rsidRPr="00C81D67" w:rsidRDefault="00215C87" w:rsidP="00215C87">
            <w:pPr>
              <w:jc w:val="center"/>
              <w:rPr>
                <w:rFonts w:asciiTheme="majorHAnsi" w:hAnsiTheme="majorHAnsi" w:cstheme="majorHAnsi"/>
                <w:sz w:val="20"/>
                <w:szCs w:val="20"/>
              </w:rPr>
            </w:pPr>
            <w:r w:rsidRPr="00C81D67">
              <w:rPr>
                <w:rFonts w:asciiTheme="majorHAnsi" w:hAnsiTheme="majorHAnsi" w:cstheme="majorHAnsi"/>
                <w:color w:val="000000"/>
                <w:sz w:val="20"/>
                <w:szCs w:val="20"/>
              </w:rPr>
              <w:t>50.67%</w:t>
            </w:r>
          </w:p>
        </w:tc>
      </w:tr>
      <w:tr w:rsidR="00215C87" w14:paraId="3810847E" w14:textId="77777777" w:rsidTr="001342EB">
        <w:trPr>
          <w:cantSplit/>
        </w:trPr>
        <w:tc>
          <w:tcPr>
            <w:tcW w:w="3145" w:type="dxa"/>
            <w:shd w:val="clear" w:color="auto" w:fill="FFF2CC" w:themeFill="accent4" w:themeFillTint="33"/>
          </w:tcPr>
          <w:p w14:paraId="0DE5D1F5" w14:textId="77777777" w:rsidR="00215C87" w:rsidRDefault="00215C87" w:rsidP="00215C87">
            <w:r>
              <w:rPr>
                <w:rFonts w:asciiTheme="majorHAnsi" w:eastAsia="Verdana" w:hAnsiTheme="majorHAnsi" w:cstheme="majorHAnsi"/>
                <w:sz w:val="20"/>
              </w:rPr>
              <w:t xml:space="preserve">Gender - </w:t>
            </w:r>
            <w:r w:rsidRPr="004F39B6">
              <w:rPr>
                <w:rFonts w:asciiTheme="majorHAnsi" w:eastAsia="Verdana" w:hAnsiTheme="majorHAnsi" w:cstheme="majorHAnsi"/>
                <w:sz w:val="20"/>
              </w:rPr>
              <w:t>Female</w:t>
            </w:r>
          </w:p>
        </w:tc>
        <w:tc>
          <w:tcPr>
            <w:tcW w:w="900" w:type="dxa"/>
            <w:shd w:val="clear" w:color="auto" w:fill="FFF2CC" w:themeFill="accent4" w:themeFillTint="33"/>
          </w:tcPr>
          <w:p w14:paraId="44B45814" w14:textId="64880C4E" w:rsidR="00215C87" w:rsidRPr="00215C87" w:rsidRDefault="00215C87" w:rsidP="00215C87">
            <w:pPr>
              <w:jc w:val="center"/>
              <w:rPr>
                <w:rFonts w:asciiTheme="majorHAnsi" w:hAnsiTheme="majorHAnsi" w:cstheme="majorHAnsi"/>
                <w:sz w:val="20"/>
                <w:szCs w:val="20"/>
              </w:rPr>
            </w:pPr>
            <w:r w:rsidRPr="00215C87">
              <w:rPr>
                <w:rFonts w:asciiTheme="majorHAnsi" w:hAnsiTheme="majorHAnsi" w:cstheme="majorHAnsi"/>
                <w:sz w:val="20"/>
                <w:szCs w:val="20"/>
              </w:rPr>
              <w:t>256</w:t>
            </w:r>
          </w:p>
        </w:tc>
        <w:tc>
          <w:tcPr>
            <w:tcW w:w="1187" w:type="dxa"/>
            <w:shd w:val="clear" w:color="auto" w:fill="FFF2CC" w:themeFill="accent4" w:themeFillTint="33"/>
            <w:vAlign w:val="center"/>
          </w:tcPr>
          <w:p w14:paraId="55A3DA52" w14:textId="5E8F0C72" w:rsidR="00215C87" w:rsidRPr="00215C87" w:rsidRDefault="00215C87" w:rsidP="00215C87">
            <w:pPr>
              <w:jc w:val="center"/>
              <w:rPr>
                <w:rFonts w:asciiTheme="majorHAnsi" w:hAnsiTheme="majorHAnsi" w:cstheme="majorHAnsi"/>
                <w:sz w:val="20"/>
                <w:szCs w:val="20"/>
              </w:rPr>
            </w:pPr>
            <w:r w:rsidRPr="00215C87">
              <w:rPr>
                <w:rFonts w:asciiTheme="majorHAnsi" w:hAnsiTheme="majorHAnsi" w:cstheme="majorHAnsi"/>
                <w:color w:val="000000"/>
                <w:sz w:val="20"/>
                <w:szCs w:val="20"/>
              </w:rPr>
              <w:t>49.33%</w:t>
            </w:r>
          </w:p>
        </w:tc>
      </w:tr>
      <w:tr w:rsidR="00215C87" w14:paraId="2109D0BC" w14:textId="77777777" w:rsidTr="001342EB">
        <w:trPr>
          <w:cantSplit/>
        </w:trPr>
        <w:tc>
          <w:tcPr>
            <w:tcW w:w="3145" w:type="dxa"/>
            <w:shd w:val="clear" w:color="auto" w:fill="D9E2F3" w:themeFill="accent1" w:themeFillTint="33"/>
            <w:vAlign w:val="bottom"/>
          </w:tcPr>
          <w:p w14:paraId="6CB7B6E1" w14:textId="77777777" w:rsidR="00215C87" w:rsidRDefault="00215C87" w:rsidP="00215C87">
            <w:r>
              <w:rPr>
                <w:rFonts w:asciiTheme="majorHAnsi" w:eastAsia="Verdana" w:hAnsiTheme="majorHAnsi" w:cstheme="majorHAnsi"/>
                <w:sz w:val="20"/>
              </w:rPr>
              <w:t xml:space="preserve">Race/Ethnicity - </w:t>
            </w:r>
            <w:r w:rsidRPr="003A53BF">
              <w:rPr>
                <w:rFonts w:asciiTheme="majorHAnsi" w:hAnsiTheme="majorHAnsi" w:cstheme="majorHAnsi"/>
                <w:color w:val="000000"/>
                <w:sz w:val="20"/>
                <w:szCs w:val="20"/>
              </w:rPr>
              <w:t>White</w:t>
            </w:r>
          </w:p>
        </w:tc>
        <w:tc>
          <w:tcPr>
            <w:tcW w:w="900" w:type="dxa"/>
            <w:shd w:val="clear" w:color="auto" w:fill="D9E2F3" w:themeFill="accent1" w:themeFillTint="33"/>
            <w:vAlign w:val="bottom"/>
          </w:tcPr>
          <w:p w14:paraId="5EEFBF29" w14:textId="0330AB52" w:rsidR="00215C87" w:rsidRPr="00215C87" w:rsidRDefault="00215C87" w:rsidP="00215C87">
            <w:pPr>
              <w:jc w:val="center"/>
              <w:rPr>
                <w:rFonts w:asciiTheme="majorHAnsi" w:hAnsiTheme="majorHAnsi" w:cstheme="majorHAnsi"/>
                <w:sz w:val="20"/>
                <w:szCs w:val="20"/>
              </w:rPr>
            </w:pPr>
            <w:r w:rsidRPr="00215C87">
              <w:rPr>
                <w:rFonts w:asciiTheme="majorHAnsi" w:hAnsiTheme="majorHAnsi" w:cstheme="majorHAnsi"/>
                <w:sz w:val="20"/>
                <w:szCs w:val="20"/>
              </w:rPr>
              <w:t>460</w:t>
            </w:r>
          </w:p>
        </w:tc>
        <w:tc>
          <w:tcPr>
            <w:tcW w:w="1187" w:type="dxa"/>
            <w:shd w:val="clear" w:color="auto" w:fill="D9E2F3" w:themeFill="accent1" w:themeFillTint="33"/>
            <w:vAlign w:val="center"/>
          </w:tcPr>
          <w:p w14:paraId="2E85779D" w14:textId="30DD50E0" w:rsidR="00215C87" w:rsidRPr="00215C87" w:rsidRDefault="00215C87" w:rsidP="00215C87">
            <w:pPr>
              <w:jc w:val="center"/>
              <w:rPr>
                <w:rFonts w:asciiTheme="majorHAnsi" w:hAnsiTheme="majorHAnsi" w:cstheme="majorHAnsi"/>
                <w:sz w:val="20"/>
                <w:szCs w:val="20"/>
              </w:rPr>
            </w:pPr>
            <w:r w:rsidRPr="00215C87">
              <w:rPr>
                <w:rFonts w:asciiTheme="majorHAnsi" w:hAnsiTheme="majorHAnsi" w:cstheme="majorHAnsi"/>
                <w:color w:val="000000"/>
                <w:sz w:val="20"/>
                <w:szCs w:val="20"/>
              </w:rPr>
              <w:t>88.63%</w:t>
            </w:r>
          </w:p>
        </w:tc>
      </w:tr>
      <w:tr w:rsidR="00215C87" w14:paraId="713835E7" w14:textId="77777777" w:rsidTr="001342EB">
        <w:trPr>
          <w:cantSplit/>
        </w:trPr>
        <w:tc>
          <w:tcPr>
            <w:tcW w:w="3145" w:type="dxa"/>
            <w:shd w:val="clear" w:color="auto" w:fill="D9E2F3" w:themeFill="accent1" w:themeFillTint="33"/>
            <w:vAlign w:val="bottom"/>
          </w:tcPr>
          <w:p w14:paraId="75184CC6" w14:textId="77777777" w:rsidR="00215C87" w:rsidRDefault="00215C87" w:rsidP="00215C87">
            <w:r>
              <w:rPr>
                <w:rFonts w:asciiTheme="majorHAnsi" w:eastAsia="Verdana" w:hAnsiTheme="majorHAnsi" w:cstheme="majorHAnsi"/>
                <w:sz w:val="20"/>
              </w:rPr>
              <w:t xml:space="preserve">Race/Ethnicity - </w:t>
            </w:r>
            <w:r w:rsidRPr="003A53BF">
              <w:rPr>
                <w:rFonts w:asciiTheme="majorHAnsi" w:hAnsiTheme="majorHAnsi" w:cstheme="majorHAnsi"/>
                <w:color w:val="000000"/>
                <w:sz w:val="20"/>
                <w:szCs w:val="20"/>
              </w:rPr>
              <w:t>Asian</w:t>
            </w:r>
          </w:p>
        </w:tc>
        <w:tc>
          <w:tcPr>
            <w:tcW w:w="900" w:type="dxa"/>
            <w:shd w:val="clear" w:color="auto" w:fill="D9E2F3" w:themeFill="accent1" w:themeFillTint="33"/>
            <w:vAlign w:val="bottom"/>
          </w:tcPr>
          <w:p w14:paraId="404647FC" w14:textId="74B8AB2D" w:rsidR="00215C87" w:rsidRPr="00215C87" w:rsidRDefault="00215C87" w:rsidP="00215C87">
            <w:pPr>
              <w:jc w:val="center"/>
              <w:rPr>
                <w:rFonts w:asciiTheme="majorHAnsi" w:hAnsiTheme="majorHAnsi" w:cstheme="majorHAnsi"/>
                <w:sz w:val="20"/>
                <w:szCs w:val="20"/>
              </w:rPr>
            </w:pPr>
            <w:r w:rsidRPr="00215C87">
              <w:rPr>
                <w:rFonts w:asciiTheme="majorHAnsi" w:hAnsiTheme="majorHAnsi" w:cstheme="majorHAnsi"/>
                <w:sz w:val="20"/>
                <w:szCs w:val="20"/>
              </w:rPr>
              <w:t>27</w:t>
            </w:r>
          </w:p>
        </w:tc>
        <w:tc>
          <w:tcPr>
            <w:tcW w:w="1187" w:type="dxa"/>
            <w:shd w:val="clear" w:color="auto" w:fill="D9E2F3" w:themeFill="accent1" w:themeFillTint="33"/>
            <w:vAlign w:val="center"/>
          </w:tcPr>
          <w:p w14:paraId="6344525B" w14:textId="35747B97" w:rsidR="00215C87" w:rsidRPr="00215C87" w:rsidRDefault="00215C87" w:rsidP="00215C87">
            <w:pPr>
              <w:jc w:val="center"/>
              <w:rPr>
                <w:rFonts w:asciiTheme="majorHAnsi" w:hAnsiTheme="majorHAnsi" w:cstheme="majorHAnsi"/>
                <w:sz w:val="20"/>
                <w:szCs w:val="20"/>
              </w:rPr>
            </w:pPr>
            <w:r w:rsidRPr="00215C87">
              <w:rPr>
                <w:rFonts w:asciiTheme="majorHAnsi" w:hAnsiTheme="majorHAnsi" w:cstheme="majorHAnsi"/>
                <w:color w:val="000000"/>
                <w:sz w:val="20"/>
                <w:szCs w:val="20"/>
              </w:rPr>
              <w:t>5.20%</w:t>
            </w:r>
          </w:p>
        </w:tc>
      </w:tr>
      <w:tr w:rsidR="00215C87" w14:paraId="4B765D88" w14:textId="77777777" w:rsidTr="001342EB">
        <w:trPr>
          <w:cantSplit/>
        </w:trPr>
        <w:tc>
          <w:tcPr>
            <w:tcW w:w="3145" w:type="dxa"/>
            <w:shd w:val="clear" w:color="auto" w:fill="D9E2F3" w:themeFill="accent1" w:themeFillTint="33"/>
            <w:vAlign w:val="bottom"/>
          </w:tcPr>
          <w:p w14:paraId="1478D04A" w14:textId="4A660C63" w:rsidR="00215C87" w:rsidRDefault="00215C87" w:rsidP="00215C87">
            <w:r>
              <w:rPr>
                <w:rFonts w:asciiTheme="majorHAnsi" w:eastAsia="Verdana" w:hAnsiTheme="majorHAnsi" w:cstheme="majorHAnsi"/>
                <w:sz w:val="20"/>
              </w:rPr>
              <w:t xml:space="preserve">Race/Ethnicity - </w:t>
            </w:r>
            <w:r w:rsidRPr="003A53BF">
              <w:rPr>
                <w:rFonts w:asciiTheme="majorHAnsi" w:hAnsiTheme="majorHAnsi" w:cstheme="majorHAnsi"/>
                <w:color w:val="000000"/>
                <w:sz w:val="20"/>
                <w:szCs w:val="20"/>
              </w:rPr>
              <w:t>Other</w:t>
            </w:r>
            <w:r w:rsidRPr="003A53BF">
              <w:rPr>
                <w:rStyle w:val="FootnoteReference"/>
                <w:rFonts w:asciiTheme="majorHAnsi" w:hAnsiTheme="majorHAnsi" w:cstheme="majorHAnsi"/>
                <w:color w:val="000000"/>
                <w:sz w:val="20"/>
                <w:szCs w:val="20"/>
              </w:rPr>
              <w:footnoteReference w:id="7"/>
            </w:r>
          </w:p>
        </w:tc>
        <w:tc>
          <w:tcPr>
            <w:tcW w:w="900" w:type="dxa"/>
            <w:shd w:val="clear" w:color="auto" w:fill="D9E2F3" w:themeFill="accent1" w:themeFillTint="33"/>
            <w:vAlign w:val="center"/>
          </w:tcPr>
          <w:p w14:paraId="79DB539D" w14:textId="6DA89406" w:rsidR="00215C87" w:rsidRPr="00215C87" w:rsidRDefault="00215C87" w:rsidP="00215C87">
            <w:pPr>
              <w:jc w:val="center"/>
              <w:rPr>
                <w:rFonts w:asciiTheme="majorHAnsi" w:hAnsiTheme="majorHAnsi" w:cstheme="majorHAnsi"/>
                <w:sz w:val="20"/>
                <w:szCs w:val="20"/>
              </w:rPr>
            </w:pPr>
            <w:r w:rsidRPr="00215C87">
              <w:rPr>
                <w:rFonts w:asciiTheme="majorHAnsi" w:hAnsiTheme="majorHAnsi" w:cstheme="majorHAnsi"/>
                <w:sz w:val="20"/>
                <w:szCs w:val="20"/>
              </w:rPr>
              <w:t>32</w:t>
            </w:r>
          </w:p>
        </w:tc>
        <w:tc>
          <w:tcPr>
            <w:tcW w:w="1187" w:type="dxa"/>
            <w:shd w:val="clear" w:color="auto" w:fill="D9E2F3" w:themeFill="accent1" w:themeFillTint="33"/>
            <w:vAlign w:val="center"/>
          </w:tcPr>
          <w:p w14:paraId="6E2398BB" w14:textId="50B61E01" w:rsidR="00215C87" w:rsidRPr="00215C87" w:rsidRDefault="00215C87" w:rsidP="00215C87">
            <w:pPr>
              <w:jc w:val="center"/>
              <w:rPr>
                <w:rFonts w:asciiTheme="majorHAnsi" w:hAnsiTheme="majorHAnsi" w:cstheme="majorHAnsi"/>
                <w:sz w:val="20"/>
                <w:szCs w:val="20"/>
              </w:rPr>
            </w:pPr>
            <w:r w:rsidRPr="00215C87">
              <w:rPr>
                <w:rFonts w:asciiTheme="majorHAnsi" w:hAnsiTheme="majorHAnsi" w:cstheme="majorHAnsi"/>
                <w:color w:val="000000"/>
                <w:sz w:val="20"/>
                <w:szCs w:val="20"/>
              </w:rPr>
              <w:t>6.17%</w:t>
            </w:r>
          </w:p>
        </w:tc>
      </w:tr>
    </w:tbl>
    <w:p w14:paraId="172051E1" w14:textId="33FC662C" w:rsidR="00810C49" w:rsidRDefault="00CB7D84" w:rsidP="006E5CDF">
      <w:pPr>
        <w:pStyle w:val="ListParagraph"/>
        <w:numPr>
          <w:ilvl w:val="1"/>
          <w:numId w:val="29"/>
        </w:numPr>
        <w:spacing w:before="240" w:after="0" w:line="240" w:lineRule="auto"/>
        <w:jc w:val="both"/>
        <w:rPr>
          <w:rFonts w:eastAsia="Times New Roman" w:cstheme="minorHAnsi"/>
          <w:b/>
          <w:bCs/>
          <w:smallCaps/>
          <w:kern w:val="2"/>
          <w:sz w:val="24"/>
          <w:szCs w:val="24"/>
        </w:rPr>
      </w:pPr>
      <w:r w:rsidRPr="00450206">
        <w:rPr>
          <w:rFonts w:eastAsia="Times New Roman" w:cstheme="minorHAnsi"/>
          <w:b/>
          <w:bCs/>
          <w:smallCaps/>
          <w:kern w:val="2"/>
          <w:sz w:val="24"/>
          <w:szCs w:val="24"/>
        </w:rPr>
        <w:t>Table 5: LHMC Radiation Therapy Patient Geographics</w:t>
      </w:r>
      <w:r w:rsidR="00E54E73" w:rsidRPr="00450206">
        <w:rPr>
          <w:rFonts w:eastAsia="Times New Roman" w:cstheme="minorHAnsi"/>
          <w:b/>
          <w:bCs/>
          <w:smallCaps/>
          <w:kern w:val="2"/>
          <w:sz w:val="24"/>
          <w:szCs w:val="24"/>
        </w:rPr>
        <w:t xml:space="preserve"> (Narrative Page 6)</w:t>
      </w:r>
    </w:p>
    <w:p w14:paraId="74E87A20" w14:textId="77777777" w:rsidR="00220D52" w:rsidRDefault="00220D52" w:rsidP="00220D52">
      <w:pPr>
        <w:pStyle w:val="ListParagraph"/>
        <w:spacing w:before="240" w:after="0" w:line="240" w:lineRule="auto"/>
        <w:ind w:left="1080"/>
        <w:jc w:val="both"/>
        <w:rPr>
          <w:rFonts w:eastAsia="Times New Roman" w:cstheme="minorHAnsi"/>
          <w:b/>
          <w:bCs/>
          <w:smallCaps/>
          <w:kern w:val="2"/>
          <w:sz w:val="24"/>
          <w:szCs w:val="24"/>
        </w:rPr>
      </w:pPr>
    </w:p>
    <w:tbl>
      <w:tblPr>
        <w:tblStyle w:val="TableGrid"/>
        <w:tblW w:w="0" w:type="auto"/>
        <w:tblInd w:w="940" w:type="dxa"/>
        <w:tblLook w:val="04A0" w:firstRow="1" w:lastRow="0" w:firstColumn="1" w:lastColumn="0" w:noHBand="0" w:noVBand="1"/>
      </w:tblPr>
      <w:tblGrid>
        <w:gridCol w:w="2065"/>
        <w:gridCol w:w="1260"/>
        <w:gridCol w:w="1187"/>
      </w:tblGrid>
      <w:tr w:rsidR="00220D52" w14:paraId="30A2326B" w14:textId="77777777" w:rsidTr="00F37923">
        <w:trPr>
          <w:cantSplit/>
          <w:tblHeader/>
        </w:trPr>
        <w:tc>
          <w:tcPr>
            <w:tcW w:w="2065" w:type="dxa"/>
          </w:tcPr>
          <w:p w14:paraId="3C133F3D" w14:textId="77777777" w:rsidR="00220D52" w:rsidRPr="00220D52" w:rsidRDefault="00220D52" w:rsidP="0017529F">
            <w:pPr>
              <w:jc w:val="center"/>
              <w:rPr>
                <w:rFonts w:asciiTheme="majorHAnsi" w:hAnsiTheme="majorHAnsi" w:cstheme="majorHAnsi"/>
                <w:sz w:val="20"/>
                <w:szCs w:val="20"/>
              </w:rPr>
            </w:pPr>
            <w:r w:rsidRPr="00220D52">
              <w:rPr>
                <w:rFonts w:asciiTheme="majorHAnsi" w:hAnsiTheme="majorHAnsi" w:cstheme="majorHAnsi"/>
                <w:color w:val="000000"/>
                <w:sz w:val="20"/>
                <w:szCs w:val="20"/>
              </w:rPr>
              <w:t>Geographic Origin</w:t>
            </w:r>
          </w:p>
        </w:tc>
        <w:tc>
          <w:tcPr>
            <w:tcW w:w="1260" w:type="dxa"/>
          </w:tcPr>
          <w:p w14:paraId="496DD709" w14:textId="68A8123B" w:rsidR="00220D52" w:rsidRPr="00220D52" w:rsidRDefault="00220D52" w:rsidP="0017529F">
            <w:pPr>
              <w:jc w:val="center"/>
              <w:rPr>
                <w:rFonts w:asciiTheme="majorHAnsi" w:hAnsiTheme="majorHAnsi" w:cstheme="majorHAnsi"/>
                <w:sz w:val="20"/>
                <w:szCs w:val="20"/>
              </w:rPr>
            </w:pPr>
            <w:r w:rsidRPr="00220D52">
              <w:rPr>
                <w:rFonts w:asciiTheme="majorHAnsi" w:hAnsiTheme="majorHAnsi" w:cstheme="majorHAnsi"/>
                <w:color w:val="000000"/>
                <w:sz w:val="20"/>
                <w:szCs w:val="20"/>
              </w:rPr>
              <w:t>FY202</w:t>
            </w:r>
            <w:r>
              <w:rPr>
                <w:rFonts w:asciiTheme="majorHAnsi" w:hAnsiTheme="majorHAnsi" w:cstheme="majorHAnsi"/>
                <w:color w:val="000000"/>
                <w:sz w:val="20"/>
                <w:szCs w:val="20"/>
              </w:rPr>
              <w:t>3</w:t>
            </w:r>
            <w:r w:rsidRPr="00220D52">
              <w:rPr>
                <w:rFonts w:asciiTheme="majorHAnsi" w:hAnsiTheme="majorHAnsi" w:cstheme="majorHAnsi"/>
                <w:color w:val="000000"/>
                <w:sz w:val="20"/>
                <w:szCs w:val="20"/>
              </w:rPr>
              <w:t xml:space="preserve"> Count</w:t>
            </w:r>
          </w:p>
        </w:tc>
        <w:tc>
          <w:tcPr>
            <w:tcW w:w="1187" w:type="dxa"/>
          </w:tcPr>
          <w:p w14:paraId="15DF3FE0" w14:textId="5AC66F5B" w:rsidR="00220D52" w:rsidRPr="00220D52" w:rsidRDefault="00220D52" w:rsidP="0017529F">
            <w:pPr>
              <w:jc w:val="center"/>
              <w:rPr>
                <w:rFonts w:asciiTheme="majorHAnsi" w:hAnsiTheme="majorHAnsi" w:cstheme="majorHAnsi"/>
                <w:sz w:val="20"/>
                <w:szCs w:val="20"/>
              </w:rPr>
            </w:pPr>
            <w:r w:rsidRPr="00220D52">
              <w:rPr>
                <w:rFonts w:asciiTheme="majorHAnsi" w:hAnsiTheme="majorHAnsi" w:cstheme="majorHAnsi"/>
                <w:color w:val="000000"/>
                <w:sz w:val="20"/>
                <w:szCs w:val="20"/>
              </w:rPr>
              <w:t>FY202</w:t>
            </w:r>
            <w:r>
              <w:rPr>
                <w:rFonts w:asciiTheme="majorHAnsi" w:hAnsiTheme="majorHAnsi" w:cstheme="majorHAnsi"/>
                <w:color w:val="000000"/>
                <w:sz w:val="20"/>
                <w:szCs w:val="20"/>
              </w:rPr>
              <w:t>3</w:t>
            </w:r>
            <w:r w:rsidRPr="00220D52">
              <w:rPr>
                <w:rFonts w:asciiTheme="majorHAnsi" w:hAnsiTheme="majorHAnsi" w:cstheme="majorHAnsi"/>
                <w:color w:val="000000"/>
                <w:sz w:val="20"/>
                <w:szCs w:val="20"/>
              </w:rPr>
              <w:t xml:space="preserve"> Percent</w:t>
            </w:r>
          </w:p>
        </w:tc>
      </w:tr>
      <w:tr w:rsidR="008B755E" w14:paraId="11962CC8" w14:textId="77777777" w:rsidTr="00F37923">
        <w:trPr>
          <w:cantSplit/>
        </w:trPr>
        <w:tc>
          <w:tcPr>
            <w:tcW w:w="2065" w:type="dxa"/>
            <w:vAlign w:val="bottom"/>
          </w:tcPr>
          <w:p w14:paraId="5974F5A2" w14:textId="7DAA1591" w:rsidR="008B755E" w:rsidRPr="004A1AD5" w:rsidRDefault="008B755E" w:rsidP="008B755E">
            <w:pPr>
              <w:rPr>
                <w:rFonts w:asciiTheme="majorHAnsi" w:hAnsiTheme="majorHAnsi" w:cstheme="majorHAnsi"/>
                <w:sz w:val="20"/>
                <w:szCs w:val="20"/>
              </w:rPr>
            </w:pPr>
            <w:r w:rsidRPr="00C430D7">
              <w:rPr>
                <w:rFonts w:asciiTheme="majorHAnsi" w:hAnsiTheme="majorHAnsi" w:cstheme="majorHAnsi"/>
                <w:color w:val="000000"/>
                <w:sz w:val="20"/>
                <w:szCs w:val="20"/>
              </w:rPr>
              <w:t>Burlington</w:t>
            </w:r>
          </w:p>
        </w:tc>
        <w:tc>
          <w:tcPr>
            <w:tcW w:w="1260" w:type="dxa"/>
            <w:vAlign w:val="bottom"/>
          </w:tcPr>
          <w:p w14:paraId="77001B9E" w14:textId="010A6613" w:rsidR="008B755E" w:rsidRPr="004A1AD5" w:rsidRDefault="008B755E" w:rsidP="008B755E">
            <w:pPr>
              <w:jc w:val="center"/>
              <w:rPr>
                <w:rFonts w:asciiTheme="majorHAnsi" w:hAnsiTheme="majorHAnsi" w:cstheme="majorHAnsi"/>
                <w:sz w:val="20"/>
                <w:szCs w:val="20"/>
              </w:rPr>
            </w:pPr>
            <w:r w:rsidRPr="00C430D7">
              <w:rPr>
                <w:rFonts w:asciiTheme="majorHAnsi" w:hAnsiTheme="majorHAnsi" w:cstheme="majorHAnsi"/>
                <w:color w:val="000000"/>
                <w:sz w:val="20"/>
                <w:szCs w:val="20"/>
              </w:rPr>
              <w:t>48</w:t>
            </w:r>
          </w:p>
        </w:tc>
        <w:tc>
          <w:tcPr>
            <w:tcW w:w="1187" w:type="dxa"/>
            <w:vAlign w:val="bottom"/>
          </w:tcPr>
          <w:p w14:paraId="5A307F72" w14:textId="06FA86E7" w:rsidR="008B755E" w:rsidRPr="00220D52" w:rsidRDefault="008B755E" w:rsidP="008B755E">
            <w:pPr>
              <w:jc w:val="center"/>
              <w:rPr>
                <w:rFonts w:asciiTheme="majorHAnsi" w:hAnsiTheme="majorHAnsi" w:cstheme="majorHAnsi"/>
                <w:sz w:val="20"/>
                <w:szCs w:val="20"/>
              </w:rPr>
            </w:pPr>
            <w:r w:rsidRPr="00C430D7">
              <w:rPr>
                <w:rFonts w:asciiTheme="majorHAnsi" w:hAnsiTheme="majorHAnsi" w:cstheme="majorHAnsi"/>
                <w:color w:val="000000"/>
                <w:sz w:val="20"/>
                <w:szCs w:val="20"/>
              </w:rPr>
              <w:t>9.25%</w:t>
            </w:r>
          </w:p>
        </w:tc>
      </w:tr>
      <w:tr w:rsidR="008B755E" w14:paraId="083B2D64" w14:textId="77777777" w:rsidTr="00F37923">
        <w:trPr>
          <w:cantSplit/>
        </w:trPr>
        <w:tc>
          <w:tcPr>
            <w:tcW w:w="2065" w:type="dxa"/>
            <w:vAlign w:val="bottom"/>
          </w:tcPr>
          <w:p w14:paraId="4940AB81" w14:textId="5415EE89" w:rsidR="008B755E" w:rsidRPr="004A1AD5" w:rsidRDefault="008B755E" w:rsidP="008B755E">
            <w:pPr>
              <w:rPr>
                <w:rFonts w:asciiTheme="majorHAnsi" w:hAnsiTheme="majorHAnsi" w:cstheme="majorHAnsi"/>
                <w:sz w:val="20"/>
                <w:szCs w:val="20"/>
              </w:rPr>
            </w:pPr>
            <w:r w:rsidRPr="00C430D7">
              <w:rPr>
                <w:rFonts w:asciiTheme="majorHAnsi" w:hAnsiTheme="majorHAnsi" w:cstheme="majorHAnsi"/>
                <w:color w:val="000000"/>
                <w:sz w:val="20"/>
                <w:szCs w:val="20"/>
              </w:rPr>
              <w:t>Woburn</w:t>
            </w:r>
          </w:p>
        </w:tc>
        <w:tc>
          <w:tcPr>
            <w:tcW w:w="1260" w:type="dxa"/>
            <w:vAlign w:val="bottom"/>
          </w:tcPr>
          <w:p w14:paraId="51004C34" w14:textId="686CDFF6" w:rsidR="008B755E" w:rsidRPr="004A1AD5" w:rsidRDefault="008B755E" w:rsidP="008B755E">
            <w:pPr>
              <w:jc w:val="center"/>
              <w:rPr>
                <w:rFonts w:asciiTheme="majorHAnsi" w:hAnsiTheme="majorHAnsi" w:cstheme="majorHAnsi"/>
                <w:sz w:val="20"/>
                <w:szCs w:val="20"/>
              </w:rPr>
            </w:pPr>
            <w:r w:rsidRPr="00C430D7">
              <w:rPr>
                <w:rFonts w:asciiTheme="majorHAnsi" w:hAnsiTheme="majorHAnsi" w:cstheme="majorHAnsi"/>
                <w:color w:val="000000"/>
                <w:sz w:val="20"/>
                <w:szCs w:val="20"/>
              </w:rPr>
              <w:t>45</w:t>
            </w:r>
          </w:p>
        </w:tc>
        <w:tc>
          <w:tcPr>
            <w:tcW w:w="1187" w:type="dxa"/>
            <w:vAlign w:val="bottom"/>
          </w:tcPr>
          <w:p w14:paraId="137846A7" w14:textId="33D8CEF6" w:rsidR="008B755E" w:rsidRPr="00220D52" w:rsidRDefault="008B755E" w:rsidP="008B755E">
            <w:pPr>
              <w:jc w:val="center"/>
              <w:rPr>
                <w:rFonts w:asciiTheme="majorHAnsi" w:hAnsiTheme="majorHAnsi" w:cstheme="majorHAnsi"/>
                <w:sz w:val="20"/>
                <w:szCs w:val="20"/>
              </w:rPr>
            </w:pPr>
            <w:r w:rsidRPr="00C430D7">
              <w:rPr>
                <w:rFonts w:asciiTheme="majorHAnsi" w:hAnsiTheme="majorHAnsi" w:cstheme="majorHAnsi"/>
                <w:color w:val="000000"/>
                <w:sz w:val="20"/>
                <w:szCs w:val="20"/>
              </w:rPr>
              <w:t>8.67%</w:t>
            </w:r>
          </w:p>
        </w:tc>
      </w:tr>
      <w:tr w:rsidR="008B755E" w14:paraId="04E1DBBD" w14:textId="77777777" w:rsidTr="00F37923">
        <w:trPr>
          <w:cantSplit/>
        </w:trPr>
        <w:tc>
          <w:tcPr>
            <w:tcW w:w="2065" w:type="dxa"/>
            <w:vAlign w:val="bottom"/>
          </w:tcPr>
          <w:p w14:paraId="61491C0F" w14:textId="1F88911B" w:rsidR="008B755E" w:rsidRPr="004A1AD5" w:rsidRDefault="008B755E" w:rsidP="008B755E">
            <w:pPr>
              <w:rPr>
                <w:rFonts w:asciiTheme="majorHAnsi" w:hAnsiTheme="majorHAnsi" w:cstheme="majorHAnsi"/>
                <w:sz w:val="20"/>
                <w:szCs w:val="20"/>
              </w:rPr>
            </w:pPr>
            <w:r w:rsidRPr="00C430D7">
              <w:rPr>
                <w:rFonts w:asciiTheme="majorHAnsi" w:hAnsiTheme="majorHAnsi" w:cstheme="majorHAnsi"/>
                <w:color w:val="000000"/>
                <w:sz w:val="20"/>
                <w:szCs w:val="20"/>
              </w:rPr>
              <w:t>Lexington</w:t>
            </w:r>
          </w:p>
        </w:tc>
        <w:tc>
          <w:tcPr>
            <w:tcW w:w="1260" w:type="dxa"/>
            <w:vAlign w:val="bottom"/>
          </w:tcPr>
          <w:p w14:paraId="4CC65745" w14:textId="55337533" w:rsidR="008B755E" w:rsidRPr="004A1AD5" w:rsidRDefault="008B755E" w:rsidP="008B755E">
            <w:pPr>
              <w:jc w:val="center"/>
              <w:rPr>
                <w:rFonts w:asciiTheme="majorHAnsi" w:hAnsiTheme="majorHAnsi" w:cstheme="majorHAnsi"/>
                <w:sz w:val="20"/>
                <w:szCs w:val="20"/>
              </w:rPr>
            </w:pPr>
            <w:r w:rsidRPr="00C430D7">
              <w:rPr>
                <w:rFonts w:asciiTheme="majorHAnsi" w:hAnsiTheme="majorHAnsi" w:cstheme="majorHAnsi"/>
                <w:color w:val="000000"/>
                <w:sz w:val="20"/>
                <w:szCs w:val="20"/>
              </w:rPr>
              <w:t>28</w:t>
            </w:r>
          </w:p>
        </w:tc>
        <w:tc>
          <w:tcPr>
            <w:tcW w:w="1187" w:type="dxa"/>
            <w:vAlign w:val="bottom"/>
          </w:tcPr>
          <w:p w14:paraId="700EDA84" w14:textId="32240ECE" w:rsidR="008B755E" w:rsidRPr="00220D52" w:rsidRDefault="008B755E" w:rsidP="008B755E">
            <w:pPr>
              <w:jc w:val="center"/>
              <w:rPr>
                <w:rFonts w:asciiTheme="majorHAnsi" w:hAnsiTheme="majorHAnsi" w:cstheme="majorHAnsi"/>
                <w:sz w:val="20"/>
                <w:szCs w:val="20"/>
              </w:rPr>
            </w:pPr>
            <w:r w:rsidRPr="00C430D7">
              <w:rPr>
                <w:rFonts w:asciiTheme="majorHAnsi" w:hAnsiTheme="majorHAnsi" w:cstheme="majorHAnsi"/>
                <w:color w:val="000000"/>
                <w:sz w:val="20"/>
                <w:szCs w:val="20"/>
              </w:rPr>
              <w:t>5.39%</w:t>
            </w:r>
          </w:p>
        </w:tc>
      </w:tr>
      <w:tr w:rsidR="008B755E" w14:paraId="21AE61BF" w14:textId="77777777" w:rsidTr="00F37923">
        <w:trPr>
          <w:cantSplit/>
        </w:trPr>
        <w:tc>
          <w:tcPr>
            <w:tcW w:w="2065" w:type="dxa"/>
            <w:vAlign w:val="bottom"/>
          </w:tcPr>
          <w:p w14:paraId="67B796C8" w14:textId="2C58B02E" w:rsidR="008B755E" w:rsidRPr="004A1AD5" w:rsidRDefault="008B755E" w:rsidP="008B755E">
            <w:pPr>
              <w:rPr>
                <w:rFonts w:asciiTheme="majorHAnsi" w:hAnsiTheme="majorHAnsi" w:cstheme="majorHAnsi"/>
                <w:sz w:val="20"/>
                <w:szCs w:val="20"/>
              </w:rPr>
            </w:pPr>
            <w:r w:rsidRPr="00C430D7">
              <w:rPr>
                <w:rFonts w:asciiTheme="majorHAnsi" w:hAnsiTheme="majorHAnsi" w:cstheme="majorHAnsi"/>
                <w:color w:val="000000"/>
                <w:sz w:val="20"/>
                <w:szCs w:val="20"/>
              </w:rPr>
              <w:t>Billerica</w:t>
            </w:r>
          </w:p>
        </w:tc>
        <w:tc>
          <w:tcPr>
            <w:tcW w:w="1260" w:type="dxa"/>
            <w:vAlign w:val="bottom"/>
          </w:tcPr>
          <w:p w14:paraId="09206E8C" w14:textId="616BA927" w:rsidR="008B755E" w:rsidRPr="004A1AD5" w:rsidRDefault="008B755E" w:rsidP="008B755E">
            <w:pPr>
              <w:jc w:val="center"/>
              <w:rPr>
                <w:rFonts w:asciiTheme="majorHAnsi" w:hAnsiTheme="majorHAnsi" w:cstheme="majorHAnsi"/>
                <w:sz w:val="20"/>
                <w:szCs w:val="20"/>
              </w:rPr>
            </w:pPr>
            <w:r w:rsidRPr="00C430D7">
              <w:rPr>
                <w:rFonts w:asciiTheme="majorHAnsi" w:hAnsiTheme="majorHAnsi" w:cstheme="majorHAnsi"/>
                <w:color w:val="000000"/>
                <w:sz w:val="20"/>
                <w:szCs w:val="20"/>
              </w:rPr>
              <w:t>25</w:t>
            </w:r>
          </w:p>
        </w:tc>
        <w:tc>
          <w:tcPr>
            <w:tcW w:w="1187" w:type="dxa"/>
            <w:vAlign w:val="bottom"/>
          </w:tcPr>
          <w:p w14:paraId="3C3D95F3" w14:textId="7A453234" w:rsidR="008B755E" w:rsidRPr="00220D52" w:rsidRDefault="008B755E" w:rsidP="008B755E">
            <w:pPr>
              <w:jc w:val="center"/>
              <w:rPr>
                <w:rFonts w:asciiTheme="majorHAnsi" w:hAnsiTheme="majorHAnsi" w:cstheme="majorHAnsi"/>
                <w:sz w:val="20"/>
                <w:szCs w:val="20"/>
              </w:rPr>
            </w:pPr>
            <w:r w:rsidRPr="00C430D7">
              <w:rPr>
                <w:rFonts w:asciiTheme="majorHAnsi" w:hAnsiTheme="majorHAnsi" w:cstheme="majorHAnsi"/>
                <w:color w:val="000000"/>
                <w:sz w:val="20"/>
                <w:szCs w:val="20"/>
              </w:rPr>
              <w:t>4.82%</w:t>
            </w:r>
          </w:p>
        </w:tc>
      </w:tr>
      <w:tr w:rsidR="008B755E" w14:paraId="22DE1296" w14:textId="77777777" w:rsidTr="00F37923">
        <w:trPr>
          <w:cantSplit/>
        </w:trPr>
        <w:tc>
          <w:tcPr>
            <w:tcW w:w="2065" w:type="dxa"/>
            <w:vAlign w:val="bottom"/>
          </w:tcPr>
          <w:p w14:paraId="39E8A764" w14:textId="4BA3EA74" w:rsidR="008B755E" w:rsidRPr="004A1AD5" w:rsidRDefault="008B755E" w:rsidP="008B755E">
            <w:pPr>
              <w:rPr>
                <w:rFonts w:asciiTheme="majorHAnsi" w:hAnsiTheme="majorHAnsi" w:cstheme="majorHAnsi"/>
                <w:sz w:val="20"/>
                <w:szCs w:val="20"/>
              </w:rPr>
            </w:pPr>
            <w:r w:rsidRPr="00C430D7">
              <w:rPr>
                <w:rFonts w:asciiTheme="majorHAnsi" w:hAnsiTheme="majorHAnsi" w:cstheme="majorHAnsi"/>
                <w:color w:val="000000"/>
                <w:sz w:val="20"/>
                <w:szCs w:val="20"/>
              </w:rPr>
              <w:t>Wilmington</w:t>
            </w:r>
          </w:p>
        </w:tc>
        <w:tc>
          <w:tcPr>
            <w:tcW w:w="1260" w:type="dxa"/>
            <w:vAlign w:val="bottom"/>
          </w:tcPr>
          <w:p w14:paraId="2D6A7A5A" w14:textId="6A663DD4" w:rsidR="008B755E" w:rsidRPr="004A1AD5" w:rsidRDefault="008B755E" w:rsidP="008B755E">
            <w:pPr>
              <w:jc w:val="center"/>
              <w:rPr>
                <w:rFonts w:asciiTheme="majorHAnsi" w:hAnsiTheme="majorHAnsi" w:cstheme="majorHAnsi"/>
                <w:sz w:val="20"/>
                <w:szCs w:val="20"/>
              </w:rPr>
            </w:pPr>
            <w:r w:rsidRPr="00C430D7">
              <w:rPr>
                <w:rFonts w:asciiTheme="majorHAnsi" w:hAnsiTheme="majorHAnsi" w:cstheme="majorHAnsi"/>
                <w:color w:val="000000"/>
                <w:sz w:val="20"/>
                <w:szCs w:val="20"/>
              </w:rPr>
              <w:t>25</w:t>
            </w:r>
          </w:p>
        </w:tc>
        <w:tc>
          <w:tcPr>
            <w:tcW w:w="1187" w:type="dxa"/>
            <w:vAlign w:val="bottom"/>
          </w:tcPr>
          <w:p w14:paraId="68E48C0F" w14:textId="6F5ED81D" w:rsidR="008B755E" w:rsidRPr="00220D52" w:rsidRDefault="008B755E" w:rsidP="008B755E">
            <w:pPr>
              <w:jc w:val="center"/>
              <w:rPr>
                <w:rFonts w:asciiTheme="majorHAnsi" w:hAnsiTheme="majorHAnsi" w:cstheme="majorHAnsi"/>
                <w:sz w:val="20"/>
                <w:szCs w:val="20"/>
              </w:rPr>
            </w:pPr>
            <w:r w:rsidRPr="00C430D7">
              <w:rPr>
                <w:rFonts w:asciiTheme="majorHAnsi" w:hAnsiTheme="majorHAnsi" w:cstheme="majorHAnsi"/>
                <w:color w:val="000000"/>
                <w:sz w:val="20"/>
                <w:szCs w:val="20"/>
              </w:rPr>
              <w:t>4.82%</w:t>
            </w:r>
          </w:p>
        </w:tc>
      </w:tr>
      <w:tr w:rsidR="008B755E" w14:paraId="43234777" w14:textId="77777777" w:rsidTr="00F37923">
        <w:trPr>
          <w:cantSplit/>
        </w:trPr>
        <w:tc>
          <w:tcPr>
            <w:tcW w:w="2065" w:type="dxa"/>
            <w:vAlign w:val="bottom"/>
          </w:tcPr>
          <w:p w14:paraId="3C7BD6FD" w14:textId="2495B22B" w:rsidR="008B755E" w:rsidRPr="004A1AD5" w:rsidRDefault="008B755E" w:rsidP="008B755E">
            <w:pPr>
              <w:rPr>
                <w:rFonts w:asciiTheme="majorHAnsi" w:hAnsiTheme="majorHAnsi" w:cstheme="majorHAnsi"/>
                <w:sz w:val="20"/>
                <w:szCs w:val="20"/>
              </w:rPr>
            </w:pPr>
            <w:r w:rsidRPr="00C430D7">
              <w:rPr>
                <w:rFonts w:asciiTheme="majorHAnsi" w:hAnsiTheme="majorHAnsi" w:cstheme="majorHAnsi"/>
                <w:color w:val="000000"/>
                <w:sz w:val="20"/>
                <w:szCs w:val="20"/>
              </w:rPr>
              <w:t>Tewksbury</w:t>
            </w:r>
          </w:p>
        </w:tc>
        <w:tc>
          <w:tcPr>
            <w:tcW w:w="1260" w:type="dxa"/>
            <w:vAlign w:val="bottom"/>
          </w:tcPr>
          <w:p w14:paraId="75F38139" w14:textId="1DE0E92D" w:rsidR="008B755E" w:rsidRPr="004A1AD5" w:rsidRDefault="008B755E" w:rsidP="008B755E">
            <w:pPr>
              <w:jc w:val="center"/>
              <w:rPr>
                <w:rFonts w:asciiTheme="majorHAnsi" w:hAnsiTheme="majorHAnsi" w:cstheme="majorHAnsi"/>
                <w:sz w:val="20"/>
                <w:szCs w:val="20"/>
              </w:rPr>
            </w:pPr>
            <w:r w:rsidRPr="00C430D7">
              <w:rPr>
                <w:rFonts w:asciiTheme="majorHAnsi" w:hAnsiTheme="majorHAnsi" w:cstheme="majorHAnsi"/>
                <w:color w:val="000000"/>
                <w:sz w:val="20"/>
                <w:szCs w:val="20"/>
              </w:rPr>
              <w:t>22</w:t>
            </w:r>
          </w:p>
        </w:tc>
        <w:tc>
          <w:tcPr>
            <w:tcW w:w="1187" w:type="dxa"/>
            <w:vAlign w:val="bottom"/>
          </w:tcPr>
          <w:p w14:paraId="19B15554" w14:textId="585E16BF" w:rsidR="008B755E" w:rsidRPr="00220D52" w:rsidRDefault="008B755E" w:rsidP="008B755E">
            <w:pPr>
              <w:jc w:val="center"/>
              <w:rPr>
                <w:rFonts w:asciiTheme="majorHAnsi" w:hAnsiTheme="majorHAnsi" w:cstheme="majorHAnsi"/>
                <w:sz w:val="20"/>
                <w:szCs w:val="20"/>
              </w:rPr>
            </w:pPr>
            <w:r w:rsidRPr="00C430D7">
              <w:rPr>
                <w:rFonts w:asciiTheme="majorHAnsi" w:hAnsiTheme="majorHAnsi" w:cstheme="majorHAnsi"/>
                <w:color w:val="000000"/>
                <w:sz w:val="20"/>
                <w:szCs w:val="20"/>
              </w:rPr>
              <w:t>4.24%</w:t>
            </w:r>
          </w:p>
        </w:tc>
      </w:tr>
      <w:tr w:rsidR="008B755E" w14:paraId="1BD64A49" w14:textId="77777777" w:rsidTr="00F37923">
        <w:trPr>
          <w:cantSplit/>
        </w:trPr>
        <w:tc>
          <w:tcPr>
            <w:tcW w:w="2065" w:type="dxa"/>
            <w:vAlign w:val="bottom"/>
          </w:tcPr>
          <w:p w14:paraId="3B7972CD" w14:textId="2C9B8E74" w:rsidR="008B755E" w:rsidRPr="004A1AD5" w:rsidRDefault="008B755E" w:rsidP="008B755E">
            <w:pPr>
              <w:rPr>
                <w:rFonts w:asciiTheme="majorHAnsi" w:hAnsiTheme="majorHAnsi" w:cstheme="majorHAnsi"/>
                <w:sz w:val="20"/>
                <w:szCs w:val="20"/>
              </w:rPr>
            </w:pPr>
            <w:r w:rsidRPr="00C430D7">
              <w:rPr>
                <w:rFonts w:asciiTheme="majorHAnsi" w:hAnsiTheme="majorHAnsi" w:cstheme="majorHAnsi"/>
                <w:color w:val="000000"/>
                <w:sz w:val="20"/>
                <w:szCs w:val="20"/>
              </w:rPr>
              <w:t>Reading</w:t>
            </w:r>
          </w:p>
        </w:tc>
        <w:tc>
          <w:tcPr>
            <w:tcW w:w="1260" w:type="dxa"/>
            <w:vAlign w:val="bottom"/>
          </w:tcPr>
          <w:p w14:paraId="3D3602C2" w14:textId="66B4D5A6" w:rsidR="008B755E" w:rsidRPr="004A1AD5" w:rsidRDefault="008B755E" w:rsidP="008B755E">
            <w:pPr>
              <w:jc w:val="center"/>
              <w:rPr>
                <w:rFonts w:asciiTheme="majorHAnsi" w:hAnsiTheme="majorHAnsi" w:cstheme="majorHAnsi"/>
                <w:sz w:val="20"/>
                <w:szCs w:val="20"/>
              </w:rPr>
            </w:pPr>
            <w:r w:rsidRPr="00C430D7">
              <w:rPr>
                <w:rFonts w:asciiTheme="majorHAnsi" w:hAnsiTheme="majorHAnsi" w:cstheme="majorHAnsi"/>
                <w:color w:val="000000"/>
                <w:sz w:val="20"/>
                <w:szCs w:val="20"/>
              </w:rPr>
              <w:t>21</w:t>
            </w:r>
          </w:p>
        </w:tc>
        <w:tc>
          <w:tcPr>
            <w:tcW w:w="1187" w:type="dxa"/>
            <w:vAlign w:val="bottom"/>
          </w:tcPr>
          <w:p w14:paraId="5C148F9C" w14:textId="42753585" w:rsidR="008B755E" w:rsidRPr="00220D52" w:rsidRDefault="008B755E" w:rsidP="008B755E">
            <w:pPr>
              <w:jc w:val="center"/>
              <w:rPr>
                <w:rFonts w:asciiTheme="majorHAnsi" w:hAnsiTheme="majorHAnsi" w:cstheme="majorHAnsi"/>
                <w:sz w:val="20"/>
                <w:szCs w:val="20"/>
              </w:rPr>
            </w:pPr>
            <w:r w:rsidRPr="00C430D7">
              <w:rPr>
                <w:rFonts w:asciiTheme="majorHAnsi" w:hAnsiTheme="majorHAnsi" w:cstheme="majorHAnsi"/>
                <w:color w:val="000000"/>
                <w:sz w:val="20"/>
                <w:szCs w:val="20"/>
              </w:rPr>
              <w:t>4.05%</w:t>
            </w:r>
          </w:p>
        </w:tc>
      </w:tr>
      <w:tr w:rsidR="008B755E" w14:paraId="31A23958" w14:textId="77777777" w:rsidTr="00F37923">
        <w:trPr>
          <w:cantSplit/>
        </w:trPr>
        <w:tc>
          <w:tcPr>
            <w:tcW w:w="2065" w:type="dxa"/>
            <w:vAlign w:val="bottom"/>
          </w:tcPr>
          <w:p w14:paraId="06EC9A9B" w14:textId="2592FE98" w:rsidR="008B755E" w:rsidRPr="004A1AD5" w:rsidRDefault="008B755E" w:rsidP="008B755E">
            <w:pPr>
              <w:rPr>
                <w:rFonts w:asciiTheme="majorHAnsi" w:hAnsiTheme="majorHAnsi" w:cstheme="majorHAnsi"/>
                <w:sz w:val="20"/>
                <w:szCs w:val="20"/>
              </w:rPr>
            </w:pPr>
            <w:r w:rsidRPr="00C430D7">
              <w:rPr>
                <w:rFonts w:asciiTheme="majorHAnsi" w:hAnsiTheme="majorHAnsi" w:cstheme="majorHAnsi"/>
                <w:color w:val="000000"/>
                <w:sz w:val="20"/>
                <w:szCs w:val="20"/>
              </w:rPr>
              <w:t>Arlington</w:t>
            </w:r>
          </w:p>
        </w:tc>
        <w:tc>
          <w:tcPr>
            <w:tcW w:w="1260" w:type="dxa"/>
            <w:vAlign w:val="bottom"/>
          </w:tcPr>
          <w:p w14:paraId="3DF3D5BF" w14:textId="133DC771" w:rsidR="008B755E" w:rsidRPr="004A1AD5" w:rsidRDefault="008B755E" w:rsidP="008B755E">
            <w:pPr>
              <w:jc w:val="center"/>
              <w:rPr>
                <w:rFonts w:asciiTheme="majorHAnsi" w:hAnsiTheme="majorHAnsi" w:cstheme="majorHAnsi"/>
                <w:sz w:val="20"/>
                <w:szCs w:val="20"/>
              </w:rPr>
            </w:pPr>
            <w:r w:rsidRPr="00C430D7">
              <w:rPr>
                <w:rFonts w:asciiTheme="majorHAnsi" w:hAnsiTheme="majorHAnsi" w:cstheme="majorHAnsi"/>
                <w:color w:val="000000"/>
                <w:sz w:val="20"/>
                <w:szCs w:val="20"/>
              </w:rPr>
              <w:t>17</w:t>
            </w:r>
          </w:p>
        </w:tc>
        <w:tc>
          <w:tcPr>
            <w:tcW w:w="1187" w:type="dxa"/>
            <w:vAlign w:val="bottom"/>
          </w:tcPr>
          <w:p w14:paraId="4E5BC505" w14:textId="4418F2B2" w:rsidR="008B755E" w:rsidRPr="00220D52" w:rsidRDefault="008B755E" w:rsidP="008B755E">
            <w:pPr>
              <w:jc w:val="center"/>
              <w:rPr>
                <w:rFonts w:asciiTheme="majorHAnsi" w:hAnsiTheme="majorHAnsi" w:cstheme="majorHAnsi"/>
                <w:sz w:val="20"/>
                <w:szCs w:val="20"/>
              </w:rPr>
            </w:pPr>
            <w:r w:rsidRPr="00C430D7">
              <w:rPr>
                <w:rFonts w:asciiTheme="majorHAnsi" w:hAnsiTheme="majorHAnsi" w:cstheme="majorHAnsi"/>
                <w:color w:val="000000"/>
                <w:sz w:val="20"/>
                <w:szCs w:val="20"/>
              </w:rPr>
              <w:t>3.28%</w:t>
            </w:r>
          </w:p>
        </w:tc>
      </w:tr>
      <w:tr w:rsidR="008B755E" w14:paraId="61079E2D" w14:textId="77777777" w:rsidTr="00F37923">
        <w:trPr>
          <w:cantSplit/>
        </w:trPr>
        <w:tc>
          <w:tcPr>
            <w:tcW w:w="2065" w:type="dxa"/>
            <w:vAlign w:val="bottom"/>
          </w:tcPr>
          <w:p w14:paraId="377EA75B" w14:textId="0C237CCB" w:rsidR="008B755E" w:rsidRPr="004A1AD5" w:rsidRDefault="008B755E" w:rsidP="008B755E">
            <w:pPr>
              <w:rPr>
                <w:rFonts w:asciiTheme="majorHAnsi" w:hAnsiTheme="majorHAnsi" w:cstheme="majorHAnsi"/>
                <w:sz w:val="20"/>
                <w:szCs w:val="20"/>
              </w:rPr>
            </w:pPr>
            <w:r w:rsidRPr="00C430D7">
              <w:rPr>
                <w:rFonts w:asciiTheme="majorHAnsi" w:hAnsiTheme="majorHAnsi" w:cstheme="majorHAnsi"/>
                <w:color w:val="000000"/>
                <w:sz w:val="20"/>
                <w:szCs w:val="20"/>
              </w:rPr>
              <w:t>Stoneham</w:t>
            </w:r>
          </w:p>
        </w:tc>
        <w:tc>
          <w:tcPr>
            <w:tcW w:w="1260" w:type="dxa"/>
            <w:vAlign w:val="bottom"/>
          </w:tcPr>
          <w:p w14:paraId="10E7255A" w14:textId="48774153" w:rsidR="008B755E" w:rsidRPr="004A1AD5" w:rsidRDefault="008B755E" w:rsidP="008B755E">
            <w:pPr>
              <w:jc w:val="center"/>
              <w:rPr>
                <w:rFonts w:asciiTheme="majorHAnsi" w:hAnsiTheme="majorHAnsi" w:cstheme="majorHAnsi"/>
                <w:sz w:val="20"/>
                <w:szCs w:val="20"/>
              </w:rPr>
            </w:pPr>
            <w:r w:rsidRPr="00C430D7">
              <w:rPr>
                <w:rFonts w:asciiTheme="majorHAnsi" w:hAnsiTheme="majorHAnsi" w:cstheme="majorHAnsi"/>
                <w:color w:val="000000"/>
                <w:sz w:val="20"/>
                <w:szCs w:val="20"/>
              </w:rPr>
              <w:t>14</w:t>
            </w:r>
          </w:p>
        </w:tc>
        <w:tc>
          <w:tcPr>
            <w:tcW w:w="1187" w:type="dxa"/>
            <w:vAlign w:val="bottom"/>
          </w:tcPr>
          <w:p w14:paraId="0E90B8A0" w14:textId="2211F53B" w:rsidR="008B755E" w:rsidRPr="00220D52" w:rsidRDefault="008B755E" w:rsidP="008B755E">
            <w:pPr>
              <w:jc w:val="center"/>
              <w:rPr>
                <w:rFonts w:asciiTheme="majorHAnsi" w:hAnsiTheme="majorHAnsi" w:cstheme="majorHAnsi"/>
                <w:sz w:val="20"/>
                <w:szCs w:val="20"/>
              </w:rPr>
            </w:pPr>
            <w:r w:rsidRPr="00C430D7">
              <w:rPr>
                <w:rFonts w:asciiTheme="majorHAnsi" w:hAnsiTheme="majorHAnsi" w:cstheme="majorHAnsi"/>
                <w:color w:val="000000"/>
                <w:sz w:val="20"/>
                <w:szCs w:val="20"/>
              </w:rPr>
              <w:t>2.70%</w:t>
            </w:r>
          </w:p>
        </w:tc>
      </w:tr>
      <w:tr w:rsidR="008B755E" w14:paraId="4C902853" w14:textId="77777777" w:rsidTr="00F37923">
        <w:trPr>
          <w:cantSplit/>
        </w:trPr>
        <w:tc>
          <w:tcPr>
            <w:tcW w:w="2065" w:type="dxa"/>
            <w:vAlign w:val="bottom"/>
          </w:tcPr>
          <w:p w14:paraId="7C4C0C32" w14:textId="25F99760" w:rsidR="008B755E" w:rsidRPr="004A1AD5" w:rsidRDefault="008B755E" w:rsidP="008B755E">
            <w:pPr>
              <w:rPr>
                <w:rFonts w:asciiTheme="majorHAnsi" w:hAnsiTheme="majorHAnsi" w:cstheme="majorHAnsi"/>
                <w:sz w:val="20"/>
                <w:szCs w:val="20"/>
              </w:rPr>
            </w:pPr>
            <w:r w:rsidRPr="00C430D7">
              <w:rPr>
                <w:rFonts w:asciiTheme="majorHAnsi" w:hAnsiTheme="majorHAnsi" w:cstheme="majorHAnsi"/>
                <w:color w:val="000000"/>
                <w:sz w:val="20"/>
                <w:szCs w:val="20"/>
              </w:rPr>
              <w:t xml:space="preserve">Chelmsford </w:t>
            </w:r>
          </w:p>
        </w:tc>
        <w:tc>
          <w:tcPr>
            <w:tcW w:w="1260" w:type="dxa"/>
            <w:vAlign w:val="bottom"/>
          </w:tcPr>
          <w:p w14:paraId="0C7CD0EE" w14:textId="73310787" w:rsidR="008B755E" w:rsidRPr="004A1AD5" w:rsidRDefault="008B755E" w:rsidP="008B755E">
            <w:pPr>
              <w:jc w:val="center"/>
              <w:rPr>
                <w:rFonts w:asciiTheme="majorHAnsi" w:hAnsiTheme="majorHAnsi" w:cstheme="majorHAnsi"/>
                <w:sz w:val="20"/>
                <w:szCs w:val="20"/>
              </w:rPr>
            </w:pPr>
            <w:r w:rsidRPr="00C430D7">
              <w:rPr>
                <w:rFonts w:asciiTheme="majorHAnsi" w:hAnsiTheme="majorHAnsi" w:cstheme="majorHAnsi"/>
                <w:color w:val="000000"/>
                <w:sz w:val="20"/>
                <w:szCs w:val="20"/>
              </w:rPr>
              <w:t>13</w:t>
            </w:r>
          </w:p>
        </w:tc>
        <w:tc>
          <w:tcPr>
            <w:tcW w:w="1187" w:type="dxa"/>
            <w:vAlign w:val="bottom"/>
          </w:tcPr>
          <w:p w14:paraId="2B67EA31" w14:textId="3AFAB516" w:rsidR="008B755E" w:rsidRPr="00220D52" w:rsidRDefault="008B755E" w:rsidP="008B755E">
            <w:pPr>
              <w:jc w:val="center"/>
              <w:rPr>
                <w:rFonts w:asciiTheme="majorHAnsi" w:hAnsiTheme="majorHAnsi" w:cstheme="majorHAnsi"/>
                <w:sz w:val="20"/>
                <w:szCs w:val="20"/>
              </w:rPr>
            </w:pPr>
            <w:r w:rsidRPr="00C430D7">
              <w:rPr>
                <w:rFonts w:asciiTheme="majorHAnsi" w:hAnsiTheme="majorHAnsi" w:cstheme="majorHAnsi"/>
                <w:color w:val="000000"/>
                <w:sz w:val="20"/>
                <w:szCs w:val="20"/>
              </w:rPr>
              <w:t>2.50%</w:t>
            </w:r>
          </w:p>
        </w:tc>
      </w:tr>
      <w:tr w:rsidR="008B755E" w14:paraId="64766ADE" w14:textId="77777777" w:rsidTr="00F37923">
        <w:trPr>
          <w:cantSplit/>
        </w:trPr>
        <w:tc>
          <w:tcPr>
            <w:tcW w:w="2065" w:type="dxa"/>
            <w:vAlign w:val="bottom"/>
          </w:tcPr>
          <w:p w14:paraId="5167DFC7" w14:textId="3F01EE53" w:rsidR="008B755E" w:rsidRPr="004A1AD5" w:rsidRDefault="008B755E" w:rsidP="008B755E">
            <w:pPr>
              <w:rPr>
                <w:rFonts w:asciiTheme="majorHAnsi" w:hAnsiTheme="majorHAnsi" w:cstheme="majorHAnsi"/>
                <w:sz w:val="20"/>
                <w:szCs w:val="20"/>
              </w:rPr>
            </w:pPr>
            <w:r w:rsidRPr="00C430D7">
              <w:rPr>
                <w:rFonts w:asciiTheme="majorHAnsi" w:hAnsiTheme="majorHAnsi" w:cstheme="majorHAnsi"/>
                <w:color w:val="000000"/>
                <w:sz w:val="20"/>
                <w:szCs w:val="20"/>
              </w:rPr>
              <w:t>Andover</w:t>
            </w:r>
          </w:p>
        </w:tc>
        <w:tc>
          <w:tcPr>
            <w:tcW w:w="1260" w:type="dxa"/>
            <w:vAlign w:val="bottom"/>
          </w:tcPr>
          <w:p w14:paraId="1900B727" w14:textId="4820BE1E" w:rsidR="008B755E" w:rsidRPr="004A1AD5" w:rsidRDefault="008B755E" w:rsidP="008B755E">
            <w:pPr>
              <w:jc w:val="center"/>
              <w:rPr>
                <w:rFonts w:asciiTheme="majorHAnsi" w:hAnsiTheme="majorHAnsi" w:cstheme="majorHAnsi"/>
                <w:sz w:val="20"/>
                <w:szCs w:val="20"/>
              </w:rPr>
            </w:pPr>
            <w:r w:rsidRPr="00C430D7">
              <w:rPr>
                <w:rFonts w:asciiTheme="majorHAnsi" w:hAnsiTheme="majorHAnsi" w:cstheme="majorHAnsi"/>
                <w:color w:val="000000"/>
                <w:sz w:val="20"/>
                <w:szCs w:val="20"/>
              </w:rPr>
              <w:t>-</w:t>
            </w:r>
          </w:p>
        </w:tc>
        <w:tc>
          <w:tcPr>
            <w:tcW w:w="1187" w:type="dxa"/>
            <w:vAlign w:val="bottom"/>
          </w:tcPr>
          <w:p w14:paraId="4B7F0F2F" w14:textId="2B2A682E" w:rsidR="008B755E" w:rsidRPr="00220D52" w:rsidRDefault="008B755E" w:rsidP="008B755E">
            <w:pPr>
              <w:jc w:val="center"/>
              <w:rPr>
                <w:rFonts w:asciiTheme="majorHAnsi" w:hAnsiTheme="majorHAnsi" w:cstheme="majorHAnsi"/>
                <w:sz w:val="20"/>
                <w:szCs w:val="20"/>
              </w:rPr>
            </w:pPr>
            <w:r w:rsidRPr="00C430D7">
              <w:rPr>
                <w:rFonts w:asciiTheme="majorHAnsi" w:hAnsiTheme="majorHAnsi" w:cstheme="majorHAnsi"/>
                <w:color w:val="000000"/>
                <w:sz w:val="20"/>
                <w:szCs w:val="20"/>
              </w:rPr>
              <w:t>-</w:t>
            </w:r>
          </w:p>
        </w:tc>
      </w:tr>
      <w:tr w:rsidR="008B755E" w14:paraId="31861318" w14:textId="77777777" w:rsidTr="00F37923">
        <w:trPr>
          <w:cantSplit/>
        </w:trPr>
        <w:tc>
          <w:tcPr>
            <w:tcW w:w="2065" w:type="dxa"/>
            <w:vAlign w:val="bottom"/>
          </w:tcPr>
          <w:p w14:paraId="2DEEBCF6" w14:textId="14EB7A0A" w:rsidR="008B755E" w:rsidRPr="004A1AD5" w:rsidRDefault="008B755E" w:rsidP="008B755E">
            <w:pPr>
              <w:rPr>
                <w:rFonts w:asciiTheme="majorHAnsi" w:hAnsiTheme="majorHAnsi" w:cstheme="majorHAnsi"/>
                <w:sz w:val="20"/>
                <w:szCs w:val="20"/>
              </w:rPr>
            </w:pPr>
            <w:r w:rsidRPr="00C430D7">
              <w:rPr>
                <w:rFonts w:asciiTheme="majorHAnsi" w:hAnsiTheme="majorHAnsi" w:cstheme="majorHAnsi"/>
                <w:color w:val="000000"/>
                <w:sz w:val="20"/>
                <w:szCs w:val="20"/>
              </w:rPr>
              <w:t>Bedford</w:t>
            </w:r>
          </w:p>
        </w:tc>
        <w:tc>
          <w:tcPr>
            <w:tcW w:w="1260" w:type="dxa"/>
            <w:vAlign w:val="bottom"/>
          </w:tcPr>
          <w:p w14:paraId="3AD3FBF0" w14:textId="28B5967E" w:rsidR="008B755E" w:rsidRPr="004A1AD5" w:rsidRDefault="008B755E" w:rsidP="008B755E">
            <w:pPr>
              <w:jc w:val="center"/>
              <w:rPr>
                <w:rFonts w:asciiTheme="majorHAnsi" w:hAnsiTheme="majorHAnsi" w:cstheme="majorHAnsi"/>
                <w:sz w:val="20"/>
                <w:szCs w:val="20"/>
              </w:rPr>
            </w:pPr>
            <w:r w:rsidRPr="00C430D7">
              <w:rPr>
                <w:rFonts w:asciiTheme="majorHAnsi" w:hAnsiTheme="majorHAnsi" w:cstheme="majorHAnsi"/>
                <w:color w:val="000000"/>
                <w:sz w:val="20"/>
                <w:szCs w:val="20"/>
              </w:rPr>
              <w:t>-</w:t>
            </w:r>
          </w:p>
        </w:tc>
        <w:tc>
          <w:tcPr>
            <w:tcW w:w="1187" w:type="dxa"/>
            <w:vAlign w:val="bottom"/>
          </w:tcPr>
          <w:p w14:paraId="71750678" w14:textId="595B36D7" w:rsidR="008B755E" w:rsidRPr="00220D52" w:rsidRDefault="008B755E" w:rsidP="008B755E">
            <w:pPr>
              <w:jc w:val="center"/>
              <w:rPr>
                <w:rFonts w:asciiTheme="majorHAnsi" w:hAnsiTheme="majorHAnsi" w:cstheme="majorHAnsi"/>
                <w:sz w:val="20"/>
                <w:szCs w:val="20"/>
              </w:rPr>
            </w:pPr>
            <w:r w:rsidRPr="00C430D7">
              <w:rPr>
                <w:rFonts w:asciiTheme="majorHAnsi" w:hAnsiTheme="majorHAnsi" w:cstheme="majorHAnsi"/>
                <w:color w:val="000000"/>
                <w:sz w:val="20"/>
                <w:szCs w:val="20"/>
              </w:rPr>
              <w:t>-</w:t>
            </w:r>
          </w:p>
        </w:tc>
      </w:tr>
      <w:tr w:rsidR="008B755E" w14:paraId="70D45941" w14:textId="77777777" w:rsidTr="00F37923">
        <w:trPr>
          <w:cantSplit/>
        </w:trPr>
        <w:tc>
          <w:tcPr>
            <w:tcW w:w="2065" w:type="dxa"/>
            <w:vAlign w:val="bottom"/>
          </w:tcPr>
          <w:p w14:paraId="7F974FF7" w14:textId="1B53B27F" w:rsidR="008B755E" w:rsidRPr="004A1AD5" w:rsidRDefault="008B755E" w:rsidP="008B755E">
            <w:pPr>
              <w:rPr>
                <w:rFonts w:asciiTheme="majorHAnsi" w:hAnsiTheme="majorHAnsi" w:cstheme="majorHAnsi"/>
                <w:sz w:val="20"/>
                <w:szCs w:val="20"/>
              </w:rPr>
            </w:pPr>
            <w:r w:rsidRPr="00C430D7">
              <w:rPr>
                <w:rFonts w:asciiTheme="majorHAnsi" w:hAnsiTheme="majorHAnsi" w:cstheme="majorHAnsi"/>
                <w:color w:val="000000"/>
                <w:sz w:val="20"/>
                <w:szCs w:val="20"/>
              </w:rPr>
              <w:t>Lowell</w:t>
            </w:r>
          </w:p>
        </w:tc>
        <w:tc>
          <w:tcPr>
            <w:tcW w:w="1260" w:type="dxa"/>
            <w:vAlign w:val="bottom"/>
          </w:tcPr>
          <w:p w14:paraId="6AE3A52C" w14:textId="74F36430" w:rsidR="008B755E" w:rsidRPr="004A1AD5" w:rsidRDefault="008B755E" w:rsidP="008B755E">
            <w:pPr>
              <w:jc w:val="center"/>
              <w:rPr>
                <w:rFonts w:asciiTheme="majorHAnsi" w:hAnsiTheme="majorHAnsi" w:cstheme="majorHAnsi"/>
                <w:sz w:val="20"/>
                <w:szCs w:val="20"/>
              </w:rPr>
            </w:pPr>
            <w:r w:rsidRPr="00C430D7">
              <w:rPr>
                <w:rFonts w:asciiTheme="majorHAnsi" w:hAnsiTheme="majorHAnsi" w:cstheme="majorHAnsi"/>
                <w:color w:val="000000"/>
                <w:sz w:val="20"/>
                <w:szCs w:val="20"/>
              </w:rPr>
              <w:t>-</w:t>
            </w:r>
          </w:p>
        </w:tc>
        <w:tc>
          <w:tcPr>
            <w:tcW w:w="1187" w:type="dxa"/>
            <w:vAlign w:val="bottom"/>
          </w:tcPr>
          <w:p w14:paraId="3A447F4C" w14:textId="38576C2A" w:rsidR="008B755E" w:rsidRPr="00220D52" w:rsidRDefault="008B755E" w:rsidP="008B755E">
            <w:pPr>
              <w:jc w:val="center"/>
              <w:rPr>
                <w:rFonts w:asciiTheme="majorHAnsi" w:hAnsiTheme="majorHAnsi" w:cstheme="majorHAnsi"/>
                <w:sz w:val="20"/>
                <w:szCs w:val="20"/>
              </w:rPr>
            </w:pPr>
            <w:r w:rsidRPr="00C430D7">
              <w:rPr>
                <w:rFonts w:asciiTheme="majorHAnsi" w:hAnsiTheme="majorHAnsi" w:cstheme="majorHAnsi"/>
                <w:color w:val="000000"/>
                <w:sz w:val="20"/>
                <w:szCs w:val="20"/>
              </w:rPr>
              <w:t>-</w:t>
            </w:r>
          </w:p>
        </w:tc>
      </w:tr>
      <w:tr w:rsidR="008B755E" w14:paraId="20A161F2" w14:textId="77777777" w:rsidTr="00F37923">
        <w:trPr>
          <w:cantSplit/>
        </w:trPr>
        <w:tc>
          <w:tcPr>
            <w:tcW w:w="2065" w:type="dxa"/>
            <w:vAlign w:val="bottom"/>
          </w:tcPr>
          <w:p w14:paraId="1D70F9DE" w14:textId="0CDD624D" w:rsidR="008B755E" w:rsidRPr="004A1AD5" w:rsidRDefault="008B755E" w:rsidP="008B755E">
            <w:pPr>
              <w:rPr>
                <w:rFonts w:asciiTheme="majorHAnsi" w:hAnsiTheme="majorHAnsi" w:cstheme="majorHAnsi"/>
                <w:sz w:val="20"/>
                <w:szCs w:val="20"/>
              </w:rPr>
            </w:pPr>
            <w:r w:rsidRPr="00C430D7">
              <w:rPr>
                <w:rFonts w:asciiTheme="majorHAnsi" w:hAnsiTheme="majorHAnsi" w:cstheme="majorHAnsi"/>
                <w:color w:val="000000"/>
                <w:sz w:val="20"/>
                <w:szCs w:val="20"/>
              </w:rPr>
              <w:t>Medford</w:t>
            </w:r>
          </w:p>
        </w:tc>
        <w:tc>
          <w:tcPr>
            <w:tcW w:w="1260" w:type="dxa"/>
            <w:vAlign w:val="bottom"/>
          </w:tcPr>
          <w:p w14:paraId="122E78D1" w14:textId="2410CBB0" w:rsidR="008B755E" w:rsidRPr="004A1AD5" w:rsidRDefault="008B755E" w:rsidP="008B755E">
            <w:pPr>
              <w:jc w:val="center"/>
              <w:rPr>
                <w:rFonts w:asciiTheme="majorHAnsi" w:hAnsiTheme="majorHAnsi" w:cstheme="majorHAnsi"/>
                <w:sz w:val="20"/>
                <w:szCs w:val="20"/>
              </w:rPr>
            </w:pPr>
            <w:r w:rsidRPr="00C430D7">
              <w:rPr>
                <w:rFonts w:asciiTheme="majorHAnsi" w:hAnsiTheme="majorHAnsi" w:cstheme="majorHAnsi"/>
                <w:color w:val="000000"/>
                <w:sz w:val="20"/>
                <w:szCs w:val="20"/>
              </w:rPr>
              <w:t>-</w:t>
            </w:r>
          </w:p>
        </w:tc>
        <w:tc>
          <w:tcPr>
            <w:tcW w:w="1187" w:type="dxa"/>
            <w:vAlign w:val="bottom"/>
          </w:tcPr>
          <w:p w14:paraId="1BDDA220" w14:textId="3362DCC1" w:rsidR="008B755E" w:rsidRPr="00220D52" w:rsidRDefault="008B755E" w:rsidP="008B755E">
            <w:pPr>
              <w:jc w:val="center"/>
              <w:rPr>
                <w:rFonts w:asciiTheme="majorHAnsi" w:hAnsiTheme="majorHAnsi" w:cstheme="majorHAnsi"/>
                <w:sz w:val="20"/>
                <w:szCs w:val="20"/>
              </w:rPr>
            </w:pPr>
            <w:r w:rsidRPr="00C430D7">
              <w:rPr>
                <w:rFonts w:asciiTheme="majorHAnsi" w:hAnsiTheme="majorHAnsi" w:cstheme="majorHAnsi"/>
                <w:color w:val="000000"/>
                <w:sz w:val="20"/>
                <w:szCs w:val="20"/>
              </w:rPr>
              <w:t>-</w:t>
            </w:r>
          </w:p>
        </w:tc>
      </w:tr>
      <w:tr w:rsidR="008B755E" w14:paraId="5D4AC877" w14:textId="77777777" w:rsidTr="00F37923">
        <w:trPr>
          <w:cantSplit/>
        </w:trPr>
        <w:tc>
          <w:tcPr>
            <w:tcW w:w="2065" w:type="dxa"/>
            <w:vAlign w:val="bottom"/>
          </w:tcPr>
          <w:p w14:paraId="6A373CDB" w14:textId="72BBAC54" w:rsidR="008B755E" w:rsidRPr="004A1AD5" w:rsidRDefault="008B755E" w:rsidP="008B755E">
            <w:pPr>
              <w:rPr>
                <w:rFonts w:asciiTheme="majorHAnsi" w:hAnsiTheme="majorHAnsi" w:cstheme="majorHAnsi"/>
                <w:sz w:val="20"/>
                <w:szCs w:val="20"/>
              </w:rPr>
            </w:pPr>
            <w:r w:rsidRPr="00C430D7">
              <w:rPr>
                <w:rFonts w:asciiTheme="majorHAnsi" w:hAnsiTheme="majorHAnsi" w:cstheme="majorHAnsi"/>
                <w:color w:val="000000"/>
                <w:sz w:val="20"/>
                <w:szCs w:val="20"/>
              </w:rPr>
              <w:lastRenderedPageBreak/>
              <w:t>Westford</w:t>
            </w:r>
          </w:p>
        </w:tc>
        <w:tc>
          <w:tcPr>
            <w:tcW w:w="1260" w:type="dxa"/>
            <w:vAlign w:val="bottom"/>
          </w:tcPr>
          <w:p w14:paraId="64268362" w14:textId="24CF1904" w:rsidR="008B755E" w:rsidRPr="004A1AD5" w:rsidRDefault="008B755E" w:rsidP="008B755E">
            <w:pPr>
              <w:jc w:val="center"/>
              <w:rPr>
                <w:rFonts w:asciiTheme="majorHAnsi" w:hAnsiTheme="majorHAnsi" w:cstheme="majorHAnsi"/>
                <w:sz w:val="20"/>
                <w:szCs w:val="20"/>
              </w:rPr>
            </w:pPr>
            <w:r w:rsidRPr="00C430D7">
              <w:rPr>
                <w:rFonts w:asciiTheme="majorHAnsi" w:hAnsiTheme="majorHAnsi" w:cstheme="majorHAnsi"/>
                <w:color w:val="000000"/>
                <w:sz w:val="20"/>
                <w:szCs w:val="20"/>
              </w:rPr>
              <w:t>-</w:t>
            </w:r>
          </w:p>
        </w:tc>
        <w:tc>
          <w:tcPr>
            <w:tcW w:w="1187" w:type="dxa"/>
            <w:vAlign w:val="bottom"/>
          </w:tcPr>
          <w:p w14:paraId="348B4109" w14:textId="37FF63BA" w:rsidR="008B755E" w:rsidRPr="00220D52" w:rsidRDefault="008B755E" w:rsidP="008B755E">
            <w:pPr>
              <w:jc w:val="center"/>
              <w:rPr>
                <w:rFonts w:asciiTheme="majorHAnsi" w:hAnsiTheme="majorHAnsi" w:cstheme="majorHAnsi"/>
                <w:sz w:val="20"/>
                <w:szCs w:val="20"/>
              </w:rPr>
            </w:pPr>
            <w:r w:rsidRPr="00C430D7">
              <w:rPr>
                <w:rFonts w:asciiTheme="majorHAnsi" w:hAnsiTheme="majorHAnsi" w:cstheme="majorHAnsi"/>
                <w:color w:val="000000"/>
                <w:sz w:val="20"/>
                <w:szCs w:val="20"/>
              </w:rPr>
              <w:t>-</w:t>
            </w:r>
          </w:p>
        </w:tc>
      </w:tr>
    </w:tbl>
    <w:p w14:paraId="414964F9" w14:textId="5190D4D7" w:rsidR="00514968" w:rsidRDefault="00514968" w:rsidP="00220D52">
      <w:pPr>
        <w:pStyle w:val="ListParagraph"/>
        <w:keepNext/>
        <w:numPr>
          <w:ilvl w:val="1"/>
          <w:numId w:val="29"/>
        </w:numPr>
        <w:spacing w:before="240" w:after="0" w:line="240" w:lineRule="auto"/>
        <w:jc w:val="both"/>
        <w:rPr>
          <w:rFonts w:eastAsia="Times New Roman" w:cstheme="minorHAnsi"/>
          <w:b/>
          <w:bCs/>
          <w:smallCaps/>
          <w:kern w:val="2"/>
          <w:sz w:val="24"/>
          <w:szCs w:val="24"/>
        </w:rPr>
      </w:pPr>
      <w:r w:rsidRPr="00450206">
        <w:rPr>
          <w:rFonts w:eastAsia="Times New Roman" w:cstheme="minorHAnsi"/>
          <w:b/>
          <w:bCs/>
          <w:smallCaps/>
          <w:kern w:val="2"/>
          <w:sz w:val="24"/>
          <w:szCs w:val="24"/>
        </w:rPr>
        <w:t xml:space="preserve">Table 6: Historical Utilization  </w:t>
      </w:r>
      <w:r w:rsidR="0051617E" w:rsidRPr="00450206">
        <w:rPr>
          <w:rFonts w:eastAsia="Times New Roman" w:cstheme="minorHAnsi"/>
          <w:b/>
          <w:bCs/>
          <w:smallCaps/>
          <w:kern w:val="2"/>
          <w:sz w:val="24"/>
          <w:szCs w:val="24"/>
        </w:rPr>
        <w:t>(Narrative Page</w:t>
      </w:r>
      <w:r w:rsidR="002B4234" w:rsidRPr="00450206">
        <w:rPr>
          <w:rFonts w:eastAsia="Times New Roman" w:cstheme="minorHAnsi"/>
          <w:b/>
          <w:bCs/>
          <w:smallCaps/>
          <w:kern w:val="2"/>
          <w:sz w:val="24"/>
          <w:szCs w:val="24"/>
        </w:rPr>
        <w:t xml:space="preserve"> 9)</w:t>
      </w:r>
    </w:p>
    <w:p w14:paraId="3C421785" w14:textId="77777777" w:rsidR="00220D52" w:rsidRDefault="00220D52" w:rsidP="00220D52">
      <w:pPr>
        <w:pStyle w:val="ListParagraph"/>
        <w:keepNext/>
        <w:spacing w:before="240" w:after="0" w:line="240" w:lineRule="auto"/>
        <w:ind w:left="1080"/>
        <w:jc w:val="both"/>
        <w:rPr>
          <w:rFonts w:eastAsia="Times New Roman" w:cstheme="minorHAnsi"/>
          <w:b/>
          <w:bCs/>
          <w:smallCaps/>
          <w:kern w:val="2"/>
          <w:sz w:val="24"/>
          <w:szCs w:val="24"/>
        </w:rPr>
      </w:pPr>
    </w:p>
    <w:tbl>
      <w:tblPr>
        <w:tblStyle w:val="TableGrid2"/>
        <w:tblW w:w="0" w:type="auto"/>
        <w:tblInd w:w="865" w:type="dxa"/>
        <w:tblLook w:val="04A0" w:firstRow="1" w:lastRow="0" w:firstColumn="1" w:lastColumn="0" w:noHBand="0" w:noVBand="1"/>
      </w:tblPr>
      <w:tblGrid>
        <w:gridCol w:w="2875"/>
        <w:gridCol w:w="1260"/>
      </w:tblGrid>
      <w:tr w:rsidR="00220D52" w:rsidRPr="00220D52" w14:paraId="530E400A" w14:textId="77777777" w:rsidTr="00A3390B">
        <w:trPr>
          <w:cantSplit/>
          <w:tblHeader/>
        </w:trPr>
        <w:tc>
          <w:tcPr>
            <w:tcW w:w="2875" w:type="dxa"/>
            <w:shd w:val="clear" w:color="auto" w:fill="D9D9D9" w:themeFill="background1" w:themeFillShade="D9"/>
            <w:vAlign w:val="center"/>
          </w:tcPr>
          <w:p w14:paraId="0C16C737" w14:textId="77777777" w:rsidR="00220D52" w:rsidRPr="00220D52" w:rsidRDefault="00220D52" w:rsidP="00220D52">
            <w:pPr>
              <w:keepNext/>
              <w:jc w:val="center"/>
              <w:rPr>
                <w:rFonts w:ascii="Arial" w:hAnsi="Arial" w:cs="Arial"/>
                <w:bCs/>
                <w:smallCaps/>
                <w:kern w:val="2"/>
                <w:sz w:val="20"/>
                <w:szCs w:val="20"/>
              </w:rPr>
            </w:pPr>
            <w:r w:rsidRPr="00220D52">
              <w:rPr>
                <w:rFonts w:asciiTheme="minorHAnsi" w:hAnsiTheme="minorHAnsi" w:cstheme="minorBidi"/>
                <w:b/>
                <w:bCs/>
                <w:sz w:val="20"/>
                <w:szCs w:val="20"/>
              </w:rPr>
              <w:t>Treatment type</w:t>
            </w:r>
          </w:p>
        </w:tc>
        <w:tc>
          <w:tcPr>
            <w:tcW w:w="1260" w:type="dxa"/>
            <w:shd w:val="clear" w:color="auto" w:fill="D9D9D9" w:themeFill="background1" w:themeFillShade="D9"/>
            <w:vAlign w:val="center"/>
          </w:tcPr>
          <w:p w14:paraId="60E52D78" w14:textId="24A56EB7" w:rsidR="00220D52" w:rsidRPr="00220D52" w:rsidRDefault="00220D52" w:rsidP="00220D52">
            <w:pPr>
              <w:keepNext/>
              <w:jc w:val="center"/>
              <w:rPr>
                <w:rFonts w:ascii="Arial" w:hAnsi="Arial" w:cs="Arial"/>
                <w:bCs/>
                <w:smallCaps/>
                <w:kern w:val="2"/>
                <w:sz w:val="20"/>
                <w:szCs w:val="20"/>
              </w:rPr>
            </w:pPr>
            <w:r w:rsidRPr="00220D52">
              <w:rPr>
                <w:rFonts w:asciiTheme="minorHAnsi" w:hAnsiTheme="minorHAnsi" w:cstheme="minorBidi"/>
                <w:b/>
                <w:bCs/>
                <w:sz w:val="20"/>
                <w:szCs w:val="20"/>
              </w:rPr>
              <w:t>FY202</w:t>
            </w:r>
            <w:r>
              <w:rPr>
                <w:rFonts w:asciiTheme="minorHAnsi" w:hAnsiTheme="minorHAnsi" w:cstheme="minorBidi"/>
                <w:b/>
                <w:bCs/>
                <w:sz w:val="20"/>
                <w:szCs w:val="20"/>
              </w:rPr>
              <w:t>3</w:t>
            </w:r>
          </w:p>
        </w:tc>
      </w:tr>
      <w:tr w:rsidR="00220D52" w:rsidRPr="00220D52" w14:paraId="0A457B6C" w14:textId="77777777" w:rsidTr="00A3390B">
        <w:trPr>
          <w:cantSplit/>
        </w:trPr>
        <w:tc>
          <w:tcPr>
            <w:tcW w:w="2875" w:type="dxa"/>
            <w:vAlign w:val="center"/>
          </w:tcPr>
          <w:p w14:paraId="64BBAB9A" w14:textId="77777777" w:rsidR="00220D52" w:rsidRPr="00220D52" w:rsidRDefault="00220D52" w:rsidP="00220D52">
            <w:pPr>
              <w:keepNext/>
              <w:jc w:val="both"/>
              <w:rPr>
                <w:rFonts w:ascii="Arial" w:hAnsi="Arial" w:cs="Arial"/>
                <w:bCs/>
                <w:smallCaps/>
                <w:kern w:val="2"/>
                <w:sz w:val="20"/>
                <w:szCs w:val="20"/>
              </w:rPr>
            </w:pPr>
            <w:r w:rsidRPr="00220D52">
              <w:rPr>
                <w:rFonts w:asciiTheme="minorHAnsi" w:hAnsiTheme="minorHAnsi" w:cstheme="minorBidi"/>
                <w:color w:val="000000"/>
                <w:sz w:val="20"/>
                <w:szCs w:val="20"/>
              </w:rPr>
              <w:t xml:space="preserve">External Beam </w:t>
            </w:r>
          </w:p>
        </w:tc>
        <w:tc>
          <w:tcPr>
            <w:tcW w:w="1260" w:type="dxa"/>
            <w:vAlign w:val="center"/>
          </w:tcPr>
          <w:p w14:paraId="0EB32956" w14:textId="1ECDC7CD" w:rsidR="00220D52" w:rsidRPr="008B755E" w:rsidRDefault="002631E8" w:rsidP="00220D52">
            <w:pPr>
              <w:keepNext/>
              <w:jc w:val="center"/>
              <w:rPr>
                <w:rFonts w:asciiTheme="majorHAnsi" w:hAnsiTheme="majorHAnsi" w:cstheme="majorHAnsi"/>
                <w:bCs/>
                <w:smallCaps/>
                <w:kern w:val="2"/>
                <w:sz w:val="20"/>
                <w:szCs w:val="20"/>
              </w:rPr>
            </w:pPr>
            <w:r w:rsidRPr="008B755E">
              <w:rPr>
                <w:rFonts w:asciiTheme="majorHAnsi" w:hAnsiTheme="majorHAnsi" w:cstheme="majorHAnsi"/>
                <w:bCs/>
                <w:smallCaps/>
                <w:kern w:val="2"/>
                <w:sz w:val="20"/>
                <w:szCs w:val="20"/>
              </w:rPr>
              <w:t>3,334</w:t>
            </w:r>
          </w:p>
        </w:tc>
      </w:tr>
      <w:tr w:rsidR="00220D52" w:rsidRPr="00220D52" w14:paraId="5DA72562" w14:textId="77777777" w:rsidTr="00A3390B">
        <w:trPr>
          <w:cantSplit/>
        </w:trPr>
        <w:tc>
          <w:tcPr>
            <w:tcW w:w="2875" w:type="dxa"/>
            <w:vAlign w:val="center"/>
          </w:tcPr>
          <w:p w14:paraId="269C9409" w14:textId="77777777" w:rsidR="00220D52" w:rsidRPr="00220D52" w:rsidRDefault="00220D52" w:rsidP="00220D52">
            <w:pPr>
              <w:keepNext/>
              <w:jc w:val="both"/>
              <w:rPr>
                <w:rFonts w:ascii="Arial" w:hAnsi="Arial" w:cs="Arial"/>
                <w:bCs/>
                <w:smallCaps/>
                <w:kern w:val="2"/>
                <w:sz w:val="20"/>
                <w:szCs w:val="20"/>
              </w:rPr>
            </w:pPr>
            <w:r w:rsidRPr="00220D52">
              <w:rPr>
                <w:rFonts w:asciiTheme="minorHAnsi" w:hAnsiTheme="minorHAnsi" w:cstheme="minorBidi"/>
                <w:color w:val="000000"/>
                <w:sz w:val="20"/>
                <w:szCs w:val="20"/>
              </w:rPr>
              <w:t>Stereotactic</w:t>
            </w:r>
          </w:p>
        </w:tc>
        <w:tc>
          <w:tcPr>
            <w:tcW w:w="1260" w:type="dxa"/>
            <w:vAlign w:val="center"/>
          </w:tcPr>
          <w:p w14:paraId="5FE7E0C7" w14:textId="0E3319C3" w:rsidR="00220D52" w:rsidRPr="008B755E" w:rsidRDefault="002631E8" w:rsidP="00220D52">
            <w:pPr>
              <w:keepNext/>
              <w:jc w:val="center"/>
              <w:rPr>
                <w:rFonts w:asciiTheme="majorHAnsi" w:hAnsiTheme="majorHAnsi" w:cstheme="majorHAnsi"/>
                <w:bCs/>
                <w:smallCaps/>
                <w:kern w:val="2"/>
                <w:sz w:val="20"/>
                <w:szCs w:val="20"/>
              </w:rPr>
            </w:pPr>
            <w:r w:rsidRPr="008B755E">
              <w:rPr>
                <w:rFonts w:asciiTheme="majorHAnsi" w:hAnsiTheme="majorHAnsi" w:cstheme="majorHAnsi"/>
                <w:bCs/>
                <w:smallCaps/>
                <w:kern w:val="2"/>
                <w:sz w:val="20"/>
                <w:szCs w:val="20"/>
              </w:rPr>
              <w:t>427</w:t>
            </w:r>
          </w:p>
        </w:tc>
      </w:tr>
      <w:tr w:rsidR="00220D52" w:rsidRPr="00220D52" w14:paraId="1B669CC0" w14:textId="77777777" w:rsidTr="00A3390B">
        <w:trPr>
          <w:cantSplit/>
        </w:trPr>
        <w:tc>
          <w:tcPr>
            <w:tcW w:w="2875" w:type="dxa"/>
            <w:vAlign w:val="center"/>
          </w:tcPr>
          <w:p w14:paraId="7051FA70" w14:textId="77777777" w:rsidR="00220D52" w:rsidRPr="00220D52" w:rsidRDefault="00220D52" w:rsidP="00220D52">
            <w:pPr>
              <w:keepNext/>
              <w:jc w:val="both"/>
              <w:rPr>
                <w:rFonts w:ascii="Arial" w:hAnsi="Arial" w:cs="Arial"/>
                <w:bCs/>
                <w:smallCaps/>
                <w:kern w:val="2"/>
                <w:sz w:val="20"/>
                <w:szCs w:val="20"/>
              </w:rPr>
            </w:pPr>
            <w:r w:rsidRPr="00220D52">
              <w:rPr>
                <w:rFonts w:asciiTheme="minorHAnsi" w:hAnsiTheme="minorHAnsi" w:cstheme="minorBidi"/>
                <w:color w:val="000000"/>
                <w:sz w:val="20"/>
                <w:szCs w:val="20"/>
              </w:rPr>
              <w:t>IMRT</w:t>
            </w:r>
          </w:p>
        </w:tc>
        <w:tc>
          <w:tcPr>
            <w:tcW w:w="1260" w:type="dxa"/>
            <w:vAlign w:val="center"/>
          </w:tcPr>
          <w:p w14:paraId="140192BA" w14:textId="4EAB3AA7" w:rsidR="00220D52" w:rsidRPr="008B755E" w:rsidRDefault="002631E8" w:rsidP="00220D52">
            <w:pPr>
              <w:keepNext/>
              <w:jc w:val="center"/>
              <w:rPr>
                <w:rFonts w:asciiTheme="majorHAnsi" w:hAnsiTheme="majorHAnsi" w:cstheme="majorHAnsi"/>
                <w:bCs/>
                <w:smallCaps/>
                <w:kern w:val="2"/>
                <w:sz w:val="20"/>
                <w:szCs w:val="20"/>
              </w:rPr>
            </w:pPr>
            <w:r w:rsidRPr="008B755E">
              <w:rPr>
                <w:rFonts w:asciiTheme="majorHAnsi" w:hAnsiTheme="majorHAnsi" w:cstheme="majorHAnsi"/>
                <w:bCs/>
                <w:smallCaps/>
                <w:kern w:val="2"/>
                <w:sz w:val="20"/>
                <w:szCs w:val="20"/>
              </w:rPr>
              <w:t>4</w:t>
            </w:r>
            <w:r w:rsidR="00C81D67" w:rsidRPr="008B755E">
              <w:rPr>
                <w:rFonts w:asciiTheme="majorHAnsi" w:hAnsiTheme="majorHAnsi" w:cstheme="majorHAnsi"/>
                <w:bCs/>
                <w:smallCaps/>
                <w:kern w:val="2"/>
                <w:sz w:val="20"/>
                <w:szCs w:val="20"/>
              </w:rPr>
              <w:t>,</w:t>
            </w:r>
            <w:r w:rsidRPr="008B755E">
              <w:rPr>
                <w:rFonts w:asciiTheme="majorHAnsi" w:hAnsiTheme="majorHAnsi" w:cstheme="majorHAnsi"/>
                <w:bCs/>
                <w:smallCaps/>
                <w:kern w:val="2"/>
                <w:sz w:val="20"/>
                <w:szCs w:val="20"/>
              </w:rPr>
              <w:t>606</w:t>
            </w:r>
          </w:p>
        </w:tc>
      </w:tr>
      <w:tr w:rsidR="00220D52" w:rsidRPr="00220D52" w14:paraId="7D926C05" w14:textId="77777777" w:rsidTr="00A3390B">
        <w:trPr>
          <w:cantSplit/>
        </w:trPr>
        <w:tc>
          <w:tcPr>
            <w:tcW w:w="2875" w:type="dxa"/>
            <w:shd w:val="clear" w:color="auto" w:fill="D9E2F3" w:themeFill="accent1" w:themeFillTint="33"/>
            <w:vAlign w:val="center"/>
          </w:tcPr>
          <w:p w14:paraId="4A98278C" w14:textId="77777777" w:rsidR="00220D52" w:rsidRPr="00220D52" w:rsidRDefault="00220D52" w:rsidP="00220D52">
            <w:pPr>
              <w:keepNext/>
              <w:jc w:val="right"/>
              <w:rPr>
                <w:rFonts w:ascii="Arial" w:hAnsi="Arial" w:cs="Arial"/>
                <w:bCs/>
                <w:smallCaps/>
                <w:kern w:val="2"/>
                <w:sz w:val="20"/>
                <w:szCs w:val="20"/>
              </w:rPr>
            </w:pPr>
            <w:r w:rsidRPr="00220D52">
              <w:rPr>
                <w:rFonts w:asciiTheme="minorHAnsi" w:hAnsiTheme="minorHAnsi" w:cstheme="minorBidi"/>
                <w:b/>
                <w:bCs/>
                <w:color w:val="000000"/>
                <w:sz w:val="20"/>
                <w:szCs w:val="20"/>
              </w:rPr>
              <w:t>All LINAC Treatments</w:t>
            </w:r>
          </w:p>
        </w:tc>
        <w:tc>
          <w:tcPr>
            <w:tcW w:w="1260" w:type="dxa"/>
            <w:shd w:val="clear" w:color="auto" w:fill="D9E2F3" w:themeFill="accent1" w:themeFillTint="33"/>
            <w:vAlign w:val="center"/>
          </w:tcPr>
          <w:p w14:paraId="4A320FBC" w14:textId="19F5F5BB" w:rsidR="00220D52" w:rsidRPr="008B755E" w:rsidRDefault="003F05B3" w:rsidP="00220D52">
            <w:pPr>
              <w:keepNext/>
              <w:jc w:val="center"/>
              <w:rPr>
                <w:rFonts w:asciiTheme="majorHAnsi" w:hAnsiTheme="majorHAnsi" w:cstheme="majorHAnsi"/>
                <w:b/>
                <w:smallCaps/>
                <w:kern w:val="2"/>
                <w:sz w:val="20"/>
                <w:szCs w:val="20"/>
              </w:rPr>
            </w:pPr>
            <w:r w:rsidRPr="008B755E">
              <w:rPr>
                <w:rFonts w:asciiTheme="majorHAnsi" w:hAnsiTheme="majorHAnsi" w:cstheme="majorHAnsi"/>
                <w:b/>
                <w:smallCaps/>
                <w:kern w:val="2"/>
                <w:sz w:val="20"/>
                <w:szCs w:val="20"/>
              </w:rPr>
              <w:t>8</w:t>
            </w:r>
            <w:r w:rsidR="00C81D67" w:rsidRPr="008B755E">
              <w:rPr>
                <w:rFonts w:asciiTheme="majorHAnsi" w:hAnsiTheme="majorHAnsi" w:cstheme="majorHAnsi"/>
                <w:b/>
                <w:smallCaps/>
                <w:kern w:val="2"/>
                <w:sz w:val="20"/>
                <w:szCs w:val="20"/>
              </w:rPr>
              <w:t>,</w:t>
            </w:r>
            <w:r w:rsidRPr="008B755E">
              <w:rPr>
                <w:rFonts w:asciiTheme="majorHAnsi" w:hAnsiTheme="majorHAnsi" w:cstheme="majorHAnsi"/>
                <w:b/>
                <w:smallCaps/>
                <w:kern w:val="2"/>
                <w:sz w:val="20"/>
                <w:szCs w:val="20"/>
              </w:rPr>
              <w:t>367</w:t>
            </w:r>
          </w:p>
        </w:tc>
      </w:tr>
      <w:tr w:rsidR="00220D52" w:rsidRPr="00220D52" w14:paraId="735DFDBE" w14:textId="77777777" w:rsidTr="00A3390B">
        <w:trPr>
          <w:cantSplit/>
        </w:trPr>
        <w:tc>
          <w:tcPr>
            <w:tcW w:w="2875" w:type="dxa"/>
            <w:vAlign w:val="center"/>
          </w:tcPr>
          <w:p w14:paraId="7546FC04" w14:textId="77777777" w:rsidR="00220D52" w:rsidRPr="00220D52" w:rsidRDefault="00220D52" w:rsidP="00220D52">
            <w:pPr>
              <w:keepNext/>
              <w:jc w:val="both"/>
              <w:rPr>
                <w:rFonts w:ascii="Arial" w:hAnsi="Arial" w:cs="Arial"/>
                <w:bCs/>
                <w:smallCaps/>
                <w:kern w:val="2"/>
                <w:sz w:val="20"/>
                <w:szCs w:val="20"/>
              </w:rPr>
            </w:pPr>
            <w:r w:rsidRPr="00220D52">
              <w:rPr>
                <w:rFonts w:asciiTheme="minorHAnsi" w:hAnsiTheme="minorHAnsi" w:cstheme="minorBidi"/>
                <w:color w:val="000000"/>
                <w:sz w:val="20"/>
                <w:szCs w:val="20"/>
              </w:rPr>
              <w:t>HDR</w:t>
            </w:r>
          </w:p>
        </w:tc>
        <w:tc>
          <w:tcPr>
            <w:tcW w:w="1260" w:type="dxa"/>
            <w:vAlign w:val="center"/>
          </w:tcPr>
          <w:p w14:paraId="3F3F1D90" w14:textId="46C60C65" w:rsidR="00220D52" w:rsidRPr="008B755E" w:rsidRDefault="002631E8" w:rsidP="00220D52">
            <w:pPr>
              <w:keepNext/>
              <w:jc w:val="center"/>
              <w:rPr>
                <w:rFonts w:asciiTheme="majorHAnsi" w:hAnsiTheme="majorHAnsi" w:cstheme="majorHAnsi"/>
                <w:bCs/>
                <w:smallCaps/>
                <w:kern w:val="2"/>
                <w:sz w:val="20"/>
                <w:szCs w:val="20"/>
              </w:rPr>
            </w:pPr>
            <w:r w:rsidRPr="008B755E">
              <w:rPr>
                <w:rFonts w:asciiTheme="majorHAnsi" w:hAnsiTheme="majorHAnsi" w:cstheme="majorHAnsi"/>
                <w:bCs/>
                <w:smallCaps/>
                <w:kern w:val="2"/>
                <w:sz w:val="20"/>
                <w:szCs w:val="20"/>
              </w:rPr>
              <w:t>53</w:t>
            </w:r>
          </w:p>
        </w:tc>
      </w:tr>
      <w:tr w:rsidR="00220D52" w:rsidRPr="00220D52" w14:paraId="2B7FD906" w14:textId="77777777" w:rsidTr="00A3390B">
        <w:trPr>
          <w:cantSplit/>
        </w:trPr>
        <w:tc>
          <w:tcPr>
            <w:tcW w:w="2875" w:type="dxa"/>
            <w:vAlign w:val="center"/>
          </w:tcPr>
          <w:p w14:paraId="77DC5975" w14:textId="77777777" w:rsidR="00220D52" w:rsidRPr="00220D52" w:rsidRDefault="00220D52" w:rsidP="00220D52">
            <w:pPr>
              <w:keepNext/>
              <w:jc w:val="right"/>
              <w:rPr>
                <w:rFonts w:ascii="Arial" w:hAnsi="Arial" w:cs="Arial"/>
                <w:bCs/>
                <w:smallCaps/>
                <w:kern w:val="2"/>
                <w:sz w:val="20"/>
                <w:szCs w:val="20"/>
              </w:rPr>
            </w:pPr>
            <w:r w:rsidRPr="00220D52">
              <w:rPr>
                <w:rFonts w:asciiTheme="minorHAnsi" w:hAnsiTheme="minorHAnsi" w:cstheme="minorBidi"/>
                <w:b/>
                <w:bCs/>
                <w:color w:val="000000"/>
                <w:sz w:val="20"/>
                <w:szCs w:val="20"/>
              </w:rPr>
              <w:t>Total Radiation Treatments</w:t>
            </w:r>
          </w:p>
        </w:tc>
        <w:tc>
          <w:tcPr>
            <w:tcW w:w="1260" w:type="dxa"/>
            <w:shd w:val="clear" w:color="auto" w:fill="B4C6E7" w:themeFill="accent1" w:themeFillTint="66"/>
          </w:tcPr>
          <w:p w14:paraId="5B60CC06" w14:textId="26849CDB" w:rsidR="00220D52" w:rsidRPr="008B755E" w:rsidRDefault="00C81D67" w:rsidP="00220D52">
            <w:pPr>
              <w:keepNext/>
              <w:jc w:val="center"/>
              <w:rPr>
                <w:rFonts w:asciiTheme="majorHAnsi" w:hAnsiTheme="majorHAnsi" w:cstheme="majorHAnsi"/>
                <w:b/>
                <w:smallCaps/>
                <w:kern w:val="2"/>
                <w:sz w:val="20"/>
                <w:szCs w:val="20"/>
              </w:rPr>
            </w:pPr>
            <w:r w:rsidRPr="008B755E">
              <w:rPr>
                <w:rFonts w:asciiTheme="majorHAnsi" w:hAnsiTheme="majorHAnsi" w:cstheme="majorHAnsi"/>
                <w:b/>
                <w:smallCaps/>
                <w:kern w:val="2"/>
                <w:sz w:val="20"/>
                <w:szCs w:val="20"/>
              </w:rPr>
              <w:t>8,420</w:t>
            </w:r>
          </w:p>
        </w:tc>
      </w:tr>
      <w:tr w:rsidR="00220D52" w:rsidRPr="00220D52" w14:paraId="23C2E797" w14:textId="77777777" w:rsidTr="00A3390B">
        <w:trPr>
          <w:cantSplit/>
        </w:trPr>
        <w:tc>
          <w:tcPr>
            <w:tcW w:w="2875" w:type="dxa"/>
            <w:shd w:val="clear" w:color="auto" w:fill="B4C6E7" w:themeFill="accent1" w:themeFillTint="66"/>
            <w:vAlign w:val="center"/>
          </w:tcPr>
          <w:p w14:paraId="62B582A9" w14:textId="77777777" w:rsidR="00220D52" w:rsidRPr="00220D52" w:rsidRDefault="00220D52" w:rsidP="00220D52">
            <w:pPr>
              <w:keepNext/>
              <w:jc w:val="right"/>
              <w:rPr>
                <w:rFonts w:ascii="Arial" w:hAnsi="Arial" w:cs="Arial"/>
                <w:bCs/>
                <w:smallCaps/>
                <w:kern w:val="2"/>
                <w:sz w:val="20"/>
                <w:szCs w:val="20"/>
              </w:rPr>
            </w:pPr>
            <w:r w:rsidRPr="00220D52">
              <w:rPr>
                <w:rFonts w:asciiTheme="minorHAnsi" w:hAnsiTheme="minorHAnsi" w:cstheme="minorBidi"/>
                <w:b/>
                <w:bCs/>
                <w:color w:val="000000"/>
                <w:sz w:val="20"/>
                <w:szCs w:val="20"/>
              </w:rPr>
              <w:t xml:space="preserve">Total Radiation Patients </w:t>
            </w:r>
          </w:p>
        </w:tc>
        <w:tc>
          <w:tcPr>
            <w:tcW w:w="1260" w:type="dxa"/>
            <w:shd w:val="clear" w:color="auto" w:fill="B4C6E7" w:themeFill="accent1" w:themeFillTint="66"/>
            <w:vAlign w:val="center"/>
          </w:tcPr>
          <w:p w14:paraId="6862722C" w14:textId="20FD9A1E" w:rsidR="00220D52" w:rsidRPr="008B755E" w:rsidRDefault="008B755E" w:rsidP="00220D52">
            <w:pPr>
              <w:keepNext/>
              <w:jc w:val="center"/>
              <w:rPr>
                <w:rFonts w:asciiTheme="majorHAnsi" w:hAnsiTheme="majorHAnsi" w:cstheme="majorHAnsi"/>
                <w:b/>
                <w:smallCaps/>
                <w:kern w:val="2"/>
                <w:sz w:val="20"/>
                <w:szCs w:val="20"/>
              </w:rPr>
            </w:pPr>
            <w:r w:rsidRPr="008B755E">
              <w:rPr>
                <w:rFonts w:asciiTheme="majorHAnsi" w:hAnsiTheme="majorHAnsi" w:cstheme="majorHAnsi"/>
                <w:b/>
                <w:smallCaps/>
                <w:kern w:val="2"/>
                <w:sz w:val="20"/>
                <w:szCs w:val="20"/>
              </w:rPr>
              <w:t>519</w:t>
            </w:r>
          </w:p>
        </w:tc>
      </w:tr>
    </w:tbl>
    <w:p w14:paraId="687ECA69" w14:textId="003A9971" w:rsidR="008868E6" w:rsidRPr="00FA0244" w:rsidRDefault="008868E6" w:rsidP="00FA0244">
      <w:pPr>
        <w:spacing w:line="229" w:lineRule="exact"/>
        <w:rPr>
          <w:rFonts w:cstheme="minorHAnsi"/>
          <w:b/>
          <w:bCs/>
        </w:rPr>
      </w:pPr>
    </w:p>
    <w:p w14:paraId="23D54690" w14:textId="07D733A5" w:rsidR="009F2325" w:rsidRPr="00450206" w:rsidRDefault="009F2325" w:rsidP="009F2325">
      <w:pPr>
        <w:pStyle w:val="ListParagraph"/>
        <w:numPr>
          <w:ilvl w:val="0"/>
          <w:numId w:val="29"/>
        </w:numPr>
        <w:spacing w:line="229" w:lineRule="exact"/>
        <w:rPr>
          <w:rFonts w:cstheme="minorHAnsi"/>
          <w:b/>
          <w:bCs/>
          <w:sz w:val="24"/>
          <w:szCs w:val="24"/>
        </w:rPr>
      </w:pPr>
      <w:r w:rsidRPr="00450206">
        <w:rPr>
          <w:b/>
          <w:bCs/>
          <w:sz w:val="24"/>
          <w:szCs w:val="24"/>
        </w:rPr>
        <w:t xml:space="preserve">To better understand the </w:t>
      </w:r>
      <w:r w:rsidR="00F804A0" w:rsidRPr="00450206">
        <w:rPr>
          <w:b/>
          <w:bCs/>
          <w:sz w:val="24"/>
          <w:szCs w:val="24"/>
        </w:rPr>
        <w:t xml:space="preserve">Service Area for BILH’s Patient Panel, please provide </w:t>
      </w:r>
      <w:r w:rsidR="0049782E" w:rsidRPr="00450206">
        <w:rPr>
          <w:b/>
          <w:bCs/>
          <w:sz w:val="24"/>
          <w:szCs w:val="24"/>
        </w:rPr>
        <w:t xml:space="preserve">data on </w:t>
      </w:r>
      <w:r w:rsidR="00D05578" w:rsidRPr="00450206">
        <w:rPr>
          <w:b/>
          <w:bCs/>
          <w:sz w:val="24"/>
          <w:szCs w:val="24"/>
        </w:rPr>
        <w:t xml:space="preserve">actual </w:t>
      </w:r>
      <w:r w:rsidRPr="00450206">
        <w:rPr>
          <w:b/>
          <w:bCs/>
          <w:sz w:val="24"/>
          <w:szCs w:val="24"/>
        </w:rPr>
        <w:t xml:space="preserve">inpatient discharges </w:t>
      </w:r>
      <w:r w:rsidR="00D05578" w:rsidRPr="00450206">
        <w:rPr>
          <w:b/>
          <w:bCs/>
          <w:sz w:val="24"/>
          <w:szCs w:val="24"/>
        </w:rPr>
        <w:t xml:space="preserve">and percentage of </w:t>
      </w:r>
      <w:r w:rsidR="00470202" w:rsidRPr="00450206">
        <w:rPr>
          <w:b/>
          <w:bCs/>
          <w:sz w:val="24"/>
          <w:szCs w:val="24"/>
        </w:rPr>
        <w:t xml:space="preserve">inpatient discharges </w:t>
      </w:r>
      <w:r w:rsidRPr="00450206">
        <w:rPr>
          <w:b/>
          <w:bCs/>
          <w:sz w:val="24"/>
          <w:szCs w:val="24"/>
        </w:rPr>
        <w:t xml:space="preserve">by </w:t>
      </w:r>
      <w:r w:rsidR="00E07F6A" w:rsidRPr="00450206">
        <w:rPr>
          <w:b/>
          <w:bCs/>
          <w:sz w:val="24"/>
          <w:szCs w:val="24"/>
        </w:rPr>
        <w:t xml:space="preserve">city or </w:t>
      </w:r>
      <w:r w:rsidRPr="00450206">
        <w:rPr>
          <w:b/>
          <w:bCs/>
          <w:sz w:val="24"/>
          <w:szCs w:val="24"/>
        </w:rPr>
        <w:t>town in FY22</w:t>
      </w:r>
      <w:r w:rsidR="0049782E" w:rsidRPr="00450206">
        <w:rPr>
          <w:b/>
          <w:bCs/>
          <w:sz w:val="24"/>
          <w:szCs w:val="24"/>
        </w:rPr>
        <w:t xml:space="preserve"> and FY23</w:t>
      </w:r>
      <w:r w:rsidR="00BC5571" w:rsidRPr="00450206">
        <w:rPr>
          <w:b/>
          <w:bCs/>
          <w:sz w:val="24"/>
          <w:szCs w:val="24"/>
        </w:rPr>
        <w:t>.</w:t>
      </w:r>
    </w:p>
    <w:p w14:paraId="16621FF0" w14:textId="1D5660C4" w:rsidR="00564F33" w:rsidRPr="008E5F7C" w:rsidRDefault="002A725B" w:rsidP="002A725B">
      <w:pPr>
        <w:spacing w:line="229" w:lineRule="exact"/>
        <w:ind w:left="360"/>
        <w:rPr>
          <w:rFonts w:asciiTheme="minorHAnsi" w:hAnsiTheme="minorHAnsi" w:cstheme="minorHAnsi"/>
          <w:sz w:val="22"/>
          <w:szCs w:val="22"/>
        </w:rPr>
      </w:pPr>
      <w:r w:rsidRPr="008E5F7C">
        <w:rPr>
          <w:rFonts w:asciiTheme="minorHAnsi" w:hAnsiTheme="minorHAnsi" w:cstheme="minorHAnsi"/>
          <w:sz w:val="22"/>
          <w:szCs w:val="22"/>
          <w:u w:val="single"/>
        </w:rPr>
        <w:t>Response</w:t>
      </w:r>
      <w:r w:rsidRPr="008E5F7C">
        <w:rPr>
          <w:rFonts w:asciiTheme="minorHAnsi" w:hAnsiTheme="minorHAnsi" w:cstheme="minorHAnsi"/>
          <w:b/>
          <w:bCs/>
          <w:sz w:val="22"/>
          <w:szCs w:val="22"/>
        </w:rPr>
        <w:t xml:space="preserve">: </w:t>
      </w:r>
      <w:r w:rsidRPr="008E5F7C">
        <w:rPr>
          <w:rFonts w:asciiTheme="minorHAnsi" w:hAnsiTheme="minorHAnsi" w:cstheme="minorHAnsi"/>
          <w:sz w:val="22"/>
          <w:szCs w:val="22"/>
        </w:rPr>
        <w:t xml:space="preserve">This </w:t>
      </w:r>
      <w:r w:rsidR="00B0569C" w:rsidRPr="008E5F7C">
        <w:rPr>
          <w:rFonts w:asciiTheme="minorHAnsi" w:hAnsiTheme="minorHAnsi" w:cstheme="minorHAnsi"/>
          <w:sz w:val="22"/>
          <w:szCs w:val="22"/>
        </w:rPr>
        <w:t xml:space="preserve">information is </w:t>
      </w:r>
      <w:r w:rsidR="008E5F7C">
        <w:rPr>
          <w:rFonts w:asciiTheme="minorHAnsi" w:hAnsiTheme="minorHAnsi" w:cstheme="minorHAnsi"/>
          <w:sz w:val="22"/>
          <w:szCs w:val="22"/>
        </w:rPr>
        <w:t xml:space="preserve">only </w:t>
      </w:r>
      <w:r w:rsidR="00B0569C" w:rsidRPr="008E5F7C">
        <w:rPr>
          <w:rFonts w:asciiTheme="minorHAnsi" w:hAnsiTheme="minorHAnsi" w:cstheme="minorHAnsi"/>
          <w:sz w:val="22"/>
          <w:szCs w:val="22"/>
        </w:rPr>
        <w:t>available from</w:t>
      </w:r>
      <w:r w:rsidRPr="008E5F7C">
        <w:rPr>
          <w:rFonts w:asciiTheme="minorHAnsi" w:hAnsiTheme="minorHAnsi" w:cstheme="minorHAnsi"/>
          <w:sz w:val="22"/>
          <w:szCs w:val="22"/>
        </w:rPr>
        <w:t xml:space="preserve"> the Center for Health Information and Analysis (“CHIA”) Massachusetts Acute Care Hospital Inpatient Discharge Dataset</w:t>
      </w:r>
      <w:r w:rsidR="00B0569C" w:rsidRPr="008E5F7C">
        <w:rPr>
          <w:rFonts w:asciiTheme="minorHAnsi" w:hAnsiTheme="minorHAnsi" w:cstheme="minorHAnsi"/>
          <w:sz w:val="22"/>
          <w:szCs w:val="22"/>
        </w:rPr>
        <w:t xml:space="preserve">. Unfortunately, this dataset is only current through the end of 2021. Therefore, the data provided below is from FY21. </w:t>
      </w:r>
    </w:p>
    <w:p w14:paraId="60F11CF3" w14:textId="50C78C86" w:rsidR="008E5F7C" w:rsidRPr="008E5F7C" w:rsidRDefault="008E5F7C" w:rsidP="008E5F7C">
      <w:pPr>
        <w:tabs>
          <w:tab w:val="left" w:pos="7170"/>
        </w:tabs>
        <w:rPr>
          <w:rFonts w:cstheme="minorHAnsi"/>
        </w:rPr>
      </w:pPr>
    </w:p>
    <w:tbl>
      <w:tblPr>
        <w:tblStyle w:val="TableGrid"/>
        <w:tblpPr w:leftFromText="180" w:rightFromText="180" w:vertAnchor="text" w:tblpY="1"/>
        <w:tblOverlap w:val="never"/>
        <w:tblW w:w="0" w:type="auto"/>
        <w:tblLook w:val="04A0" w:firstRow="1" w:lastRow="0" w:firstColumn="1" w:lastColumn="0" w:noHBand="0" w:noVBand="1"/>
      </w:tblPr>
      <w:tblGrid>
        <w:gridCol w:w="1870"/>
        <w:gridCol w:w="1870"/>
        <w:gridCol w:w="1871"/>
      </w:tblGrid>
      <w:tr w:rsidR="00B0569C" w14:paraId="478D94F3" w14:textId="77777777" w:rsidTr="00BD30A1">
        <w:trPr>
          <w:cantSplit/>
          <w:trHeight w:val="900"/>
          <w:tblHeader/>
        </w:trPr>
        <w:tc>
          <w:tcPr>
            <w:tcW w:w="1870" w:type="dxa"/>
            <w:noWrap/>
            <w:vAlign w:val="bottom"/>
            <w:hideMark/>
          </w:tcPr>
          <w:p w14:paraId="16BE7E3E" w14:textId="47C0733F" w:rsidR="00B0569C" w:rsidRPr="00220D52" w:rsidRDefault="008E5F7C" w:rsidP="008E5F7C">
            <w:pPr>
              <w:jc w:val="center"/>
              <w:rPr>
                <w:rFonts w:asciiTheme="majorHAnsi" w:hAnsiTheme="majorHAnsi" w:cstheme="majorHAnsi"/>
                <w:b/>
                <w:bCs/>
                <w:sz w:val="20"/>
                <w:szCs w:val="20"/>
              </w:rPr>
            </w:pPr>
            <w:r w:rsidRPr="00220D52">
              <w:rPr>
                <w:rFonts w:asciiTheme="majorHAnsi" w:hAnsiTheme="majorHAnsi" w:cstheme="majorHAnsi"/>
                <w:b/>
                <w:bCs/>
                <w:sz w:val="20"/>
                <w:szCs w:val="20"/>
              </w:rPr>
              <w:t>City/</w:t>
            </w:r>
            <w:r w:rsidR="00B0569C" w:rsidRPr="00220D52">
              <w:rPr>
                <w:rFonts w:asciiTheme="majorHAnsi" w:hAnsiTheme="majorHAnsi" w:cstheme="majorHAnsi"/>
                <w:b/>
                <w:bCs/>
                <w:sz w:val="20"/>
                <w:szCs w:val="20"/>
              </w:rPr>
              <w:t>Town Name</w:t>
            </w:r>
          </w:p>
        </w:tc>
        <w:tc>
          <w:tcPr>
            <w:tcW w:w="1870" w:type="dxa"/>
            <w:vAlign w:val="bottom"/>
            <w:hideMark/>
          </w:tcPr>
          <w:p w14:paraId="24FDC294" w14:textId="27341EB8" w:rsidR="00B0569C" w:rsidRPr="00220D52" w:rsidRDefault="00B0569C" w:rsidP="008E5F7C">
            <w:pPr>
              <w:jc w:val="center"/>
              <w:rPr>
                <w:rFonts w:asciiTheme="majorHAnsi" w:hAnsiTheme="majorHAnsi" w:cstheme="majorHAnsi"/>
                <w:b/>
                <w:bCs/>
                <w:sz w:val="20"/>
                <w:szCs w:val="20"/>
              </w:rPr>
            </w:pPr>
            <w:r w:rsidRPr="00220D52">
              <w:rPr>
                <w:rFonts w:asciiTheme="majorHAnsi" w:hAnsiTheme="majorHAnsi" w:cstheme="majorHAnsi"/>
                <w:b/>
                <w:bCs/>
                <w:sz w:val="20"/>
                <w:szCs w:val="20"/>
              </w:rPr>
              <w:t xml:space="preserve">FY21 Adult </w:t>
            </w:r>
            <w:proofErr w:type="spellStart"/>
            <w:r w:rsidRPr="00220D52">
              <w:rPr>
                <w:rFonts w:asciiTheme="majorHAnsi" w:hAnsiTheme="majorHAnsi" w:cstheme="majorHAnsi"/>
                <w:b/>
                <w:bCs/>
                <w:sz w:val="20"/>
                <w:szCs w:val="20"/>
              </w:rPr>
              <w:t>MedSurg</w:t>
            </w:r>
            <w:proofErr w:type="spellEnd"/>
            <w:r w:rsidRPr="00220D52">
              <w:rPr>
                <w:rFonts w:asciiTheme="majorHAnsi" w:hAnsiTheme="majorHAnsi" w:cstheme="majorHAnsi"/>
                <w:b/>
                <w:bCs/>
                <w:sz w:val="20"/>
                <w:szCs w:val="20"/>
              </w:rPr>
              <w:t xml:space="preserve"> IP Discharges</w:t>
            </w:r>
            <w:r w:rsidR="008E5F7C" w:rsidRPr="00220D52">
              <w:rPr>
                <w:rStyle w:val="FootnoteReference"/>
                <w:rFonts w:asciiTheme="majorHAnsi" w:hAnsiTheme="majorHAnsi" w:cstheme="majorHAnsi"/>
                <w:b/>
                <w:bCs/>
                <w:sz w:val="20"/>
                <w:szCs w:val="20"/>
              </w:rPr>
              <w:footnoteReference w:id="8"/>
            </w:r>
          </w:p>
        </w:tc>
        <w:tc>
          <w:tcPr>
            <w:tcW w:w="1871" w:type="dxa"/>
            <w:noWrap/>
            <w:vAlign w:val="bottom"/>
            <w:hideMark/>
          </w:tcPr>
          <w:p w14:paraId="361E6821" w14:textId="77777777" w:rsidR="00B0569C" w:rsidRPr="00220D52" w:rsidRDefault="00B0569C" w:rsidP="008E5F7C">
            <w:pPr>
              <w:jc w:val="center"/>
              <w:rPr>
                <w:rFonts w:asciiTheme="majorHAnsi" w:hAnsiTheme="majorHAnsi" w:cstheme="majorHAnsi"/>
                <w:b/>
                <w:bCs/>
                <w:sz w:val="20"/>
                <w:szCs w:val="20"/>
              </w:rPr>
            </w:pPr>
            <w:r w:rsidRPr="00220D52">
              <w:rPr>
                <w:rFonts w:asciiTheme="majorHAnsi" w:hAnsiTheme="majorHAnsi" w:cstheme="majorHAnsi"/>
                <w:b/>
                <w:bCs/>
                <w:sz w:val="20"/>
                <w:szCs w:val="20"/>
              </w:rPr>
              <w:t>% of Total</w:t>
            </w:r>
          </w:p>
        </w:tc>
      </w:tr>
      <w:tr w:rsidR="00B0569C" w14:paraId="2950E963" w14:textId="77777777" w:rsidTr="00BD30A1">
        <w:trPr>
          <w:cantSplit/>
          <w:trHeight w:val="300"/>
        </w:trPr>
        <w:tc>
          <w:tcPr>
            <w:tcW w:w="1870" w:type="dxa"/>
            <w:noWrap/>
            <w:hideMark/>
          </w:tcPr>
          <w:p w14:paraId="1D981BC0"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Plymouth</w:t>
            </w:r>
          </w:p>
        </w:tc>
        <w:tc>
          <w:tcPr>
            <w:tcW w:w="1870" w:type="dxa"/>
            <w:noWrap/>
            <w:hideMark/>
          </w:tcPr>
          <w:p w14:paraId="6F6D56AF"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4,997</w:t>
            </w:r>
          </w:p>
        </w:tc>
        <w:tc>
          <w:tcPr>
            <w:tcW w:w="1871" w:type="dxa"/>
            <w:noWrap/>
            <w:hideMark/>
          </w:tcPr>
          <w:p w14:paraId="50A371C8"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4.8%</w:t>
            </w:r>
          </w:p>
        </w:tc>
      </w:tr>
      <w:tr w:rsidR="00B0569C" w14:paraId="6795EB16" w14:textId="77777777" w:rsidTr="00BD30A1">
        <w:trPr>
          <w:cantSplit/>
          <w:trHeight w:val="300"/>
        </w:trPr>
        <w:tc>
          <w:tcPr>
            <w:tcW w:w="1870" w:type="dxa"/>
            <w:noWrap/>
            <w:hideMark/>
          </w:tcPr>
          <w:p w14:paraId="20164BBD"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Woburn</w:t>
            </w:r>
          </w:p>
        </w:tc>
        <w:tc>
          <w:tcPr>
            <w:tcW w:w="1870" w:type="dxa"/>
            <w:noWrap/>
            <w:hideMark/>
          </w:tcPr>
          <w:p w14:paraId="12646429"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3,083</w:t>
            </w:r>
          </w:p>
        </w:tc>
        <w:tc>
          <w:tcPr>
            <w:tcW w:w="1871" w:type="dxa"/>
            <w:noWrap/>
            <w:hideMark/>
          </w:tcPr>
          <w:p w14:paraId="30632BD9"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3.0%</w:t>
            </w:r>
          </w:p>
        </w:tc>
      </w:tr>
      <w:tr w:rsidR="00B0569C" w14:paraId="4A8AD87B" w14:textId="77777777" w:rsidTr="00BD30A1">
        <w:trPr>
          <w:cantSplit/>
          <w:trHeight w:val="300"/>
        </w:trPr>
        <w:tc>
          <w:tcPr>
            <w:tcW w:w="1870" w:type="dxa"/>
            <w:noWrap/>
            <w:hideMark/>
          </w:tcPr>
          <w:p w14:paraId="7D68A13A"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Beverly</w:t>
            </w:r>
          </w:p>
        </w:tc>
        <w:tc>
          <w:tcPr>
            <w:tcW w:w="1870" w:type="dxa"/>
            <w:noWrap/>
            <w:hideMark/>
          </w:tcPr>
          <w:p w14:paraId="31FE200A"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2,992</w:t>
            </w:r>
          </w:p>
        </w:tc>
        <w:tc>
          <w:tcPr>
            <w:tcW w:w="1871" w:type="dxa"/>
            <w:noWrap/>
            <w:hideMark/>
          </w:tcPr>
          <w:p w14:paraId="7D1FDDBF"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2.9%</w:t>
            </w:r>
          </w:p>
        </w:tc>
      </w:tr>
      <w:tr w:rsidR="00B0569C" w14:paraId="549C12A4" w14:textId="77777777" w:rsidTr="00BD30A1">
        <w:trPr>
          <w:cantSplit/>
          <w:trHeight w:val="300"/>
        </w:trPr>
        <w:tc>
          <w:tcPr>
            <w:tcW w:w="1870" w:type="dxa"/>
            <w:noWrap/>
            <w:hideMark/>
          </w:tcPr>
          <w:p w14:paraId="4B9FB655"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Peabody</w:t>
            </w:r>
          </w:p>
        </w:tc>
        <w:tc>
          <w:tcPr>
            <w:tcW w:w="1870" w:type="dxa"/>
            <w:noWrap/>
            <w:hideMark/>
          </w:tcPr>
          <w:p w14:paraId="4922B7F1"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2,635</w:t>
            </w:r>
          </w:p>
        </w:tc>
        <w:tc>
          <w:tcPr>
            <w:tcW w:w="1871" w:type="dxa"/>
            <w:noWrap/>
            <w:hideMark/>
          </w:tcPr>
          <w:p w14:paraId="53F762F4"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2.5%</w:t>
            </w:r>
          </w:p>
        </w:tc>
      </w:tr>
      <w:tr w:rsidR="00B0569C" w14:paraId="33208BDC" w14:textId="77777777" w:rsidTr="00BD30A1">
        <w:trPr>
          <w:cantSplit/>
          <w:trHeight w:val="300"/>
        </w:trPr>
        <w:tc>
          <w:tcPr>
            <w:tcW w:w="1870" w:type="dxa"/>
            <w:noWrap/>
            <w:hideMark/>
          </w:tcPr>
          <w:p w14:paraId="0283FBEB"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Gloucester</w:t>
            </w:r>
          </w:p>
        </w:tc>
        <w:tc>
          <w:tcPr>
            <w:tcW w:w="1870" w:type="dxa"/>
            <w:noWrap/>
            <w:hideMark/>
          </w:tcPr>
          <w:p w14:paraId="1C640DC9"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2,484</w:t>
            </w:r>
          </w:p>
        </w:tc>
        <w:tc>
          <w:tcPr>
            <w:tcW w:w="1871" w:type="dxa"/>
            <w:noWrap/>
            <w:hideMark/>
          </w:tcPr>
          <w:p w14:paraId="4571A054"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2.4%</w:t>
            </w:r>
          </w:p>
        </w:tc>
      </w:tr>
      <w:tr w:rsidR="00B0569C" w14:paraId="2B2C62DB" w14:textId="77777777" w:rsidTr="00BD30A1">
        <w:trPr>
          <w:cantSplit/>
          <w:trHeight w:val="300"/>
        </w:trPr>
        <w:tc>
          <w:tcPr>
            <w:tcW w:w="1870" w:type="dxa"/>
            <w:noWrap/>
            <w:hideMark/>
          </w:tcPr>
          <w:p w14:paraId="02A24C7E"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Quincy</w:t>
            </w:r>
          </w:p>
        </w:tc>
        <w:tc>
          <w:tcPr>
            <w:tcW w:w="1870" w:type="dxa"/>
            <w:noWrap/>
            <w:hideMark/>
          </w:tcPr>
          <w:p w14:paraId="275D41E3"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2,241</w:t>
            </w:r>
          </w:p>
        </w:tc>
        <w:tc>
          <w:tcPr>
            <w:tcW w:w="1871" w:type="dxa"/>
            <w:noWrap/>
            <w:hideMark/>
          </w:tcPr>
          <w:p w14:paraId="3FB55937"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2.2%</w:t>
            </w:r>
          </w:p>
        </w:tc>
      </w:tr>
      <w:tr w:rsidR="00B0569C" w14:paraId="0111C012" w14:textId="77777777" w:rsidTr="00BD30A1">
        <w:trPr>
          <w:cantSplit/>
          <w:trHeight w:val="300"/>
        </w:trPr>
        <w:tc>
          <w:tcPr>
            <w:tcW w:w="1870" w:type="dxa"/>
            <w:noWrap/>
            <w:hideMark/>
          </w:tcPr>
          <w:p w14:paraId="60D93729"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Boston</w:t>
            </w:r>
          </w:p>
        </w:tc>
        <w:tc>
          <w:tcPr>
            <w:tcW w:w="1870" w:type="dxa"/>
            <w:noWrap/>
            <w:hideMark/>
          </w:tcPr>
          <w:p w14:paraId="0826044D"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2,161</w:t>
            </w:r>
          </w:p>
        </w:tc>
        <w:tc>
          <w:tcPr>
            <w:tcW w:w="1871" w:type="dxa"/>
            <w:noWrap/>
            <w:hideMark/>
          </w:tcPr>
          <w:p w14:paraId="357FC0BC"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2.1%</w:t>
            </w:r>
          </w:p>
        </w:tc>
      </w:tr>
      <w:tr w:rsidR="00B0569C" w14:paraId="2D443DA5" w14:textId="77777777" w:rsidTr="00BD30A1">
        <w:trPr>
          <w:cantSplit/>
          <w:trHeight w:val="300"/>
        </w:trPr>
        <w:tc>
          <w:tcPr>
            <w:tcW w:w="1870" w:type="dxa"/>
            <w:noWrap/>
            <w:hideMark/>
          </w:tcPr>
          <w:p w14:paraId="210228DD"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Cambridge</w:t>
            </w:r>
          </w:p>
        </w:tc>
        <w:tc>
          <w:tcPr>
            <w:tcW w:w="1870" w:type="dxa"/>
            <w:noWrap/>
            <w:hideMark/>
          </w:tcPr>
          <w:p w14:paraId="6AE67436"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2,136</w:t>
            </w:r>
          </w:p>
        </w:tc>
        <w:tc>
          <w:tcPr>
            <w:tcW w:w="1871" w:type="dxa"/>
            <w:noWrap/>
            <w:hideMark/>
          </w:tcPr>
          <w:p w14:paraId="26051D5D"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2.1%</w:t>
            </w:r>
          </w:p>
        </w:tc>
      </w:tr>
      <w:tr w:rsidR="00B0569C" w14:paraId="766E9400" w14:textId="77777777" w:rsidTr="00BD30A1">
        <w:trPr>
          <w:cantSplit/>
          <w:trHeight w:val="300"/>
        </w:trPr>
        <w:tc>
          <w:tcPr>
            <w:tcW w:w="1870" w:type="dxa"/>
            <w:noWrap/>
            <w:hideMark/>
          </w:tcPr>
          <w:p w14:paraId="2DFDBA02"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Billerica</w:t>
            </w:r>
          </w:p>
        </w:tc>
        <w:tc>
          <w:tcPr>
            <w:tcW w:w="1870" w:type="dxa"/>
            <w:noWrap/>
            <w:hideMark/>
          </w:tcPr>
          <w:p w14:paraId="79D5BB1C"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2,096</w:t>
            </w:r>
          </w:p>
        </w:tc>
        <w:tc>
          <w:tcPr>
            <w:tcW w:w="1871" w:type="dxa"/>
            <w:noWrap/>
            <w:hideMark/>
          </w:tcPr>
          <w:p w14:paraId="17781FF4"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2.0%</w:t>
            </w:r>
          </w:p>
        </w:tc>
      </w:tr>
      <w:tr w:rsidR="00B0569C" w14:paraId="5C4B3770" w14:textId="77777777" w:rsidTr="00BD30A1">
        <w:trPr>
          <w:cantSplit/>
          <w:trHeight w:val="300"/>
        </w:trPr>
        <w:tc>
          <w:tcPr>
            <w:tcW w:w="1870" w:type="dxa"/>
            <w:noWrap/>
            <w:hideMark/>
          </w:tcPr>
          <w:p w14:paraId="0B30C554"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Burlington</w:t>
            </w:r>
          </w:p>
        </w:tc>
        <w:tc>
          <w:tcPr>
            <w:tcW w:w="1870" w:type="dxa"/>
            <w:noWrap/>
            <w:hideMark/>
          </w:tcPr>
          <w:p w14:paraId="690EEEC5"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1,974</w:t>
            </w:r>
          </w:p>
        </w:tc>
        <w:tc>
          <w:tcPr>
            <w:tcW w:w="1871" w:type="dxa"/>
            <w:noWrap/>
            <w:hideMark/>
          </w:tcPr>
          <w:p w14:paraId="7CEAF1CD"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1.9%</w:t>
            </w:r>
          </w:p>
        </w:tc>
      </w:tr>
      <w:tr w:rsidR="00B0569C" w14:paraId="1EDD4408" w14:textId="77777777" w:rsidTr="00BD30A1">
        <w:trPr>
          <w:cantSplit/>
          <w:trHeight w:val="300"/>
        </w:trPr>
        <w:tc>
          <w:tcPr>
            <w:tcW w:w="1870" w:type="dxa"/>
            <w:noWrap/>
            <w:hideMark/>
          </w:tcPr>
          <w:p w14:paraId="4C9AA82A"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Dorchester</w:t>
            </w:r>
          </w:p>
        </w:tc>
        <w:tc>
          <w:tcPr>
            <w:tcW w:w="1870" w:type="dxa"/>
            <w:noWrap/>
            <w:hideMark/>
          </w:tcPr>
          <w:p w14:paraId="64324359"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1,891</w:t>
            </w:r>
          </w:p>
        </w:tc>
        <w:tc>
          <w:tcPr>
            <w:tcW w:w="1871" w:type="dxa"/>
            <w:noWrap/>
            <w:hideMark/>
          </w:tcPr>
          <w:p w14:paraId="774EA357"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1.8%</w:t>
            </w:r>
          </w:p>
        </w:tc>
      </w:tr>
      <w:tr w:rsidR="00B0569C" w14:paraId="65064DF7" w14:textId="77777777" w:rsidTr="00BD30A1">
        <w:trPr>
          <w:cantSplit/>
          <w:trHeight w:val="300"/>
        </w:trPr>
        <w:tc>
          <w:tcPr>
            <w:tcW w:w="1870" w:type="dxa"/>
            <w:noWrap/>
            <w:hideMark/>
          </w:tcPr>
          <w:p w14:paraId="2987B176"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Arlington</w:t>
            </w:r>
          </w:p>
        </w:tc>
        <w:tc>
          <w:tcPr>
            <w:tcW w:w="1870" w:type="dxa"/>
            <w:noWrap/>
            <w:hideMark/>
          </w:tcPr>
          <w:p w14:paraId="55AFCB71"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1,869</w:t>
            </w:r>
          </w:p>
        </w:tc>
        <w:tc>
          <w:tcPr>
            <w:tcW w:w="1871" w:type="dxa"/>
            <w:noWrap/>
            <w:hideMark/>
          </w:tcPr>
          <w:p w14:paraId="541C8424"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1.8%</w:t>
            </w:r>
          </w:p>
        </w:tc>
      </w:tr>
      <w:tr w:rsidR="00B0569C" w14:paraId="4C9021C3" w14:textId="77777777" w:rsidTr="00BD30A1">
        <w:trPr>
          <w:cantSplit/>
          <w:trHeight w:val="300"/>
        </w:trPr>
        <w:tc>
          <w:tcPr>
            <w:tcW w:w="1870" w:type="dxa"/>
            <w:noWrap/>
            <w:hideMark/>
          </w:tcPr>
          <w:p w14:paraId="3DE9E45B"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Danvers</w:t>
            </w:r>
          </w:p>
        </w:tc>
        <w:tc>
          <w:tcPr>
            <w:tcW w:w="1870" w:type="dxa"/>
            <w:noWrap/>
            <w:hideMark/>
          </w:tcPr>
          <w:p w14:paraId="50EA58EA"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1,808</w:t>
            </w:r>
          </w:p>
        </w:tc>
        <w:tc>
          <w:tcPr>
            <w:tcW w:w="1871" w:type="dxa"/>
            <w:noWrap/>
            <w:hideMark/>
          </w:tcPr>
          <w:p w14:paraId="4961EB63"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1.7%</w:t>
            </w:r>
          </w:p>
        </w:tc>
      </w:tr>
      <w:tr w:rsidR="00B0569C" w14:paraId="359A1F3C" w14:textId="77777777" w:rsidTr="00BD30A1">
        <w:trPr>
          <w:cantSplit/>
          <w:trHeight w:val="300"/>
        </w:trPr>
        <w:tc>
          <w:tcPr>
            <w:tcW w:w="1870" w:type="dxa"/>
            <w:noWrap/>
            <w:hideMark/>
          </w:tcPr>
          <w:p w14:paraId="506C05CA"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Medford</w:t>
            </w:r>
          </w:p>
        </w:tc>
        <w:tc>
          <w:tcPr>
            <w:tcW w:w="1870" w:type="dxa"/>
            <w:noWrap/>
            <w:hideMark/>
          </w:tcPr>
          <w:p w14:paraId="5B26E8F4"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1,559</w:t>
            </w:r>
          </w:p>
        </w:tc>
        <w:tc>
          <w:tcPr>
            <w:tcW w:w="1871" w:type="dxa"/>
            <w:noWrap/>
            <w:hideMark/>
          </w:tcPr>
          <w:p w14:paraId="7EC3B8EC"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1.5%</w:t>
            </w:r>
          </w:p>
        </w:tc>
      </w:tr>
      <w:tr w:rsidR="00B0569C" w14:paraId="4C94BE92" w14:textId="77777777" w:rsidTr="00BD30A1">
        <w:trPr>
          <w:cantSplit/>
          <w:trHeight w:val="300"/>
        </w:trPr>
        <w:tc>
          <w:tcPr>
            <w:tcW w:w="1870" w:type="dxa"/>
            <w:noWrap/>
            <w:hideMark/>
          </w:tcPr>
          <w:p w14:paraId="74AD110B"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Wilmington</w:t>
            </w:r>
          </w:p>
        </w:tc>
        <w:tc>
          <w:tcPr>
            <w:tcW w:w="1870" w:type="dxa"/>
            <w:noWrap/>
            <w:hideMark/>
          </w:tcPr>
          <w:p w14:paraId="2E73C171"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1,432</w:t>
            </w:r>
          </w:p>
        </w:tc>
        <w:tc>
          <w:tcPr>
            <w:tcW w:w="1871" w:type="dxa"/>
            <w:noWrap/>
            <w:hideMark/>
          </w:tcPr>
          <w:p w14:paraId="29D0DC00"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1.4%</w:t>
            </w:r>
          </w:p>
        </w:tc>
      </w:tr>
      <w:tr w:rsidR="00B0569C" w14:paraId="4CD1C4E5" w14:textId="77777777" w:rsidTr="00BD30A1">
        <w:trPr>
          <w:cantSplit/>
          <w:trHeight w:val="300"/>
        </w:trPr>
        <w:tc>
          <w:tcPr>
            <w:tcW w:w="1870" w:type="dxa"/>
            <w:noWrap/>
            <w:hideMark/>
          </w:tcPr>
          <w:p w14:paraId="015FC753"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Watertown</w:t>
            </w:r>
          </w:p>
        </w:tc>
        <w:tc>
          <w:tcPr>
            <w:tcW w:w="1870" w:type="dxa"/>
            <w:noWrap/>
            <w:hideMark/>
          </w:tcPr>
          <w:p w14:paraId="526E7E4A"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1,417</w:t>
            </w:r>
          </w:p>
        </w:tc>
        <w:tc>
          <w:tcPr>
            <w:tcW w:w="1871" w:type="dxa"/>
            <w:noWrap/>
            <w:hideMark/>
          </w:tcPr>
          <w:p w14:paraId="73EFAD21"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1.4%</w:t>
            </w:r>
          </w:p>
        </w:tc>
      </w:tr>
      <w:tr w:rsidR="00B0569C" w14:paraId="2D818DE9" w14:textId="77777777" w:rsidTr="00BD30A1">
        <w:trPr>
          <w:cantSplit/>
          <w:trHeight w:val="300"/>
        </w:trPr>
        <w:tc>
          <w:tcPr>
            <w:tcW w:w="1870" w:type="dxa"/>
            <w:noWrap/>
            <w:hideMark/>
          </w:tcPr>
          <w:p w14:paraId="267B736A"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Reading</w:t>
            </w:r>
          </w:p>
        </w:tc>
        <w:tc>
          <w:tcPr>
            <w:tcW w:w="1870" w:type="dxa"/>
            <w:noWrap/>
            <w:hideMark/>
          </w:tcPr>
          <w:p w14:paraId="69076466"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1,366</w:t>
            </w:r>
          </w:p>
        </w:tc>
        <w:tc>
          <w:tcPr>
            <w:tcW w:w="1871" w:type="dxa"/>
            <w:noWrap/>
            <w:hideMark/>
          </w:tcPr>
          <w:p w14:paraId="5BA3946A"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1.3%</w:t>
            </w:r>
          </w:p>
        </w:tc>
      </w:tr>
      <w:tr w:rsidR="00B0569C" w14:paraId="210A2C26" w14:textId="77777777" w:rsidTr="00BD30A1">
        <w:trPr>
          <w:cantSplit/>
          <w:trHeight w:val="300"/>
        </w:trPr>
        <w:tc>
          <w:tcPr>
            <w:tcW w:w="1870" w:type="dxa"/>
            <w:noWrap/>
            <w:hideMark/>
          </w:tcPr>
          <w:p w14:paraId="5E2DF098"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Stoneham</w:t>
            </w:r>
          </w:p>
        </w:tc>
        <w:tc>
          <w:tcPr>
            <w:tcW w:w="1870" w:type="dxa"/>
            <w:noWrap/>
            <w:hideMark/>
          </w:tcPr>
          <w:p w14:paraId="2373E5F7"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1,319</w:t>
            </w:r>
          </w:p>
        </w:tc>
        <w:tc>
          <w:tcPr>
            <w:tcW w:w="1871" w:type="dxa"/>
            <w:noWrap/>
            <w:hideMark/>
          </w:tcPr>
          <w:p w14:paraId="3049FA0A"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1.3%</w:t>
            </w:r>
          </w:p>
        </w:tc>
      </w:tr>
      <w:tr w:rsidR="00B0569C" w14:paraId="70670DE0" w14:textId="77777777" w:rsidTr="00BD30A1">
        <w:trPr>
          <w:cantSplit/>
          <w:trHeight w:val="300"/>
        </w:trPr>
        <w:tc>
          <w:tcPr>
            <w:tcW w:w="1870" w:type="dxa"/>
            <w:noWrap/>
            <w:hideMark/>
          </w:tcPr>
          <w:p w14:paraId="1E4C7178"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lastRenderedPageBreak/>
              <w:t>Somerville</w:t>
            </w:r>
          </w:p>
        </w:tc>
        <w:tc>
          <w:tcPr>
            <w:tcW w:w="1870" w:type="dxa"/>
            <w:noWrap/>
            <w:hideMark/>
          </w:tcPr>
          <w:p w14:paraId="75A9BCE4"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1,250</w:t>
            </w:r>
          </w:p>
        </w:tc>
        <w:tc>
          <w:tcPr>
            <w:tcW w:w="1871" w:type="dxa"/>
            <w:noWrap/>
            <w:hideMark/>
          </w:tcPr>
          <w:p w14:paraId="0BC06ECB"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1.2%</w:t>
            </w:r>
          </w:p>
        </w:tc>
      </w:tr>
      <w:tr w:rsidR="00B0569C" w14:paraId="70141F38" w14:textId="77777777" w:rsidTr="00BD30A1">
        <w:trPr>
          <w:cantSplit/>
          <w:trHeight w:val="300"/>
        </w:trPr>
        <w:tc>
          <w:tcPr>
            <w:tcW w:w="1870" w:type="dxa"/>
            <w:noWrap/>
            <w:hideMark/>
          </w:tcPr>
          <w:p w14:paraId="3C8C4A0E"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Norwood</w:t>
            </w:r>
          </w:p>
        </w:tc>
        <w:tc>
          <w:tcPr>
            <w:tcW w:w="1870" w:type="dxa"/>
            <w:noWrap/>
            <w:hideMark/>
          </w:tcPr>
          <w:p w14:paraId="6D01C257"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1,236</w:t>
            </w:r>
          </w:p>
        </w:tc>
        <w:tc>
          <w:tcPr>
            <w:tcW w:w="1871" w:type="dxa"/>
            <w:noWrap/>
            <w:hideMark/>
          </w:tcPr>
          <w:p w14:paraId="778979D7"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1.2%</w:t>
            </w:r>
          </w:p>
        </w:tc>
      </w:tr>
      <w:tr w:rsidR="00B0569C" w14:paraId="0BDCA5EB" w14:textId="77777777" w:rsidTr="00BD30A1">
        <w:trPr>
          <w:cantSplit/>
          <w:trHeight w:val="300"/>
        </w:trPr>
        <w:tc>
          <w:tcPr>
            <w:tcW w:w="1870" w:type="dxa"/>
            <w:noWrap/>
            <w:hideMark/>
          </w:tcPr>
          <w:p w14:paraId="4EFE99C2"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Randolph</w:t>
            </w:r>
          </w:p>
        </w:tc>
        <w:tc>
          <w:tcPr>
            <w:tcW w:w="1870" w:type="dxa"/>
            <w:noWrap/>
            <w:hideMark/>
          </w:tcPr>
          <w:p w14:paraId="185D8F68"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1,201</w:t>
            </w:r>
          </w:p>
        </w:tc>
        <w:tc>
          <w:tcPr>
            <w:tcW w:w="1871" w:type="dxa"/>
            <w:noWrap/>
            <w:hideMark/>
          </w:tcPr>
          <w:p w14:paraId="585339C8"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1.2%</w:t>
            </w:r>
          </w:p>
        </w:tc>
      </w:tr>
      <w:tr w:rsidR="00B0569C" w14:paraId="24589658" w14:textId="77777777" w:rsidTr="00BD30A1">
        <w:trPr>
          <w:cantSplit/>
          <w:trHeight w:val="300"/>
        </w:trPr>
        <w:tc>
          <w:tcPr>
            <w:tcW w:w="1870" w:type="dxa"/>
            <w:noWrap/>
            <w:hideMark/>
          </w:tcPr>
          <w:p w14:paraId="2AD5F04E"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Milton</w:t>
            </w:r>
          </w:p>
        </w:tc>
        <w:tc>
          <w:tcPr>
            <w:tcW w:w="1870" w:type="dxa"/>
            <w:noWrap/>
            <w:hideMark/>
          </w:tcPr>
          <w:p w14:paraId="6C70A232"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1,165</w:t>
            </w:r>
          </w:p>
        </w:tc>
        <w:tc>
          <w:tcPr>
            <w:tcW w:w="1871" w:type="dxa"/>
            <w:noWrap/>
            <w:hideMark/>
          </w:tcPr>
          <w:p w14:paraId="380B4B68"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1.1%</w:t>
            </w:r>
          </w:p>
        </w:tc>
      </w:tr>
      <w:tr w:rsidR="00B0569C" w14:paraId="22CF23D3" w14:textId="77777777" w:rsidTr="00BD30A1">
        <w:trPr>
          <w:cantSplit/>
          <w:trHeight w:val="300"/>
        </w:trPr>
        <w:tc>
          <w:tcPr>
            <w:tcW w:w="1870" w:type="dxa"/>
            <w:noWrap/>
            <w:hideMark/>
          </w:tcPr>
          <w:p w14:paraId="758C8555"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Lexington</w:t>
            </w:r>
          </w:p>
        </w:tc>
        <w:tc>
          <w:tcPr>
            <w:tcW w:w="1870" w:type="dxa"/>
            <w:noWrap/>
            <w:hideMark/>
          </w:tcPr>
          <w:p w14:paraId="2AE40624"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1,157</w:t>
            </w:r>
          </w:p>
        </w:tc>
        <w:tc>
          <w:tcPr>
            <w:tcW w:w="1871" w:type="dxa"/>
            <w:noWrap/>
            <w:hideMark/>
          </w:tcPr>
          <w:p w14:paraId="08CC5B17"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1.1%</w:t>
            </w:r>
          </w:p>
        </w:tc>
      </w:tr>
      <w:tr w:rsidR="00B0569C" w14:paraId="0646EAA7" w14:textId="77777777" w:rsidTr="00BD30A1">
        <w:trPr>
          <w:cantSplit/>
          <w:trHeight w:val="300"/>
        </w:trPr>
        <w:tc>
          <w:tcPr>
            <w:tcW w:w="1870" w:type="dxa"/>
            <w:noWrap/>
            <w:hideMark/>
          </w:tcPr>
          <w:p w14:paraId="7F9E1E67"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Waltham</w:t>
            </w:r>
          </w:p>
        </w:tc>
        <w:tc>
          <w:tcPr>
            <w:tcW w:w="1870" w:type="dxa"/>
            <w:noWrap/>
            <w:hideMark/>
          </w:tcPr>
          <w:p w14:paraId="700163EE"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1,150</w:t>
            </w:r>
          </w:p>
        </w:tc>
        <w:tc>
          <w:tcPr>
            <w:tcW w:w="1871" w:type="dxa"/>
            <w:noWrap/>
            <w:hideMark/>
          </w:tcPr>
          <w:p w14:paraId="00638DE3"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1.1%</w:t>
            </w:r>
          </w:p>
        </w:tc>
      </w:tr>
      <w:tr w:rsidR="00B0569C" w14:paraId="6D2CC8A0" w14:textId="77777777" w:rsidTr="00BD30A1">
        <w:trPr>
          <w:cantSplit/>
          <w:trHeight w:val="300"/>
        </w:trPr>
        <w:tc>
          <w:tcPr>
            <w:tcW w:w="1870" w:type="dxa"/>
            <w:noWrap/>
            <w:hideMark/>
          </w:tcPr>
          <w:p w14:paraId="69A4AA16"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Needham</w:t>
            </w:r>
          </w:p>
        </w:tc>
        <w:tc>
          <w:tcPr>
            <w:tcW w:w="1870" w:type="dxa"/>
            <w:noWrap/>
            <w:hideMark/>
          </w:tcPr>
          <w:p w14:paraId="6D1DF6A7"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1,101</w:t>
            </w:r>
          </w:p>
        </w:tc>
        <w:tc>
          <w:tcPr>
            <w:tcW w:w="1871" w:type="dxa"/>
            <w:noWrap/>
            <w:hideMark/>
          </w:tcPr>
          <w:p w14:paraId="318C4481"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1.1%</w:t>
            </w:r>
          </w:p>
        </w:tc>
      </w:tr>
      <w:tr w:rsidR="00B0569C" w14:paraId="3B97DF2C" w14:textId="77777777" w:rsidTr="00BD30A1">
        <w:trPr>
          <w:cantSplit/>
          <w:trHeight w:val="300"/>
        </w:trPr>
        <w:tc>
          <w:tcPr>
            <w:tcW w:w="1870" w:type="dxa"/>
            <w:noWrap/>
            <w:hideMark/>
          </w:tcPr>
          <w:p w14:paraId="6A199211"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Newton</w:t>
            </w:r>
          </w:p>
        </w:tc>
        <w:tc>
          <w:tcPr>
            <w:tcW w:w="1870" w:type="dxa"/>
            <w:noWrap/>
            <w:hideMark/>
          </w:tcPr>
          <w:p w14:paraId="72057E66"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1,062</w:t>
            </w:r>
          </w:p>
        </w:tc>
        <w:tc>
          <w:tcPr>
            <w:tcW w:w="1871" w:type="dxa"/>
            <w:noWrap/>
            <w:hideMark/>
          </w:tcPr>
          <w:p w14:paraId="57CF024B"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1.0%</w:t>
            </w:r>
          </w:p>
        </w:tc>
      </w:tr>
      <w:tr w:rsidR="00B0569C" w14:paraId="78440507" w14:textId="77777777" w:rsidTr="00BD30A1">
        <w:trPr>
          <w:cantSplit/>
          <w:trHeight w:val="300"/>
        </w:trPr>
        <w:tc>
          <w:tcPr>
            <w:tcW w:w="1870" w:type="dxa"/>
            <w:noWrap/>
            <w:hideMark/>
          </w:tcPr>
          <w:p w14:paraId="4C59725A"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Winchester</w:t>
            </w:r>
          </w:p>
        </w:tc>
        <w:tc>
          <w:tcPr>
            <w:tcW w:w="1870" w:type="dxa"/>
            <w:noWrap/>
            <w:hideMark/>
          </w:tcPr>
          <w:p w14:paraId="1E84B898"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1,044</w:t>
            </w:r>
          </w:p>
        </w:tc>
        <w:tc>
          <w:tcPr>
            <w:tcW w:w="1871" w:type="dxa"/>
            <w:noWrap/>
            <w:hideMark/>
          </w:tcPr>
          <w:p w14:paraId="64AA6726"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1.0%</w:t>
            </w:r>
          </w:p>
        </w:tc>
      </w:tr>
      <w:tr w:rsidR="00B0569C" w14:paraId="1C5B6909" w14:textId="77777777" w:rsidTr="00BD30A1">
        <w:trPr>
          <w:cantSplit/>
          <w:trHeight w:val="300"/>
        </w:trPr>
        <w:tc>
          <w:tcPr>
            <w:tcW w:w="1870" w:type="dxa"/>
            <w:noWrap/>
            <w:hideMark/>
          </w:tcPr>
          <w:p w14:paraId="6481D0C8"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Newburyport</w:t>
            </w:r>
          </w:p>
        </w:tc>
        <w:tc>
          <w:tcPr>
            <w:tcW w:w="1870" w:type="dxa"/>
            <w:noWrap/>
            <w:hideMark/>
          </w:tcPr>
          <w:p w14:paraId="63337094"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1,019</w:t>
            </w:r>
          </w:p>
        </w:tc>
        <w:tc>
          <w:tcPr>
            <w:tcW w:w="1871" w:type="dxa"/>
            <w:noWrap/>
            <w:hideMark/>
          </w:tcPr>
          <w:p w14:paraId="4772DB7F"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1.0%</w:t>
            </w:r>
          </w:p>
        </w:tc>
      </w:tr>
      <w:tr w:rsidR="00B0569C" w14:paraId="5F19D38E" w14:textId="77777777" w:rsidTr="00BD30A1">
        <w:trPr>
          <w:cantSplit/>
          <w:trHeight w:val="300"/>
        </w:trPr>
        <w:tc>
          <w:tcPr>
            <w:tcW w:w="1870" w:type="dxa"/>
            <w:noWrap/>
            <w:hideMark/>
          </w:tcPr>
          <w:p w14:paraId="79D94633"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JP/Roslindale</w:t>
            </w:r>
          </w:p>
        </w:tc>
        <w:tc>
          <w:tcPr>
            <w:tcW w:w="1870" w:type="dxa"/>
            <w:noWrap/>
            <w:hideMark/>
          </w:tcPr>
          <w:p w14:paraId="1F66FAC1"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976</w:t>
            </w:r>
          </w:p>
        </w:tc>
        <w:tc>
          <w:tcPr>
            <w:tcW w:w="1871" w:type="dxa"/>
            <w:noWrap/>
            <w:hideMark/>
          </w:tcPr>
          <w:p w14:paraId="4CAE8B10"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0.9%</w:t>
            </w:r>
          </w:p>
        </w:tc>
      </w:tr>
      <w:tr w:rsidR="00B0569C" w14:paraId="29B8DDFD" w14:textId="77777777" w:rsidTr="00BD30A1">
        <w:trPr>
          <w:cantSplit/>
          <w:trHeight w:val="300"/>
        </w:trPr>
        <w:tc>
          <w:tcPr>
            <w:tcW w:w="1870" w:type="dxa"/>
            <w:noWrap/>
            <w:hideMark/>
          </w:tcPr>
          <w:p w14:paraId="7CD5DA41"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Amesbury</w:t>
            </w:r>
          </w:p>
        </w:tc>
        <w:tc>
          <w:tcPr>
            <w:tcW w:w="1870" w:type="dxa"/>
            <w:noWrap/>
            <w:hideMark/>
          </w:tcPr>
          <w:p w14:paraId="3322F07E"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964</w:t>
            </w:r>
          </w:p>
        </w:tc>
        <w:tc>
          <w:tcPr>
            <w:tcW w:w="1871" w:type="dxa"/>
            <w:noWrap/>
            <w:hideMark/>
          </w:tcPr>
          <w:p w14:paraId="5E70D56F"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0.9%</w:t>
            </w:r>
          </w:p>
        </w:tc>
      </w:tr>
      <w:tr w:rsidR="00B0569C" w14:paraId="0466050D" w14:textId="77777777" w:rsidTr="00BD30A1">
        <w:trPr>
          <w:cantSplit/>
          <w:trHeight w:val="300"/>
        </w:trPr>
        <w:tc>
          <w:tcPr>
            <w:tcW w:w="1870" w:type="dxa"/>
            <w:noWrap/>
            <w:hideMark/>
          </w:tcPr>
          <w:p w14:paraId="34290482"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Brookline</w:t>
            </w:r>
          </w:p>
        </w:tc>
        <w:tc>
          <w:tcPr>
            <w:tcW w:w="1870" w:type="dxa"/>
            <w:noWrap/>
            <w:hideMark/>
          </w:tcPr>
          <w:p w14:paraId="249EC1A6"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949</w:t>
            </w:r>
          </w:p>
        </w:tc>
        <w:tc>
          <w:tcPr>
            <w:tcW w:w="1871" w:type="dxa"/>
            <w:noWrap/>
            <w:hideMark/>
          </w:tcPr>
          <w:p w14:paraId="7977CFA6"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0.9%</w:t>
            </w:r>
          </w:p>
        </w:tc>
      </w:tr>
      <w:tr w:rsidR="00B0569C" w14:paraId="3219CC05" w14:textId="77777777" w:rsidTr="00BD30A1">
        <w:trPr>
          <w:cantSplit/>
          <w:trHeight w:val="300"/>
        </w:trPr>
        <w:tc>
          <w:tcPr>
            <w:tcW w:w="1870" w:type="dxa"/>
            <w:noWrap/>
            <w:hideMark/>
          </w:tcPr>
          <w:p w14:paraId="58DC6D02"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Tewksbury</w:t>
            </w:r>
          </w:p>
        </w:tc>
        <w:tc>
          <w:tcPr>
            <w:tcW w:w="1870" w:type="dxa"/>
            <w:noWrap/>
            <w:hideMark/>
          </w:tcPr>
          <w:p w14:paraId="1B4EC2CA"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948</w:t>
            </w:r>
          </w:p>
        </w:tc>
        <w:tc>
          <w:tcPr>
            <w:tcW w:w="1871" w:type="dxa"/>
            <w:noWrap/>
            <w:hideMark/>
          </w:tcPr>
          <w:p w14:paraId="379389CA"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0.9%</w:t>
            </w:r>
          </w:p>
        </w:tc>
      </w:tr>
      <w:tr w:rsidR="00B0569C" w14:paraId="10FAD40D" w14:textId="77777777" w:rsidTr="00BD30A1">
        <w:trPr>
          <w:cantSplit/>
          <w:trHeight w:val="300"/>
        </w:trPr>
        <w:tc>
          <w:tcPr>
            <w:tcW w:w="1870" w:type="dxa"/>
            <w:noWrap/>
            <w:hideMark/>
          </w:tcPr>
          <w:p w14:paraId="22B4BA27"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Dedham</w:t>
            </w:r>
          </w:p>
        </w:tc>
        <w:tc>
          <w:tcPr>
            <w:tcW w:w="1870" w:type="dxa"/>
            <w:noWrap/>
            <w:hideMark/>
          </w:tcPr>
          <w:p w14:paraId="0A5637F2"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943</w:t>
            </w:r>
          </w:p>
        </w:tc>
        <w:tc>
          <w:tcPr>
            <w:tcW w:w="1871" w:type="dxa"/>
            <w:noWrap/>
            <w:hideMark/>
          </w:tcPr>
          <w:p w14:paraId="28AD0739"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0.9%</w:t>
            </w:r>
          </w:p>
        </w:tc>
      </w:tr>
      <w:tr w:rsidR="00B0569C" w14:paraId="4A7E7F09" w14:textId="77777777" w:rsidTr="00BD30A1">
        <w:trPr>
          <w:cantSplit/>
          <w:trHeight w:val="300"/>
        </w:trPr>
        <w:tc>
          <w:tcPr>
            <w:tcW w:w="1870" w:type="dxa"/>
            <w:noWrap/>
            <w:hideMark/>
          </w:tcPr>
          <w:p w14:paraId="01A5AEFF"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Lynn</w:t>
            </w:r>
          </w:p>
        </w:tc>
        <w:tc>
          <w:tcPr>
            <w:tcW w:w="1870" w:type="dxa"/>
            <w:noWrap/>
            <w:hideMark/>
          </w:tcPr>
          <w:p w14:paraId="4C372FEC"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938</w:t>
            </w:r>
          </w:p>
        </w:tc>
        <w:tc>
          <w:tcPr>
            <w:tcW w:w="1871" w:type="dxa"/>
            <w:noWrap/>
            <w:hideMark/>
          </w:tcPr>
          <w:p w14:paraId="7C364EEB"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0.9%</w:t>
            </w:r>
          </w:p>
        </w:tc>
      </w:tr>
      <w:tr w:rsidR="00B0569C" w14:paraId="1DE52354" w14:textId="77777777" w:rsidTr="00BD30A1">
        <w:trPr>
          <w:cantSplit/>
          <w:trHeight w:val="300"/>
        </w:trPr>
        <w:tc>
          <w:tcPr>
            <w:tcW w:w="1870" w:type="dxa"/>
            <w:noWrap/>
            <w:hideMark/>
          </w:tcPr>
          <w:p w14:paraId="71DC6B3C"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Haverhill</w:t>
            </w:r>
          </w:p>
        </w:tc>
        <w:tc>
          <w:tcPr>
            <w:tcW w:w="1870" w:type="dxa"/>
            <w:noWrap/>
            <w:hideMark/>
          </w:tcPr>
          <w:p w14:paraId="300ADD60"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918</w:t>
            </w:r>
          </w:p>
        </w:tc>
        <w:tc>
          <w:tcPr>
            <w:tcW w:w="1871" w:type="dxa"/>
            <w:noWrap/>
            <w:hideMark/>
          </w:tcPr>
          <w:p w14:paraId="2BDB7A07"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0.9%</w:t>
            </w:r>
          </w:p>
        </w:tc>
      </w:tr>
      <w:tr w:rsidR="00B0569C" w14:paraId="68DA5E17" w14:textId="77777777" w:rsidTr="00BD30A1">
        <w:trPr>
          <w:cantSplit/>
          <w:trHeight w:val="300"/>
        </w:trPr>
        <w:tc>
          <w:tcPr>
            <w:tcW w:w="1870" w:type="dxa"/>
            <w:noWrap/>
            <w:hideMark/>
          </w:tcPr>
          <w:p w14:paraId="7A891D9C"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Wakefield</w:t>
            </w:r>
          </w:p>
        </w:tc>
        <w:tc>
          <w:tcPr>
            <w:tcW w:w="1870" w:type="dxa"/>
            <w:noWrap/>
            <w:hideMark/>
          </w:tcPr>
          <w:p w14:paraId="7941F08A"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905</w:t>
            </w:r>
          </w:p>
        </w:tc>
        <w:tc>
          <w:tcPr>
            <w:tcW w:w="1871" w:type="dxa"/>
            <w:noWrap/>
            <w:hideMark/>
          </w:tcPr>
          <w:p w14:paraId="71B5DC89"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0.9%</w:t>
            </w:r>
          </w:p>
        </w:tc>
      </w:tr>
      <w:tr w:rsidR="00B0569C" w14:paraId="66CCD470" w14:textId="77777777" w:rsidTr="00BD30A1">
        <w:trPr>
          <w:cantSplit/>
          <w:trHeight w:val="300"/>
        </w:trPr>
        <w:tc>
          <w:tcPr>
            <w:tcW w:w="1870" w:type="dxa"/>
            <w:noWrap/>
            <w:hideMark/>
          </w:tcPr>
          <w:p w14:paraId="1C588EF8"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Brockton</w:t>
            </w:r>
          </w:p>
        </w:tc>
        <w:tc>
          <w:tcPr>
            <w:tcW w:w="1870" w:type="dxa"/>
            <w:noWrap/>
            <w:hideMark/>
          </w:tcPr>
          <w:p w14:paraId="0C71882E"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882</w:t>
            </w:r>
          </w:p>
        </w:tc>
        <w:tc>
          <w:tcPr>
            <w:tcW w:w="1871" w:type="dxa"/>
            <w:noWrap/>
            <w:hideMark/>
          </w:tcPr>
          <w:p w14:paraId="7A81F625"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0.9%</w:t>
            </w:r>
          </w:p>
        </w:tc>
      </w:tr>
      <w:tr w:rsidR="00B0569C" w14:paraId="2AF25C0E" w14:textId="77777777" w:rsidTr="00BD30A1">
        <w:trPr>
          <w:cantSplit/>
          <w:trHeight w:val="300"/>
        </w:trPr>
        <w:tc>
          <w:tcPr>
            <w:tcW w:w="1870" w:type="dxa"/>
            <w:noWrap/>
            <w:hideMark/>
          </w:tcPr>
          <w:p w14:paraId="5AFEB536"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Malden</w:t>
            </w:r>
          </w:p>
        </w:tc>
        <w:tc>
          <w:tcPr>
            <w:tcW w:w="1870" w:type="dxa"/>
            <w:noWrap/>
            <w:hideMark/>
          </w:tcPr>
          <w:p w14:paraId="787AC15D"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854</w:t>
            </w:r>
          </w:p>
        </w:tc>
        <w:tc>
          <w:tcPr>
            <w:tcW w:w="1871" w:type="dxa"/>
            <w:noWrap/>
            <w:hideMark/>
          </w:tcPr>
          <w:p w14:paraId="18590A71"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0.8%</w:t>
            </w:r>
          </w:p>
        </w:tc>
      </w:tr>
      <w:tr w:rsidR="00B0569C" w14:paraId="4758BBED" w14:textId="77777777" w:rsidTr="00BD30A1">
        <w:trPr>
          <w:cantSplit/>
          <w:trHeight w:val="300"/>
        </w:trPr>
        <w:tc>
          <w:tcPr>
            <w:tcW w:w="1870" w:type="dxa"/>
            <w:noWrap/>
            <w:hideMark/>
          </w:tcPr>
          <w:p w14:paraId="2EC2581C"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Belmont</w:t>
            </w:r>
          </w:p>
        </w:tc>
        <w:tc>
          <w:tcPr>
            <w:tcW w:w="1870" w:type="dxa"/>
            <w:noWrap/>
            <w:hideMark/>
          </w:tcPr>
          <w:p w14:paraId="70BAE789"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854</w:t>
            </w:r>
          </w:p>
        </w:tc>
        <w:tc>
          <w:tcPr>
            <w:tcW w:w="1871" w:type="dxa"/>
            <w:noWrap/>
            <w:hideMark/>
          </w:tcPr>
          <w:p w14:paraId="4D5169E8"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0.8%</w:t>
            </w:r>
          </w:p>
        </w:tc>
      </w:tr>
      <w:tr w:rsidR="00B0569C" w14:paraId="755C5094" w14:textId="77777777" w:rsidTr="00BD30A1">
        <w:trPr>
          <w:cantSplit/>
          <w:trHeight w:val="300"/>
        </w:trPr>
        <w:tc>
          <w:tcPr>
            <w:tcW w:w="1870" w:type="dxa"/>
            <w:noWrap/>
            <w:hideMark/>
          </w:tcPr>
          <w:p w14:paraId="322E5A5A"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Carver</w:t>
            </w:r>
          </w:p>
        </w:tc>
        <w:tc>
          <w:tcPr>
            <w:tcW w:w="1870" w:type="dxa"/>
            <w:noWrap/>
            <w:hideMark/>
          </w:tcPr>
          <w:p w14:paraId="374CEDB6"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845</w:t>
            </w:r>
          </w:p>
        </w:tc>
        <w:tc>
          <w:tcPr>
            <w:tcW w:w="1871" w:type="dxa"/>
            <w:noWrap/>
            <w:hideMark/>
          </w:tcPr>
          <w:p w14:paraId="1D482FBE"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0.8%</w:t>
            </w:r>
          </w:p>
        </w:tc>
      </w:tr>
      <w:tr w:rsidR="00B0569C" w14:paraId="020029FC" w14:textId="77777777" w:rsidTr="00BD30A1">
        <w:trPr>
          <w:cantSplit/>
          <w:trHeight w:val="300"/>
        </w:trPr>
        <w:tc>
          <w:tcPr>
            <w:tcW w:w="1870" w:type="dxa"/>
            <w:noWrap/>
            <w:hideMark/>
          </w:tcPr>
          <w:p w14:paraId="718C45AF"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Kingston</w:t>
            </w:r>
          </w:p>
        </w:tc>
        <w:tc>
          <w:tcPr>
            <w:tcW w:w="1870" w:type="dxa"/>
            <w:noWrap/>
            <w:hideMark/>
          </w:tcPr>
          <w:p w14:paraId="2D5A3799"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817</w:t>
            </w:r>
          </w:p>
        </w:tc>
        <w:tc>
          <w:tcPr>
            <w:tcW w:w="1871" w:type="dxa"/>
            <w:noWrap/>
            <w:hideMark/>
          </w:tcPr>
          <w:p w14:paraId="7913A725"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0.8%</w:t>
            </w:r>
          </w:p>
        </w:tc>
      </w:tr>
      <w:tr w:rsidR="00B0569C" w14:paraId="217A39C0" w14:textId="77777777" w:rsidTr="00BD30A1">
        <w:trPr>
          <w:cantSplit/>
          <w:trHeight w:val="300"/>
        </w:trPr>
        <w:tc>
          <w:tcPr>
            <w:tcW w:w="1870" w:type="dxa"/>
            <w:noWrap/>
            <w:hideMark/>
          </w:tcPr>
          <w:p w14:paraId="5B575F9E"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North Reading</w:t>
            </w:r>
          </w:p>
        </w:tc>
        <w:tc>
          <w:tcPr>
            <w:tcW w:w="1870" w:type="dxa"/>
            <w:noWrap/>
            <w:hideMark/>
          </w:tcPr>
          <w:p w14:paraId="41FC1DA5"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790</w:t>
            </w:r>
          </w:p>
        </w:tc>
        <w:tc>
          <w:tcPr>
            <w:tcW w:w="1871" w:type="dxa"/>
            <w:noWrap/>
            <w:hideMark/>
          </w:tcPr>
          <w:p w14:paraId="000A2D58"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0.8%</w:t>
            </w:r>
          </w:p>
        </w:tc>
      </w:tr>
      <w:tr w:rsidR="00B0569C" w14:paraId="12228497" w14:textId="77777777" w:rsidTr="00BD30A1">
        <w:trPr>
          <w:cantSplit/>
          <w:trHeight w:val="300"/>
        </w:trPr>
        <w:tc>
          <w:tcPr>
            <w:tcW w:w="1870" w:type="dxa"/>
            <w:noWrap/>
            <w:hideMark/>
          </w:tcPr>
          <w:p w14:paraId="690637BE"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Ipswich</w:t>
            </w:r>
          </w:p>
        </w:tc>
        <w:tc>
          <w:tcPr>
            <w:tcW w:w="1870" w:type="dxa"/>
            <w:noWrap/>
            <w:hideMark/>
          </w:tcPr>
          <w:p w14:paraId="2E9555F5"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783</w:t>
            </w:r>
          </w:p>
        </w:tc>
        <w:tc>
          <w:tcPr>
            <w:tcW w:w="1871" w:type="dxa"/>
            <w:noWrap/>
            <w:hideMark/>
          </w:tcPr>
          <w:p w14:paraId="320F5AFE"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0.8%</w:t>
            </w:r>
          </w:p>
        </w:tc>
      </w:tr>
      <w:tr w:rsidR="00B0569C" w14:paraId="043D4383" w14:textId="77777777" w:rsidTr="00BD30A1">
        <w:trPr>
          <w:cantSplit/>
          <w:trHeight w:val="300"/>
        </w:trPr>
        <w:tc>
          <w:tcPr>
            <w:tcW w:w="1870" w:type="dxa"/>
            <w:noWrap/>
            <w:hideMark/>
          </w:tcPr>
          <w:p w14:paraId="51453ED1"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Salem</w:t>
            </w:r>
          </w:p>
        </w:tc>
        <w:tc>
          <w:tcPr>
            <w:tcW w:w="1870" w:type="dxa"/>
            <w:noWrap/>
            <w:hideMark/>
          </w:tcPr>
          <w:p w14:paraId="6887A6F9"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772</w:t>
            </w:r>
          </w:p>
        </w:tc>
        <w:tc>
          <w:tcPr>
            <w:tcW w:w="1871" w:type="dxa"/>
            <w:noWrap/>
            <w:hideMark/>
          </w:tcPr>
          <w:p w14:paraId="371D9080"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0.7%</w:t>
            </w:r>
          </w:p>
        </w:tc>
      </w:tr>
      <w:tr w:rsidR="00B0569C" w14:paraId="70AA8E24" w14:textId="77777777" w:rsidTr="00BD30A1">
        <w:trPr>
          <w:cantSplit/>
          <w:trHeight w:val="300"/>
        </w:trPr>
        <w:tc>
          <w:tcPr>
            <w:tcW w:w="1870" w:type="dxa"/>
            <w:noWrap/>
            <w:hideMark/>
          </w:tcPr>
          <w:p w14:paraId="3D53B73B"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Middleboro</w:t>
            </w:r>
          </w:p>
        </w:tc>
        <w:tc>
          <w:tcPr>
            <w:tcW w:w="1870" w:type="dxa"/>
            <w:noWrap/>
            <w:hideMark/>
          </w:tcPr>
          <w:p w14:paraId="4FA92694"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759</w:t>
            </w:r>
          </w:p>
        </w:tc>
        <w:tc>
          <w:tcPr>
            <w:tcW w:w="1871" w:type="dxa"/>
            <w:noWrap/>
            <w:hideMark/>
          </w:tcPr>
          <w:p w14:paraId="2739D4EF"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0.7%</w:t>
            </w:r>
          </w:p>
        </w:tc>
      </w:tr>
      <w:tr w:rsidR="00B0569C" w14:paraId="25862F7F" w14:textId="77777777" w:rsidTr="00BD30A1">
        <w:trPr>
          <w:cantSplit/>
          <w:trHeight w:val="300"/>
        </w:trPr>
        <w:tc>
          <w:tcPr>
            <w:tcW w:w="1870" w:type="dxa"/>
            <w:noWrap/>
            <w:hideMark/>
          </w:tcPr>
          <w:p w14:paraId="5A1BF98E"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Hyde Park</w:t>
            </w:r>
          </w:p>
        </w:tc>
        <w:tc>
          <w:tcPr>
            <w:tcW w:w="1870" w:type="dxa"/>
            <w:noWrap/>
            <w:hideMark/>
          </w:tcPr>
          <w:p w14:paraId="7E41ADCD"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738</w:t>
            </w:r>
          </w:p>
        </w:tc>
        <w:tc>
          <w:tcPr>
            <w:tcW w:w="1871" w:type="dxa"/>
            <w:noWrap/>
            <w:hideMark/>
          </w:tcPr>
          <w:p w14:paraId="38B57CEC"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0.7%</w:t>
            </w:r>
          </w:p>
        </w:tc>
      </w:tr>
      <w:tr w:rsidR="00B0569C" w14:paraId="5BA027D1" w14:textId="77777777" w:rsidTr="00BD30A1">
        <w:trPr>
          <w:cantSplit/>
          <w:trHeight w:val="300"/>
        </w:trPr>
        <w:tc>
          <w:tcPr>
            <w:tcW w:w="1870" w:type="dxa"/>
            <w:noWrap/>
            <w:hideMark/>
          </w:tcPr>
          <w:p w14:paraId="27D8D2BC"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Canton</w:t>
            </w:r>
          </w:p>
        </w:tc>
        <w:tc>
          <w:tcPr>
            <w:tcW w:w="1870" w:type="dxa"/>
            <w:noWrap/>
            <w:hideMark/>
          </w:tcPr>
          <w:p w14:paraId="44194798"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734</w:t>
            </w:r>
          </w:p>
        </w:tc>
        <w:tc>
          <w:tcPr>
            <w:tcW w:w="1871" w:type="dxa"/>
            <w:noWrap/>
            <w:hideMark/>
          </w:tcPr>
          <w:p w14:paraId="18DC6F22"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0.7%</w:t>
            </w:r>
          </w:p>
        </w:tc>
      </w:tr>
      <w:tr w:rsidR="00B0569C" w14:paraId="1A59BA0F" w14:textId="77777777" w:rsidTr="00BD30A1">
        <w:trPr>
          <w:cantSplit/>
          <w:trHeight w:val="300"/>
        </w:trPr>
        <w:tc>
          <w:tcPr>
            <w:tcW w:w="1870" w:type="dxa"/>
            <w:noWrap/>
            <w:hideMark/>
          </w:tcPr>
          <w:p w14:paraId="2A246D2C"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Duxbury</w:t>
            </w:r>
          </w:p>
        </w:tc>
        <w:tc>
          <w:tcPr>
            <w:tcW w:w="1870" w:type="dxa"/>
            <w:noWrap/>
            <w:hideMark/>
          </w:tcPr>
          <w:p w14:paraId="527CE835"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674</w:t>
            </w:r>
          </w:p>
        </w:tc>
        <w:tc>
          <w:tcPr>
            <w:tcW w:w="1871" w:type="dxa"/>
            <w:noWrap/>
            <w:hideMark/>
          </w:tcPr>
          <w:p w14:paraId="1CE50E13"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0.7%</w:t>
            </w:r>
          </w:p>
        </w:tc>
      </w:tr>
      <w:tr w:rsidR="00B0569C" w14:paraId="77039F5C" w14:textId="77777777" w:rsidTr="00BD30A1">
        <w:trPr>
          <w:cantSplit/>
          <w:trHeight w:val="300"/>
        </w:trPr>
        <w:tc>
          <w:tcPr>
            <w:tcW w:w="1870" w:type="dxa"/>
            <w:noWrap/>
            <w:hideMark/>
          </w:tcPr>
          <w:p w14:paraId="7F438C0A"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Braintree</w:t>
            </w:r>
          </w:p>
        </w:tc>
        <w:tc>
          <w:tcPr>
            <w:tcW w:w="1870" w:type="dxa"/>
            <w:noWrap/>
            <w:hideMark/>
          </w:tcPr>
          <w:p w14:paraId="5D605D7B"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662</w:t>
            </w:r>
          </w:p>
        </w:tc>
        <w:tc>
          <w:tcPr>
            <w:tcW w:w="1871" w:type="dxa"/>
            <w:noWrap/>
            <w:hideMark/>
          </w:tcPr>
          <w:p w14:paraId="54EF2FA5"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0.6%</w:t>
            </w:r>
          </w:p>
        </w:tc>
      </w:tr>
      <w:tr w:rsidR="00B0569C" w14:paraId="1D7D1057" w14:textId="77777777" w:rsidTr="00BD30A1">
        <w:trPr>
          <w:cantSplit/>
          <w:trHeight w:val="300"/>
        </w:trPr>
        <w:tc>
          <w:tcPr>
            <w:tcW w:w="1870" w:type="dxa"/>
            <w:noWrap/>
            <w:hideMark/>
          </w:tcPr>
          <w:p w14:paraId="61058521"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Salisbury</w:t>
            </w:r>
          </w:p>
        </w:tc>
        <w:tc>
          <w:tcPr>
            <w:tcW w:w="1870" w:type="dxa"/>
            <w:noWrap/>
            <w:hideMark/>
          </w:tcPr>
          <w:p w14:paraId="2BD134CE"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646</w:t>
            </w:r>
          </w:p>
        </w:tc>
        <w:tc>
          <w:tcPr>
            <w:tcW w:w="1871" w:type="dxa"/>
            <w:noWrap/>
            <w:hideMark/>
          </w:tcPr>
          <w:p w14:paraId="13E3994E"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0.6%</w:t>
            </w:r>
          </w:p>
        </w:tc>
      </w:tr>
      <w:tr w:rsidR="00B0569C" w14:paraId="1EBF4A61" w14:textId="77777777" w:rsidTr="00BD30A1">
        <w:trPr>
          <w:cantSplit/>
          <w:trHeight w:val="300"/>
        </w:trPr>
        <w:tc>
          <w:tcPr>
            <w:tcW w:w="1870" w:type="dxa"/>
            <w:noWrap/>
            <w:hideMark/>
          </w:tcPr>
          <w:p w14:paraId="61E8ACA0"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Revere</w:t>
            </w:r>
          </w:p>
        </w:tc>
        <w:tc>
          <w:tcPr>
            <w:tcW w:w="1870" w:type="dxa"/>
            <w:noWrap/>
            <w:hideMark/>
          </w:tcPr>
          <w:p w14:paraId="363359DB"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581</w:t>
            </w:r>
          </w:p>
        </w:tc>
        <w:tc>
          <w:tcPr>
            <w:tcW w:w="1871" w:type="dxa"/>
            <w:noWrap/>
            <w:hideMark/>
          </w:tcPr>
          <w:p w14:paraId="6B0AF754"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0.6%</w:t>
            </w:r>
          </w:p>
        </w:tc>
      </w:tr>
      <w:tr w:rsidR="00B0569C" w14:paraId="0120EBF6" w14:textId="77777777" w:rsidTr="00BD30A1">
        <w:trPr>
          <w:cantSplit/>
          <w:trHeight w:val="300"/>
        </w:trPr>
        <w:tc>
          <w:tcPr>
            <w:tcW w:w="1870" w:type="dxa"/>
            <w:noWrap/>
            <w:hideMark/>
          </w:tcPr>
          <w:p w14:paraId="2B951E44"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Bedford</w:t>
            </w:r>
          </w:p>
        </w:tc>
        <w:tc>
          <w:tcPr>
            <w:tcW w:w="1870" w:type="dxa"/>
            <w:noWrap/>
            <w:hideMark/>
          </w:tcPr>
          <w:p w14:paraId="12B6E4EE"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575</w:t>
            </w:r>
          </w:p>
        </w:tc>
        <w:tc>
          <w:tcPr>
            <w:tcW w:w="1871" w:type="dxa"/>
            <w:noWrap/>
            <w:hideMark/>
          </w:tcPr>
          <w:p w14:paraId="0D794A38"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0.6%</w:t>
            </w:r>
          </w:p>
        </w:tc>
      </w:tr>
      <w:tr w:rsidR="00B0569C" w14:paraId="5B7FEA17" w14:textId="77777777" w:rsidTr="00BD30A1">
        <w:trPr>
          <w:cantSplit/>
          <w:trHeight w:val="300"/>
        </w:trPr>
        <w:tc>
          <w:tcPr>
            <w:tcW w:w="1870" w:type="dxa"/>
            <w:noWrap/>
            <w:hideMark/>
          </w:tcPr>
          <w:p w14:paraId="6708F6E2"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Walpole</w:t>
            </w:r>
          </w:p>
        </w:tc>
        <w:tc>
          <w:tcPr>
            <w:tcW w:w="1870" w:type="dxa"/>
            <w:noWrap/>
            <w:hideMark/>
          </w:tcPr>
          <w:p w14:paraId="5DF436FC"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573</w:t>
            </w:r>
          </w:p>
        </w:tc>
        <w:tc>
          <w:tcPr>
            <w:tcW w:w="1871" w:type="dxa"/>
            <w:noWrap/>
            <w:hideMark/>
          </w:tcPr>
          <w:p w14:paraId="7CEE42A7"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0.6%</w:t>
            </w:r>
          </w:p>
        </w:tc>
      </w:tr>
      <w:tr w:rsidR="00B0569C" w14:paraId="6BDB4DC8" w14:textId="77777777" w:rsidTr="00BD30A1">
        <w:trPr>
          <w:cantSplit/>
          <w:trHeight w:val="300"/>
        </w:trPr>
        <w:tc>
          <w:tcPr>
            <w:tcW w:w="1870" w:type="dxa"/>
            <w:noWrap/>
            <w:hideMark/>
          </w:tcPr>
          <w:p w14:paraId="55446413"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Bourne</w:t>
            </w:r>
          </w:p>
        </w:tc>
        <w:tc>
          <w:tcPr>
            <w:tcW w:w="1870" w:type="dxa"/>
            <w:noWrap/>
            <w:hideMark/>
          </w:tcPr>
          <w:p w14:paraId="3BC00013"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565</w:t>
            </w:r>
          </w:p>
        </w:tc>
        <w:tc>
          <w:tcPr>
            <w:tcW w:w="1871" w:type="dxa"/>
            <w:noWrap/>
            <w:hideMark/>
          </w:tcPr>
          <w:p w14:paraId="4FCFA434"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0.5%</w:t>
            </w:r>
          </w:p>
        </w:tc>
      </w:tr>
      <w:tr w:rsidR="00B0569C" w14:paraId="13D3ACF2" w14:textId="77777777" w:rsidTr="00BD30A1">
        <w:trPr>
          <w:cantSplit/>
          <w:trHeight w:val="300"/>
        </w:trPr>
        <w:tc>
          <w:tcPr>
            <w:tcW w:w="1870" w:type="dxa"/>
            <w:noWrap/>
            <w:hideMark/>
          </w:tcPr>
          <w:p w14:paraId="5743EB44"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Saugus</w:t>
            </w:r>
          </w:p>
        </w:tc>
        <w:tc>
          <w:tcPr>
            <w:tcW w:w="1870" w:type="dxa"/>
            <w:noWrap/>
            <w:hideMark/>
          </w:tcPr>
          <w:p w14:paraId="63A5620C"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546</w:t>
            </w:r>
          </w:p>
        </w:tc>
        <w:tc>
          <w:tcPr>
            <w:tcW w:w="1871" w:type="dxa"/>
            <w:noWrap/>
            <w:hideMark/>
          </w:tcPr>
          <w:p w14:paraId="5AAF5819"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0.5%</w:t>
            </w:r>
          </w:p>
        </w:tc>
      </w:tr>
      <w:tr w:rsidR="00B0569C" w14:paraId="51D73786" w14:textId="77777777" w:rsidTr="00BD30A1">
        <w:trPr>
          <w:cantSplit/>
          <w:trHeight w:val="300"/>
        </w:trPr>
        <w:tc>
          <w:tcPr>
            <w:tcW w:w="1870" w:type="dxa"/>
            <w:noWrap/>
            <w:hideMark/>
          </w:tcPr>
          <w:p w14:paraId="3A9E8F0A"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lastRenderedPageBreak/>
              <w:t>Lowell</w:t>
            </w:r>
          </w:p>
        </w:tc>
        <w:tc>
          <w:tcPr>
            <w:tcW w:w="1870" w:type="dxa"/>
            <w:noWrap/>
            <w:hideMark/>
          </w:tcPr>
          <w:p w14:paraId="6FE24547"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543</w:t>
            </w:r>
          </w:p>
        </w:tc>
        <w:tc>
          <w:tcPr>
            <w:tcW w:w="1871" w:type="dxa"/>
            <w:noWrap/>
            <w:hideMark/>
          </w:tcPr>
          <w:p w14:paraId="56889C0B"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0.5%</w:t>
            </w:r>
          </w:p>
        </w:tc>
      </w:tr>
      <w:tr w:rsidR="00B0569C" w14:paraId="03656FFA" w14:textId="77777777" w:rsidTr="00BD30A1">
        <w:trPr>
          <w:cantSplit/>
          <w:trHeight w:val="300"/>
        </w:trPr>
        <w:tc>
          <w:tcPr>
            <w:tcW w:w="1870" w:type="dxa"/>
            <w:noWrap/>
            <w:hideMark/>
          </w:tcPr>
          <w:p w14:paraId="4879EE3D"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Everett</w:t>
            </w:r>
          </w:p>
        </w:tc>
        <w:tc>
          <w:tcPr>
            <w:tcW w:w="1870" w:type="dxa"/>
            <w:noWrap/>
            <w:hideMark/>
          </w:tcPr>
          <w:p w14:paraId="08B57CD8"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538</w:t>
            </w:r>
          </w:p>
        </w:tc>
        <w:tc>
          <w:tcPr>
            <w:tcW w:w="1871" w:type="dxa"/>
            <w:noWrap/>
            <w:hideMark/>
          </w:tcPr>
          <w:p w14:paraId="3583266A"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0.5%</w:t>
            </w:r>
          </w:p>
        </w:tc>
      </w:tr>
      <w:tr w:rsidR="00B0569C" w14:paraId="735BEE78" w14:textId="77777777" w:rsidTr="00BD30A1">
        <w:trPr>
          <w:cantSplit/>
          <w:trHeight w:val="300"/>
        </w:trPr>
        <w:tc>
          <w:tcPr>
            <w:tcW w:w="1870" w:type="dxa"/>
            <w:noWrap/>
            <w:hideMark/>
          </w:tcPr>
          <w:p w14:paraId="65857786"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Marshfield</w:t>
            </w:r>
          </w:p>
        </w:tc>
        <w:tc>
          <w:tcPr>
            <w:tcW w:w="1870" w:type="dxa"/>
            <w:noWrap/>
            <w:hideMark/>
          </w:tcPr>
          <w:p w14:paraId="4C47483D"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533</w:t>
            </w:r>
          </w:p>
        </w:tc>
        <w:tc>
          <w:tcPr>
            <w:tcW w:w="1871" w:type="dxa"/>
            <w:noWrap/>
            <w:hideMark/>
          </w:tcPr>
          <w:p w14:paraId="65AB2FF6"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0.5%</w:t>
            </w:r>
          </w:p>
        </w:tc>
      </w:tr>
      <w:tr w:rsidR="00B0569C" w14:paraId="7A63B957" w14:textId="77777777" w:rsidTr="00BD30A1">
        <w:trPr>
          <w:cantSplit/>
          <w:trHeight w:val="300"/>
        </w:trPr>
        <w:tc>
          <w:tcPr>
            <w:tcW w:w="1870" w:type="dxa"/>
            <w:noWrap/>
            <w:hideMark/>
          </w:tcPr>
          <w:p w14:paraId="28D86655"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Rockport</w:t>
            </w:r>
          </w:p>
        </w:tc>
        <w:tc>
          <w:tcPr>
            <w:tcW w:w="1870" w:type="dxa"/>
            <w:noWrap/>
            <w:hideMark/>
          </w:tcPr>
          <w:p w14:paraId="10DAA4B9"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530</w:t>
            </w:r>
          </w:p>
        </w:tc>
        <w:tc>
          <w:tcPr>
            <w:tcW w:w="1871" w:type="dxa"/>
            <w:noWrap/>
            <w:hideMark/>
          </w:tcPr>
          <w:p w14:paraId="2EEDF884"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0.5%</w:t>
            </w:r>
          </w:p>
        </w:tc>
      </w:tr>
      <w:tr w:rsidR="00B0569C" w14:paraId="2A9A9E37" w14:textId="77777777" w:rsidTr="00BD30A1">
        <w:trPr>
          <w:cantSplit/>
          <w:trHeight w:val="300"/>
        </w:trPr>
        <w:tc>
          <w:tcPr>
            <w:tcW w:w="1870" w:type="dxa"/>
            <w:noWrap/>
            <w:hideMark/>
          </w:tcPr>
          <w:p w14:paraId="5ECA3331"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Weymouth</w:t>
            </w:r>
          </w:p>
        </w:tc>
        <w:tc>
          <w:tcPr>
            <w:tcW w:w="1870" w:type="dxa"/>
            <w:noWrap/>
            <w:hideMark/>
          </w:tcPr>
          <w:p w14:paraId="0E1AD0EC"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529</w:t>
            </w:r>
          </w:p>
        </w:tc>
        <w:tc>
          <w:tcPr>
            <w:tcW w:w="1871" w:type="dxa"/>
            <w:noWrap/>
            <w:hideMark/>
          </w:tcPr>
          <w:p w14:paraId="35CD9359"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0.5%</w:t>
            </w:r>
          </w:p>
        </w:tc>
      </w:tr>
      <w:tr w:rsidR="00B0569C" w14:paraId="25EB824F" w14:textId="77777777" w:rsidTr="00BD30A1">
        <w:trPr>
          <w:cantSplit/>
          <w:trHeight w:val="300"/>
        </w:trPr>
        <w:tc>
          <w:tcPr>
            <w:tcW w:w="1870" w:type="dxa"/>
            <w:noWrap/>
            <w:hideMark/>
          </w:tcPr>
          <w:p w14:paraId="08B47881"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Westwood</w:t>
            </w:r>
          </w:p>
        </w:tc>
        <w:tc>
          <w:tcPr>
            <w:tcW w:w="1870" w:type="dxa"/>
            <w:noWrap/>
            <w:hideMark/>
          </w:tcPr>
          <w:p w14:paraId="0E7F9C25"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513</w:t>
            </w:r>
          </w:p>
        </w:tc>
        <w:tc>
          <w:tcPr>
            <w:tcW w:w="1871" w:type="dxa"/>
            <w:noWrap/>
            <w:hideMark/>
          </w:tcPr>
          <w:p w14:paraId="50960285"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0.5%</w:t>
            </w:r>
          </w:p>
        </w:tc>
      </w:tr>
      <w:tr w:rsidR="00B0569C" w14:paraId="7D395817" w14:textId="77777777" w:rsidTr="00BD30A1">
        <w:trPr>
          <w:cantSplit/>
          <w:trHeight w:val="300"/>
        </w:trPr>
        <w:tc>
          <w:tcPr>
            <w:tcW w:w="1870" w:type="dxa"/>
            <w:noWrap/>
            <w:hideMark/>
          </w:tcPr>
          <w:p w14:paraId="56F2C9F2"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Lawrence</w:t>
            </w:r>
          </w:p>
        </w:tc>
        <w:tc>
          <w:tcPr>
            <w:tcW w:w="1870" w:type="dxa"/>
            <w:noWrap/>
            <w:hideMark/>
          </w:tcPr>
          <w:p w14:paraId="3B3A1A10"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485</w:t>
            </w:r>
          </w:p>
        </w:tc>
        <w:tc>
          <w:tcPr>
            <w:tcW w:w="1871" w:type="dxa"/>
            <w:noWrap/>
            <w:hideMark/>
          </w:tcPr>
          <w:p w14:paraId="3F06A6CA"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0.5%</w:t>
            </w:r>
          </w:p>
        </w:tc>
      </w:tr>
      <w:tr w:rsidR="00B0569C" w14:paraId="459B2B2D" w14:textId="77777777" w:rsidTr="00BD30A1">
        <w:trPr>
          <w:cantSplit/>
          <w:trHeight w:val="300"/>
        </w:trPr>
        <w:tc>
          <w:tcPr>
            <w:tcW w:w="1870" w:type="dxa"/>
            <w:noWrap/>
            <w:hideMark/>
          </w:tcPr>
          <w:p w14:paraId="1BF559DA"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Andover</w:t>
            </w:r>
          </w:p>
        </w:tc>
        <w:tc>
          <w:tcPr>
            <w:tcW w:w="1870" w:type="dxa"/>
            <w:noWrap/>
            <w:hideMark/>
          </w:tcPr>
          <w:p w14:paraId="2E84BE76"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481</w:t>
            </w:r>
          </w:p>
        </w:tc>
        <w:tc>
          <w:tcPr>
            <w:tcW w:w="1871" w:type="dxa"/>
            <w:noWrap/>
            <w:hideMark/>
          </w:tcPr>
          <w:p w14:paraId="358B8C89"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0.5%</w:t>
            </w:r>
          </w:p>
        </w:tc>
      </w:tr>
      <w:tr w:rsidR="00B0569C" w14:paraId="2CCF4A28" w14:textId="77777777" w:rsidTr="00BD30A1">
        <w:trPr>
          <w:cantSplit/>
          <w:trHeight w:val="300"/>
        </w:trPr>
        <w:tc>
          <w:tcPr>
            <w:tcW w:w="1870" w:type="dxa"/>
            <w:noWrap/>
            <w:hideMark/>
          </w:tcPr>
          <w:p w14:paraId="6CD43B28"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Methuen</w:t>
            </w:r>
          </w:p>
        </w:tc>
        <w:tc>
          <w:tcPr>
            <w:tcW w:w="1870" w:type="dxa"/>
            <w:noWrap/>
            <w:hideMark/>
          </w:tcPr>
          <w:p w14:paraId="24EE5742"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475</w:t>
            </w:r>
          </w:p>
        </w:tc>
        <w:tc>
          <w:tcPr>
            <w:tcW w:w="1871" w:type="dxa"/>
            <w:noWrap/>
            <w:hideMark/>
          </w:tcPr>
          <w:p w14:paraId="66963DD7"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0.5%</w:t>
            </w:r>
          </w:p>
        </w:tc>
      </w:tr>
      <w:tr w:rsidR="00B0569C" w14:paraId="5F05942C" w14:textId="77777777" w:rsidTr="00BD30A1">
        <w:trPr>
          <w:cantSplit/>
          <w:trHeight w:val="300"/>
        </w:trPr>
        <w:tc>
          <w:tcPr>
            <w:tcW w:w="1870" w:type="dxa"/>
            <w:noWrap/>
            <w:hideMark/>
          </w:tcPr>
          <w:p w14:paraId="275CAD56"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Melrose</w:t>
            </w:r>
          </w:p>
        </w:tc>
        <w:tc>
          <w:tcPr>
            <w:tcW w:w="1870" w:type="dxa"/>
            <w:noWrap/>
            <w:hideMark/>
          </w:tcPr>
          <w:p w14:paraId="297276B0"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472</w:t>
            </w:r>
          </w:p>
        </w:tc>
        <w:tc>
          <w:tcPr>
            <w:tcW w:w="1871" w:type="dxa"/>
            <w:noWrap/>
            <w:hideMark/>
          </w:tcPr>
          <w:p w14:paraId="27400B7D"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0.5%</w:t>
            </w:r>
          </w:p>
        </w:tc>
      </w:tr>
      <w:tr w:rsidR="00B0569C" w14:paraId="13E73FA8" w14:textId="77777777" w:rsidTr="00BD30A1">
        <w:trPr>
          <w:cantSplit/>
          <w:trHeight w:val="300"/>
        </w:trPr>
        <w:tc>
          <w:tcPr>
            <w:tcW w:w="1870" w:type="dxa"/>
            <w:tcBorders>
              <w:bottom w:val="double" w:sz="4" w:space="0" w:color="auto"/>
            </w:tcBorders>
            <w:noWrap/>
            <w:hideMark/>
          </w:tcPr>
          <w:p w14:paraId="74124D0C" w14:textId="77777777" w:rsidR="00B0569C" w:rsidRPr="00220D52" w:rsidRDefault="00B0569C" w:rsidP="008E5F7C">
            <w:pPr>
              <w:rPr>
                <w:rFonts w:asciiTheme="majorHAnsi" w:hAnsiTheme="majorHAnsi" w:cstheme="majorHAnsi"/>
                <w:sz w:val="20"/>
                <w:szCs w:val="20"/>
              </w:rPr>
            </w:pPr>
            <w:r w:rsidRPr="00220D52">
              <w:rPr>
                <w:rFonts w:asciiTheme="majorHAnsi" w:hAnsiTheme="majorHAnsi" w:cstheme="majorHAnsi"/>
                <w:sz w:val="20"/>
                <w:szCs w:val="20"/>
              </w:rPr>
              <w:t>Mattapan</w:t>
            </w:r>
          </w:p>
        </w:tc>
        <w:tc>
          <w:tcPr>
            <w:tcW w:w="1870" w:type="dxa"/>
            <w:tcBorders>
              <w:bottom w:val="double" w:sz="4" w:space="0" w:color="auto"/>
            </w:tcBorders>
            <w:noWrap/>
            <w:hideMark/>
          </w:tcPr>
          <w:p w14:paraId="7D22C93B"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467</w:t>
            </w:r>
          </w:p>
        </w:tc>
        <w:tc>
          <w:tcPr>
            <w:tcW w:w="1871" w:type="dxa"/>
            <w:tcBorders>
              <w:bottom w:val="double" w:sz="4" w:space="0" w:color="auto"/>
            </w:tcBorders>
            <w:noWrap/>
            <w:hideMark/>
          </w:tcPr>
          <w:p w14:paraId="3A8ED0A6" w14:textId="77777777" w:rsidR="00B0569C" w:rsidRPr="00220D52" w:rsidRDefault="00B0569C" w:rsidP="008E5F7C">
            <w:pPr>
              <w:jc w:val="right"/>
              <w:rPr>
                <w:rFonts w:asciiTheme="majorHAnsi" w:hAnsiTheme="majorHAnsi" w:cstheme="majorHAnsi"/>
                <w:sz w:val="20"/>
                <w:szCs w:val="20"/>
              </w:rPr>
            </w:pPr>
            <w:r w:rsidRPr="00220D52">
              <w:rPr>
                <w:rFonts w:asciiTheme="majorHAnsi" w:hAnsiTheme="majorHAnsi" w:cstheme="majorHAnsi"/>
                <w:sz w:val="20"/>
                <w:szCs w:val="20"/>
              </w:rPr>
              <w:t>0.5%</w:t>
            </w:r>
          </w:p>
        </w:tc>
      </w:tr>
      <w:tr w:rsidR="008E5F7C" w:rsidRPr="008E5F7C" w14:paraId="6AC19E9A" w14:textId="77777777" w:rsidTr="00BD30A1">
        <w:trPr>
          <w:cantSplit/>
          <w:trHeight w:val="300"/>
        </w:trPr>
        <w:tc>
          <w:tcPr>
            <w:tcW w:w="1870" w:type="dxa"/>
            <w:tcBorders>
              <w:top w:val="double" w:sz="4" w:space="0" w:color="auto"/>
              <w:bottom w:val="thinThickSmallGap" w:sz="24" w:space="0" w:color="auto"/>
            </w:tcBorders>
            <w:noWrap/>
            <w:hideMark/>
          </w:tcPr>
          <w:p w14:paraId="6EE765CD" w14:textId="58EF68E3" w:rsidR="008E5F7C" w:rsidRPr="00220D52" w:rsidRDefault="008E5F7C" w:rsidP="008E5F7C">
            <w:pPr>
              <w:rPr>
                <w:rFonts w:asciiTheme="majorHAnsi" w:hAnsiTheme="majorHAnsi" w:cstheme="majorHAnsi"/>
                <w:i/>
                <w:iCs/>
                <w:sz w:val="20"/>
                <w:szCs w:val="20"/>
              </w:rPr>
            </w:pPr>
            <w:r w:rsidRPr="00220D52">
              <w:rPr>
                <w:rFonts w:asciiTheme="majorHAnsi" w:hAnsiTheme="majorHAnsi" w:cstheme="majorHAnsi"/>
                <w:i/>
                <w:iCs/>
                <w:sz w:val="20"/>
                <w:szCs w:val="20"/>
              </w:rPr>
              <w:t>All Other Towns</w:t>
            </w:r>
          </w:p>
        </w:tc>
        <w:tc>
          <w:tcPr>
            <w:tcW w:w="1870" w:type="dxa"/>
            <w:tcBorders>
              <w:top w:val="double" w:sz="4" w:space="0" w:color="auto"/>
              <w:bottom w:val="thinThickSmallGap" w:sz="24" w:space="0" w:color="auto"/>
            </w:tcBorders>
            <w:noWrap/>
            <w:hideMark/>
          </w:tcPr>
          <w:p w14:paraId="3E39616F" w14:textId="0B985FA2" w:rsidR="008E5F7C" w:rsidRPr="00220D52" w:rsidRDefault="008E5F7C" w:rsidP="008E5F7C">
            <w:pPr>
              <w:jc w:val="right"/>
              <w:rPr>
                <w:rFonts w:asciiTheme="majorHAnsi" w:hAnsiTheme="majorHAnsi" w:cstheme="majorHAnsi"/>
                <w:sz w:val="20"/>
                <w:szCs w:val="20"/>
              </w:rPr>
            </w:pPr>
            <w:r w:rsidRPr="00220D52">
              <w:rPr>
                <w:rFonts w:asciiTheme="majorHAnsi" w:hAnsiTheme="majorHAnsi" w:cstheme="majorHAnsi"/>
                <w:sz w:val="20"/>
                <w:szCs w:val="20"/>
              </w:rPr>
              <w:t>25,867</w:t>
            </w:r>
          </w:p>
        </w:tc>
        <w:tc>
          <w:tcPr>
            <w:tcW w:w="1871" w:type="dxa"/>
            <w:tcBorders>
              <w:top w:val="double" w:sz="4" w:space="0" w:color="auto"/>
              <w:bottom w:val="thinThickSmallGap" w:sz="24" w:space="0" w:color="auto"/>
            </w:tcBorders>
            <w:noWrap/>
            <w:hideMark/>
          </w:tcPr>
          <w:p w14:paraId="3A5BB1D2" w14:textId="4B905D0B" w:rsidR="008E5F7C" w:rsidRPr="00220D52" w:rsidRDefault="008E5F7C" w:rsidP="008E5F7C">
            <w:pPr>
              <w:jc w:val="right"/>
              <w:rPr>
                <w:rFonts w:asciiTheme="majorHAnsi" w:hAnsiTheme="majorHAnsi" w:cstheme="majorHAnsi"/>
                <w:sz w:val="20"/>
                <w:szCs w:val="20"/>
              </w:rPr>
            </w:pPr>
            <w:r w:rsidRPr="00220D52">
              <w:rPr>
                <w:rFonts w:asciiTheme="majorHAnsi" w:hAnsiTheme="majorHAnsi" w:cstheme="majorHAnsi"/>
                <w:sz w:val="20"/>
                <w:szCs w:val="20"/>
              </w:rPr>
              <w:t>25.0%</w:t>
            </w:r>
          </w:p>
        </w:tc>
      </w:tr>
      <w:tr w:rsidR="008E5F7C" w:rsidRPr="008E5F7C" w14:paraId="009FF3B0" w14:textId="77777777" w:rsidTr="00BD30A1">
        <w:trPr>
          <w:cantSplit/>
          <w:trHeight w:val="300"/>
        </w:trPr>
        <w:tc>
          <w:tcPr>
            <w:tcW w:w="1870" w:type="dxa"/>
            <w:tcBorders>
              <w:top w:val="thinThickSmallGap" w:sz="24" w:space="0" w:color="auto"/>
            </w:tcBorders>
            <w:noWrap/>
            <w:hideMark/>
          </w:tcPr>
          <w:p w14:paraId="42604867" w14:textId="43336137" w:rsidR="008E5F7C" w:rsidRPr="00220D52" w:rsidRDefault="008E5F7C" w:rsidP="008E5F7C">
            <w:pPr>
              <w:rPr>
                <w:rFonts w:asciiTheme="majorHAnsi" w:hAnsiTheme="majorHAnsi" w:cstheme="majorHAnsi"/>
                <w:b/>
                <w:bCs/>
                <w:sz w:val="20"/>
                <w:szCs w:val="20"/>
              </w:rPr>
            </w:pPr>
            <w:r w:rsidRPr="00220D52">
              <w:rPr>
                <w:rFonts w:asciiTheme="majorHAnsi" w:hAnsiTheme="majorHAnsi" w:cstheme="majorHAnsi"/>
                <w:b/>
                <w:bCs/>
                <w:sz w:val="20"/>
                <w:szCs w:val="20"/>
              </w:rPr>
              <w:t>Total</w:t>
            </w:r>
          </w:p>
        </w:tc>
        <w:tc>
          <w:tcPr>
            <w:tcW w:w="1870" w:type="dxa"/>
            <w:tcBorders>
              <w:top w:val="thinThickSmallGap" w:sz="24" w:space="0" w:color="auto"/>
            </w:tcBorders>
            <w:noWrap/>
            <w:hideMark/>
          </w:tcPr>
          <w:p w14:paraId="02C67562" w14:textId="1A6061C8" w:rsidR="008E5F7C" w:rsidRPr="00220D52" w:rsidRDefault="008E5F7C" w:rsidP="008E5F7C">
            <w:pPr>
              <w:jc w:val="right"/>
              <w:rPr>
                <w:rFonts w:asciiTheme="majorHAnsi" w:hAnsiTheme="majorHAnsi" w:cstheme="majorHAnsi"/>
                <w:sz w:val="20"/>
                <w:szCs w:val="20"/>
              </w:rPr>
            </w:pPr>
            <w:r w:rsidRPr="00220D52">
              <w:rPr>
                <w:rFonts w:asciiTheme="majorHAnsi" w:hAnsiTheme="majorHAnsi" w:cstheme="majorHAnsi"/>
                <w:sz w:val="20"/>
                <w:szCs w:val="20"/>
              </w:rPr>
              <w:t>103,469</w:t>
            </w:r>
          </w:p>
        </w:tc>
        <w:tc>
          <w:tcPr>
            <w:tcW w:w="1871" w:type="dxa"/>
            <w:tcBorders>
              <w:top w:val="thinThickSmallGap" w:sz="24" w:space="0" w:color="auto"/>
            </w:tcBorders>
            <w:noWrap/>
            <w:hideMark/>
          </w:tcPr>
          <w:p w14:paraId="1291DB8A" w14:textId="0F9F5546" w:rsidR="008E5F7C" w:rsidRPr="00220D52" w:rsidRDefault="008E5F7C" w:rsidP="008E5F7C">
            <w:pPr>
              <w:jc w:val="right"/>
              <w:rPr>
                <w:rFonts w:asciiTheme="majorHAnsi" w:hAnsiTheme="majorHAnsi" w:cstheme="majorHAnsi"/>
                <w:sz w:val="20"/>
                <w:szCs w:val="20"/>
              </w:rPr>
            </w:pPr>
            <w:r w:rsidRPr="00220D52">
              <w:rPr>
                <w:rFonts w:asciiTheme="majorHAnsi" w:hAnsiTheme="majorHAnsi" w:cstheme="majorHAnsi"/>
                <w:sz w:val="20"/>
                <w:szCs w:val="20"/>
              </w:rPr>
              <w:t>100.0%</w:t>
            </w:r>
          </w:p>
        </w:tc>
      </w:tr>
    </w:tbl>
    <w:p w14:paraId="0FB31730" w14:textId="04CCEA29" w:rsidR="00B0569C" w:rsidRDefault="008E5F7C" w:rsidP="00B0569C">
      <w:pPr>
        <w:spacing w:line="229" w:lineRule="exact"/>
        <w:rPr>
          <w:rFonts w:cstheme="minorHAnsi"/>
          <w:u w:val="single"/>
        </w:rPr>
      </w:pPr>
      <w:r>
        <w:rPr>
          <w:rFonts w:cstheme="minorHAnsi"/>
          <w:u w:val="single"/>
        </w:rPr>
        <w:br w:type="textWrapping" w:clear="all"/>
      </w:r>
    </w:p>
    <w:p w14:paraId="17E87C0E" w14:textId="77777777" w:rsidR="00B0569C" w:rsidRPr="002A725B" w:rsidRDefault="00B0569C" w:rsidP="00B0569C">
      <w:pPr>
        <w:spacing w:line="229" w:lineRule="exact"/>
        <w:rPr>
          <w:rFonts w:cstheme="minorHAnsi"/>
          <w:sz w:val="22"/>
          <w:szCs w:val="22"/>
        </w:rPr>
      </w:pPr>
    </w:p>
    <w:p w14:paraId="16BE777A" w14:textId="345CEC7F" w:rsidR="00447333" w:rsidRDefault="00366505" w:rsidP="00450206">
      <w:pPr>
        <w:pStyle w:val="ListParagraph"/>
        <w:numPr>
          <w:ilvl w:val="0"/>
          <w:numId w:val="29"/>
        </w:numPr>
        <w:spacing w:line="229" w:lineRule="exact"/>
        <w:rPr>
          <w:b/>
          <w:bCs/>
          <w:sz w:val="24"/>
          <w:szCs w:val="24"/>
        </w:rPr>
      </w:pPr>
      <w:r w:rsidRPr="00450206">
        <w:rPr>
          <w:b/>
          <w:bCs/>
          <w:sz w:val="24"/>
          <w:szCs w:val="24"/>
        </w:rPr>
        <w:t>Page 7 of the narrative states, “The age of the [LINAC] units has led to frequent and lengthy downtime</w:t>
      </w:r>
      <w:r w:rsidR="002A540F" w:rsidRPr="00450206">
        <w:rPr>
          <w:b/>
          <w:bCs/>
          <w:sz w:val="24"/>
          <w:szCs w:val="24"/>
        </w:rPr>
        <w:t xml:space="preserve">.”  Please provide data on the </w:t>
      </w:r>
      <w:r w:rsidR="00447333" w:rsidRPr="00450206">
        <w:rPr>
          <w:b/>
          <w:bCs/>
          <w:sz w:val="24"/>
          <w:szCs w:val="24"/>
        </w:rPr>
        <w:t>total</w:t>
      </w:r>
      <w:r w:rsidR="002A540F" w:rsidRPr="00450206">
        <w:rPr>
          <w:b/>
          <w:bCs/>
          <w:sz w:val="24"/>
          <w:szCs w:val="24"/>
        </w:rPr>
        <w:t xml:space="preserve"> downtime for each </w:t>
      </w:r>
      <w:r w:rsidR="00564F33" w:rsidRPr="00450206">
        <w:rPr>
          <w:b/>
          <w:bCs/>
          <w:sz w:val="24"/>
          <w:szCs w:val="24"/>
        </w:rPr>
        <w:t xml:space="preserve">LINAC </w:t>
      </w:r>
      <w:r w:rsidR="002A540F" w:rsidRPr="00450206">
        <w:rPr>
          <w:b/>
          <w:bCs/>
          <w:sz w:val="24"/>
          <w:szCs w:val="24"/>
        </w:rPr>
        <w:t xml:space="preserve">unit </w:t>
      </w:r>
      <w:r w:rsidR="00564F33" w:rsidRPr="00450206">
        <w:rPr>
          <w:b/>
          <w:bCs/>
          <w:sz w:val="24"/>
          <w:szCs w:val="24"/>
        </w:rPr>
        <w:t>in FY22 and FY23.</w:t>
      </w:r>
    </w:p>
    <w:p w14:paraId="32E08690" w14:textId="77777777" w:rsidR="00450206" w:rsidRDefault="00450206" w:rsidP="00450206">
      <w:pPr>
        <w:pStyle w:val="ListParagraph"/>
        <w:spacing w:before="240" w:after="0" w:line="240" w:lineRule="auto"/>
        <w:ind w:left="360"/>
        <w:jc w:val="both"/>
        <w:rPr>
          <w:rFonts w:eastAsia="Times New Roman" w:cstheme="minorHAnsi"/>
          <w:smallCaps/>
          <w:kern w:val="2"/>
          <w:highlight w:val="yellow"/>
        </w:rPr>
      </w:pPr>
    </w:p>
    <w:tbl>
      <w:tblPr>
        <w:tblStyle w:val="TableGrid2"/>
        <w:tblW w:w="0" w:type="auto"/>
        <w:tblInd w:w="865" w:type="dxa"/>
        <w:tblLook w:val="04A0" w:firstRow="1" w:lastRow="0" w:firstColumn="1" w:lastColumn="0" w:noHBand="0" w:noVBand="1"/>
      </w:tblPr>
      <w:tblGrid>
        <w:gridCol w:w="2875"/>
        <w:gridCol w:w="1260"/>
        <w:gridCol w:w="1260"/>
        <w:gridCol w:w="1260"/>
      </w:tblGrid>
      <w:tr w:rsidR="00E854B7" w:rsidRPr="00220D52" w14:paraId="13DBCBF5" w14:textId="2305555E" w:rsidTr="0086753A">
        <w:trPr>
          <w:cantSplit/>
          <w:tblHeader/>
        </w:trPr>
        <w:tc>
          <w:tcPr>
            <w:tcW w:w="2875" w:type="dxa"/>
            <w:shd w:val="clear" w:color="auto" w:fill="D9D9D9" w:themeFill="background1" w:themeFillShade="D9"/>
            <w:vAlign w:val="center"/>
          </w:tcPr>
          <w:p w14:paraId="5D618E14" w14:textId="5A1AB7DF" w:rsidR="00E854B7" w:rsidRPr="00220D52" w:rsidRDefault="00437322" w:rsidP="0017529F">
            <w:pPr>
              <w:keepNext/>
              <w:jc w:val="center"/>
              <w:rPr>
                <w:rFonts w:asciiTheme="majorHAnsi" w:hAnsiTheme="majorHAnsi" w:cstheme="majorHAnsi"/>
                <w:bCs/>
                <w:kern w:val="2"/>
                <w:sz w:val="20"/>
                <w:szCs w:val="20"/>
              </w:rPr>
            </w:pPr>
            <w:r w:rsidRPr="00437322">
              <w:rPr>
                <w:rFonts w:asciiTheme="majorHAnsi" w:hAnsiTheme="majorHAnsi" w:cstheme="majorHAnsi"/>
                <w:b/>
                <w:bCs/>
                <w:sz w:val="20"/>
                <w:szCs w:val="20"/>
              </w:rPr>
              <w:t>LINAC Unit</w:t>
            </w:r>
          </w:p>
        </w:tc>
        <w:tc>
          <w:tcPr>
            <w:tcW w:w="1260" w:type="dxa"/>
            <w:shd w:val="clear" w:color="auto" w:fill="D9D9D9" w:themeFill="background1" w:themeFillShade="D9"/>
            <w:vAlign w:val="center"/>
          </w:tcPr>
          <w:p w14:paraId="029471BB" w14:textId="77C3AA72" w:rsidR="00E854B7" w:rsidRPr="00220D52" w:rsidRDefault="00437322" w:rsidP="00021C7D">
            <w:pPr>
              <w:keepNext/>
              <w:jc w:val="center"/>
              <w:rPr>
                <w:rFonts w:asciiTheme="majorHAnsi" w:hAnsiTheme="majorHAnsi" w:cstheme="majorHAnsi"/>
                <w:b/>
                <w:kern w:val="2"/>
                <w:sz w:val="20"/>
                <w:szCs w:val="20"/>
              </w:rPr>
            </w:pPr>
            <w:r w:rsidRPr="00437322">
              <w:rPr>
                <w:rFonts w:asciiTheme="majorHAnsi" w:hAnsiTheme="majorHAnsi" w:cstheme="majorHAnsi"/>
                <w:b/>
                <w:kern w:val="2"/>
                <w:sz w:val="20"/>
                <w:szCs w:val="20"/>
              </w:rPr>
              <w:t>FY2021</w:t>
            </w:r>
          </w:p>
        </w:tc>
        <w:tc>
          <w:tcPr>
            <w:tcW w:w="1260" w:type="dxa"/>
            <w:shd w:val="clear" w:color="auto" w:fill="D9D9D9" w:themeFill="background1" w:themeFillShade="D9"/>
            <w:vAlign w:val="center"/>
          </w:tcPr>
          <w:p w14:paraId="0BE59CB4" w14:textId="54E834DE" w:rsidR="00E854B7" w:rsidRPr="00437322" w:rsidRDefault="00437322" w:rsidP="00021C7D">
            <w:pPr>
              <w:keepNext/>
              <w:jc w:val="center"/>
              <w:rPr>
                <w:rFonts w:asciiTheme="majorHAnsi" w:hAnsiTheme="majorHAnsi" w:cstheme="majorHAnsi"/>
                <w:b/>
                <w:sz w:val="20"/>
                <w:szCs w:val="20"/>
              </w:rPr>
            </w:pPr>
            <w:r w:rsidRPr="00437322">
              <w:rPr>
                <w:rFonts w:asciiTheme="majorHAnsi" w:hAnsiTheme="majorHAnsi" w:cstheme="majorHAnsi"/>
                <w:b/>
                <w:kern w:val="2"/>
                <w:sz w:val="20"/>
                <w:szCs w:val="20"/>
              </w:rPr>
              <w:t>FY2022</w:t>
            </w:r>
          </w:p>
        </w:tc>
        <w:tc>
          <w:tcPr>
            <w:tcW w:w="1260" w:type="dxa"/>
            <w:shd w:val="clear" w:color="auto" w:fill="D9D9D9" w:themeFill="background1" w:themeFillShade="D9"/>
            <w:vAlign w:val="center"/>
          </w:tcPr>
          <w:p w14:paraId="1EA8C6F3" w14:textId="570973EB" w:rsidR="00E854B7" w:rsidRPr="00437322" w:rsidRDefault="00437322" w:rsidP="00021C7D">
            <w:pPr>
              <w:keepNext/>
              <w:jc w:val="center"/>
              <w:rPr>
                <w:rFonts w:asciiTheme="majorHAnsi" w:hAnsiTheme="majorHAnsi" w:cstheme="majorHAnsi"/>
                <w:b/>
                <w:sz w:val="20"/>
                <w:szCs w:val="20"/>
              </w:rPr>
            </w:pPr>
            <w:r w:rsidRPr="00437322">
              <w:rPr>
                <w:rFonts w:asciiTheme="majorHAnsi" w:hAnsiTheme="majorHAnsi" w:cstheme="majorHAnsi"/>
                <w:b/>
                <w:kern w:val="2"/>
                <w:sz w:val="20"/>
                <w:szCs w:val="20"/>
              </w:rPr>
              <w:t>FY2023</w:t>
            </w:r>
            <w:r w:rsidR="00021C7D">
              <w:rPr>
                <w:rFonts w:asciiTheme="majorHAnsi" w:hAnsiTheme="majorHAnsi" w:cstheme="majorHAnsi"/>
                <w:b/>
                <w:kern w:val="2"/>
                <w:sz w:val="20"/>
                <w:szCs w:val="20"/>
              </w:rPr>
              <w:t xml:space="preserve"> </w:t>
            </w:r>
            <w:r w:rsidR="00021C7D">
              <w:rPr>
                <w:rFonts w:asciiTheme="majorHAnsi" w:hAnsiTheme="majorHAnsi" w:cstheme="majorHAnsi"/>
                <w:color w:val="000000"/>
                <w:sz w:val="20"/>
                <w:szCs w:val="20"/>
              </w:rPr>
              <w:t>(through June 2023)</w:t>
            </w:r>
          </w:p>
        </w:tc>
      </w:tr>
      <w:tr w:rsidR="00E854B7" w:rsidRPr="00220D52" w14:paraId="5886CB1A" w14:textId="4BE51CE9" w:rsidTr="0086753A">
        <w:trPr>
          <w:cantSplit/>
        </w:trPr>
        <w:tc>
          <w:tcPr>
            <w:tcW w:w="2875" w:type="dxa"/>
            <w:vAlign w:val="center"/>
          </w:tcPr>
          <w:p w14:paraId="722C323F" w14:textId="7EAD6527" w:rsidR="00E854B7" w:rsidRPr="00220D52" w:rsidRDefault="00437322" w:rsidP="0017529F">
            <w:pPr>
              <w:keepNext/>
              <w:jc w:val="both"/>
              <w:rPr>
                <w:rFonts w:asciiTheme="majorHAnsi" w:hAnsiTheme="majorHAnsi" w:cstheme="majorHAnsi"/>
                <w:bCs/>
                <w:kern w:val="2"/>
                <w:sz w:val="20"/>
                <w:szCs w:val="20"/>
              </w:rPr>
            </w:pPr>
            <w:r w:rsidRPr="00437322">
              <w:rPr>
                <w:rFonts w:asciiTheme="majorHAnsi" w:hAnsiTheme="majorHAnsi" w:cstheme="majorHAnsi"/>
                <w:color w:val="000000"/>
                <w:sz w:val="20"/>
                <w:szCs w:val="20"/>
              </w:rPr>
              <w:t>Varian 2100</w:t>
            </w:r>
            <w:r w:rsidR="00E854B7" w:rsidRPr="00220D52">
              <w:rPr>
                <w:rFonts w:asciiTheme="majorHAnsi" w:hAnsiTheme="majorHAnsi" w:cstheme="majorHAnsi"/>
                <w:color w:val="000000"/>
                <w:sz w:val="20"/>
                <w:szCs w:val="20"/>
              </w:rPr>
              <w:t xml:space="preserve"> </w:t>
            </w:r>
          </w:p>
        </w:tc>
        <w:tc>
          <w:tcPr>
            <w:tcW w:w="1260" w:type="dxa"/>
            <w:vAlign w:val="center"/>
          </w:tcPr>
          <w:p w14:paraId="24908D3B" w14:textId="0BEF6156" w:rsidR="00E854B7" w:rsidRPr="00220D52" w:rsidRDefault="00437322" w:rsidP="0017529F">
            <w:pPr>
              <w:keepNext/>
              <w:jc w:val="center"/>
              <w:rPr>
                <w:rFonts w:asciiTheme="majorHAnsi" w:hAnsiTheme="majorHAnsi" w:cstheme="majorHAnsi"/>
                <w:bCs/>
                <w:kern w:val="2"/>
                <w:sz w:val="20"/>
                <w:szCs w:val="20"/>
              </w:rPr>
            </w:pPr>
            <w:r>
              <w:rPr>
                <w:rFonts w:asciiTheme="majorHAnsi" w:hAnsiTheme="majorHAnsi" w:cstheme="majorHAnsi"/>
                <w:bCs/>
                <w:kern w:val="2"/>
                <w:sz w:val="20"/>
                <w:szCs w:val="20"/>
              </w:rPr>
              <w:t>78 hours</w:t>
            </w:r>
          </w:p>
        </w:tc>
        <w:tc>
          <w:tcPr>
            <w:tcW w:w="1260" w:type="dxa"/>
          </w:tcPr>
          <w:p w14:paraId="1AAD18AB" w14:textId="24928F45" w:rsidR="00E854B7" w:rsidRPr="00437322" w:rsidRDefault="00437322" w:rsidP="0017529F">
            <w:pPr>
              <w:keepNext/>
              <w:jc w:val="center"/>
              <w:rPr>
                <w:rFonts w:asciiTheme="majorHAnsi" w:hAnsiTheme="majorHAnsi" w:cstheme="majorHAnsi"/>
                <w:bCs/>
                <w:kern w:val="2"/>
                <w:sz w:val="20"/>
                <w:szCs w:val="20"/>
              </w:rPr>
            </w:pPr>
            <w:r>
              <w:rPr>
                <w:rFonts w:asciiTheme="majorHAnsi" w:hAnsiTheme="majorHAnsi" w:cstheme="majorHAnsi"/>
                <w:bCs/>
                <w:kern w:val="2"/>
                <w:sz w:val="20"/>
                <w:szCs w:val="20"/>
              </w:rPr>
              <w:t>18.5 hours</w:t>
            </w:r>
          </w:p>
        </w:tc>
        <w:tc>
          <w:tcPr>
            <w:tcW w:w="1260" w:type="dxa"/>
          </w:tcPr>
          <w:p w14:paraId="2F92FF2C" w14:textId="750D2BA0" w:rsidR="00E854B7" w:rsidRPr="00437322" w:rsidRDefault="00775E59" w:rsidP="0017529F">
            <w:pPr>
              <w:keepNext/>
              <w:jc w:val="center"/>
              <w:rPr>
                <w:rFonts w:asciiTheme="majorHAnsi" w:hAnsiTheme="majorHAnsi" w:cstheme="majorHAnsi"/>
                <w:bCs/>
                <w:kern w:val="2"/>
                <w:sz w:val="20"/>
                <w:szCs w:val="20"/>
              </w:rPr>
            </w:pPr>
            <w:r>
              <w:rPr>
                <w:rFonts w:asciiTheme="majorHAnsi" w:hAnsiTheme="majorHAnsi" w:cstheme="majorHAnsi"/>
                <w:bCs/>
                <w:kern w:val="2"/>
                <w:sz w:val="20"/>
                <w:szCs w:val="20"/>
              </w:rPr>
              <w:t>6.3 hours</w:t>
            </w:r>
          </w:p>
        </w:tc>
      </w:tr>
      <w:tr w:rsidR="00E854B7" w:rsidRPr="00220D52" w14:paraId="7B862A9D" w14:textId="3553FD5F" w:rsidTr="0086753A">
        <w:trPr>
          <w:cantSplit/>
        </w:trPr>
        <w:tc>
          <w:tcPr>
            <w:tcW w:w="2875" w:type="dxa"/>
            <w:vAlign w:val="center"/>
          </w:tcPr>
          <w:p w14:paraId="462A86E7" w14:textId="34711C53" w:rsidR="00E854B7" w:rsidRPr="00220D52" w:rsidRDefault="00437322" w:rsidP="0017529F">
            <w:pPr>
              <w:keepNext/>
              <w:jc w:val="both"/>
              <w:rPr>
                <w:rFonts w:asciiTheme="majorHAnsi" w:hAnsiTheme="majorHAnsi" w:cstheme="majorHAnsi"/>
                <w:bCs/>
                <w:kern w:val="2"/>
                <w:sz w:val="20"/>
                <w:szCs w:val="20"/>
              </w:rPr>
            </w:pPr>
            <w:r w:rsidRPr="00437322">
              <w:rPr>
                <w:rFonts w:asciiTheme="majorHAnsi" w:hAnsiTheme="majorHAnsi" w:cstheme="majorHAnsi"/>
                <w:bCs/>
                <w:kern w:val="2"/>
                <w:sz w:val="20"/>
                <w:szCs w:val="20"/>
              </w:rPr>
              <w:t xml:space="preserve">Novalis </w:t>
            </w:r>
            <w:r>
              <w:rPr>
                <w:rFonts w:asciiTheme="majorHAnsi" w:hAnsiTheme="majorHAnsi" w:cstheme="majorHAnsi"/>
                <w:bCs/>
                <w:kern w:val="2"/>
                <w:sz w:val="20"/>
                <w:szCs w:val="20"/>
              </w:rPr>
              <w:t>Tx</w:t>
            </w:r>
          </w:p>
        </w:tc>
        <w:tc>
          <w:tcPr>
            <w:tcW w:w="1260" w:type="dxa"/>
            <w:vAlign w:val="center"/>
          </w:tcPr>
          <w:p w14:paraId="68861951" w14:textId="664A40C1" w:rsidR="00E854B7" w:rsidRPr="00220D52" w:rsidRDefault="00437322" w:rsidP="0017529F">
            <w:pPr>
              <w:keepNext/>
              <w:jc w:val="center"/>
              <w:rPr>
                <w:rFonts w:asciiTheme="majorHAnsi" w:hAnsiTheme="majorHAnsi" w:cstheme="majorHAnsi"/>
                <w:bCs/>
                <w:kern w:val="2"/>
                <w:sz w:val="20"/>
                <w:szCs w:val="20"/>
              </w:rPr>
            </w:pPr>
            <w:r>
              <w:rPr>
                <w:rFonts w:asciiTheme="majorHAnsi" w:hAnsiTheme="majorHAnsi" w:cstheme="majorHAnsi"/>
                <w:bCs/>
                <w:kern w:val="2"/>
                <w:sz w:val="20"/>
                <w:szCs w:val="20"/>
              </w:rPr>
              <w:t>32 hours</w:t>
            </w:r>
          </w:p>
        </w:tc>
        <w:tc>
          <w:tcPr>
            <w:tcW w:w="1260" w:type="dxa"/>
          </w:tcPr>
          <w:p w14:paraId="505A6EB8" w14:textId="4CE03E60" w:rsidR="00E854B7" w:rsidRPr="00437322" w:rsidRDefault="00437322" w:rsidP="0017529F">
            <w:pPr>
              <w:keepNext/>
              <w:jc w:val="center"/>
              <w:rPr>
                <w:rFonts w:asciiTheme="majorHAnsi" w:hAnsiTheme="majorHAnsi" w:cstheme="majorHAnsi"/>
                <w:bCs/>
                <w:kern w:val="2"/>
                <w:sz w:val="20"/>
                <w:szCs w:val="20"/>
              </w:rPr>
            </w:pPr>
            <w:r>
              <w:rPr>
                <w:rFonts w:asciiTheme="majorHAnsi" w:hAnsiTheme="majorHAnsi" w:cstheme="majorHAnsi"/>
                <w:bCs/>
                <w:kern w:val="2"/>
                <w:sz w:val="20"/>
                <w:szCs w:val="20"/>
              </w:rPr>
              <w:t>54 hours</w:t>
            </w:r>
          </w:p>
        </w:tc>
        <w:tc>
          <w:tcPr>
            <w:tcW w:w="1260" w:type="dxa"/>
          </w:tcPr>
          <w:p w14:paraId="722BFCCD" w14:textId="0294AA1C" w:rsidR="00E854B7" w:rsidRPr="00437322" w:rsidRDefault="00775E59" w:rsidP="0017529F">
            <w:pPr>
              <w:keepNext/>
              <w:jc w:val="center"/>
              <w:rPr>
                <w:rFonts w:asciiTheme="majorHAnsi" w:hAnsiTheme="majorHAnsi" w:cstheme="majorHAnsi"/>
                <w:bCs/>
                <w:kern w:val="2"/>
                <w:sz w:val="20"/>
                <w:szCs w:val="20"/>
              </w:rPr>
            </w:pPr>
            <w:r>
              <w:rPr>
                <w:rFonts w:asciiTheme="majorHAnsi" w:hAnsiTheme="majorHAnsi" w:cstheme="majorHAnsi"/>
                <w:bCs/>
                <w:kern w:val="2"/>
                <w:sz w:val="20"/>
                <w:szCs w:val="20"/>
              </w:rPr>
              <w:t>92 hours</w:t>
            </w:r>
          </w:p>
        </w:tc>
      </w:tr>
    </w:tbl>
    <w:p w14:paraId="6BE99BCD" w14:textId="3D0D0535" w:rsidR="00450206" w:rsidRDefault="00450206" w:rsidP="00450206">
      <w:pPr>
        <w:spacing w:line="229" w:lineRule="exact"/>
        <w:rPr>
          <w:b/>
          <w:bCs/>
        </w:rPr>
      </w:pPr>
    </w:p>
    <w:p w14:paraId="378D9281" w14:textId="0F4F6F84" w:rsidR="00055C22" w:rsidRPr="00055C22" w:rsidRDefault="00055C22" w:rsidP="00450206">
      <w:pPr>
        <w:spacing w:line="229" w:lineRule="exact"/>
        <w:rPr>
          <w:rFonts w:asciiTheme="minorHAnsi" w:hAnsiTheme="minorHAnsi" w:cstheme="minorHAnsi"/>
          <w:sz w:val="22"/>
          <w:szCs w:val="22"/>
        </w:rPr>
      </w:pPr>
      <w:r w:rsidRPr="00055C22">
        <w:rPr>
          <w:rFonts w:asciiTheme="minorHAnsi" w:hAnsiTheme="minorHAnsi" w:cstheme="minorHAnsi"/>
          <w:sz w:val="22"/>
          <w:szCs w:val="22"/>
        </w:rPr>
        <w:t xml:space="preserve">One of these units became obsolete in July 2023, meaning that the vendor is no longer supporting maintenance or parts for the machine. The Hospital expects a notice of obsolescence for the other unit within the next three years. Therefore, the Hospital anticipates that this downtime will increase moving forward. </w:t>
      </w:r>
    </w:p>
    <w:p w14:paraId="4AF4E1B6" w14:textId="77777777" w:rsidR="00055C22" w:rsidRPr="00450206" w:rsidRDefault="00055C22" w:rsidP="00450206">
      <w:pPr>
        <w:spacing w:line="229" w:lineRule="exact"/>
        <w:rPr>
          <w:b/>
          <w:bCs/>
        </w:rPr>
      </w:pPr>
    </w:p>
    <w:p w14:paraId="37E19F20" w14:textId="3491BB42" w:rsidR="007B689C" w:rsidRPr="00450206" w:rsidRDefault="00393F8C" w:rsidP="007B689C">
      <w:pPr>
        <w:pStyle w:val="ListParagraph"/>
        <w:numPr>
          <w:ilvl w:val="0"/>
          <w:numId w:val="29"/>
        </w:numPr>
        <w:spacing w:line="229" w:lineRule="exact"/>
        <w:jc w:val="both"/>
        <w:rPr>
          <w:rFonts w:cstheme="minorHAnsi"/>
          <w:b/>
          <w:bCs/>
          <w:sz w:val="24"/>
          <w:szCs w:val="24"/>
        </w:rPr>
      </w:pPr>
      <w:r w:rsidRPr="00450206">
        <w:rPr>
          <w:rFonts w:cstheme="minorHAnsi"/>
          <w:b/>
          <w:bCs/>
          <w:sz w:val="24"/>
          <w:szCs w:val="24"/>
        </w:rPr>
        <w:t xml:space="preserve">Page </w:t>
      </w:r>
      <w:r w:rsidR="001B569F" w:rsidRPr="00450206">
        <w:rPr>
          <w:rFonts w:cstheme="minorHAnsi"/>
          <w:b/>
          <w:bCs/>
          <w:sz w:val="24"/>
          <w:szCs w:val="24"/>
        </w:rPr>
        <w:t>6 of the Narrative notes that the project will include “</w:t>
      </w:r>
      <w:r w:rsidR="00EC2145" w:rsidRPr="00450206">
        <w:rPr>
          <w:rFonts w:cstheme="minorHAnsi"/>
          <w:b/>
          <w:bCs/>
          <w:sz w:val="24"/>
          <w:szCs w:val="24"/>
        </w:rPr>
        <w:t xml:space="preserve">one (1) replacement CT simulator” as well as </w:t>
      </w:r>
      <w:r w:rsidR="008922CA" w:rsidRPr="00450206">
        <w:rPr>
          <w:rFonts w:cstheme="minorHAnsi"/>
          <w:b/>
          <w:bCs/>
          <w:sz w:val="24"/>
          <w:szCs w:val="24"/>
        </w:rPr>
        <w:t xml:space="preserve">one </w:t>
      </w:r>
      <w:r w:rsidR="00CE304C" w:rsidRPr="00450206">
        <w:rPr>
          <w:rFonts w:cstheme="minorHAnsi"/>
          <w:b/>
          <w:bCs/>
          <w:sz w:val="24"/>
          <w:szCs w:val="24"/>
        </w:rPr>
        <w:t>“</w:t>
      </w:r>
      <w:r w:rsidR="008922CA" w:rsidRPr="00450206">
        <w:rPr>
          <w:rFonts w:cstheme="minorHAnsi"/>
          <w:b/>
          <w:bCs/>
          <w:sz w:val="24"/>
          <w:szCs w:val="24"/>
        </w:rPr>
        <w:t>(1) mobile CT unit for HDR</w:t>
      </w:r>
      <w:r w:rsidR="00CE304C" w:rsidRPr="00450206">
        <w:rPr>
          <w:rFonts w:cstheme="minorHAnsi"/>
          <w:b/>
          <w:bCs/>
          <w:sz w:val="24"/>
          <w:szCs w:val="24"/>
        </w:rPr>
        <w:t>”</w:t>
      </w:r>
      <w:r w:rsidR="008922CA" w:rsidRPr="00450206">
        <w:rPr>
          <w:rFonts w:cstheme="minorHAnsi"/>
          <w:b/>
          <w:bCs/>
          <w:sz w:val="24"/>
          <w:szCs w:val="24"/>
        </w:rPr>
        <w:t>.  Please answer the following questions about th</w:t>
      </w:r>
      <w:r w:rsidR="004449E1" w:rsidRPr="00450206">
        <w:rPr>
          <w:rFonts w:cstheme="minorHAnsi"/>
          <w:b/>
          <w:bCs/>
          <w:sz w:val="24"/>
          <w:szCs w:val="24"/>
        </w:rPr>
        <w:t>ese units:</w:t>
      </w:r>
    </w:p>
    <w:p w14:paraId="21CDD792" w14:textId="48D287F6" w:rsidR="007B689C" w:rsidRDefault="007B689C" w:rsidP="00120FB5">
      <w:pPr>
        <w:pStyle w:val="Default"/>
        <w:numPr>
          <w:ilvl w:val="1"/>
          <w:numId w:val="29"/>
        </w:numPr>
        <w:rPr>
          <w:rFonts w:asciiTheme="minorHAnsi" w:hAnsiTheme="minorHAnsi" w:cstheme="minorHAnsi"/>
          <w:b/>
          <w:bCs/>
        </w:rPr>
      </w:pPr>
      <w:r w:rsidRPr="00450206">
        <w:rPr>
          <w:rFonts w:asciiTheme="minorHAnsi" w:hAnsiTheme="minorHAnsi" w:cstheme="minorHAnsi"/>
          <w:b/>
          <w:bCs/>
        </w:rPr>
        <w:t xml:space="preserve">What is the </w:t>
      </w:r>
      <w:r w:rsidR="001E5650" w:rsidRPr="00450206">
        <w:rPr>
          <w:rFonts w:asciiTheme="minorHAnsi" w:hAnsiTheme="minorHAnsi" w:cstheme="minorHAnsi"/>
          <w:b/>
          <w:bCs/>
        </w:rPr>
        <w:t xml:space="preserve">year </w:t>
      </w:r>
      <w:r w:rsidR="00FE4B35" w:rsidRPr="00450206">
        <w:rPr>
          <w:rFonts w:asciiTheme="minorHAnsi" w:hAnsiTheme="minorHAnsi" w:cstheme="minorHAnsi"/>
          <w:b/>
          <w:bCs/>
        </w:rPr>
        <w:t>&amp;</w:t>
      </w:r>
      <w:r w:rsidR="001E5650" w:rsidRPr="00450206">
        <w:rPr>
          <w:rFonts w:asciiTheme="minorHAnsi" w:hAnsiTheme="minorHAnsi" w:cstheme="minorHAnsi"/>
          <w:b/>
          <w:bCs/>
        </w:rPr>
        <w:t xml:space="preserve"> model</w:t>
      </w:r>
      <w:r w:rsidRPr="00450206">
        <w:rPr>
          <w:rFonts w:asciiTheme="minorHAnsi" w:hAnsiTheme="minorHAnsi" w:cstheme="minorHAnsi"/>
          <w:b/>
          <w:bCs/>
        </w:rPr>
        <w:t xml:space="preserve"> of the current CT Simulator and the </w:t>
      </w:r>
      <w:r w:rsidR="00C354EB" w:rsidRPr="00450206">
        <w:rPr>
          <w:rFonts w:asciiTheme="minorHAnsi" w:hAnsiTheme="minorHAnsi" w:cstheme="minorHAnsi"/>
          <w:b/>
          <w:bCs/>
        </w:rPr>
        <w:t>year</w:t>
      </w:r>
      <w:r w:rsidR="001E5650" w:rsidRPr="00450206">
        <w:rPr>
          <w:rFonts w:asciiTheme="minorHAnsi" w:hAnsiTheme="minorHAnsi" w:cstheme="minorHAnsi"/>
          <w:b/>
          <w:bCs/>
        </w:rPr>
        <w:t xml:space="preserve"> </w:t>
      </w:r>
      <w:r w:rsidR="00C354EB" w:rsidRPr="00450206">
        <w:rPr>
          <w:rFonts w:asciiTheme="minorHAnsi" w:hAnsiTheme="minorHAnsi" w:cstheme="minorHAnsi"/>
          <w:b/>
          <w:bCs/>
        </w:rPr>
        <w:t xml:space="preserve">&amp; model of </w:t>
      </w:r>
      <w:r w:rsidRPr="00450206">
        <w:rPr>
          <w:rFonts w:asciiTheme="minorHAnsi" w:hAnsiTheme="minorHAnsi" w:cstheme="minorHAnsi"/>
          <w:b/>
          <w:bCs/>
        </w:rPr>
        <w:t>proposed replacement uni</w:t>
      </w:r>
      <w:r w:rsidR="00CC6C74" w:rsidRPr="00450206">
        <w:rPr>
          <w:rFonts w:asciiTheme="minorHAnsi" w:hAnsiTheme="minorHAnsi" w:cstheme="minorHAnsi"/>
          <w:b/>
          <w:bCs/>
        </w:rPr>
        <w:t>t?</w:t>
      </w:r>
    </w:p>
    <w:p w14:paraId="4FB6BE76" w14:textId="30B58365" w:rsidR="00450206" w:rsidRPr="00450206" w:rsidRDefault="00450206" w:rsidP="00450206">
      <w:pPr>
        <w:pStyle w:val="Default"/>
        <w:ind w:left="720"/>
        <w:rPr>
          <w:rFonts w:asciiTheme="minorHAnsi" w:hAnsiTheme="minorHAnsi" w:cstheme="minorHAnsi"/>
        </w:rPr>
      </w:pPr>
    </w:p>
    <w:p w14:paraId="77B1008B" w14:textId="64E4E4C8" w:rsidR="00450206" w:rsidRPr="00450206" w:rsidRDefault="00450206" w:rsidP="00450206">
      <w:pPr>
        <w:pStyle w:val="Default"/>
        <w:ind w:left="1080"/>
        <w:rPr>
          <w:rFonts w:cstheme="minorHAnsi"/>
          <w:b/>
          <w:bCs/>
          <w:sz w:val="22"/>
          <w:szCs w:val="22"/>
        </w:rPr>
      </w:pPr>
      <w:r w:rsidRPr="00450206">
        <w:rPr>
          <w:rFonts w:asciiTheme="minorHAnsi" w:hAnsiTheme="minorHAnsi" w:cstheme="minorHAnsi"/>
          <w:sz w:val="22"/>
          <w:szCs w:val="22"/>
          <w:u w:val="single"/>
        </w:rPr>
        <w:t>Response</w:t>
      </w:r>
      <w:r w:rsidRPr="00450206">
        <w:rPr>
          <w:rFonts w:asciiTheme="minorHAnsi" w:hAnsiTheme="minorHAnsi" w:cstheme="minorHAnsi"/>
          <w:sz w:val="22"/>
          <w:szCs w:val="22"/>
        </w:rPr>
        <w:t xml:space="preserve">: </w:t>
      </w:r>
      <w:r w:rsidR="00437322">
        <w:rPr>
          <w:rFonts w:cstheme="minorHAnsi"/>
          <w:sz w:val="22"/>
          <w:szCs w:val="22"/>
        </w:rPr>
        <w:t>The current CT Simulator is a 2012 Philips Big Bore.</w:t>
      </w:r>
      <w:r w:rsidR="00EB5E3E" w:rsidRPr="00EB5E3E">
        <w:t xml:space="preserve"> </w:t>
      </w:r>
      <w:r w:rsidR="00EB5E3E" w:rsidRPr="00EB5E3E">
        <w:rPr>
          <w:rFonts w:cstheme="minorHAnsi"/>
          <w:sz w:val="22"/>
          <w:szCs w:val="22"/>
        </w:rPr>
        <w:t>The proposed replacement unit is the 2023 Philips Big Bore RT</w:t>
      </w:r>
      <w:r w:rsidR="00EB5E3E">
        <w:rPr>
          <w:rFonts w:cstheme="minorHAnsi"/>
          <w:sz w:val="22"/>
          <w:szCs w:val="22"/>
        </w:rPr>
        <w:t>.</w:t>
      </w:r>
    </w:p>
    <w:p w14:paraId="3E7E7AF4" w14:textId="5C6ED7FE" w:rsidR="00450206" w:rsidRPr="00450206" w:rsidRDefault="00450206" w:rsidP="00450206">
      <w:pPr>
        <w:pStyle w:val="Default"/>
        <w:ind w:left="1080"/>
        <w:rPr>
          <w:rFonts w:asciiTheme="minorHAnsi" w:hAnsiTheme="minorHAnsi" w:cstheme="minorHAnsi"/>
        </w:rPr>
      </w:pPr>
    </w:p>
    <w:p w14:paraId="4B64D8E5" w14:textId="7C4E5139" w:rsidR="00C354EB" w:rsidRDefault="00C354EB" w:rsidP="00120FB5">
      <w:pPr>
        <w:pStyle w:val="Default"/>
        <w:numPr>
          <w:ilvl w:val="1"/>
          <w:numId w:val="29"/>
        </w:numPr>
        <w:rPr>
          <w:rFonts w:asciiTheme="minorHAnsi" w:hAnsiTheme="minorHAnsi" w:cstheme="minorHAnsi"/>
          <w:b/>
          <w:bCs/>
        </w:rPr>
      </w:pPr>
      <w:r w:rsidRPr="00450206">
        <w:rPr>
          <w:rFonts w:asciiTheme="minorHAnsi" w:hAnsiTheme="minorHAnsi" w:cstheme="minorHAnsi"/>
          <w:b/>
          <w:bCs/>
        </w:rPr>
        <w:t xml:space="preserve">What is the year and model of the Proposed </w:t>
      </w:r>
      <w:r w:rsidR="001E5650" w:rsidRPr="00450206">
        <w:rPr>
          <w:rFonts w:asciiTheme="minorHAnsi" w:hAnsiTheme="minorHAnsi" w:cstheme="minorHAnsi"/>
          <w:b/>
          <w:bCs/>
        </w:rPr>
        <w:t>mobile CT unit for HDR?</w:t>
      </w:r>
    </w:p>
    <w:p w14:paraId="638EFCED" w14:textId="77777777" w:rsidR="008E5F7C" w:rsidRDefault="008E5F7C" w:rsidP="008E5F7C">
      <w:pPr>
        <w:pStyle w:val="Default"/>
        <w:ind w:left="1080"/>
        <w:rPr>
          <w:rFonts w:asciiTheme="minorHAnsi" w:hAnsiTheme="minorHAnsi" w:cstheme="minorHAnsi"/>
          <w:b/>
          <w:bCs/>
        </w:rPr>
      </w:pPr>
    </w:p>
    <w:p w14:paraId="13EDCABB" w14:textId="3927F670" w:rsidR="00450206" w:rsidRPr="00450206" w:rsidRDefault="00450206" w:rsidP="00450206">
      <w:pPr>
        <w:pStyle w:val="Default"/>
        <w:ind w:left="1080"/>
        <w:rPr>
          <w:rFonts w:cstheme="minorHAnsi"/>
          <w:b/>
          <w:bCs/>
          <w:sz w:val="22"/>
          <w:szCs w:val="22"/>
        </w:rPr>
      </w:pPr>
      <w:r w:rsidRPr="00450206">
        <w:rPr>
          <w:rFonts w:asciiTheme="minorHAnsi" w:hAnsiTheme="minorHAnsi" w:cstheme="minorHAnsi"/>
          <w:sz w:val="22"/>
          <w:szCs w:val="22"/>
          <w:u w:val="single"/>
        </w:rPr>
        <w:t>Response</w:t>
      </w:r>
      <w:r w:rsidRPr="00450206">
        <w:rPr>
          <w:rFonts w:asciiTheme="minorHAnsi" w:hAnsiTheme="minorHAnsi" w:cstheme="minorHAnsi"/>
          <w:sz w:val="22"/>
          <w:szCs w:val="22"/>
        </w:rPr>
        <w:t xml:space="preserve">: </w:t>
      </w:r>
      <w:r w:rsidR="00437322" w:rsidRPr="00437322">
        <w:rPr>
          <w:rFonts w:cstheme="minorHAnsi"/>
          <w:sz w:val="22"/>
          <w:szCs w:val="22"/>
        </w:rPr>
        <w:t xml:space="preserve">2023 </w:t>
      </w:r>
      <w:proofErr w:type="spellStart"/>
      <w:r w:rsidR="00437322" w:rsidRPr="00437322">
        <w:rPr>
          <w:rFonts w:cstheme="minorHAnsi"/>
          <w:sz w:val="22"/>
          <w:szCs w:val="22"/>
        </w:rPr>
        <w:t>Neurologica</w:t>
      </w:r>
      <w:proofErr w:type="spellEnd"/>
      <w:r w:rsidR="00437322" w:rsidRPr="00437322">
        <w:rPr>
          <w:rFonts w:cstheme="minorHAnsi"/>
          <w:sz w:val="22"/>
          <w:szCs w:val="22"/>
        </w:rPr>
        <w:t xml:space="preserve"> </w:t>
      </w:r>
      <w:proofErr w:type="spellStart"/>
      <w:r w:rsidR="00437322" w:rsidRPr="00437322">
        <w:rPr>
          <w:rFonts w:cstheme="minorHAnsi"/>
          <w:sz w:val="22"/>
          <w:szCs w:val="22"/>
        </w:rPr>
        <w:t>BodyTom</w:t>
      </w:r>
      <w:proofErr w:type="spellEnd"/>
      <w:r w:rsidR="00437322" w:rsidRPr="00437322">
        <w:rPr>
          <w:rFonts w:cstheme="minorHAnsi"/>
          <w:sz w:val="22"/>
          <w:szCs w:val="22"/>
        </w:rPr>
        <w:t xml:space="preserve"> Elite</w:t>
      </w:r>
      <w:r w:rsidR="00437322">
        <w:rPr>
          <w:rFonts w:cstheme="minorHAnsi"/>
          <w:sz w:val="22"/>
          <w:szCs w:val="22"/>
        </w:rPr>
        <w:t>.</w:t>
      </w:r>
    </w:p>
    <w:p w14:paraId="275BF75E" w14:textId="77777777" w:rsidR="00450206" w:rsidRPr="00450206" w:rsidRDefault="00450206" w:rsidP="00450206">
      <w:pPr>
        <w:pStyle w:val="Default"/>
        <w:ind w:left="1080"/>
        <w:rPr>
          <w:rFonts w:asciiTheme="minorHAnsi" w:hAnsiTheme="minorHAnsi" w:cstheme="minorHAnsi"/>
          <w:b/>
          <w:bCs/>
        </w:rPr>
      </w:pPr>
    </w:p>
    <w:p w14:paraId="02ACE2E5" w14:textId="24871378" w:rsidR="00CA6EEC" w:rsidRDefault="00CE304C" w:rsidP="00450206">
      <w:pPr>
        <w:pStyle w:val="ListParagraph"/>
        <w:numPr>
          <w:ilvl w:val="1"/>
          <w:numId w:val="29"/>
        </w:numPr>
        <w:spacing w:line="229" w:lineRule="exact"/>
        <w:jc w:val="both"/>
        <w:rPr>
          <w:rFonts w:cstheme="minorHAnsi"/>
          <w:b/>
          <w:bCs/>
          <w:sz w:val="24"/>
          <w:szCs w:val="24"/>
        </w:rPr>
      </w:pPr>
      <w:r w:rsidRPr="00450206">
        <w:rPr>
          <w:rFonts w:cstheme="minorHAnsi"/>
          <w:b/>
          <w:bCs/>
          <w:sz w:val="24"/>
          <w:szCs w:val="24"/>
        </w:rPr>
        <w:t xml:space="preserve">Please provide data on the </w:t>
      </w:r>
      <w:r w:rsidR="00A8439B" w:rsidRPr="00450206">
        <w:rPr>
          <w:rFonts w:cstheme="minorHAnsi"/>
          <w:b/>
          <w:bCs/>
          <w:sz w:val="24"/>
          <w:szCs w:val="24"/>
        </w:rPr>
        <w:t>volume of CT Simulations performed</w:t>
      </w:r>
      <w:r w:rsidR="00120FB5" w:rsidRPr="00450206">
        <w:rPr>
          <w:rFonts w:cstheme="minorHAnsi"/>
          <w:b/>
          <w:bCs/>
          <w:sz w:val="24"/>
          <w:szCs w:val="24"/>
        </w:rPr>
        <w:t xml:space="preserve"> </w:t>
      </w:r>
      <w:r w:rsidR="00551569" w:rsidRPr="00450206">
        <w:rPr>
          <w:rFonts w:cstheme="minorHAnsi"/>
          <w:b/>
          <w:bCs/>
          <w:sz w:val="24"/>
          <w:szCs w:val="24"/>
        </w:rPr>
        <w:t>from</w:t>
      </w:r>
      <w:r w:rsidR="00120FB5" w:rsidRPr="00450206">
        <w:rPr>
          <w:rFonts w:cstheme="minorHAnsi"/>
          <w:b/>
          <w:bCs/>
          <w:sz w:val="24"/>
          <w:szCs w:val="24"/>
        </w:rPr>
        <w:t xml:space="preserve"> FY21-23</w:t>
      </w:r>
      <w:r w:rsidR="00CC6C74" w:rsidRPr="00450206">
        <w:rPr>
          <w:rFonts w:cstheme="minorHAnsi"/>
          <w:b/>
          <w:bCs/>
          <w:sz w:val="24"/>
          <w:szCs w:val="24"/>
        </w:rPr>
        <w:t>.</w:t>
      </w:r>
    </w:p>
    <w:p w14:paraId="6D02AA86" w14:textId="1A54BEE8" w:rsidR="00450206" w:rsidRDefault="00450206" w:rsidP="00450206">
      <w:pPr>
        <w:pStyle w:val="ListParagraph"/>
        <w:spacing w:line="229" w:lineRule="exact"/>
        <w:ind w:left="1080"/>
        <w:jc w:val="both"/>
        <w:rPr>
          <w:rFonts w:cstheme="minorHAnsi"/>
          <w:b/>
          <w:bCs/>
          <w:sz w:val="24"/>
          <w:szCs w:val="24"/>
        </w:rPr>
      </w:pPr>
    </w:p>
    <w:tbl>
      <w:tblPr>
        <w:tblStyle w:val="TableGrid2"/>
        <w:tblW w:w="0" w:type="auto"/>
        <w:tblInd w:w="865" w:type="dxa"/>
        <w:tblLook w:val="04A0" w:firstRow="1" w:lastRow="0" w:firstColumn="1" w:lastColumn="0" w:noHBand="0" w:noVBand="1"/>
      </w:tblPr>
      <w:tblGrid>
        <w:gridCol w:w="2640"/>
        <w:gridCol w:w="2790"/>
      </w:tblGrid>
      <w:tr w:rsidR="00437322" w:rsidRPr="00437322" w14:paraId="5A143E18" w14:textId="77777777" w:rsidTr="0086753A">
        <w:trPr>
          <w:cantSplit/>
          <w:tblHeader/>
        </w:trPr>
        <w:tc>
          <w:tcPr>
            <w:tcW w:w="2640" w:type="dxa"/>
            <w:shd w:val="clear" w:color="auto" w:fill="D9D9D9" w:themeFill="background1" w:themeFillShade="D9"/>
            <w:vAlign w:val="center"/>
          </w:tcPr>
          <w:p w14:paraId="3B849085" w14:textId="19BDB8EE" w:rsidR="00437322" w:rsidRPr="00220D52" w:rsidRDefault="00437322" w:rsidP="0017529F">
            <w:pPr>
              <w:keepNext/>
              <w:jc w:val="center"/>
              <w:rPr>
                <w:rFonts w:asciiTheme="majorHAnsi" w:hAnsiTheme="majorHAnsi" w:cstheme="majorHAnsi"/>
                <w:bCs/>
                <w:kern w:val="2"/>
                <w:sz w:val="20"/>
                <w:szCs w:val="20"/>
              </w:rPr>
            </w:pPr>
            <w:r>
              <w:rPr>
                <w:rFonts w:asciiTheme="majorHAnsi" w:hAnsiTheme="majorHAnsi" w:cstheme="majorHAnsi"/>
                <w:b/>
                <w:bCs/>
                <w:sz w:val="20"/>
                <w:szCs w:val="20"/>
              </w:rPr>
              <w:t>Year</w:t>
            </w:r>
          </w:p>
        </w:tc>
        <w:tc>
          <w:tcPr>
            <w:tcW w:w="2790" w:type="dxa"/>
            <w:shd w:val="clear" w:color="auto" w:fill="D9D9D9" w:themeFill="background1" w:themeFillShade="D9"/>
            <w:vAlign w:val="center"/>
          </w:tcPr>
          <w:p w14:paraId="67A915D5" w14:textId="3B9DD222" w:rsidR="00437322" w:rsidRPr="00220D52" w:rsidRDefault="00437322" w:rsidP="0017529F">
            <w:pPr>
              <w:keepNext/>
              <w:jc w:val="center"/>
              <w:rPr>
                <w:rFonts w:asciiTheme="majorHAnsi" w:hAnsiTheme="majorHAnsi" w:cstheme="majorHAnsi"/>
                <w:b/>
                <w:kern w:val="2"/>
                <w:sz w:val="20"/>
                <w:szCs w:val="20"/>
              </w:rPr>
            </w:pPr>
            <w:r>
              <w:rPr>
                <w:rFonts w:asciiTheme="majorHAnsi" w:hAnsiTheme="majorHAnsi" w:cstheme="majorHAnsi"/>
                <w:b/>
                <w:kern w:val="2"/>
                <w:sz w:val="20"/>
                <w:szCs w:val="20"/>
              </w:rPr>
              <w:t>Count of CT Simulations</w:t>
            </w:r>
          </w:p>
        </w:tc>
      </w:tr>
      <w:tr w:rsidR="00437322" w:rsidRPr="00437322" w14:paraId="166CE1DA" w14:textId="77777777" w:rsidTr="0086753A">
        <w:trPr>
          <w:cantSplit/>
        </w:trPr>
        <w:tc>
          <w:tcPr>
            <w:tcW w:w="2640" w:type="dxa"/>
            <w:vAlign w:val="center"/>
          </w:tcPr>
          <w:p w14:paraId="559F0AEA" w14:textId="1FC849E2" w:rsidR="00437322" w:rsidRPr="00220D52" w:rsidRDefault="00437322" w:rsidP="0017529F">
            <w:pPr>
              <w:keepNext/>
              <w:jc w:val="both"/>
              <w:rPr>
                <w:rFonts w:asciiTheme="majorHAnsi" w:hAnsiTheme="majorHAnsi" w:cstheme="majorHAnsi"/>
                <w:bCs/>
                <w:kern w:val="2"/>
                <w:sz w:val="20"/>
                <w:szCs w:val="20"/>
              </w:rPr>
            </w:pPr>
            <w:r>
              <w:rPr>
                <w:rFonts w:asciiTheme="majorHAnsi" w:hAnsiTheme="majorHAnsi" w:cstheme="majorHAnsi"/>
                <w:color w:val="000000"/>
                <w:sz w:val="20"/>
                <w:szCs w:val="20"/>
              </w:rPr>
              <w:t>FY2021</w:t>
            </w:r>
          </w:p>
        </w:tc>
        <w:tc>
          <w:tcPr>
            <w:tcW w:w="2790" w:type="dxa"/>
            <w:vAlign w:val="center"/>
          </w:tcPr>
          <w:p w14:paraId="517297EF" w14:textId="41DBC0ED" w:rsidR="00437322" w:rsidRPr="00220D52" w:rsidRDefault="00437322" w:rsidP="0017529F">
            <w:pPr>
              <w:keepNext/>
              <w:jc w:val="center"/>
              <w:rPr>
                <w:rFonts w:asciiTheme="majorHAnsi" w:hAnsiTheme="majorHAnsi" w:cstheme="majorHAnsi"/>
                <w:bCs/>
                <w:kern w:val="2"/>
                <w:sz w:val="20"/>
                <w:szCs w:val="20"/>
              </w:rPr>
            </w:pPr>
            <w:r>
              <w:rPr>
                <w:rFonts w:asciiTheme="majorHAnsi" w:hAnsiTheme="majorHAnsi" w:cstheme="majorHAnsi"/>
                <w:bCs/>
                <w:kern w:val="2"/>
                <w:sz w:val="20"/>
                <w:szCs w:val="20"/>
              </w:rPr>
              <w:t>1240</w:t>
            </w:r>
          </w:p>
        </w:tc>
      </w:tr>
      <w:tr w:rsidR="00437322" w:rsidRPr="00437322" w14:paraId="346C4EC0" w14:textId="77777777" w:rsidTr="0086753A">
        <w:trPr>
          <w:cantSplit/>
        </w:trPr>
        <w:tc>
          <w:tcPr>
            <w:tcW w:w="2640" w:type="dxa"/>
            <w:vAlign w:val="center"/>
          </w:tcPr>
          <w:p w14:paraId="54A6FAB6" w14:textId="3B92A457" w:rsidR="00437322" w:rsidRDefault="00437322" w:rsidP="0017529F">
            <w:pPr>
              <w:keepNext/>
              <w:jc w:val="both"/>
              <w:rPr>
                <w:rFonts w:asciiTheme="majorHAnsi" w:hAnsiTheme="majorHAnsi" w:cstheme="majorHAnsi"/>
                <w:color w:val="000000"/>
                <w:sz w:val="20"/>
                <w:szCs w:val="20"/>
              </w:rPr>
            </w:pPr>
            <w:r>
              <w:rPr>
                <w:rFonts w:asciiTheme="majorHAnsi" w:hAnsiTheme="majorHAnsi" w:cstheme="majorHAnsi"/>
                <w:color w:val="000000"/>
                <w:sz w:val="20"/>
                <w:szCs w:val="20"/>
              </w:rPr>
              <w:t>FY2022</w:t>
            </w:r>
          </w:p>
        </w:tc>
        <w:tc>
          <w:tcPr>
            <w:tcW w:w="2790" w:type="dxa"/>
            <w:vAlign w:val="center"/>
          </w:tcPr>
          <w:p w14:paraId="24ED0883" w14:textId="4F97E1C9" w:rsidR="00437322" w:rsidRDefault="00437322" w:rsidP="0017529F">
            <w:pPr>
              <w:keepNext/>
              <w:jc w:val="center"/>
              <w:rPr>
                <w:rFonts w:asciiTheme="majorHAnsi" w:hAnsiTheme="majorHAnsi" w:cstheme="majorHAnsi"/>
                <w:bCs/>
                <w:kern w:val="2"/>
                <w:sz w:val="20"/>
                <w:szCs w:val="20"/>
              </w:rPr>
            </w:pPr>
            <w:r>
              <w:rPr>
                <w:rFonts w:asciiTheme="majorHAnsi" w:hAnsiTheme="majorHAnsi" w:cstheme="majorHAnsi"/>
                <w:bCs/>
                <w:kern w:val="2"/>
                <w:sz w:val="20"/>
                <w:szCs w:val="20"/>
              </w:rPr>
              <w:t>1338</w:t>
            </w:r>
          </w:p>
        </w:tc>
      </w:tr>
      <w:tr w:rsidR="00437322" w:rsidRPr="00437322" w14:paraId="733CA7A9" w14:textId="77777777" w:rsidTr="0086753A">
        <w:trPr>
          <w:cantSplit/>
        </w:trPr>
        <w:tc>
          <w:tcPr>
            <w:tcW w:w="2640" w:type="dxa"/>
            <w:vAlign w:val="center"/>
          </w:tcPr>
          <w:p w14:paraId="175CA4CA" w14:textId="481912D3" w:rsidR="00437322" w:rsidRDefault="00437322" w:rsidP="00437322">
            <w:pPr>
              <w:keepNext/>
              <w:rPr>
                <w:rFonts w:asciiTheme="majorHAnsi" w:hAnsiTheme="majorHAnsi" w:cstheme="majorHAnsi"/>
                <w:color w:val="000000"/>
                <w:sz w:val="20"/>
                <w:szCs w:val="20"/>
              </w:rPr>
            </w:pPr>
            <w:r>
              <w:rPr>
                <w:rFonts w:asciiTheme="majorHAnsi" w:hAnsiTheme="majorHAnsi" w:cstheme="majorHAnsi"/>
                <w:color w:val="000000"/>
                <w:sz w:val="20"/>
                <w:szCs w:val="20"/>
              </w:rPr>
              <w:t>FY2023 (through June 2023)</w:t>
            </w:r>
          </w:p>
        </w:tc>
        <w:tc>
          <w:tcPr>
            <w:tcW w:w="2790" w:type="dxa"/>
            <w:vAlign w:val="center"/>
          </w:tcPr>
          <w:p w14:paraId="582A8BA9" w14:textId="0B41C620" w:rsidR="00437322" w:rsidRDefault="00437322" w:rsidP="0017529F">
            <w:pPr>
              <w:keepNext/>
              <w:jc w:val="center"/>
              <w:rPr>
                <w:rFonts w:asciiTheme="majorHAnsi" w:hAnsiTheme="majorHAnsi" w:cstheme="majorHAnsi"/>
                <w:bCs/>
                <w:kern w:val="2"/>
                <w:sz w:val="20"/>
                <w:szCs w:val="20"/>
              </w:rPr>
            </w:pPr>
            <w:r>
              <w:rPr>
                <w:rFonts w:asciiTheme="majorHAnsi" w:hAnsiTheme="majorHAnsi" w:cstheme="majorHAnsi"/>
                <w:bCs/>
                <w:kern w:val="2"/>
                <w:sz w:val="20"/>
                <w:szCs w:val="20"/>
              </w:rPr>
              <w:t>980</w:t>
            </w:r>
          </w:p>
        </w:tc>
      </w:tr>
    </w:tbl>
    <w:p w14:paraId="402C973C" w14:textId="77777777" w:rsidR="00450206" w:rsidRDefault="00450206" w:rsidP="00450206">
      <w:pPr>
        <w:pStyle w:val="ListParagraph"/>
        <w:spacing w:line="229" w:lineRule="exact"/>
        <w:ind w:left="1080"/>
        <w:jc w:val="both"/>
        <w:rPr>
          <w:rFonts w:cstheme="minorHAnsi"/>
          <w:b/>
          <w:bCs/>
          <w:sz w:val="24"/>
          <w:szCs w:val="24"/>
        </w:rPr>
      </w:pPr>
    </w:p>
    <w:p w14:paraId="2669EDBF" w14:textId="77777777" w:rsidR="00450206" w:rsidRPr="00450206" w:rsidRDefault="00450206" w:rsidP="00450206">
      <w:pPr>
        <w:pStyle w:val="ListParagraph"/>
        <w:spacing w:line="229" w:lineRule="exact"/>
        <w:ind w:left="1080"/>
        <w:jc w:val="both"/>
        <w:rPr>
          <w:rFonts w:cstheme="minorHAnsi"/>
          <w:b/>
          <w:bCs/>
          <w:sz w:val="24"/>
          <w:szCs w:val="24"/>
        </w:rPr>
      </w:pPr>
    </w:p>
    <w:p w14:paraId="3A030556" w14:textId="3A86956E" w:rsidR="00C85712" w:rsidRPr="00450206" w:rsidRDefault="00C85712" w:rsidP="001E0B77">
      <w:pPr>
        <w:pStyle w:val="ListParagraph"/>
        <w:numPr>
          <w:ilvl w:val="0"/>
          <w:numId w:val="29"/>
        </w:numPr>
        <w:spacing w:line="229" w:lineRule="exact"/>
        <w:rPr>
          <w:b/>
          <w:bCs/>
          <w:sz w:val="24"/>
          <w:szCs w:val="24"/>
        </w:rPr>
      </w:pPr>
      <w:r w:rsidRPr="00450206">
        <w:rPr>
          <w:b/>
          <w:bCs/>
          <w:sz w:val="24"/>
          <w:szCs w:val="24"/>
        </w:rPr>
        <w:t xml:space="preserve">Will the </w:t>
      </w:r>
      <w:r w:rsidR="00394105" w:rsidRPr="00450206">
        <w:rPr>
          <w:b/>
          <w:bCs/>
          <w:sz w:val="24"/>
          <w:szCs w:val="24"/>
        </w:rPr>
        <w:t>replacement</w:t>
      </w:r>
      <w:r w:rsidRPr="00450206">
        <w:rPr>
          <w:b/>
          <w:bCs/>
          <w:sz w:val="24"/>
          <w:szCs w:val="24"/>
        </w:rPr>
        <w:t xml:space="preserve"> LINAC</w:t>
      </w:r>
      <w:r w:rsidR="007F1021" w:rsidRPr="00450206">
        <w:rPr>
          <w:b/>
          <w:bCs/>
          <w:sz w:val="24"/>
          <w:szCs w:val="24"/>
        </w:rPr>
        <w:t xml:space="preserve">s </w:t>
      </w:r>
      <w:r w:rsidRPr="00450206">
        <w:rPr>
          <w:b/>
          <w:bCs/>
          <w:sz w:val="24"/>
          <w:szCs w:val="24"/>
        </w:rPr>
        <w:t xml:space="preserve">and CT Simulator </w:t>
      </w:r>
      <w:r w:rsidR="00EE0262" w:rsidRPr="00450206">
        <w:rPr>
          <w:b/>
          <w:bCs/>
          <w:sz w:val="24"/>
          <w:szCs w:val="24"/>
        </w:rPr>
        <w:t xml:space="preserve">have any </w:t>
      </w:r>
      <w:r w:rsidR="000C6277" w:rsidRPr="00450206">
        <w:rPr>
          <w:b/>
          <w:bCs/>
          <w:sz w:val="24"/>
          <w:szCs w:val="24"/>
        </w:rPr>
        <w:t xml:space="preserve">efficiencies or </w:t>
      </w:r>
      <w:r w:rsidR="00394105" w:rsidRPr="00450206">
        <w:rPr>
          <w:b/>
          <w:bCs/>
          <w:sz w:val="24"/>
          <w:szCs w:val="24"/>
        </w:rPr>
        <w:t xml:space="preserve">technological advantages </w:t>
      </w:r>
      <w:r w:rsidR="000C6277" w:rsidRPr="00450206">
        <w:rPr>
          <w:b/>
          <w:bCs/>
          <w:sz w:val="24"/>
          <w:szCs w:val="24"/>
        </w:rPr>
        <w:t>compared to</w:t>
      </w:r>
      <w:r w:rsidR="00394105" w:rsidRPr="00450206">
        <w:rPr>
          <w:b/>
          <w:bCs/>
          <w:sz w:val="24"/>
          <w:szCs w:val="24"/>
        </w:rPr>
        <w:t xml:space="preserve"> the </w:t>
      </w:r>
      <w:r w:rsidR="001E0B77" w:rsidRPr="00450206">
        <w:rPr>
          <w:b/>
          <w:bCs/>
          <w:sz w:val="24"/>
          <w:szCs w:val="24"/>
        </w:rPr>
        <w:t>current units?</w:t>
      </w:r>
    </w:p>
    <w:p w14:paraId="1D9FB5E2" w14:textId="6C2CD6CF" w:rsidR="00A0726E" w:rsidRDefault="00450206" w:rsidP="00A0726E">
      <w:pPr>
        <w:pStyle w:val="Default"/>
        <w:ind w:left="360"/>
        <w:rPr>
          <w:rFonts w:cstheme="minorHAnsi"/>
          <w:sz w:val="22"/>
          <w:szCs w:val="22"/>
        </w:rPr>
      </w:pPr>
      <w:r w:rsidRPr="00450206">
        <w:rPr>
          <w:rFonts w:asciiTheme="minorHAnsi" w:hAnsiTheme="minorHAnsi" w:cstheme="minorHAnsi"/>
          <w:sz w:val="22"/>
          <w:szCs w:val="22"/>
          <w:u w:val="single"/>
        </w:rPr>
        <w:t>Response</w:t>
      </w:r>
      <w:r w:rsidRPr="00450206">
        <w:rPr>
          <w:rFonts w:asciiTheme="minorHAnsi" w:hAnsiTheme="minorHAnsi" w:cstheme="minorHAnsi"/>
          <w:sz w:val="22"/>
          <w:szCs w:val="22"/>
        </w:rPr>
        <w:t xml:space="preserve">: </w:t>
      </w:r>
      <w:r w:rsidR="007F6652">
        <w:rPr>
          <w:rFonts w:cstheme="minorHAnsi"/>
          <w:sz w:val="22"/>
          <w:szCs w:val="22"/>
        </w:rPr>
        <w:t xml:space="preserve">Yes. </w:t>
      </w:r>
      <w:r w:rsidR="00A0726E">
        <w:rPr>
          <w:rFonts w:cstheme="minorHAnsi"/>
          <w:sz w:val="22"/>
          <w:szCs w:val="22"/>
        </w:rPr>
        <w:t>The replacement LINAC has the following advantages over the current units:</w:t>
      </w:r>
    </w:p>
    <w:p w14:paraId="60C8A9D5" w14:textId="42831732" w:rsidR="00A0726E" w:rsidRDefault="007F6652" w:rsidP="00A0726E">
      <w:pPr>
        <w:pStyle w:val="Default"/>
        <w:numPr>
          <w:ilvl w:val="0"/>
          <w:numId w:val="36"/>
        </w:numPr>
        <w:rPr>
          <w:rFonts w:cstheme="minorHAnsi"/>
          <w:sz w:val="22"/>
          <w:szCs w:val="22"/>
        </w:rPr>
      </w:pPr>
      <w:r w:rsidRPr="007F6652">
        <w:rPr>
          <w:rFonts w:cstheme="minorHAnsi"/>
          <w:sz w:val="22"/>
          <w:szCs w:val="22"/>
        </w:rPr>
        <w:t xml:space="preserve">4x </w:t>
      </w:r>
      <w:r w:rsidR="00A0726E" w:rsidRPr="007F6652">
        <w:rPr>
          <w:rFonts w:cstheme="minorHAnsi"/>
          <w:sz w:val="22"/>
          <w:szCs w:val="22"/>
        </w:rPr>
        <w:t>increase</w:t>
      </w:r>
      <w:r w:rsidR="00A0726E">
        <w:rPr>
          <w:rFonts w:cstheme="minorHAnsi"/>
          <w:sz w:val="22"/>
          <w:szCs w:val="22"/>
        </w:rPr>
        <w:t xml:space="preserve"> in</w:t>
      </w:r>
      <w:r w:rsidR="00A0726E" w:rsidRPr="007F6652">
        <w:rPr>
          <w:rFonts w:cstheme="minorHAnsi"/>
          <w:sz w:val="22"/>
          <w:szCs w:val="22"/>
        </w:rPr>
        <w:t xml:space="preserve"> </w:t>
      </w:r>
      <w:r w:rsidRPr="007F6652">
        <w:rPr>
          <w:rFonts w:cstheme="minorHAnsi"/>
          <w:sz w:val="22"/>
          <w:szCs w:val="22"/>
        </w:rPr>
        <w:t>treatment delivery efficiency with flattening filter free (FFF) beam.</w:t>
      </w:r>
    </w:p>
    <w:p w14:paraId="77EF2D82" w14:textId="77777777" w:rsidR="00A0726E" w:rsidRDefault="007F6652" w:rsidP="00A0726E">
      <w:pPr>
        <w:pStyle w:val="Default"/>
        <w:numPr>
          <w:ilvl w:val="0"/>
          <w:numId w:val="36"/>
        </w:numPr>
        <w:rPr>
          <w:rFonts w:cstheme="minorHAnsi"/>
          <w:sz w:val="22"/>
          <w:szCs w:val="22"/>
        </w:rPr>
      </w:pPr>
      <w:r w:rsidRPr="00A0726E">
        <w:rPr>
          <w:rFonts w:cstheme="minorHAnsi"/>
          <w:sz w:val="22"/>
          <w:szCs w:val="22"/>
        </w:rPr>
        <w:t>Improved precision of radiation delivery with advanced imaging guidance</w:t>
      </w:r>
      <w:r w:rsidR="00A0726E">
        <w:rPr>
          <w:rFonts w:cstheme="minorHAnsi"/>
          <w:sz w:val="22"/>
          <w:szCs w:val="22"/>
        </w:rPr>
        <w:t xml:space="preserve">. </w:t>
      </w:r>
      <w:r w:rsidRPr="00A0726E">
        <w:rPr>
          <w:rFonts w:cstheme="minorHAnsi"/>
          <w:sz w:val="22"/>
          <w:szCs w:val="22"/>
        </w:rPr>
        <w:t xml:space="preserve">Faster </w:t>
      </w:r>
      <w:r w:rsidR="00A0726E">
        <w:rPr>
          <w:rFonts w:cstheme="minorHAnsi"/>
          <w:sz w:val="22"/>
          <w:szCs w:val="22"/>
        </w:rPr>
        <w:t>three-dimensional cone beam computed tomography (“CBCT”)</w:t>
      </w:r>
      <w:r w:rsidRPr="00A0726E">
        <w:rPr>
          <w:rFonts w:cstheme="minorHAnsi"/>
          <w:sz w:val="22"/>
          <w:szCs w:val="22"/>
        </w:rPr>
        <w:t xml:space="preserve"> acquisition with better imaging quality for target localization.</w:t>
      </w:r>
    </w:p>
    <w:p w14:paraId="12889344" w14:textId="77777777" w:rsidR="00AD381B" w:rsidRDefault="007F6652" w:rsidP="00AD381B">
      <w:pPr>
        <w:pStyle w:val="Default"/>
        <w:numPr>
          <w:ilvl w:val="0"/>
          <w:numId w:val="36"/>
        </w:numPr>
        <w:rPr>
          <w:rFonts w:cstheme="minorHAnsi"/>
          <w:sz w:val="22"/>
          <w:szCs w:val="22"/>
        </w:rPr>
      </w:pPr>
      <w:r w:rsidRPr="00A0726E">
        <w:rPr>
          <w:rFonts w:cstheme="minorHAnsi"/>
          <w:sz w:val="22"/>
          <w:szCs w:val="22"/>
        </w:rPr>
        <w:t>Upgraded motion management system</w:t>
      </w:r>
      <w:r w:rsidR="00A0726E">
        <w:rPr>
          <w:rFonts w:cstheme="minorHAnsi"/>
          <w:sz w:val="22"/>
          <w:szCs w:val="22"/>
        </w:rPr>
        <w:t xml:space="preserve">, which will improve the </w:t>
      </w:r>
      <w:r w:rsidRPr="00A0726E">
        <w:rPr>
          <w:rFonts w:cstheme="minorHAnsi"/>
          <w:sz w:val="22"/>
          <w:szCs w:val="22"/>
        </w:rPr>
        <w:t xml:space="preserve">clinical workflow for gating and </w:t>
      </w:r>
      <w:r w:rsidR="00A0726E">
        <w:rPr>
          <w:rFonts w:cstheme="minorHAnsi"/>
          <w:sz w:val="22"/>
          <w:szCs w:val="22"/>
        </w:rPr>
        <w:t>deep inspiration breath hold (“DIBH”)</w:t>
      </w:r>
      <w:r w:rsidRPr="00A0726E">
        <w:rPr>
          <w:rFonts w:cstheme="minorHAnsi"/>
          <w:sz w:val="22"/>
          <w:szCs w:val="22"/>
        </w:rPr>
        <w:t xml:space="preserve"> treatment.</w:t>
      </w:r>
    </w:p>
    <w:p w14:paraId="44CA041B" w14:textId="77777777" w:rsidR="008F763E" w:rsidRDefault="00AD381B" w:rsidP="008F763E">
      <w:pPr>
        <w:pStyle w:val="Default"/>
        <w:numPr>
          <w:ilvl w:val="0"/>
          <w:numId w:val="36"/>
        </w:numPr>
        <w:rPr>
          <w:rFonts w:cstheme="minorHAnsi"/>
          <w:sz w:val="22"/>
          <w:szCs w:val="22"/>
        </w:rPr>
      </w:pPr>
      <w:r>
        <w:rPr>
          <w:rFonts w:cstheme="minorHAnsi"/>
          <w:sz w:val="22"/>
          <w:szCs w:val="22"/>
        </w:rPr>
        <w:t>Includes a s</w:t>
      </w:r>
      <w:r w:rsidR="007F6652" w:rsidRPr="00AD381B">
        <w:rPr>
          <w:rFonts w:cstheme="minorHAnsi"/>
          <w:sz w:val="22"/>
          <w:szCs w:val="22"/>
        </w:rPr>
        <w:t>urface</w:t>
      </w:r>
      <w:r>
        <w:rPr>
          <w:rFonts w:cstheme="minorHAnsi"/>
          <w:sz w:val="22"/>
          <w:szCs w:val="22"/>
        </w:rPr>
        <w:t>-</w:t>
      </w:r>
      <w:r w:rsidR="007F6652" w:rsidRPr="00AD381B">
        <w:rPr>
          <w:rFonts w:cstheme="minorHAnsi"/>
          <w:sz w:val="22"/>
          <w:szCs w:val="22"/>
        </w:rPr>
        <w:t>guided radiation system</w:t>
      </w:r>
      <w:r>
        <w:rPr>
          <w:rFonts w:cstheme="minorHAnsi"/>
          <w:sz w:val="22"/>
          <w:szCs w:val="22"/>
        </w:rPr>
        <w:t xml:space="preserve">, which </w:t>
      </w:r>
      <w:r w:rsidR="008F763E">
        <w:rPr>
          <w:rFonts w:cstheme="minorHAnsi"/>
          <w:sz w:val="22"/>
          <w:szCs w:val="22"/>
        </w:rPr>
        <w:t>opens the option of</w:t>
      </w:r>
      <w:r w:rsidR="007F6652" w:rsidRPr="00AD381B">
        <w:rPr>
          <w:rFonts w:cstheme="minorHAnsi"/>
          <w:sz w:val="22"/>
          <w:szCs w:val="22"/>
        </w:rPr>
        <w:t xml:space="preserve"> tattoo-less radiation therapy for breast </w:t>
      </w:r>
      <w:r w:rsidR="008F763E">
        <w:rPr>
          <w:rFonts w:cstheme="minorHAnsi"/>
          <w:sz w:val="22"/>
          <w:szCs w:val="22"/>
        </w:rPr>
        <w:t xml:space="preserve">cancer </w:t>
      </w:r>
      <w:r w:rsidR="007F6652" w:rsidRPr="00AD381B">
        <w:rPr>
          <w:rFonts w:cstheme="minorHAnsi"/>
          <w:sz w:val="22"/>
          <w:szCs w:val="22"/>
        </w:rPr>
        <w:t>patients.</w:t>
      </w:r>
    </w:p>
    <w:p w14:paraId="0A4B5C49" w14:textId="782A1E7F" w:rsidR="00450206" w:rsidRDefault="008F763E" w:rsidP="008F763E">
      <w:pPr>
        <w:pStyle w:val="Default"/>
        <w:numPr>
          <w:ilvl w:val="0"/>
          <w:numId w:val="36"/>
        </w:numPr>
        <w:rPr>
          <w:rFonts w:cstheme="minorHAnsi"/>
          <w:sz w:val="22"/>
          <w:szCs w:val="22"/>
        </w:rPr>
      </w:pPr>
      <w:r>
        <w:rPr>
          <w:rFonts w:cstheme="minorHAnsi"/>
          <w:sz w:val="22"/>
          <w:szCs w:val="22"/>
        </w:rPr>
        <w:t>Has pairing capabilities between</w:t>
      </w:r>
      <w:r w:rsidR="007F6652" w:rsidRPr="008F763E">
        <w:rPr>
          <w:rFonts w:cstheme="minorHAnsi"/>
          <w:sz w:val="22"/>
          <w:szCs w:val="22"/>
        </w:rPr>
        <w:t xml:space="preserve"> machines</w:t>
      </w:r>
      <w:r>
        <w:rPr>
          <w:rFonts w:cstheme="minorHAnsi"/>
          <w:sz w:val="22"/>
          <w:szCs w:val="22"/>
        </w:rPr>
        <w:t xml:space="preserve">, which allows for </w:t>
      </w:r>
      <w:r w:rsidR="007F6652" w:rsidRPr="008F763E">
        <w:rPr>
          <w:rFonts w:cstheme="minorHAnsi"/>
          <w:sz w:val="22"/>
          <w:szCs w:val="22"/>
        </w:rPr>
        <w:t xml:space="preserve">seamless patient transfer between machines </w:t>
      </w:r>
      <w:r>
        <w:rPr>
          <w:rFonts w:cstheme="minorHAnsi"/>
          <w:sz w:val="22"/>
          <w:szCs w:val="22"/>
        </w:rPr>
        <w:t xml:space="preserve">and </w:t>
      </w:r>
      <w:r w:rsidR="007F6652" w:rsidRPr="008F763E">
        <w:rPr>
          <w:rFonts w:cstheme="minorHAnsi"/>
          <w:sz w:val="22"/>
          <w:szCs w:val="22"/>
        </w:rPr>
        <w:t>avoid</w:t>
      </w:r>
      <w:r>
        <w:rPr>
          <w:rFonts w:cstheme="minorHAnsi"/>
          <w:sz w:val="22"/>
          <w:szCs w:val="22"/>
        </w:rPr>
        <w:t>s</w:t>
      </w:r>
      <w:r w:rsidR="007F6652" w:rsidRPr="008F763E">
        <w:rPr>
          <w:rFonts w:cstheme="minorHAnsi"/>
          <w:sz w:val="22"/>
          <w:szCs w:val="22"/>
        </w:rPr>
        <w:t xml:space="preserve"> treatment delays.</w:t>
      </w:r>
    </w:p>
    <w:p w14:paraId="02E0F011" w14:textId="0A666E75" w:rsidR="00EB5E3E" w:rsidRDefault="00EB5E3E" w:rsidP="00EB5E3E">
      <w:pPr>
        <w:pStyle w:val="Default"/>
        <w:rPr>
          <w:rFonts w:cstheme="minorHAnsi"/>
          <w:sz w:val="22"/>
          <w:szCs w:val="22"/>
        </w:rPr>
      </w:pPr>
    </w:p>
    <w:p w14:paraId="16A82D6A" w14:textId="67E055C5" w:rsidR="00EB5E3E" w:rsidRPr="008F763E" w:rsidRDefault="00EB5E3E" w:rsidP="00EB5E3E">
      <w:pPr>
        <w:pStyle w:val="Default"/>
        <w:ind w:left="360"/>
        <w:rPr>
          <w:rFonts w:cstheme="minorHAnsi"/>
          <w:sz w:val="22"/>
          <w:szCs w:val="22"/>
        </w:rPr>
      </w:pPr>
      <w:r w:rsidRPr="00EB5E3E">
        <w:rPr>
          <w:rFonts w:cstheme="minorHAnsi"/>
          <w:sz w:val="22"/>
          <w:szCs w:val="22"/>
        </w:rPr>
        <w:t>The new CT simulator is equipped with the latest technology</w:t>
      </w:r>
      <w:r>
        <w:rPr>
          <w:rFonts w:cstheme="minorHAnsi"/>
          <w:sz w:val="22"/>
          <w:szCs w:val="22"/>
        </w:rPr>
        <w:t xml:space="preserve"> and </w:t>
      </w:r>
      <w:r w:rsidRPr="00EB5E3E">
        <w:rPr>
          <w:rFonts w:cstheme="minorHAnsi"/>
          <w:sz w:val="22"/>
          <w:szCs w:val="22"/>
        </w:rPr>
        <w:t xml:space="preserve">designed with a more intuitive workflow </w:t>
      </w:r>
      <w:r>
        <w:rPr>
          <w:rFonts w:cstheme="minorHAnsi"/>
          <w:sz w:val="22"/>
          <w:szCs w:val="22"/>
        </w:rPr>
        <w:t>to improve the efficiency</w:t>
      </w:r>
      <w:r w:rsidRPr="00EB5E3E">
        <w:rPr>
          <w:rFonts w:cstheme="minorHAnsi"/>
          <w:sz w:val="22"/>
          <w:szCs w:val="22"/>
        </w:rPr>
        <w:t xml:space="preserve"> of the scanning process</w:t>
      </w:r>
      <w:r>
        <w:rPr>
          <w:rFonts w:cstheme="minorHAnsi"/>
          <w:sz w:val="22"/>
          <w:szCs w:val="22"/>
        </w:rPr>
        <w:t>. It also has</w:t>
      </w:r>
      <w:r w:rsidRPr="00EB5E3E">
        <w:rPr>
          <w:rFonts w:cstheme="minorHAnsi"/>
          <w:sz w:val="22"/>
          <w:szCs w:val="22"/>
        </w:rPr>
        <w:t xml:space="preserve"> higher quality imaging, faster reconstruction, and higher levels of integration with other systems</w:t>
      </w:r>
      <w:r>
        <w:rPr>
          <w:rFonts w:cstheme="minorHAnsi"/>
          <w:sz w:val="22"/>
          <w:szCs w:val="22"/>
        </w:rPr>
        <w:t xml:space="preserve">, which </w:t>
      </w:r>
      <w:r w:rsidRPr="00EB5E3E">
        <w:rPr>
          <w:rFonts w:cstheme="minorHAnsi"/>
          <w:sz w:val="22"/>
          <w:szCs w:val="22"/>
        </w:rPr>
        <w:t>support</w:t>
      </w:r>
      <w:r>
        <w:rPr>
          <w:rFonts w:cstheme="minorHAnsi"/>
          <w:sz w:val="22"/>
          <w:szCs w:val="22"/>
        </w:rPr>
        <w:t>s a more precise</w:t>
      </w:r>
      <w:r w:rsidRPr="00EB5E3E">
        <w:rPr>
          <w:rFonts w:cstheme="minorHAnsi"/>
          <w:sz w:val="22"/>
          <w:szCs w:val="22"/>
        </w:rPr>
        <w:t xml:space="preserve"> treatment planning process.</w:t>
      </w:r>
    </w:p>
    <w:p w14:paraId="581F718E" w14:textId="77777777" w:rsidR="000C6277" w:rsidRPr="000C6277" w:rsidRDefault="000C6277" w:rsidP="000C6277">
      <w:pPr>
        <w:spacing w:line="229" w:lineRule="exact"/>
      </w:pPr>
    </w:p>
    <w:p w14:paraId="7642CFB7" w14:textId="4ED0B54D" w:rsidR="00D41E4A" w:rsidRPr="00450206" w:rsidRDefault="00170D7F" w:rsidP="003506AE">
      <w:pPr>
        <w:pStyle w:val="ListParagraph"/>
        <w:numPr>
          <w:ilvl w:val="0"/>
          <w:numId w:val="29"/>
        </w:numPr>
        <w:spacing w:line="229" w:lineRule="exact"/>
        <w:rPr>
          <w:rStyle w:val="cf01"/>
          <w:rFonts w:asciiTheme="minorHAnsi" w:hAnsiTheme="minorHAnsi" w:cstheme="minorHAnsi"/>
          <w:b/>
          <w:bCs/>
          <w:sz w:val="22"/>
          <w:szCs w:val="22"/>
        </w:rPr>
      </w:pPr>
      <w:r w:rsidRPr="00450206">
        <w:rPr>
          <w:rStyle w:val="cf01"/>
          <w:rFonts w:asciiTheme="minorHAnsi" w:hAnsiTheme="minorHAnsi" w:cstheme="minorHAnsi"/>
          <w:b/>
          <w:bCs/>
          <w:sz w:val="22"/>
          <w:szCs w:val="22"/>
        </w:rPr>
        <w:t>Noted on Narrative p. 17</w:t>
      </w:r>
      <w:r w:rsidR="00EC5F2B" w:rsidRPr="00450206">
        <w:rPr>
          <w:rStyle w:val="cf01"/>
          <w:rFonts w:asciiTheme="minorHAnsi" w:hAnsiTheme="minorHAnsi" w:cstheme="minorHAnsi"/>
          <w:b/>
          <w:bCs/>
          <w:sz w:val="22"/>
          <w:szCs w:val="22"/>
        </w:rPr>
        <w:t xml:space="preserve">, the Applicant presented the project to </w:t>
      </w:r>
      <w:r w:rsidR="00C8280E" w:rsidRPr="00450206">
        <w:rPr>
          <w:rStyle w:val="cf01"/>
          <w:rFonts w:asciiTheme="minorHAnsi" w:hAnsiTheme="minorHAnsi" w:cstheme="minorHAnsi"/>
          <w:b/>
          <w:bCs/>
          <w:sz w:val="22"/>
          <w:szCs w:val="22"/>
        </w:rPr>
        <w:t xml:space="preserve">Hospital’s Patient and Family Advisory Committee, Community Benefits and Advisory Committee, and the </w:t>
      </w:r>
      <w:r w:rsidR="006A7EAE" w:rsidRPr="00450206">
        <w:rPr>
          <w:rStyle w:val="cf01"/>
          <w:rFonts w:asciiTheme="minorHAnsi" w:hAnsiTheme="minorHAnsi" w:cstheme="minorHAnsi"/>
          <w:b/>
          <w:bCs/>
          <w:sz w:val="22"/>
          <w:szCs w:val="22"/>
        </w:rPr>
        <w:t>LHMC Community</w:t>
      </w:r>
      <w:r w:rsidR="00D653C6" w:rsidRPr="00450206">
        <w:rPr>
          <w:rStyle w:val="cf01"/>
          <w:rFonts w:asciiTheme="minorHAnsi" w:hAnsiTheme="minorHAnsi" w:cstheme="minorHAnsi"/>
          <w:b/>
          <w:bCs/>
          <w:sz w:val="22"/>
          <w:szCs w:val="22"/>
        </w:rPr>
        <w:t>.</w:t>
      </w:r>
      <w:r w:rsidR="00D653C6" w:rsidRPr="00450206">
        <w:rPr>
          <w:rFonts w:ascii="Arial" w:eastAsia="Arial" w:hAnsi="Arial" w:cs="Arial"/>
          <w:b/>
          <w:bCs/>
          <w:kern w:val="2"/>
        </w:rPr>
        <w:t xml:space="preserve"> </w:t>
      </w:r>
      <w:r w:rsidR="003C28D0" w:rsidRPr="00450206">
        <w:rPr>
          <w:rStyle w:val="cf01"/>
          <w:rFonts w:asciiTheme="minorHAnsi" w:hAnsiTheme="minorHAnsi" w:cstheme="minorHAnsi"/>
          <w:b/>
          <w:bCs/>
          <w:sz w:val="22"/>
          <w:szCs w:val="22"/>
        </w:rPr>
        <w:t xml:space="preserve">To better understand the Applicant’s community engagement efforts, </w:t>
      </w:r>
      <w:r w:rsidR="003506AE" w:rsidRPr="00450206">
        <w:rPr>
          <w:rStyle w:val="cf01"/>
          <w:rFonts w:asciiTheme="minorHAnsi" w:hAnsiTheme="minorHAnsi" w:cstheme="minorHAnsi"/>
          <w:b/>
          <w:bCs/>
          <w:sz w:val="22"/>
          <w:szCs w:val="22"/>
        </w:rPr>
        <w:t>p</w:t>
      </w:r>
      <w:r w:rsidR="004C7C09" w:rsidRPr="00450206">
        <w:rPr>
          <w:rStyle w:val="cf01"/>
          <w:rFonts w:asciiTheme="minorHAnsi" w:hAnsiTheme="minorHAnsi" w:cstheme="minorHAnsi"/>
          <w:b/>
          <w:bCs/>
          <w:sz w:val="22"/>
          <w:szCs w:val="22"/>
        </w:rPr>
        <w:t xml:space="preserve">lease provide </w:t>
      </w:r>
      <w:proofErr w:type="gramStart"/>
      <w:r w:rsidR="004C7C09" w:rsidRPr="00450206">
        <w:rPr>
          <w:rStyle w:val="cf01"/>
          <w:rFonts w:asciiTheme="minorHAnsi" w:hAnsiTheme="minorHAnsi" w:cstheme="minorHAnsi"/>
          <w:b/>
          <w:bCs/>
          <w:sz w:val="22"/>
          <w:szCs w:val="22"/>
        </w:rPr>
        <w:t>a brief summary</w:t>
      </w:r>
      <w:proofErr w:type="gramEnd"/>
      <w:r w:rsidR="004C7C09" w:rsidRPr="00450206">
        <w:rPr>
          <w:rStyle w:val="cf01"/>
          <w:rFonts w:asciiTheme="minorHAnsi" w:hAnsiTheme="minorHAnsi" w:cstheme="minorHAnsi"/>
          <w:b/>
          <w:bCs/>
          <w:sz w:val="22"/>
          <w:szCs w:val="22"/>
        </w:rPr>
        <w:t xml:space="preserve"> of questions and </w:t>
      </w:r>
      <w:r w:rsidR="005338A0" w:rsidRPr="00450206">
        <w:rPr>
          <w:rStyle w:val="cf01"/>
          <w:rFonts w:asciiTheme="minorHAnsi" w:hAnsiTheme="minorHAnsi" w:cstheme="minorHAnsi"/>
          <w:b/>
          <w:bCs/>
          <w:sz w:val="22"/>
          <w:szCs w:val="22"/>
        </w:rPr>
        <w:t>feedback</w:t>
      </w:r>
      <w:r w:rsidR="004C7C09" w:rsidRPr="00450206">
        <w:rPr>
          <w:rStyle w:val="cf01"/>
          <w:rFonts w:asciiTheme="minorHAnsi" w:hAnsiTheme="minorHAnsi" w:cstheme="minorHAnsi"/>
          <w:b/>
          <w:bCs/>
          <w:sz w:val="22"/>
          <w:szCs w:val="22"/>
        </w:rPr>
        <w:t xml:space="preserve"> </w:t>
      </w:r>
      <w:r w:rsidR="003506AE" w:rsidRPr="00450206">
        <w:rPr>
          <w:rStyle w:val="cf01"/>
          <w:rFonts w:asciiTheme="minorHAnsi" w:hAnsiTheme="minorHAnsi" w:cstheme="minorHAnsi"/>
          <w:b/>
          <w:bCs/>
          <w:sz w:val="22"/>
          <w:szCs w:val="22"/>
        </w:rPr>
        <w:t xml:space="preserve">raised </w:t>
      </w:r>
      <w:r w:rsidR="004C7C09" w:rsidRPr="00450206">
        <w:rPr>
          <w:rStyle w:val="cf01"/>
          <w:rFonts w:asciiTheme="minorHAnsi" w:hAnsiTheme="minorHAnsi" w:cstheme="minorHAnsi"/>
          <w:b/>
          <w:bCs/>
          <w:sz w:val="22"/>
          <w:szCs w:val="22"/>
        </w:rPr>
        <w:t xml:space="preserve">from each </w:t>
      </w:r>
      <w:r w:rsidR="003506AE" w:rsidRPr="00450206">
        <w:rPr>
          <w:rStyle w:val="cf01"/>
          <w:rFonts w:asciiTheme="minorHAnsi" w:hAnsiTheme="minorHAnsi" w:cstheme="minorHAnsi"/>
          <w:b/>
          <w:bCs/>
          <w:sz w:val="22"/>
          <w:szCs w:val="22"/>
        </w:rPr>
        <w:t xml:space="preserve">of the three </w:t>
      </w:r>
      <w:r w:rsidR="004C7C09" w:rsidRPr="00450206">
        <w:rPr>
          <w:rStyle w:val="cf01"/>
          <w:rFonts w:asciiTheme="minorHAnsi" w:hAnsiTheme="minorHAnsi" w:cstheme="minorHAnsi"/>
          <w:b/>
          <w:bCs/>
          <w:sz w:val="22"/>
          <w:szCs w:val="22"/>
        </w:rPr>
        <w:t>presentation</w:t>
      </w:r>
      <w:r w:rsidR="003506AE" w:rsidRPr="00450206">
        <w:rPr>
          <w:rStyle w:val="cf01"/>
          <w:rFonts w:asciiTheme="minorHAnsi" w:hAnsiTheme="minorHAnsi" w:cstheme="minorHAnsi"/>
          <w:b/>
          <w:bCs/>
          <w:sz w:val="22"/>
          <w:szCs w:val="22"/>
        </w:rPr>
        <w:t>s</w:t>
      </w:r>
      <w:r w:rsidR="00E07CD1" w:rsidRPr="00450206">
        <w:rPr>
          <w:rStyle w:val="cf01"/>
          <w:rFonts w:asciiTheme="minorHAnsi" w:hAnsiTheme="minorHAnsi" w:cstheme="minorHAnsi"/>
          <w:b/>
          <w:bCs/>
          <w:sz w:val="22"/>
          <w:szCs w:val="22"/>
        </w:rPr>
        <w:t>.</w:t>
      </w:r>
    </w:p>
    <w:p w14:paraId="66AC286F" w14:textId="77777777" w:rsidR="009F053D" w:rsidRDefault="00450206" w:rsidP="008F763E">
      <w:pPr>
        <w:pStyle w:val="Default"/>
        <w:ind w:left="360"/>
        <w:rPr>
          <w:rFonts w:asciiTheme="minorHAnsi" w:hAnsiTheme="minorHAnsi" w:cstheme="minorHAnsi"/>
          <w:sz w:val="22"/>
          <w:szCs w:val="22"/>
        </w:rPr>
      </w:pPr>
      <w:r w:rsidRPr="00450206">
        <w:rPr>
          <w:rFonts w:asciiTheme="minorHAnsi" w:hAnsiTheme="minorHAnsi" w:cstheme="minorHAnsi"/>
          <w:sz w:val="22"/>
          <w:szCs w:val="22"/>
          <w:u w:val="single"/>
        </w:rPr>
        <w:t>Response</w:t>
      </w:r>
      <w:r w:rsidRPr="00450206">
        <w:rPr>
          <w:rFonts w:asciiTheme="minorHAnsi" w:hAnsiTheme="minorHAnsi" w:cstheme="minorHAnsi"/>
          <w:sz w:val="22"/>
          <w:szCs w:val="22"/>
        </w:rPr>
        <w:t xml:space="preserve">: </w:t>
      </w:r>
    </w:p>
    <w:p w14:paraId="67F801FB" w14:textId="77777777" w:rsidR="009F053D" w:rsidRDefault="009F053D" w:rsidP="008F763E">
      <w:pPr>
        <w:pStyle w:val="Default"/>
        <w:ind w:left="360"/>
        <w:rPr>
          <w:rFonts w:cstheme="minorHAnsi"/>
          <w:sz w:val="22"/>
          <w:szCs w:val="22"/>
        </w:rPr>
      </w:pPr>
    </w:p>
    <w:p w14:paraId="474A65F5" w14:textId="7BBFEAB6" w:rsidR="008F763E" w:rsidRPr="008F763E" w:rsidRDefault="009F053D" w:rsidP="009F053D">
      <w:pPr>
        <w:pStyle w:val="Default"/>
        <w:numPr>
          <w:ilvl w:val="0"/>
          <w:numId w:val="37"/>
        </w:numPr>
        <w:rPr>
          <w:rFonts w:cstheme="minorHAnsi"/>
          <w:sz w:val="22"/>
          <w:szCs w:val="22"/>
        </w:rPr>
      </w:pPr>
      <w:r>
        <w:rPr>
          <w:rFonts w:cstheme="minorHAnsi"/>
          <w:sz w:val="22"/>
          <w:szCs w:val="22"/>
          <w:u w:val="single"/>
        </w:rPr>
        <w:t xml:space="preserve">CBAC </w:t>
      </w:r>
      <w:r w:rsidRPr="009F053D">
        <w:rPr>
          <w:rFonts w:cstheme="minorHAnsi"/>
          <w:sz w:val="22"/>
          <w:szCs w:val="22"/>
          <w:u w:val="single"/>
        </w:rPr>
        <w:t>Presentation</w:t>
      </w:r>
      <w:r>
        <w:rPr>
          <w:rFonts w:cstheme="minorHAnsi"/>
          <w:sz w:val="22"/>
          <w:szCs w:val="22"/>
        </w:rPr>
        <w:t xml:space="preserve">. </w:t>
      </w:r>
      <w:r w:rsidRPr="009F053D">
        <w:rPr>
          <w:rFonts w:cstheme="minorHAnsi"/>
          <w:sz w:val="22"/>
          <w:szCs w:val="22"/>
        </w:rPr>
        <w:t>During</w:t>
      </w:r>
      <w:r>
        <w:rPr>
          <w:rFonts w:cstheme="minorHAnsi"/>
          <w:sz w:val="22"/>
          <w:szCs w:val="22"/>
        </w:rPr>
        <w:t xml:space="preserve"> the Community Benefits Advisory Committee (“CBAC”) presentation on December 13, 2022, Kevin Bennett</w:t>
      </w:r>
      <w:r w:rsidR="008F763E" w:rsidRPr="008F763E">
        <w:rPr>
          <w:rFonts w:cstheme="minorHAnsi"/>
          <w:sz w:val="22"/>
          <w:szCs w:val="22"/>
        </w:rPr>
        <w:t xml:space="preserve"> provided an overview of the need for the project, the intended benefits to patients and the community, and next steps in the process. </w:t>
      </w:r>
      <w:r w:rsidR="009611FA">
        <w:rPr>
          <w:rFonts w:cstheme="minorHAnsi"/>
          <w:sz w:val="22"/>
          <w:szCs w:val="22"/>
        </w:rPr>
        <w:t xml:space="preserve">CBAC </w:t>
      </w:r>
      <w:r w:rsidR="00103AD1">
        <w:rPr>
          <w:rFonts w:cstheme="minorHAnsi"/>
          <w:sz w:val="22"/>
          <w:szCs w:val="22"/>
        </w:rPr>
        <w:t>m</w:t>
      </w:r>
      <w:r w:rsidR="009611FA">
        <w:rPr>
          <w:rFonts w:cstheme="minorHAnsi"/>
          <w:sz w:val="22"/>
          <w:szCs w:val="22"/>
        </w:rPr>
        <w:t xml:space="preserve">embers were interested in understanding </w:t>
      </w:r>
      <w:r w:rsidR="00103AD1">
        <w:rPr>
          <w:rFonts w:cstheme="minorHAnsi"/>
          <w:sz w:val="22"/>
          <w:szCs w:val="22"/>
        </w:rPr>
        <w:t xml:space="preserve">where the new department would be located and the impact on parking, as well as understanding the </w:t>
      </w:r>
      <w:proofErr w:type="spellStart"/>
      <w:r w:rsidR="00103AD1">
        <w:rPr>
          <w:rFonts w:cstheme="minorHAnsi"/>
          <w:sz w:val="22"/>
          <w:szCs w:val="22"/>
        </w:rPr>
        <w:t>DoN</w:t>
      </w:r>
      <w:proofErr w:type="spellEnd"/>
      <w:r w:rsidR="00103AD1">
        <w:rPr>
          <w:rFonts w:cstheme="minorHAnsi"/>
          <w:sz w:val="22"/>
          <w:szCs w:val="22"/>
        </w:rPr>
        <w:t xml:space="preserve"> application and CHI processes. </w:t>
      </w:r>
    </w:p>
    <w:p w14:paraId="08CDA365" w14:textId="77777777" w:rsidR="009F053D" w:rsidRDefault="009F053D" w:rsidP="008F763E">
      <w:pPr>
        <w:pStyle w:val="Default"/>
        <w:ind w:left="360"/>
        <w:rPr>
          <w:rFonts w:cstheme="minorHAnsi"/>
          <w:sz w:val="22"/>
          <w:szCs w:val="22"/>
        </w:rPr>
      </w:pPr>
    </w:p>
    <w:p w14:paraId="19A5A1B2" w14:textId="78BB7004" w:rsidR="008F763E" w:rsidRDefault="009F053D" w:rsidP="009F053D">
      <w:pPr>
        <w:pStyle w:val="Default"/>
        <w:numPr>
          <w:ilvl w:val="0"/>
          <w:numId w:val="37"/>
        </w:numPr>
        <w:rPr>
          <w:rFonts w:cstheme="minorHAnsi"/>
          <w:sz w:val="22"/>
          <w:szCs w:val="22"/>
        </w:rPr>
      </w:pPr>
      <w:r>
        <w:rPr>
          <w:rFonts w:cstheme="minorHAnsi"/>
          <w:sz w:val="22"/>
          <w:szCs w:val="22"/>
          <w:u w:val="single"/>
        </w:rPr>
        <w:t xml:space="preserve">LHMC Community </w:t>
      </w:r>
      <w:r w:rsidRPr="009F053D">
        <w:rPr>
          <w:rFonts w:cstheme="minorHAnsi"/>
          <w:sz w:val="22"/>
          <w:szCs w:val="22"/>
          <w:u w:val="single"/>
        </w:rPr>
        <w:t>Presentation</w:t>
      </w:r>
      <w:r w:rsidRPr="009F053D">
        <w:rPr>
          <w:rFonts w:cstheme="minorHAnsi"/>
          <w:sz w:val="22"/>
          <w:szCs w:val="22"/>
        </w:rPr>
        <w:t>.</w:t>
      </w:r>
      <w:r w:rsidRPr="009F053D">
        <w:rPr>
          <w:rFonts w:cstheme="minorHAnsi"/>
          <w:b/>
          <w:bCs/>
          <w:sz w:val="22"/>
          <w:szCs w:val="22"/>
        </w:rPr>
        <w:t xml:space="preserve"> </w:t>
      </w:r>
      <w:r>
        <w:rPr>
          <w:rFonts w:cstheme="minorHAnsi"/>
          <w:sz w:val="22"/>
          <w:szCs w:val="22"/>
        </w:rPr>
        <w:t>During an</w:t>
      </w:r>
      <w:r w:rsidR="008F763E" w:rsidRPr="008F763E">
        <w:rPr>
          <w:rFonts w:cstheme="minorHAnsi"/>
          <w:sz w:val="22"/>
          <w:szCs w:val="22"/>
        </w:rPr>
        <w:t xml:space="preserve"> open meeting </w:t>
      </w:r>
      <w:r>
        <w:rPr>
          <w:rFonts w:cstheme="minorHAnsi"/>
          <w:sz w:val="22"/>
          <w:szCs w:val="22"/>
        </w:rPr>
        <w:t xml:space="preserve">with the LHMC community </w:t>
      </w:r>
      <w:r w:rsidR="008F763E" w:rsidRPr="008F763E">
        <w:rPr>
          <w:rFonts w:cstheme="minorHAnsi"/>
          <w:sz w:val="22"/>
          <w:szCs w:val="22"/>
        </w:rPr>
        <w:t>on December 20th, 2022</w:t>
      </w:r>
      <w:r>
        <w:rPr>
          <w:rFonts w:cstheme="minorHAnsi"/>
          <w:sz w:val="22"/>
          <w:szCs w:val="22"/>
        </w:rPr>
        <w:t xml:space="preserve">, </w:t>
      </w:r>
      <w:r w:rsidR="008F763E" w:rsidRPr="008F763E">
        <w:rPr>
          <w:rFonts w:cstheme="minorHAnsi"/>
          <w:sz w:val="22"/>
          <w:szCs w:val="22"/>
        </w:rPr>
        <w:t xml:space="preserve">Kevin </w:t>
      </w:r>
      <w:r>
        <w:rPr>
          <w:rFonts w:cstheme="minorHAnsi"/>
          <w:sz w:val="22"/>
          <w:szCs w:val="22"/>
        </w:rPr>
        <w:t xml:space="preserve">Bennett </w:t>
      </w:r>
      <w:r w:rsidR="008F763E" w:rsidRPr="008F763E">
        <w:rPr>
          <w:rFonts w:cstheme="minorHAnsi"/>
          <w:sz w:val="22"/>
          <w:szCs w:val="22"/>
        </w:rPr>
        <w:t>provided an overview of the need for the project</w:t>
      </w:r>
      <w:r>
        <w:rPr>
          <w:rFonts w:cstheme="minorHAnsi"/>
          <w:sz w:val="22"/>
          <w:szCs w:val="22"/>
        </w:rPr>
        <w:t xml:space="preserve"> and</w:t>
      </w:r>
      <w:r w:rsidR="008F763E" w:rsidRPr="008F763E">
        <w:rPr>
          <w:rFonts w:cstheme="minorHAnsi"/>
          <w:sz w:val="22"/>
          <w:szCs w:val="22"/>
        </w:rPr>
        <w:t xml:space="preserve"> its benefit to our surrounding communities and outlined the next steps in the process. Community members were asked if they had any questions or comments and then provided with ample time to provide comments or ask questions. </w:t>
      </w:r>
      <w:r>
        <w:rPr>
          <w:rFonts w:cstheme="minorHAnsi"/>
          <w:sz w:val="22"/>
          <w:szCs w:val="22"/>
        </w:rPr>
        <w:t>There were no questions or comments.</w:t>
      </w:r>
    </w:p>
    <w:p w14:paraId="49C53234" w14:textId="77777777" w:rsidR="009F053D" w:rsidRDefault="009F053D" w:rsidP="009F053D">
      <w:pPr>
        <w:pStyle w:val="Default"/>
        <w:ind w:left="1080"/>
        <w:rPr>
          <w:rFonts w:cstheme="minorHAnsi"/>
          <w:sz w:val="22"/>
          <w:szCs w:val="22"/>
        </w:rPr>
      </w:pPr>
    </w:p>
    <w:p w14:paraId="68179D62" w14:textId="3521041C" w:rsidR="009F053D" w:rsidRDefault="009F053D" w:rsidP="009F053D">
      <w:pPr>
        <w:pStyle w:val="Default"/>
        <w:numPr>
          <w:ilvl w:val="0"/>
          <w:numId w:val="37"/>
        </w:numPr>
        <w:rPr>
          <w:rFonts w:cstheme="minorHAnsi"/>
          <w:sz w:val="22"/>
          <w:szCs w:val="22"/>
        </w:rPr>
      </w:pPr>
      <w:r w:rsidRPr="009F053D">
        <w:rPr>
          <w:rFonts w:cstheme="minorHAnsi"/>
          <w:sz w:val="22"/>
          <w:szCs w:val="22"/>
          <w:u w:val="single"/>
        </w:rPr>
        <w:t>PFAC Presentation</w:t>
      </w:r>
      <w:r>
        <w:rPr>
          <w:rFonts w:cstheme="minorHAnsi"/>
          <w:sz w:val="22"/>
          <w:szCs w:val="22"/>
        </w:rPr>
        <w:t>. During the</w:t>
      </w:r>
      <w:r w:rsidR="008F763E" w:rsidRPr="009F053D">
        <w:rPr>
          <w:rFonts w:cstheme="minorHAnsi"/>
          <w:sz w:val="22"/>
          <w:szCs w:val="22"/>
        </w:rPr>
        <w:t xml:space="preserve"> </w:t>
      </w:r>
      <w:r>
        <w:rPr>
          <w:rFonts w:cstheme="minorHAnsi"/>
          <w:sz w:val="22"/>
          <w:szCs w:val="22"/>
        </w:rPr>
        <w:t>Patient and Family Advisory (“PFAC”) meeting</w:t>
      </w:r>
      <w:r w:rsidR="008F763E" w:rsidRPr="009F053D">
        <w:rPr>
          <w:rFonts w:cstheme="minorHAnsi"/>
          <w:sz w:val="22"/>
          <w:szCs w:val="22"/>
        </w:rPr>
        <w:t xml:space="preserve"> on February 7, 2023</w:t>
      </w:r>
      <w:r>
        <w:rPr>
          <w:rFonts w:cstheme="minorHAnsi"/>
          <w:sz w:val="22"/>
          <w:szCs w:val="22"/>
        </w:rPr>
        <w:t>, Kevin Bennett</w:t>
      </w:r>
      <w:r w:rsidR="008F763E" w:rsidRPr="009F053D">
        <w:rPr>
          <w:rFonts w:cstheme="minorHAnsi"/>
          <w:sz w:val="22"/>
          <w:szCs w:val="22"/>
        </w:rPr>
        <w:t xml:space="preserve"> presented the same information that had been shared at the CBAC meeting and </w:t>
      </w:r>
      <w:r w:rsidR="008F763E" w:rsidRPr="009F053D">
        <w:rPr>
          <w:rFonts w:cstheme="minorHAnsi"/>
          <w:sz w:val="22"/>
          <w:szCs w:val="22"/>
        </w:rPr>
        <w:lastRenderedPageBreak/>
        <w:t xml:space="preserve">public community meeting. </w:t>
      </w:r>
      <w:r>
        <w:rPr>
          <w:rFonts w:cstheme="minorHAnsi"/>
          <w:sz w:val="22"/>
          <w:szCs w:val="22"/>
        </w:rPr>
        <w:t>PFAC</w:t>
      </w:r>
      <w:r w:rsidR="008F763E" w:rsidRPr="009F053D">
        <w:rPr>
          <w:rFonts w:cstheme="minorHAnsi"/>
          <w:sz w:val="22"/>
          <w:szCs w:val="22"/>
        </w:rPr>
        <w:t xml:space="preserve"> members were provided with ample time to provide comments or ask questions</w:t>
      </w:r>
      <w:r>
        <w:rPr>
          <w:rFonts w:cstheme="minorHAnsi"/>
          <w:sz w:val="22"/>
          <w:szCs w:val="22"/>
        </w:rPr>
        <w:t>. There were no questions or comments.</w:t>
      </w:r>
    </w:p>
    <w:p w14:paraId="37C83B11" w14:textId="77777777" w:rsidR="00450206" w:rsidRPr="00450206" w:rsidRDefault="00450206" w:rsidP="00450206">
      <w:pPr>
        <w:spacing w:line="229" w:lineRule="exact"/>
        <w:rPr>
          <w:rStyle w:val="cf01"/>
          <w:rFonts w:asciiTheme="minorHAnsi" w:hAnsiTheme="minorHAnsi" w:cstheme="minorHAnsi"/>
          <w:sz w:val="22"/>
          <w:szCs w:val="22"/>
        </w:rPr>
      </w:pPr>
    </w:p>
    <w:p w14:paraId="523753AA" w14:textId="22100532" w:rsidR="00EB3372" w:rsidRDefault="00F965BD" w:rsidP="00DF40C8">
      <w:pPr>
        <w:pStyle w:val="ListParagraph"/>
        <w:numPr>
          <w:ilvl w:val="0"/>
          <w:numId w:val="29"/>
        </w:numPr>
        <w:spacing w:line="229" w:lineRule="exact"/>
        <w:rPr>
          <w:rStyle w:val="cf01"/>
          <w:rFonts w:asciiTheme="minorHAnsi" w:hAnsiTheme="minorHAnsi" w:cstheme="minorHAnsi"/>
          <w:b/>
          <w:bCs/>
          <w:sz w:val="22"/>
          <w:szCs w:val="22"/>
        </w:rPr>
      </w:pPr>
      <w:r w:rsidRPr="00450206">
        <w:rPr>
          <w:rStyle w:val="cf01"/>
          <w:rFonts w:asciiTheme="minorHAnsi" w:hAnsiTheme="minorHAnsi" w:cstheme="minorHAnsi"/>
          <w:b/>
          <w:bCs/>
          <w:sz w:val="22"/>
          <w:szCs w:val="22"/>
        </w:rPr>
        <w:t>Page 19 of the Narrative states, “</w:t>
      </w:r>
      <w:r w:rsidR="000907F9" w:rsidRPr="00450206">
        <w:rPr>
          <w:rStyle w:val="cf01"/>
          <w:rFonts w:asciiTheme="minorHAnsi" w:hAnsiTheme="minorHAnsi" w:cstheme="minorHAnsi"/>
          <w:b/>
          <w:bCs/>
          <w:sz w:val="22"/>
          <w:szCs w:val="22"/>
        </w:rPr>
        <w:t xml:space="preserve">If concerns around social determinants of health are identified or suspected during pre-procedure screenings and appointments, staff will provide the patient with referral resources and notify the patient’s primary care provider as appropriate to encourage necessary follow-up.”  Please provide a description of the </w:t>
      </w:r>
      <w:proofErr w:type="spellStart"/>
      <w:r w:rsidR="000907F9" w:rsidRPr="00450206">
        <w:rPr>
          <w:rStyle w:val="cf01"/>
          <w:rFonts w:asciiTheme="minorHAnsi" w:hAnsiTheme="minorHAnsi" w:cstheme="minorHAnsi"/>
          <w:b/>
          <w:bCs/>
          <w:sz w:val="22"/>
          <w:szCs w:val="22"/>
        </w:rPr>
        <w:t>SDoH</w:t>
      </w:r>
      <w:proofErr w:type="spellEnd"/>
      <w:r w:rsidR="000907F9" w:rsidRPr="00450206">
        <w:rPr>
          <w:rStyle w:val="cf01"/>
          <w:rFonts w:asciiTheme="minorHAnsi" w:hAnsiTheme="minorHAnsi" w:cstheme="minorHAnsi"/>
          <w:b/>
          <w:bCs/>
          <w:sz w:val="22"/>
          <w:szCs w:val="22"/>
        </w:rPr>
        <w:t xml:space="preserve"> screening process LHMC </w:t>
      </w:r>
      <w:r w:rsidR="008E187B" w:rsidRPr="00450206">
        <w:rPr>
          <w:rStyle w:val="cf01"/>
          <w:rFonts w:asciiTheme="minorHAnsi" w:hAnsiTheme="minorHAnsi" w:cstheme="minorHAnsi"/>
          <w:b/>
          <w:bCs/>
          <w:sz w:val="22"/>
          <w:szCs w:val="22"/>
        </w:rPr>
        <w:t>uses to determine if concerns are present.</w:t>
      </w:r>
    </w:p>
    <w:p w14:paraId="61FF2815" w14:textId="20B0EA58" w:rsidR="00EB5E3E" w:rsidRDefault="00450206" w:rsidP="009F053D">
      <w:pPr>
        <w:pStyle w:val="Default"/>
        <w:ind w:left="360"/>
        <w:rPr>
          <w:rFonts w:asciiTheme="minorHAnsi" w:hAnsiTheme="minorHAnsi" w:cstheme="minorHAnsi"/>
          <w:sz w:val="22"/>
          <w:szCs w:val="22"/>
        </w:rPr>
      </w:pPr>
      <w:r w:rsidRPr="00450206">
        <w:rPr>
          <w:rFonts w:asciiTheme="minorHAnsi" w:hAnsiTheme="minorHAnsi" w:cstheme="minorHAnsi"/>
          <w:sz w:val="22"/>
          <w:szCs w:val="22"/>
          <w:u w:val="single"/>
        </w:rPr>
        <w:t>Response</w:t>
      </w:r>
      <w:r w:rsidRPr="00450206">
        <w:rPr>
          <w:rFonts w:asciiTheme="minorHAnsi" w:hAnsiTheme="minorHAnsi" w:cstheme="minorHAnsi"/>
          <w:sz w:val="22"/>
          <w:szCs w:val="22"/>
        </w:rPr>
        <w:t xml:space="preserve">: </w:t>
      </w:r>
      <w:r w:rsidR="00EB5E3E">
        <w:rPr>
          <w:rFonts w:asciiTheme="minorHAnsi" w:hAnsiTheme="minorHAnsi" w:cstheme="minorHAnsi"/>
          <w:sz w:val="22"/>
          <w:szCs w:val="22"/>
        </w:rPr>
        <w:t xml:space="preserve">LHMC has an </w:t>
      </w:r>
      <w:proofErr w:type="spellStart"/>
      <w:r w:rsidR="00EB5E3E">
        <w:rPr>
          <w:rFonts w:asciiTheme="minorHAnsi" w:hAnsiTheme="minorHAnsi" w:cstheme="minorHAnsi"/>
          <w:sz w:val="22"/>
          <w:szCs w:val="22"/>
        </w:rPr>
        <w:t>SDoH</w:t>
      </w:r>
      <w:proofErr w:type="spellEnd"/>
      <w:r w:rsidR="00EB5E3E">
        <w:rPr>
          <w:rFonts w:asciiTheme="minorHAnsi" w:hAnsiTheme="minorHAnsi" w:cstheme="minorHAnsi"/>
          <w:sz w:val="22"/>
          <w:szCs w:val="22"/>
        </w:rPr>
        <w:t xml:space="preserve"> screening tool that is built into its electronic medical record. This tool is used to screen for </w:t>
      </w:r>
      <w:proofErr w:type="spellStart"/>
      <w:r w:rsidR="00EB5E3E">
        <w:rPr>
          <w:rFonts w:asciiTheme="minorHAnsi" w:hAnsiTheme="minorHAnsi" w:cstheme="minorHAnsi"/>
          <w:sz w:val="22"/>
          <w:szCs w:val="22"/>
        </w:rPr>
        <w:t>SDoH</w:t>
      </w:r>
      <w:proofErr w:type="spellEnd"/>
      <w:r w:rsidR="00EB5E3E">
        <w:rPr>
          <w:rFonts w:asciiTheme="minorHAnsi" w:hAnsiTheme="minorHAnsi" w:cstheme="minorHAnsi"/>
          <w:sz w:val="22"/>
          <w:szCs w:val="22"/>
        </w:rPr>
        <w:t xml:space="preserve"> when patients are admitted to the Hospital. In addition, Radiation Oncology nurses screen for </w:t>
      </w:r>
      <w:proofErr w:type="spellStart"/>
      <w:r w:rsidR="00EB5E3E">
        <w:rPr>
          <w:rFonts w:asciiTheme="minorHAnsi" w:hAnsiTheme="minorHAnsi" w:cstheme="minorHAnsi"/>
          <w:sz w:val="22"/>
          <w:szCs w:val="22"/>
        </w:rPr>
        <w:t>SDoH</w:t>
      </w:r>
      <w:proofErr w:type="spellEnd"/>
      <w:r w:rsidR="00EB5E3E">
        <w:rPr>
          <w:rFonts w:asciiTheme="minorHAnsi" w:hAnsiTheme="minorHAnsi" w:cstheme="minorHAnsi"/>
          <w:sz w:val="22"/>
          <w:szCs w:val="22"/>
        </w:rPr>
        <w:t xml:space="preserve"> concerns at the time of each patient’s initial </w:t>
      </w:r>
      <w:proofErr w:type="gramStart"/>
      <w:r w:rsidR="00EB5E3E">
        <w:rPr>
          <w:rFonts w:asciiTheme="minorHAnsi" w:hAnsiTheme="minorHAnsi" w:cstheme="minorHAnsi"/>
          <w:sz w:val="22"/>
          <w:szCs w:val="22"/>
        </w:rPr>
        <w:t>consult</w:t>
      </w:r>
      <w:proofErr w:type="gramEnd"/>
      <w:r w:rsidR="00EB5E3E">
        <w:rPr>
          <w:rFonts w:asciiTheme="minorHAnsi" w:hAnsiTheme="minorHAnsi" w:cstheme="minorHAnsi"/>
          <w:sz w:val="22"/>
          <w:szCs w:val="22"/>
        </w:rPr>
        <w:t xml:space="preserve"> and again before the patient starts treatment </w:t>
      </w:r>
      <w:proofErr w:type="gramStart"/>
      <w:r w:rsidR="00EB5E3E">
        <w:rPr>
          <w:rFonts w:asciiTheme="minorHAnsi" w:hAnsiTheme="minorHAnsi" w:cstheme="minorHAnsi"/>
          <w:sz w:val="22"/>
          <w:szCs w:val="22"/>
        </w:rPr>
        <w:t>in an effort to</w:t>
      </w:r>
      <w:proofErr w:type="gramEnd"/>
      <w:r w:rsidR="00EB5E3E">
        <w:rPr>
          <w:rFonts w:asciiTheme="minorHAnsi" w:hAnsiTheme="minorHAnsi" w:cstheme="minorHAnsi"/>
          <w:sz w:val="22"/>
          <w:szCs w:val="22"/>
        </w:rPr>
        <w:t xml:space="preserve"> remove any barriers to a successful course of treatment. </w:t>
      </w:r>
    </w:p>
    <w:p w14:paraId="7BAC40FC" w14:textId="77777777" w:rsidR="00EB5E3E" w:rsidRDefault="00EB5E3E" w:rsidP="009F053D">
      <w:pPr>
        <w:pStyle w:val="Default"/>
        <w:ind w:left="360"/>
        <w:rPr>
          <w:rFonts w:cstheme="minorHAnsi"/>
          <w:sz w:val="22"/>
          <w:szCs w:val="22"/>
        </w:rPr>
      </w:pPr>
    </w:p>
    <w:p w14:paraId="474EFC79" w14:textId="14B194F5" w:rsidR="009F053D" w:rsidRDefault="009F053D" w:rsidP="009F053D">
      <w:pPr>
        <w:pStyle w:val="Default"/>
        <w:ind w:left="360"/>
        <w:rPr>
          <w:rFonts w:cstheme="minorHAnsi"/>
          <w:sz w:val="22"/>
          <w:szCs w:val="22"/>
        </w:rPr>
      </w:pPr>
      <w:r w:rsidRPr="009F053D">
        <w:rPr>
          <w:rFonts w:cstheme="minorHAnsi"/>
          <w:sz w:val="22"/>
          <w:szCs w:val="22"/>
        </w:rPr>
        <w:t xml:space="preserve">LHMC, along with the other hospitals in the </w:t>
      </w:r>
      <w:r>
        <w:rPr>
          <w:rFonts w:cstheme="minorHAnsi"/>
          <w:sz w:val="22"/>
          <w:szCs w:val="22"/>
        </w:rPr>
        <w:t>BILH</w:t>
      </w:r>
      <w:r w:rsidRPr="009F053D">
        <w:rPr>
          <w:rFonts w:cstheme="minorHAnsi"/>
          <w:sz w:val="22"/>
          <w:szCs w:val="22"/>
        </w:rPr>
        <w:t xml:space="preserve"> system, as part of its standard Community Health Needs Assessment process, has developed a resource guide to highlight health and social service resources available to the community. The guide was developed in consultation with </w:t>
      </w:r>
      <w:r>
        <w:rPr>
          <w:rFonts w:cstheme="minorHAnsi"/>
          <w:sz w:val="22"/>
          <w:szCs w:val="22"/>
        </w:rPr>
        <w:t>BILH</w:t>
      </w:r>
      <w:r w:rsidRPr="009F053D">
        <w:rPr>
          <w:rFonts w:cstheme="minorHAnsi"/>
          <w:sz w:val="22"/>
          <w:szCs w:val="22"/>
        </w:rPr>
        <w:t xml:space="preserve"> Primary Care and is widely available on the LHMC website as a resource for both providers and community members. LHMC also includes a representative from the primary care team on its </w:t>
      </w:r>
      <w:r>
        <w:rPr>
          <w:rFonts w:cstheme="minorHAnsi"/>
          <w:sz w:val="22"/>
          <w:szCs w:val="22"/>
        </w:rPr>
        <w:t>CBAC</w:t>
      </w:r>
      <w:r w:rsidRPr="009F053D">
        <w:rPr>
          <w:rFonts w:cstheme="minorHAnsi"/>
          <w:sz w:val="22"/>
          <w:szCs w:val="22"/>
        </w:rPr>
        <w:t xml:space="preserve"> </w:t>
      </w:r>
      <w:proofErr w:type="gramStart"/>
      <w:r w:rsidRPr="009F053D">
        <w:rPr>
          <w:rFonts w:cstheme="minorHAnsi"/>
          <w:sz w:val="22"/>
          <w:szCs w:val="22"/>
        </w:rPr>
        <w:t>in an effort to</w:t>
      </w:r>
      <w:proofErr w:type="gramEnd"/>
      <w:r w:rsidRPr="009F053D">
        <w:rPr>
          <w:rFonts w:cstheme="minorHAnsi"/>
          <w:sz w:val="22"/>
          <w:szCs w:val="22"/>
        </w:rPr>
        <w:t xml:space="preserve"> provide them </w:t>
      </w:r>
      <w:r>
        <w:rPr>
          <w:rFonts w:cstheme="minorHAnsi"/>
          <w:sz w:val="22"/>
          <w:szCs w:val="22"/>
        </w:rPr>
        <w:t xml:space="preserve">with </w:t>
      </w:r>
      <w:r w:rsidRPr="009F053D">
        <w:rPr>
          <w:rFonts w:cstheme="minorHAnsi"/>
          <w:sz w:val="22"/>
          <w:szCs w:val="22"/>
        </w:rPr>
        <w:t xml:space="preserve">additional information about available community resources through the hospital’s community benefits program. </w:t>
      </w:r>
    </w:p>
    <w:p w14:paraId="058694DD" w14:textId="77777777" w:rsidR="009F053D" w:rsidRPr="009F053D" w:rsidRDefault="009F053D" w:rsidP="009F053D">
      <w:pPr>
        <w:pStyle w:val="Default"/>
        <w:ind w:left="360"/>
        <w:rPr>
          <w:rFonts w:cstheme="minorHAnsi"/>
          <w:sz w:val="22"/>
          <w:szCs w:val="22"/>
        </w:rPr>
      </w:pPr>
    </w:p>
    <w:p w14:paraId="35637405" w14:textId="45A88046" w:rsidR="00450206" w:rsidRPr="00450206" w:rsidRDefault="009F053D" w:rsidP="009F053D">
      <w:pPr>
        <w:pStyle w:val="Default"/>
        <w:ind w:left="360"/>
        <w:rPr>
          <w:rFonts w:cstheme="minorHAnsi"/>
          <w:b/>
          <w:bCs/>
          <w:sz w:val="22"/>
          <w:szCs w:val="22"/>
        </w:rPr>
      </w:pPr>
      <w:r w:rsidRPr="009F053D">
        <w:rPr>
          <w:rFonts w:cstheme="minorHAnsi"/>
          <w:sz w:val="22"/>
          <w:szCs w:val="22"/>
        </w:rPr>
        <w:t xml:space="preserve">Through its community benefits program, LHMC also maintains long-standing relationships with many community-based organizations working to meet the needs of the community related to social determinants of health. These include Councils on Aging, Aging Services Access Points, food pantries, community-based nutrition programs, YMCAs, and community health centers, among many others. As one example, LHMC partners with three </w:t>
      </w:r>
      <w:r w:rsidR="0043506D">
        <w:rPr>
          <w:rFonts w:cstheme="minorHAnsi"/>
          <w:sz w:val="22"/>
          <w:szCs w:val="22"/>
        </w:rPr>
        <w:t>Councils on Aging</w:t>
      </w:r>
      <w:r w:rsidRPr="009F053D">
        <w:rPr>
          <w:rFonts w:cstheme="minorHAnsi"/>
          <w:sz w:val="22"/>
          <w:szCs w:val="22"/>
        </w:rPr>
        <w:t xml:space="preserve"> within the community benefits service area, along with the Merrimack Valley Food Bank to provide older adults and residents of affordable housing in Lowell with free, fresh produce throughout the summer </w:t>
      </w:r>
      <w:proofErr w:type="gramStart"/>
      <w:r w:rsidRPr="009F053D">
        <w:rPr>
          <w:rFonts w:cstheme="minorHAnsi"/>
          <w:sz w:val="22"/>
          <w:szCs w:val="22"/>
        </w:rPr>
        <w:t>in an effort to</w:t>
      </w:r>
      <w:proofErr w:type="gramEnd"/>
      <w:r w:rsidRPr="009F053D">
        <w:rPr>
          <w:rFonts w:cstheme="minorHAnsi"/>
          <w:sz w:val="22"/>
          <w:szCs w:val="22"/>
        </w:rPr>
        <w:t xml:space="preserve"> help to increase access to healthy food and decrease the burden of cost on these historically underserved communities.</w:t>
      </w:r>
    </w:p>
    <w:p w14:paraId="5BA4076F" w14:textId="77777777" w:rsidR="00450206" w:rsidRPr="00450206" w:rsidRDefault="00450206" w:rsidP="00450206">
      <w:pPr>
        <w:spacing w:line="229" w:lineRule="exact"/>
        <w:rPr>
          <w:rStyle w:val="cf01"/>
          <w:rFonts w:asciiTheme="minorHAnsi" w:hAnsiTheme="minorHAnsi" w:cstheme="minorHAnsi"/>
          <w:b/>
          <w:bCs/>
          <w:sz w:val="22"/>
          <w:szCs w:val="22"/>
        </w:rPr>
      </w:pPr>
    </w:p>
    <w:p w14:paraId="7DB9FBCE" w14:textId="24A3AF1C" w:rsidR="00C70D92" w:rsidRPr="0043506D" w:rsidRDefault="005E3669" w:rsidP="00DF40C8">
      <w:pPr>
        <w:pStyle w:val="ListParagraph"/>
        <w:numPr>
          <w:ilvl w:val="0"/>
          <w:numId w:val="29"/>
        </w:numPr>
        <w:spacing w:line="229" w:lineRule="exact"/>
        <w:rPr>
          <w:rStyle w:val="cf01"/>
          <w:rFonts w:asciiTheme="minorHAnsi" w:hAnsiTheme="minorHAnsi" w:cstheme="minorHAnsi"/>
          <w:b/>
          <w:bCs/>
          <w:sz w:val="22"/>
          <w:szCs w:val="22"/>
        </w:rPr>
      </w:pPr>
      <w:r w:rsidRPr="0043506D">
        <w:rPr>
          <w:rStyle w:val="cf01"/>
          <w:rFonts w:asciiTheme="minorHAnsi" w:hAnsiTheme="minorHAnsi" w:cstheme="minorHAnsi"/>
          <w:b/>
          <w:bCs/>
          <w:sz w:val="22"/>
          <w:szCs w:val="22"/>
        </w:rPr>
        <w:t>P</w:t>
      </w:r>
      <w:r w:rsidR="00FB7800" w:rsidRPr="0043506D">
        <w:rPr>
          <w:rStyle w:val="cf01"/>
          <w:rFonts w:asciiTheme="minorHAnsi" w:hAnsiTheme="minorHAnsi" w:cstheme="minorHAnsi"/>
          <w:b/>
          <w:bCs/>
          <w:sz w:val="22"/>
          <w:szCs w:val="22"/>
        </w:rPr>
        <w:t>age 2 of the CPA Report</w:t>
      </w:r>
      <w:r w:rsidRPr="0043506D">
        <w:rPr>
          <w:rStyle w:val="cf01"/>
          <w:rFonts w:asciiTheme="minorHAnsi" w:hAnsiTheme="minorHAnsi" w:cstheme="minorHAnsi"/>
          <w:b/>
          <w:bCs/>
          <w:sz w:val="22"/>
          <w:szCs w:val="22"/>
        </w:rPr>
        <w:t xml:space="preserve"> notes that one of </w:t>
      </w:r>
      <w:r w:rsidR="00522D14" w:rsidRPr="0043506D">
        <w:rPr>
          <w:rStyle w:val="cf01"/>
          <w:rFonts w:asciiTheme="minorHAnsi" w:hAnsiTheme="minorHAnsi" w:cstheme="minorHAnsi"/>
          <w:b/>
          <w:bCs/>
          <w:sz w:val="22"/>
          <w:szCs w:val="22"/>
        </w:rPr>
        <w:t xml:space="preserve">Primary Sources of </w:t>
      </w:r>
      <w:r w:rsidRPr="0043506D">
        <w:rPr>
          <w:rStyle w:val="cf01"/>
          <w:rFonts w:asciiTheme="minorHAnsi" w:hAnsiTheme="minorHAnsi" w:cstheme="minorHAnsi"/>
          <w:b/>
          <w:bCs/>
          <w:sz w:val="22"/>
          <w:szCs w:val="22"/>
        </w:rPr>
        <w:t>I</w:t>
      </w:r>
      <w:r w:rsidR="00522D14" w:rsidRPr="0043506D">
        <w:rPr>
          <w:rStyle w:val="cf01"/>
          <w:rFonts w:asciiTheme="minorHAnsi" w:hAnsiTheme="minorHAnsi" w:cstheme="minorHAnsi"/>
          <w:b/>
          <w:bCs/>
          <w:sz w:val="22"/>
          <w:szCs w:val="22"/>
        </w:rPr>
        <w:t xml:space="preserve">nformation </w:t>
      </w:r>
      <w:r w:rsidRPr="0043506D">
        <w:rPr>
          <w:rStyle w:val="cf01"/>
          <w:rFonts w:asciiTheme="minorHAnsi" w:hAnsiTheme="minorHAnsi" w:cstheme="minorHAnsi"/>
          <w:b/>
          <w:bCs/>
          <w:sz w:val="22"/>
          <w:szCs w:val="22"/>
        </w:rPr>
        <w:t>U</w:t>
      </w:r>
      <w:r w:rsidR="00522D14" w:rsidRPr="0043506D">
        <w:rPr>
          <w:rStyle w:val="cf01"/>
          <w:rFonts w:asciiTheme="minorHAnsi" w:hAnsiTheme="minorHAnsi" w:cstheme="minorHAnsi"/>
          <w:b/>
          <w:bCs/>
          <w:sz w:val="22"/>
          <w:szCs w:val="22"/>
        </w:rPr>
        <w:t>sed</w:t>
      </w:r>
      <w:r w:rsidR="00C70D92" w:rsidRPr="0043506D">
        <w:rPr>
          <w:rStyle w:val="cf01"/>
          <w:rFonts w:asciiTheme="minorHAnsi" w:hAnsiTheme="minorHAnsi" w:cstheme="minorHAnsi"/>
          <w:b/>
          <w:bCs/>
          <w:sz w:val="22"/>
          <w:szCs w:val="22"/>
        </w:rPr>
        <w:t xml:space="preserve"> </w:t>
      </w:r>
      <w:r w:rsidRPr="0043506D">
        <w:rPr>
          <w:rStyle w:val="cf01"/>
          <w:rFonts w:asciiTheme="minorHAnsi" w:hAnsiTheme="minorHAnsi" w:cstheme="minorHAnsi"/>
          <w:b/>
          <w:bCs/>
          <w:sz w:val="22"/>
          <w:szCs w:val="22"/>
        </w:rPr>
        <w:t>was</w:t>
      </w:r>
      <w:r w:rsidR="00C70D92" w:rsidRPr="0043506D">
        <w:rPr>
          <w:rStyle w:val="cf01"/>
          <w:rFonts w:asciiTheme="minorHAnsi" w:hAnsiTheme="minorHAnsi" w:cstheme="minorHAnsi"/>
          <w:b/>
          <w:bCs/>
          <w:sz w:val="22"/>
          <w:szCs w:val="22"/>
        </w:rPr>
        <w:t xml:space="preserve">, “Beth Israel Lahey Health, Inc. and Affiliates audited consolidated financial statements as of and for the years ended September 30, </w:t>
      </w:r>
      <w:proofErr w:type="gramStart"/>
      <w:r w:rsidR="00C70D92" w:rsidRPr="0043506D">
        <w:rPr>
          <w:rStyle w:val="cf01"/>
          <w:rFonts w:asciiTheme="minorHAnsi" w:hAnsiTheme="minorHAnsi" w:cstheme="minorHAnsi"/>
          <w:b/>
          <w:bCs/>
          <w:sz w:val="22"/>
          <w:szCs w:val="22"/>
        </w:rPr>
        <w:t>2023</w:t>
      </w:r>
      <w:proofErr w:type="gramEnd"/>
      <w:r w:rsidR="00C70D92" w:rsidRPr="0043506D">
        <w:rPr>
          <w:rStyle w:val="cf01"/>
          <w:rFonts w:asciiTheme="minorHAnsi" w:hAnsiTheme="minorHAnsi" w:cstheme="minorHAnsi"/>
          <w:b/>
          <w:bCs/>
          <w:sz w:val="22"/>
          <w:szCs w:val="22"/>
        </w:rPr>
        <w:t xml:space="preserve"> and September 30, 2022.</w:t>
      </w:r>
      <w:r w:rsidR="0005525D" w:rsidRPr="0043506D">
        <w:rPr>
          <w:rStyle w:val="cf01"/>
          <w:rFonts w:asciiTheme="minorHAnsi" w:hAnsiTheme="minorHAnsi" w:cstheme="minorHAnsi"/>
          <w:b/>
          <w:bCs/>
          <w:sz w:val="22"/>
          <w:szCs w:val="22"/>
        </w:rPr>
        <w:t>”</w:t>
      </w:r>
      <w:r w:rsidR="006826AF" w:rsidRPr="0043506D">
        <w:rPr>
          <w:rStyle w:val="cf01"/>
          <w:rFonts w:asciiTheme="minorHAnsi" w:hAnsiTheme="minorHAnsi" w:cstheme="minorHAnsi"/>
          <w:b/>
          <w:bCs/>
          <w:sz w:val="22"/>
          <w:szCs w:val="22"/>
        </w:rPr>
        <w:t xml:space="preserve">  Please clarify </w:t>
      </w:r>
      <w:r w:rsidR="00D25722" w:rsidRPr="0043506D">
        <w:rPr>
          <w:rStyle w:val="cf01"/>
          <w:rFonts w:asciiTheme="minorHAnsi" w:hAnsiTheme="minorHAnsi" w:cstheme="minorHAnsi"/>
          <w:b/>
          <w:bCs/>
          <w:sz w:val="22"/>
          <w:szCs w:val="22"/>
        </w:rPr>
        <w:t xml:space="preserve">the months included in the audited consolidated financial statement </w:t>
      </w:r>
      <w:r w:rsidR="00DF40C8" w:rsidRPr="0043506D">
        <w:rPr>
          <w:rStyle w:val="cf01"/>
          <w:rFonts w:asciiTheme="minorHAnsi" w:hAnsiTheme="minorHAnsi" w:cstheme="minorHAnsi"/>
          <w:b/>
          <w:bCs/>
          <w:sz w:val="22"/>
          <w:szCs w:val="22"/>
        </w:rPr>
        <w:t>for FY2023</w:t>
      </w:r>
      <w:r w:rsidR="00B8765D" w:rsidRPr="0043506D">
        <w:rPr>
          <w:rStyle w:val="cf01"/>
          <w:rFonts w:asciiTheme="minorHAnsi" w:hAnsiTheme="minorHAnsi" w:cstheme="minorHAnsi"/>
          <w:b/>
          <w:bCs/>
          <w:sz w:val="22"/>
          <w:szCs w:val="22"/>
        </w:rPr>
        <w:t>.</w:t>
      </w:r>
    </w:p>
    <w:p w14:paraId="2A3C5FAA" w14:textId="148A49C1" w:rsidR="00450206" w:rsidRPr="00450206" w:rsidRDefault="002A725B" w:rsidP="002A725B">
      <w:pPr>
        <w:pStyle w:val="Default"/>
        <w:ind w:left="360"/>
        <w:rPr>
          <w:rFonts w:cstheme="minorHAnsi"/>
          <w:b/>
          <w:bCs/>
          <w:sz w:val="22"/>
          <w:szCs w:val="22"/>
        </w:rPr>
      </w:pPr>
      <w:r w:rsidRPr="00450206">
        <w:rPr>
          <w:rFonts w:asciiTheme="minorHAnsi" w:hAnsiTheme="minorHAnsi" w:cstheme="minorHAnsi"/>
          <w:sz w:val="22"/>
          <w:szCs w:val="22"/>
          <w:u w:val="single"/>
        </w:rPr>
        <w:t>Response</w:t>
      </w:r>
      <w:r w:rsidRPr="00450206">
        <w:rPr>
          <w:rFonts w:asciiTheme="minorHAnsi" w:hAnsiTheme="minorHAnsi" w:cstheme="minorHAnsi"/>
          <w:sz w:val="22"/>
          <w:szCs w:val="22"/>
        </w:rPr>
        <w:t xml:space="preserve">: </w:t>
      </w:r>
      <w:r w:rsidR="0043506D">
        <w:rPr>
          <w:rFonts w:asciiTheme="minorHAnsi" w:hAnsiTheme="minorHAnsi" w:cstheme="minorHAnsi"/>
          <w:sz w:val="22"/>
          <w:szCs w:val="22"/>
        </w:rPr>
        <w:t>This should read “</w:t>
      </w:r>
      <w:r w:rsidR="0043506D" w:rsidRPr="0043506D">
        <w:rPr>
          <w:rFonts w:asciiTheme="minorHAnsi" w:hAnsiTheme="minorHAnsi" w:cstheme="minorHAnsi"/>
          <w:sz w:val="22"/>
          <w:szCs w:val="22"/>
        </w:rPr>
        <w:t xml:space="preserve">Beth Israel Lahey Health, Inc. and Affiliates audited consolidated financial statements as of and for the years ended September 30, </w:t>
      </w:r>
      <w:proofErr w:type="gramStart"/>
      <w:r w:rsidR="0043506D" w:rsidRPr="0043506D">
        <w:rPr>
          <w:rFonts w:asciiTheme="minorHAnsi" w:hAnsiTheme="minorHAnsi" w:cstheme="minorHAnsi"/>
          <w:sz w:val="22"/>
          <w:szCs w:val="22"/>
        </w:rPr>
        <w:t>202</w:t>
      </w:r>
      <w:r w:rsidR="0043506D">
        <w:rPr>
          <w:rFonts w:asciiTheme="minorHAnsi" w:hAnsiTheme="minorHAnsi" w:cstheme="minorHAnsi"/>
          <w:sz w:val="22"/>
          <w:szCs w:val="22"/>
        </w:rPr>
        <w:t>1</w:t>
      </w:r>
      <w:proofErr w:type="gramEnd"/>
      <w:r w:rsidR="0043506D" w:rsidRPr="0043506D">
        <w:rPr>
          <w:rFonts w:asciiTheme="minorHAnsi" w:hAnsiTheme="minorHAnsi" w:cstheme="minorHAnsi"/>
          <w:sz w:val="22"/>
          <w:szCs w:val="22"/>
        </w:rPr>
        <w:t xml:space="preserve"> and September 30, 2022</w:t>
      </w:r>
      <w:r w:rsidR="0043506D">
        <w:rPr>
          <w:rFonts w:asciiTheme="minorHAnsi" w:hAnsiTheme="minorHAnsi" w:cstheme="minorHAnsi"/>
          <w:sz w:val="22"/>
          <w:szCs w:val="22"/>
        </w:rPr>
        <w:t>.”</w:t>
      </w:r>
      <w:r w:rsidR="00055C22">
        <w:rPr>
          <w:rFonts w:asciiTheme="minorHAnsi" w:hAnsiTheme="minorHAnsi" w:cstheme="minorHAnsi"/>
          <w:sz w:val="22"/>
          <w:szCs w:val="22"/>
        </w:rPr>
        <w:t xml:space="preserve"> BILH’s fiscal year ends on September 30</w:t>
      </w:r>
      <w:r w:rsidR="00055C22" w:rsidRPr="00055C22">
        <w:rPr>
          <w:rFonts w:asciiTheme="minorHAnsi" w:hAnsiTheme="minorHAnsi" w:cstheme="minorHAnsi"/>
          <w:sz w:val="22"/>
          <w:szCs w:val="22"/>
          <w:vertAlign w:val="superscript"/>
        </w:rPr>
        <w:t>th</w:t>
      </w:r>
      <w:r w:rsidR="00055C22">
        <w:rPr>
          <w:rFonts w:asciiTheme="minorHAnsi" w:hAnsiTheme="minorHAnsi" w:cstheme="minorHAnsi"/>
          <w:sz w:val="22"/>
          <w:szCs w:val="22"/>
        </w:rPr>
        <w:t>, so the consolidated financial statement for FY2023 cannot yet be completed.</w:t>
      </w:r>
    </w:p>
    <w:p w14:paraId="17780C95" w14:textId="62FE1A40" w:rsidR="00FB7800" w:rsidRPr="002C0C71" w:rsidRDefault="00FB7800" w:rsidP="002C0C71">
      <w:pPr>
        <w:spacing w:line="229" w:lineRule="exact"/>
        <w:rPr>
          <w:rFonts w:cstheme="minorHAnsi"/>
        </w:rPr>
      </w:pPr>
    </w:p>
    <w:p w14:paraId="14F88588" w14:textId="77777777" w:rsidR="004739A3" w:rsidRPr="00D41E4A" w:rsidRDefault="004739A3" w:rsidP="006C1B8D">
      <w:pPr>
        <w:spacing w:line="229" w:lineRule="exact"/>
        <w:ind w:left="720"/>
        <w:rPr>
          <w:rFonts w:cstheme="minorHAnsi"/>
        </w:rPr>
      </w:pPr>
    </w:p>
    <w:p w14:paraId="0E80BF8F" w14:textId="77777777" w:rsidR="00A256D6" w:rsidRPr="004B39F2" w:rsidRDefault="00A256D6" w:rsidP="002A518F">
      <w:pPr>
        <w:spacing w:line="229" w:lineRule="exact"/>
        <w:jc w:val="both"/>
        <w:rPr>
          <w:rStyle w:val="cf01"/>
          <w:rFonts w:asciiTheme="minorHAnsi" w:hAnsiTheme="minorHAnsi" w:cstheme="minorHAnsi"/>
          <w:sz w:val="24"/>
          <w:szCs w:val="24"/>
        </w:rPr>
      </w:pPr>
    </w:p>
    <w:p w14:paraId="0CA03A54" w14:textId="3158CF57" w:rsidR="00680AD8" w:rsidRPr="00680AD8" w:rsidRDefault="00680AD8" w:rsidP="00680AD8">
      <w:pPr>
        <w:spacing w:line="229" w:lineRule="exact"/>
        <w:rPr>
          <w:rFonts w:cstheme="minorHAnsi"/>
        </w:rPr>
      </w:pPr>
    </w:p>
    <w:sectPr w:rsidR="00680AD8" w:rsidRPr="00680AD8" w:rsidSect="004B678F">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941F3" w14:textId="77777777" w:rsidR="00AB5E7A" w:rsidRDefault="00AB5E7A" w:rsidP="00231103">
      <w:r>
        <w:separator/>
      </w:r>
    </w:p>
  </w:endnote>
  <w:endnote w:type="continuationSeparator" w:id="0">
    <w:p w14:paraId="77BE5E44" w14:textId="77777777" w:rsidR="00AB5E7A" w:rsidRDefault="00AB5E7A" w:rsidP="00231103">
      <w:r>
        <w:continuationSeparator/>
      </w:r>
    </w:p>
  </w:endnote>
  <w:endnote w:type="continuationNotice" w:id="1">
    <w:p w14:paraId="15B692BD" w14:textId="77777777" w:rsidR="00AB5E7A" w:rsidRDefault="00AB5E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878915"/>
      <w:docPartObj>
        <w:docPartGallery w:val="Page Numbers (Bottom of Page)"/>
        <w:docPartUnique/>
      </w:docPartObj>
    </w:sdtPr>
    <w:sdtEndPr>
      <w:rPr>
        <w:noProof/>
      </w:rPr>
    </w:sdtEndPr>
    <w:sdtContent>
      <w:p w14:paraId="0D149475" w14:textId="53E0776A" w:rsidR="00632AEC" w:rsidRDefault="00632A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BA7089" w14:textId="77777777" w:rsidR="00632AEC" w:rsidRDefault="00632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59472" w14:textId="77777777" w:rsidR="00AB5E7A" w:rsidRDefault="00AB5E7A" w:rsidP="00231103">
      <w:r>
        <w:separator/>
      </w:r>
    </w:p>
  </w:footnote>
  <w:footnote w:type="continuationSeparator" w:id="0">
    <w:p w14:paraId="5CEB7722" w14:textId="77777777" w:rsidR="00AB5E7A" w:rsidRDefault="00AB5E7A" w:rsidP="00231103">
      <w:r>
        <w:continuationSeparator/>
      </w:r>
    </w:p>
  </w:footnote>
  <w:footnote w:type="continuationNotice" w:id="1">
    <w:p w14:paraId="30D2F05E" w14:textId="77777777" w:rsidR="00AB5E7A" w:rsidRDefault="00AB5E7A"/>
  </w:footnote>
  <w:footnote w:id="2">
    <w:p w14:paraId="6AE19DB6" w14:textId="77777777" w:rsidR="00E921FC" w:rsidRPr="005326D6" w:rsidRDefault="00E921FC" w:rsidP="00E921FC">
      <w:pPr>
        <w:pStyle w:val="FootnoteText"/>
        <w:jc w:val="both"/>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Patients for whom a gender is not specified or whose gender varies across visits over the </w:t>
      </w:r>
      <w:proofErr w:type="gramStart"/>
      <w:r w:rsidRPr="005326D6">
        <w:rPr>
          <w:rFonts w:ascii="Arial" w:hAnsi="Arial" w:cs="Arial"/>
          <w:sz w:val="16"/>
          <w:szCs w:val="16"/>
        </w:rPr>
        <w:t>time period</w:t>
      </w:r>
      <w:proofErr w:type="gramEnd"/>
      <w:r w:rsidRPr="005326D6">
        <w:rPr>
          <w:rFonts w:ascii="Arial" w:hAnsi="Arial" w:cs="Arial"/>
          <w:sz w:val="16"/>
          <w:szCs w:val="16"/>
        </w:rPr>
        <w:t xml:space="preserve"> are included in “Other.”  </w:t>
      </w:r>
    </w:p>
  </w:footnote>
  <w:footnote w:id="3">
    <w:p w14:paraId="6C6C4EB8" w14:textId="77777777" w:rsidR="00E921FC" w:rsidRPr="005326D6" w:rsidRDefault="00E921FC" w:rsidP="00E921FC">
      <w:pPr>
        <w:pStyle w:val="FootnoteText"/>
        <w:jc w:val="both"/>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As a newly merged health system, BILH has not yet fully implemented a standardized data collection methodology for BILH Hospitals. As a result, “Other” may include patients whose race and/or ethnicity varied over time, as well as patients who did not report their race and/or ethnicity. Furthermore, patients who declined to report their race and/or ethnicity might also be captured in “Unknown” or “Patient Declined”. “Other” is a choice for patients to select if they do not feel that their race/ethnicity is reflected in the list of choices.</w:t>
      </w:r>
    </w:p>
  </w:footnote>
  <w:footnote w:id="4">
    <w:p w14:paraId="1214CF93" w14:textId="77777777" w:rsidR="000F7B6C" w:rsidRPr="005326D6" w:rsidRDefault="000F7B6C" w:rsidP="000F7B6C">
      <w:pPr>
        <w:pStyle w:val="FootnoteText"/>
        <w:jc w:val="both"/>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Ethnicity information is not available at the system-level for three hospitals: </w:t>
      </w:r>
      <w:bookmarkStart w:id="1" w:name="_Hlk143068511"/>
      <w:r w:rsidRPr="005326D6">
        <w:rPr>
          <w:rFonts w:ascii="Arial" w:hAnsi="Arial" w:cs="Arial"/>
          <w:sz w:val="16"/>
          <w:szCs w:val="16"/>
        </w:rPr>
        <w:t>BID-Milton, BID-Needham, and BID-Plymouth</w:t>
      </w:r>
      <w:bookmarkEnd w:id="1"/>
      <w:r w:rsidRPr="005326D6">
        <w:rPr>
          <w:rFonts w:ascii="Arial" w:hAnsi="Arial" w:cs="Arial"/>
          <w:sz w:val="16"/>
          <w:szCs w:val="16"/>
        </w:rPr>
        <w:t xml:space="preserve">. For the remaining BILH hospitals, ethnicity information is self-reported. Patients for whom ethnicity is not specified are included in "Patient Declined," "Unknown," or "Other," per the local facility’s data collection methodology. Patients for whom ethnicity varies across visits over the </w:t>
      </w:r>
      <w:proofErr w:type="gramStart"/>
      <w:r w:rsidRPr="005326D6">
        <w:rPr>
          <w:rFonts w:ascii="Arial" w:hAnsi="Arial" w:cs="Arial"/>
          <w:sz w:val="16"/>
          <w:szCs w:val="16"/>
        </w:rPr>
        <w:t>time period</w:t>
      </w:r>
      <w:proofErr w:type="gramEnd"/>
      <w:r w:rsidRPr="005326D6">
        <w:rPr>
          <w:rFonts w:ascii="Arial" w:hAnsi="Arial" w:cs="Arial"/>
          <w:sz w:val="16"/>
          <w:szCs w:val="16"/>
        </w:rPr>
        <w:t xml:space="preserve"> are included in "Other."</w:t>
      </w:r>
    </w:p>
  </w:footnote>
  <w:footnote w:id="5">
    <w:p w14:paraId="436BEF14" w14:textId="77777777" w:rsidR="000F7B6C" w:rsidRPr="005326D6" w:rsidRDefault="000F7B6C" w:rsidP="000F7B6C">
      <w:pPr>
        <w:pStyle w:val="FootnoteText"/>
        <w:jc w:val="both"/>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Includes self-pay, health safety net, and liability insurance coverage other than worker’s compensation for an injury event.</w:t>
      </w:r>
    </w:p>
  </w:footnote>
  <w:footnote w:id="6">
    <w:p w14:paraId="4F43F185" w14:textId="77777777" w:rsidR="00937D0C" w:rsidRPr="005326D6" w:rsidRDefault="00937D0C" w:rsidP="00937D0C">
      <w:pPr>
        <w:pStyle w:val="FootnoteText"/>
        <w:jc w:val="both"/>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Patients for whom a gender is not specified or whose gender varies across visits over the </w:t>
      </w:r>
      <w:proofErr w:type="gramStart"/>
      <w:r w:rsidRPr="005326D6">
        <w:rPr>
          <w:rFonts w:ascii="Arial" w:hAnsi="Arial" w:cs="Arial"/>
          <w:sz w:val="16"/>
          <w:szCs w:val="16"/>
        </w:rPr>
        <w:t>time period</w:t>
      </w:r>
      <w:proofErr w:type="gramEnd"/>
      <w:r w:rsidRPr="005326D6">
        <w:rPr>
          <w:rFonts w:ascii="Arial" w:hAnsi="Arial" w:cs="Arial"/>
          <w:sz w:val="16"/>
          <w:szCs w:val="16"/>
        </w:rPr>
        <w:t xml:space="preserve"> are included in “Other.”  </w:t>
      </w:r>
    </w:p>
  </w:footnote>
  <w:footnote w:id="7">
    <w:p w14:paraId="47F603C9" w14:textId="77777777" w:rsidR="00215C87" w:rsidRPr="005326D6" w:rsidRDefault="00215C87" w:rsidP="00215C87">
      <w:pPr>
        <w:pStyle w:val="FootnoteText"/>
        <w:rPr>
          <w:rFonts w:ascii="Arial" w:hAnsi="Arial" w:cs="Arial"/>
          <w:sz w:val="16"/>
          <w:szCs w:val="16"/>
        </w:rPr>
      </w:pPr>
      <w:r w:rsidRPr="005326D6">
        <w:rPr>
          <w:rStyle w:val="FootnoteReference"/>
          <w:rFonts w:ascii="Arial" w:hAnsi="Arial" w:cs="Arial"/>
          <w:sz w:val="16"/>
          <w:szCs w:val="16"/>
        </w:rPr>
        <w:footnoteRef/>
      </w:r>
      <w:r w:rsidRPr="005326D6">
        <w:rPr>
          <w:rFonts w:ascii="Arial" w:hAnsi="Arial" w:cs="Arial"/>
          <w:sz w:val="16"/>
          <w:szCs w:val="16"/>
        </w:rPr>
        <w:t xml:space="preserve"> For confidentiality, “Other” includes all races/ethnicities not separately listed. </w:t>
      </w:r>
    </w:p>
  </w:footnote>
  <w:footnote w:id="8">
    <w:p w14:paraId="158B41D4" w14:textId="1B3B066F" w:rsidR="008E5F7C" w:rsidRDefault="008E5F7C">
      <w:pPr>
        <w:pStyle w:val="FootnoteText"/>
      </w:pPr>
      <w:r>
        <w:rPr>
          <w:rStyle w:val="FootnoteReference"/>
        </w:rPr>
        <w:footnoteRef/>
      </w:r>
      <w:r>
        <w:t xml:space="preserve"> </w:t>
      </w:r>
      <w:r w:rsidRPr="00306D7D">
        <w:rPr>
          <w:rFonts w:ascii="Arial" w:hAnsi="Arial" w:cs="Arial"/>
          <w:sz w:val="16"/>
          <w:szCs w:val="16"/>
        </w:rPr>
        <w:t>Adults Only, Excludes Psych, OB/Delivery, Other OB</w:t>
      </w:r>
      <w:r w:rsidR="00306D7D" w:rsidRPr="00306D7D">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7675" w14:textId="3BC755C1" w:rsidR="00153D99" w:rsidRPr="00153D99" w:rsidRDefault="006520E7" w:rsidP="00D223EB">
    <w:pPr>
      <w:pStyle w:val="Header"/>
      <w:pBdr>
        <w:bottom w:val="single" w:sz="4" w:space="1" w:color="auto"/>
      </w:pBdr>
      <w:jc w:val="center"/>
      <w:rPr>
        <w:rFonts w:cstheme="minorHAnsi"/>
        <w:b/>
        <w:bCs/>
        <w:sz w:val="36"/>
        <w:szCs w:val="36"/>
      </w:rPr>
    </w:pPr>
    <w:r>
      <w:rPr>
        <w:rFonts w:cstheme="minorHAnsi"/>
        <w:b/>
        <w:bCs/>
        <w:sz w:val="36"/>
        <w:szCs w:val="36"/>
      </w:rPr>
      <w:t>Beth Israel Lahey Health</w:t>
    </w:r>
    <w:r w:rsidR="00153D99" w:rsidRPr="00153D99">
      <w:rPr>
        <w:rFonts w:cstheme="minorHAnsi"/>
        <w:b/>
        <w:bCs/>
        <w:sz w:val="36"/>
        <w:szCs w:val="36"/>
      </w:rPr>
      <w:t>, Inc.</w:t>
    </w:r>
  </w:p>
  <w:p w14:paraId="78DC6D8E" w14:textId="7DE67BF3" w:rsidR="00D223EB" w:rsidRDefault="00D223EB" w:rsidP="00D223EB">
    <w:pPr>
      <w:pStyle w:val="Header"/>
      <w:pBdr>
        <w:bottom w:val="single" w:sz="4" w:space="1" w:color="auto"/>
      </w:pBdr>
      <w:jc w:val="center"/>
      <w:rPr>
        <w:rFonts w:cstheme="minorHAnsi"/>
        <w:sz w:val="28"/>
        <w:szCs w:val="28"/>
      </w:rPr>
    </w:pPr>
    <w:proofErr w:type="spellStart"/>
    <w:r w:rsidRPr="00D223EB">
      <w:rPr>
        <w:sz w:val="28"/>
        <w:szCs w:val="28"/>
      </w:rPr>
      <w:t>DoN</w:t>
    </w:r>
    <w:proofErr w:type="spellEnd"/>
    <w:r w:rsidR="00387527">
      <w:rPr>
        <w:sz w:val="28"/>
        <w:szCs w:val="28"/>
      </w:rPr>
      <w:t xml:space="preserve"> </w:t>
    </w:r>
    <w:r w:rsidR="00387527" w:rsidRPr="00DB499A">
      <w:rPr>
        <w:rFonts w:cstheme="minorHAnsi"/>
        <w:sz w:val="28"/>
        <w:szCs w:val="28"/>
      </w:rPr>
      <w:t>#</w:t>
    </w:r>
    <w:r w:rsidR="00DB499A" w:rsidRPr="00DB499A">
      <w:rPr>
        <w:rFonts w:cstheme="minorHAnsi"/>
        <w:sz w:val="28"/>
        <w:szCs w:val="28"/>
      </w:rPr>
      <w:t>BILH-22111512-RE</w:t>
    </w:r>
  </w:p>
  <w:p w14:paraId="0E2E0806" w14:textId="1CA4772E" w:rsidR="00450206" w:rsidRPr="00D223EB" w:rsidRDefault="00450206" w:rsidP="00D223EB">
    <w:pPr>
      <w:pStyle w:val="Header"/>
      <w:pBdr>
        <w:bottom w:val="single" w:sz="4" w:space="1" w:color="auto"/>
      </w:pBdr>
      <w:jc w:val="center"/>
      <w:rPr>
        <w:sz w:val="28"/>
        <w:szCs w:val="28"/>
      </w:rPr>
    </w:pPr>
    <w:r>
      <w:rPr>
        <w:rFonts w:cstheme="minorHAnsi"/>
        <w:sz w:val="28"/>
        <w:szCs w:val="28"/>
      </w:rPr>
      <w:t>Applicant Responses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12BF"/>
    <w:multiLevelType w:val="hybridMultilevel"/>
    <w:tmpl w:val="95D2395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772048"/>
    <w:multiLevelType w:val="hybridMultilevel"/>
    <w:tmpl w:val="6D70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00EDA"/>
    <w:multiLevelType w:val="hybridMultilevel"/>
    <w:tmpl w:val="E7DEAF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AF7EC0"/>
    <w:multiLevelType w:val="hybridMultilevel"/>
    <w:tmpl w:val="D81A184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A9071D"/>
    <w:multiLevelType w:val="hybridMultilevel"/>
    <w:tmpl w:val="080AD0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E637B8"/>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77D48"/>
    <w:multiLevelType w:val="hybridMultilevel"/>
    <w:tmpl w:val="EFE0F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CD09B6"/>
    <w:multiLevelType w:val="hybridMultilevel"/>
    <w:tmpl w:val="0F1E72C8"/>
    <w:lvl w:ilvl="0" w:tplc="C3E49AEA">
      <w:start w:val="1"/>
      <w:numFmt w:val="lowerLetter"/>
      <w:lvlText w:val="%1."/>
      <w:lvlJc w:val="left"/>
      <w:pPr>
        <w:ind w:left="720" w:hanging="360"/>
      </w:pPr>
      <w:rPr>
        <w:rFonts w:asciiTheme="minorHAnsi" w:eastAsiaTheme="minorHAnsi" w:hAnsiTheme="minorHAnsi" w:cstheme="minorHAnsi"/>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F50F3"/>
    <w:multiLevelType w:val="hybridMultilevel"/>
    <w:tmpl w:val="AF98E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AC6B40"/>
    <w:multiLevelType w:val="hybridMultilevel"/>
    <w:tmpl w:val="147E6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D19D3"/>
    <w:multiLevelType w:val="hybridMultilevel"/>
    <w:tmpl w:val="8FE0EBA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01037D"/>
    <w:multiLevelType w:val="hybridMultilevel"/>
    <w:tmpl w:val="0BE4A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094B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9AC7226"/>
    <w:multiLevelType w:val="hybridMultilevel"/>
    <w:tmpl w:val="0F4A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C2470"/>
    <w:multiLevelType w:val="hybridMultilevel"/>
    <w:tmpl w:val="06401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C94ED2"/>
    <w:multiLevelType w:val="hybridMultilevel"/>
    <w:tmpl w:val="A75E2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6A5BC3"/>
    <w:multiLevelType w:val="hybridMultilevel"/>
    <w:tmpl w:val="02FC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B0A36C3"/>
    <w:multiLevelType w:val="hybridMultilevel"/>
    <w:tmpl w:val="2F3EEE18"/>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EE535A"/>
    <w:multiLevelType w:val="hybridMultilevel"/>
    <w:tmpl w:val="B436F6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B05379"/>
    <w:multiLevelType w:val="hybridMultilevel"/>
    <w:tmpl w:val="40B6E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9913E1"/>
    <w:multiLevelType w:val="hybridMultilevel"/>
    <w:tmpl w:val="BA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F1F74"/>
    <w:multiLevelType w:val="hybridMultilevel"/>
    <w:tmpl w:val="CC5C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5260C3"/>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9C42DB"/>
    <w:multiLevelType w:val="hybridMultilevel"/>
    <w:tmpl w:val="F63854DC"/>
    <w:lvl w:ilvl="0" w:tplc="E696BBCC">
      <w:start w:val="1"/>
      <w:numFmt w:val="decimal"/>
      <w:lvlText w:val="%1."/>
      <w:lvlJc w:val="left"/>
      <w:pPr>
        <w:ind w:left="360" w:hanging="360"/>
      </w:pPr>
      <w:rPr>
        <w:rFonts w:hint="default"/>
        <w:b w:val="0"/>
        <w:bCs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8A20EA3"/>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07233B"/>
    <w:multiLevelType w:val="hybridMultilevel"/>
    <w:tmpl w:val="ABB0F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2208C"/>
    <w:multiLevelType w:val="hybridMultilevel"/>
    <w:tmpl w:val="C254B4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F7196D"/>
    <w:multiLevelType w:val="hybridMultilevel"/>
    <w:tmpl w:val="6310D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C85BAA"/>
    <w:multiLevelType w:val="hybridMultilevel"/>
    <w:tmpl w:val="9ED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511235"/>
    <w:multiLevelType w:val="hybridMultilevel"/>
    <w:tmpl w:val="51E4F1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0B4C97"/>
    <w:multiLevelType w:val="hybridMultilevel"/>
    <w:tmpl w:val="9FD63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D4693B"/>
    <w:multiLevelType w:val="hybridMultilevel"/>
    <w:tmpl w:val="0450D3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BF1893"/>
    <w:multiLevelType w:val="hybridMultilevel"/>
    <w:tmpl w:val="E8627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C256FB6"/>
    <w:multiLevelType w:val="hybridMultilevel"/>
    <w:tmpl w:val="D6E22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ED45180"/>
    <w:multiLevelType w:val="hybridMultilevel"/>
    <w:tmpl w:val="C3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899068">
    <w:abstractNumId w:val="23"/>
  </w:num>
  <w:num w:numId="2" w16cid:durableId="1353843505">
    <w:abstractNumId w:val="37"/>
  </w:num>
  <w:num w:numId="3" w16cid:durableId="1279526035">
    <w:abstractNumId w:val="31"/>
  </w:num>
  <w:num w:numId="4" w16cid:durableId="1378551702">
    <w:abstractNumId w:val="10"/>
  </w:num>
  <w:num w:numId="5" w16cid:durableId="848327212">
    <w:abstractNumId w:val="27"/>
  </w:num>
  <w:num w:numId="6" w16cid:durableId="1139688139">
    <w:abstractNumId w:val="18"/>
  </w:num>
  <w:num w:numId="7" w16cid:durableId="657195646">
    <w:abstractNumId w:val="11"/>
  </w:num>
  <w:num w:numId="8" w16cid:durableId="110832496">
    <w:abstractNumId w:val="7"/>
  </w:num>
  <w:num w:numId="9" w16cid:durableId="387649668">
    <w:abstractNumId w:val="16"/>
  </w:num>
  <w:num w:numId="10" w16cid:durableId="1999535959">
    <w:abstractNumId w:val="25"/>
  </w:num>
  <w:num w:numId="11" w16cid:durableId="1854033332">
    <w:abstractNumId w:val="17"/>
  </w:num>
  <w:num w:numId="12" w16cid:durableId="1587693421">
    <w:abstractNumId w:val="24"/>
  </w:num>
  <w:num w:numId="13" w16cid:durableId="1094132952">
    <w:abstractNumId w:val="9"/>
  </w:num>
  <w:num w:numId="14" w16cid:durableId="913203945">
    <w:abstractNumId w:val="12"/>
  </w:num>
  <w:num w:numId="15" w16cid:durableId="839344708">
    <w:abstractNumId w:val="30"/>
  </w:num>
  <w:num w:numId="16" w16cid:durableId="876431696">
    <w:abstractNumId w:val="6"/>
  </w:num>
  <w:num w:numId="17" w16cid:durableId="806820403">
    <w:abstractNumId w:val="14"/>
  </w:num>
  <w:num w:numId="18" w16cid:durableId="1078599987">
    <w:abstractNumId w:val="5"/>
  </w:num>
  <w:num w:numId="19" w16cid:durableId="1698239086">
    <w:abstractNumId w:val="4"/>
  </w:num>
  <w:num w:numId="20" w16cid:durableId="1851749367">
    <w:abstractNumId w:val="34"/>
  </w:num>
  <w:num w:numId="21" w16cid:durableId="1761026085">
    <w:abstractNumId w:val="28"/>
  </w:num>
  <w:num w:numId="22" w16cid:durableId="1720126088">
    <w:abstractNumId w:val="33"/>
  </w:num>
  <w:num w:numId="23" w16cid:durableId="1722703916">
    <w:abstractNumId w:val="35"/>
  </w:num>
  <w:num w:numId="24" w16cid:durableId="754984576">
    <w:abstractNumId w:val="20"/>
  </w:num>
  <w:num w:numId="25" w16cid:durableId="1784617036">
    <w:abstractNumId w:val="22"/>
  </w:num>
  <w:num w:numId="26" w16cid:durableId="1548058589">
    <w:abstractNumId w:val="21"/>
  </w:num>
  <w:num w:numId="27" w16cid:durableId="1593852056">
    <w:abstractNumId w:val="1"/>
  </w:num>
  <w:num w:numId="28" w16cid:durableId="1336036520">
    <w:abstractNumId w:val="2"/>
  </w:num>
  <w:num w:numId="29" w16cid:durableId="1759598195">
    <w:abstractNumId w:val="26"/>
  </w:num>
  <w:num w:numId="30" w16cid:durableId="203442492">
    <w:abstractNumId w:val="3"/>
  </w:num>
  <w:num w:numId="31" w16cid:durableId="905454452">
    <w:abstractNumId w:val="29"/>
  </w:num>
  <w:num w:numId="32" w16cid:durableId="913900956">
    <w:abstractNumId w:val="32"/>
  </w:num>
  <w:num w:numId="33" w16cid:durableId="459230438">
    <w:abstractNumId w:val="19"/>
  </w:num>
  <w:num w:numId="34" w16cid:durableId="49697358">
    <w:abstractNumId w:val="15"/>
  </w:num>
  <w:num w:numId="35" w16cid:durableId="926427677">
    <w:abstractNumId w:val="13"/>
  </w:num>
  <w:num w:numId="36" w16cid:durableId="1194660417">
    <w:abstractNumId w:val="36"/>
  </w:num>
  <w:num w:numId="37" w16cid:durableId="868957885">
    <w:abstractNumId w:val="8"/>
  </w:num>
  <w:num w:numId="38" w16cid:durableId="252056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37BD"/>
    <w:rsid w:val="000038CE"/>
    <w:rsid w:val="00005930"/>
    <w:rsid w:val="00011385"/>
    <w:rsid w:val="00012264"/>
    <w:rsid w:val="00012279"/>
    <w:rsid w:val="000168C2"/>
    <w:rsid w:val="00016E99"/>
    <w:rsid w:val="00021A01"/>
    <w:rsid w:val="00021C7D"/>
    <w:rsid w:val="0002235E"/>
    <w:rsid w:val="00025521"/>
    <w:rsid w:val="00027FBC"/>
    <w:rsid w:val="0003012E"/>
    <w:rsid w:val="00032FF5"/>
    <w:rsid w:val="00040965"/>
    <w:rsid w:val="000413D6"/>
    <w:rsid w:val="0004380F"/>
    <w:rsid w:val="0004645C"/>
    <w:rsid w:val="00054FF4"/>
    <w:rsid w:val="0005525D"/>
    <w:rsid w:val="00055942"/>
    <w:rsid w:val="00055C22"/>
    <w:rsid w:val="00055F9E"/>
    <w:rsid w:val="00056D5B"/>
    <w:rsid w:val="00063414"/>
    <w:rsid w:val="00064206"/>
    <w:rsid w:val="0006445F"/>
    <w:rsid w:val="00071162"/>
    <w:rsid w:val="00072EE3"/>
    <w:rsid w:val="00073DC9"/>
    <w:rsid w:val="00074092"/>
    <w:rsid w:val="000766DC"/>
    <w:rsid w:val="00076A84"/>
    <w:rsid w:val="00076CB2"/>
    <w:rsid w:val="000775B1"/>
    <w:rsid w:val="0008033D"/>
    <w:rsid w:val="00080AC6"/>
    <w:rsid w:val="000826CB"/>
    <w:rsid w:val="0008493D"/>
    <w:rsid w:val="000862E1"/>
    <w:rsid w:val="000906E1"/>
    <w:rsid w:val="000907F9"/>
    <w:rsid w:val="00091C4C"/>
    <w:rsid w:val="00092910"/>
    <w:rsid w:val="000952FD"/>
    <w:rsid w:val="00095621"/>
    <w:rsid w:val="00096ACB"/>
    <w:rsid w:val="00097B2C"/>
    <w:rsid w:val="000A56D4"/>
    <w:rsid w:val="000A691D"/>
    <w:rsid w:val="000A7A45"/>
    <w:rsid w:val="000B1438"/>
    <w:rsid w:val="000B1D01"/>
    <w:rsid w:val="000B4EED"/>
    <w:rsid w:val="000B6654"/>
    <w:rsid w:val="000C4405"/>
    <w:rsid w:val="000C6277"/>
    <w:rsid w:val="000C7F71"/>
    <w:rsid w:val="000D0D41"/>
    <w:rsid w:val="000E0B48"/>
    <w:rsid w:val="000E2F30"/>
    <w:rsid w:val="000E3622"/>
    <w:rsid w:val="000E5EC9"/>
    <w:rsid w:val="000E7E1B"/>
    <w:rsid w:val="000F0EDD"/>
    <w:rsid w:val="000F4FA3"/>
    <w:rsid w:val="000F5CC4"/>
    <w:rsid w:val="000F7B6C"/>
    <w:rsid w:val="001017F6"/>
    <w:rsid w:val="00103AD1"/>
    <w:rsid w:val="00104288"/>
    <w:rsid w:val="001050F4"/>
    <w:rsid w:val="00106D23"/>
    <w:rsid w:val="00112BDF"/>
    <w:rsid w:val="00112E92"/>
    <w:rsid w:val="001204FE"/>
    <w:rsid w:val="00120FB5"/>
    <w:rsid w:val="00122099"/>
    <w:rsid w:val="0012232D"/>
    <w:rsid w:val="00123EE2"/>
    <w:rsid w:val="00125F6B"/>
    <w:rsid w:val="00126E85"/>
    <w:rsid w:val="001332C7"/>
    <w:rsid w:val="001342EB"/>
    <w:rsid w:val="00137A46"/>
    <w:rsid w:val="001459CB"/>
    <w:rsid w:val="00152CFB"/>
    <w:rsid w:val="001538B2"/>
    <w:rsid w:val="00153D99"/>
    <w:rsid w:val="00154A10"/>
    <w:rsid w:val="00162A72"/>
    <w:rsid w:val="00166158"/>
    <w:rsid w:val="00167F71"/>
    <w:rsid w:val="001701AE"/>
    <w:rsid w:val="00170D7F"/>
    <w:rsid w:val="00174CFB"/>
    <w:rsid w:val="00176547"/>
    <w:rsid w:val="00176C56"/>
    <w:rsid w:val="00180580"/>
    <w:rsid w:val="00182533"/>
    <w:rsid w:val="00185A10"/>
    <w:rsid w:val="00190646"/>
    <w:rsid w:val="0019184A"/>
    <w:rsid w:val="00191B78"/>
    <w:rsid w:val="00191DAC"/>
    <w:rsid w:val="00192CFC"/>
    <w:rsid w:val="00193CD7"/>
    <w:rsid w:val="001A0425"/>
    <w:rsid w:val="001A11D0"/>
    <w:rsid w:val="001A170B"/>
    <w:rsid w:val="001A511B"/>
    <w:rsid w:val="001A66A9"/>
    <w:rsid w:val="001A767E"/>
    <w:rsid w:val="001B3A91"/>
    <w:rsid w:val="001B517F"/>
    <w:rsid w:val="001B569F"/>
    <w:rsid w:val="001B5845"/>
    <w:rsid w:val="001B7F98"/>
    <w:rsid w:val="001C2783"/>
    <w:rsid w:val="001C2A01"/>
    <w:rsid w:val="001C5BF3"/>
    <w:rsid w:val="001C6B00"/>
    <w:rsid w:val="001C6D93"/>
    <w:rsid w:val="001D0111"/>
    <w:rsid w:val="001D01BF"/>
    <w:rsid w:val="001D1521"/>
    <w:rsid w:val="001D1813"/>
    <w:rsid w:val="001D7C2C"/>
    <w:rsid w:val="001E0B77"/>
    <w:rsid w:val="001E0B94"/>
    <w:rsid w:val="001E19D7"/>
    <w:rsid w:val="001E21D7"/>
    <w:rsid w:val="001E2EA3"/>
    <w:rsid w:val="001E4503"/>
    <w:rsid w:val="001E5650"/>
    <w:rsid w:val="001E5807"/>
    <w:rsid w:val="001E592B"/>
    <w:rsid w:val="001F02F3"/>
    <w:rsid w:val="001F27B7"/>
    <w:rsid w:val="001F5FDD"/>
    <w:rsid w:val="001F667D"/>
    <w:rsid w:val="001F687E"/>
    <w:rsid w:val="00200334"/>
    <w:rsid w:val="00201F6E"/>
    <w:rsid w:val="00202AD7"/>
    <w:rsid w:val="002037DF"/>
    <w:rsid w:val="002050B9"/>
    <w:rsid w:val="002069DD"/>
    <w:rsid w:val="002102EF"/>
    <w:rsid w:val="00212619"/>
    <w:rsid w:val="002131E4"/>
    <w:rsid w:val="00214FAA"/>
    <w:rsid w:val="002155ED"/>
    <w:rsid w:val="00215C87"/>
    <w:rsid w:val="00216777"/>
    <w:rsid w:val="00220D52"/>
    <w:rsid w:val="00224770"/>
    <w:rsid w:val="00225B1E"/>
    <w:rsid w:val="00226A63"/>
    <w:rsid w:val="00227005"/>
    <w:rsid w:val="00227BD5"/>
    <w:rsid w:val="00230C3B"/>
    <w:rsid w:val="00231103"/>
    <w:rsid w:val="002314FF"/>
    <w:rsid w:val="00231E3B"/>
    <w:rsid w:val="00233AFE"/>
    <w:rsid w:val="00234272"/>
    <w:rsid w:val="002364A1"/>
    <w:rsid w:val="00241F52"/>
    <w:rsid w:val="0024261D"/>
    <w:rsid w:val="00251BEF"/>
    <w:rsid w:val="002533DB"/>
    <w:rsid w:val="0025349C"/>
    <w:rsid w:val="00253AF3"/>
    <w:rsid w:val="00253B0A"/>
    <w:rsid w:val="00254265"/>
    <w:rsid w:val="002542A0"/>
    <w:rsid w:val="0025780A"/>
    <w:rsid w:val="00262131"/>
    <w:rsid w:val="00262E53"/>
    <w:rsid w:val="002631E8"/>
    <w:rsid w:val="002643AF"/>
    <w:rsid w:val="00264588"/>
    <w:rsid w:val="0026558B"/>
    <w:rsid w:val="00267859"/>
    <w:rsid w:val="00270B47"/>
    <w:rsid w:val="00271BF5"/>
    <w:rsid w:val="00271D85"/>
    <w:rsid w:val="0027221A"/>
    <w:rsid w:val="0027284F"/>
    <w:rsid w:val="002750A6"/>
    <w:rsid w:val="0027783A"/>
    <w:rsid w:val="002865E8"/>
    <w:rsid w:val="002906CE"/>
    <w:rsid w:val="002912FB"/>
    <w:rsid w:val="00291912"/>
    <w:rsid w:val="00292B13"/>
    <w:rsid w:val="00293147"/>
    <w:rsid w:val="00294D49"/>
    <w:rsid w:val="00296F21"/>
    <w:rsid w:val="0029738B"/>
    <w:rsid w:val="002A36DF"/>
    <w:rsid w:val="002A4110"/>
    <w:rsid w:val="002A47FE"/>
    <w:rsid w:val="002A518F"/>
    <w:rsid w:val="002A540F"/>
    <w:rsid w:val="002A5E73"/>
    <w:rsid w:val="002A725B"/>
    <w:rsid w:val="002B3476"/>
    <w:rsid w:val="002B4234"/>
    <w:rsid w:val="002C0C55"/>
    <w:rsid w:val="002C0C71"/>
    <w:rsid w:val="002C3C86"/>
    <w:rsid w:val="002C568C"/>
    <w:rsid w:val="002C5E88"/>
    <w:rsid w:val="002D012B"/>
    <w:rsid w:val="002D06F7"/>
    <w:rsid w:val="002D18BF"/>
    <w:rsid w:val="002D1CC3"/>
    <w:rsid w:val="002D39AC"/>
    <w:rsid w:val="002D5E75"/>
    <w:rsid w:val="002D5F7A"/>
    <w:rsid w:val="002E3CEF"/>
    <w:rsid w:val="002E5CA9"/>
    <w:rsid w:val="002F3CDD"/>
    <w:rsid w:val="002F5878"/>
    <w:rsid w:val="002F7B99"/>
    <w:rsid w:val="00302D3F"/>
    <w:rsid w:val="003030AA"/>
    <w:rsid w:val="00303DD8"/>
    <w:rsid w:val="00303EE3"/>
    <w:rsid w:val="00306307"/>
    <w:rsid w:val="00306D7D"/>
    <w:rsid w:val="003078B4"/>
    <w:rsid w:val="003079EC"/>
    <w:rsid w:val="00307F98"/>
    <w:rsid w:val="003103B0"/>
    <w:rsid w:val="00312739"/>
    <w:rsid w:val="00312A19"/>
    <w:rsid w:val="00317580"/>
    <w:rsid w:val="00320371"/>
    <w:rsid w:val="0032484D"/>
    <w:rsid w:val="00327903"/>
    <w:rsid w:val="00327EAC"/>
    <w:rsid w:val="00331E8E"/>
    <w:rsid w:val="00335F54"/>
    <w:rsid w:val="00342240"/>
    <w:rsid w:val="00344DAC"/>
    <w:rsid w:val="003506AE"/>
    <w:rsid w:val="003533CA"/>
    <w:rsid w:val="00354D26"/>
    <w:rsid w:val="0035653B"/>
    <w:rsid w:val="00357756"/>
    <w:rsid w:val="00357BA6"/>
    <w:rsid w:val="003602C2"/>
    <w:rsid w:val="003620FB"/>
    <w:rsid w:val="00364225"/>
    <w:rsid w:val="00366505"/>
    <w:rsid w:val="0036671D"/>
    <w:rsid w:val="00366918"/>
    <w:rsid w:val="00366DCC"/>
    <w:rsid w:val="00375F14"/>
    <w:rsid w:val="003764DE"/>
    <w:rsid w:val="003769AF"/>
    <w:rsid w:val="00380361"/>
    <w:rsid w:val="00380B28"/>
    <w:rsid w:val="00380E08"/>
    <w:rsid w:val="003813A0"/>
    <w:rsid w:val="00381CBF"/>
    <w:rsid w:val="00382217"/>
    <w:rsid w:val="00387527"/>
    <w:rsid w:val="00392D76"/>
    <w:rsid w:val="00393F8C"/>
    <w:rsid w:val="00394105"/>
    <w:rsid w:val="0039698B"/>
    <w:rsid w:val="003A1793"/>
    <w:rsid w:val="003A2B5B"/>
    <w:rsid w:val="003A36B2"/>
    <w:rsid w:val="003A4882"/>
    <w:rsid w:val="003A4DC6"/>
    <w:rsid w:val="003A5F8B"/>
    <w:rsid w:val="003A7217"/>
    <w:rsid w:val="003B0073"/>
    <w:rsid w:val="003B0D30"/>
    <w:rsid w:val="003B1445"/>
    <w:rsid w:val="003B575F"/>
    <w:rsid w:val="003B5953"/>
    <w:rsid w:val="003C1787"/>
    <w:rsid w:val="003C2495"/>
    <w:rsid w:val="003C28D0"/>
    <w:rsid w:val="003C3117"/>
    <w:rsid w:val="003C38F5"/>
    <w:rsid w:val="003C3B18"/>
    <w:rsid w:val="003C3FFC"/>
    <w:rsid w:val="003C6F58"/>
    <w:rsid w:val="003C7C67"/>
    <w:rsid w:val="003C7D2A"/>
    <w:rsid w:val="003D0F39"/>
    <w:rsid w:val="003D14BA"/>
    <w:rsid w:val="003D2A24"/>
    <w:rsid w:val="003D31FD"/>
    <w:rsid w:val="003D3D7D"/>
    <w:rsid w:val="003D50D2"/>
    <w:rsid w:val="003D7315"/>
    <w:rsid w:val="003D7942"/>
    <w:rsid w:val="003E0045"/>
    <w:rsid w:val="003E4BD2"/>
    <w:rsid w:val="003E4F87"/>
    <w:rsid w:val="003E5576"/>
    <w:rsid w:val="003E5688"/>
    <w:rsid w:val="003F05B3"/>
    <w:rsid w:val="003F1211"/>
    <w:rsid w:val="003F159E"/>
    <w:rsid w:val="003F5EF2"/>
    <w:rsid w:val="003F7754"/>
    <w:rsid w:val="00402AC2"/>
    <w:rsid w:val="004035C4"/>
    <w:rsid w:val="00407E19"/>
    <w:rsid w:val="00411D30"/>
    <w:rsid w:val="004141A0"/>
    <w:rsid w:val="0042031C"/>
    <w:rsid w:val="00421844"/>
    <w:rsid w:val="00421B81"/>
    <w:rsid w:val="00421C21"/>
    <w:rsid w:val="00422255"/>
    <w:rsid w:val="004253AA"/>
    <w:rsid w:val="00426884"/>
    <w:rsid w:val="00432D19"/>
    <w:rsid w:val="0043506D"/>
    <w:rsid w:val="00436DA5"/>
    <w:rsid w:val="00437322"/>
    <w:rsid w:val="00441F3E"/>
    <w:rsid w:val="004449E1"/>
    <w:rsid w:val="00444A21"/>
    <w:rsid w:val="00445B4E"/>
    <w:rsid w:val="00447333"/>
    <w:rsid w:val="00450206"/>
    <w:rsid w:val="0045317B"/>
    <w:rsid w:val="004537FA"/>
    <w:rsid w:val="00455504"/>
    <w:rsid w:val="00456B10"/>
    <w:rsid w:val="00464ACB"/>
    <w:rsid w:val="00470202"/>
    <w:rsid w:val="004739A3"/>
    <w:rsid w:val="00480049"/>
    <w:rsid w:val="00481ADC"/>
    <w:rsid w:val="004821A3"/>
    <w:rsid w:val="00484231"/>
    <w:rsid w:val="00484A85"/>
    <w:rsid w:val="004873F3"/>
    <w:rsid w:val="004901A5"/>
    <w:rsid w:val="00491564"/>
    <w:rsid w:val="00497513"/>
    <w:rsid w:val="0049782E"/>
    <w:rsid w:val="004A0DDC"/>
    <w:rsid w:val="004A1907"/>
    <w:rsid w:val="004A1AD5"/>
    <w:rsid w:val="004A1BB1"/>
    <w:rsid w:val="004A1D25"/>
    <w:rsid w:val="004A3C27"/>
    <w:rsid w:val="004A5502"/>
    <w:rsid w:val="004A7A25"/>
    <w:rsid w:val="004B1CE6"/>
    <w:rsid w:val="004B39F2"/>
    <w:rsid w:val="004B46F4"/>
    <w:rsid w:val="004B53D6"/>
    <w:rsid w:val="004B582E"/>
    <w:rsid w:val="004B5EF9"/>
    <w:rsid w:val="004B678F"/>
    <w:rsid w:val="004B6C8F"/>
    <w:rsid w:val="004C0998"/>
    <w:rsid w:val="004C2AE3"/>
    <w:rsid w:val="004C2EFC"/>
    <w:rsid w:val="004C3AB7"/>
    <w:rsid w:val="004C7C09"/>
    <w:rsid w:val="004D036D"/>
    <w:rsid w:val="004D0BF9"/>
    <w:rsid w:val="004D293C"/>
    <w:rsid w:val="004D7C5C"/>
    <w:rsid w:val="004E166A"/>
    <w:rsid w:val="004E6482"/>
    <w:rsid w:val="004F432A"/>
    <w:rsid w:val="004F590F"/>
    <w:rsid w:val="004F6BB4"/>
    <w:rsid w:val="005006E2"/>
    <w:rsid w:val="00510EC8"/>
    <w:rsid w:val="00512FDF"/>
    <w:rsid w:val="005145C3"/>
    <w:rsid w:val="00514968"/>
    <w:rsid w:val="00514ECB"/>
    <w:rsid w:val="0051617E"/>
    <w:rsid w:val="00520941"/>
    <w:rsid w:val="00520CE7"/>
    <w:rsid w:val="005218C7"/>
    <w:rsid w:val="00522D14"/>
    <w:rsid w:val="00522F5F"/>
    <w:rsid w:val="00524144"/>
    <w:rsid w:val="005248A7"/>
    <w:rsid w:val="00525292"/>
    <w:rsid w:val="005257D0"/>
    <w:rsid w:val="00527788"/>
    <w:rsid w:val="005301FC"/>
    <w:rsid w:val="00530477"/>
    <w:rsid w:val="00532D6E"/>
    <w:rsid w:val="005338A0"/>
    <w:rsid w:val="00534C78"/>
    <w:rsid w:val="00535A15"/>
    <w:rsid w:val="00536A69"/>
    <w:rsid w:val="00536B22"/>
    <w:rsid w:val="005430C8"/>
    <w:rsid w:val="0054339D"/>
    <w:rsid w:val="00546917"/>
    <w:rsid w:val="00547324"/>
    <w:rsid w:val="005475AF"/>
    <w:rsid w:val="005506E6"/>
    <w:rsid w:val="00551569"/>
    <w:rsid w:val="00554544"/>
    <w:rsid w:val="00554CF4"/>
    <w:rsid w:val="00555A05"/>
    <w:rsid w:val="005560CC"/>
    <w:rsid w:val="00561790"/>
    <w:rsid w:val="00561BCC"/>
    <w:rsid w:val="0056282F"/>
    <w:rsid w:val="00564F33"/>
    <w:rsid w:val="0056515A"/>
    <w:rsid w:val="00566687"/>
    <w:rsid w:val="00567A48"/>
    <w:rsid w:val="00573656"/>
    <w:rsid w:val="005768C9"/>
    <w:rsid w:val="00577B19"/>
    <w:rsid w:val="00580E2B"/>
    <w:rsid w:val="0058155B"/>
    <w:rsid w:val="00581E7E"/>
    <w:rsid w:val="00587600"/>
    <w:rsid w:val="0059124F"/>
    <w:rsid w:val="005921B2"/>
    <w:rsid w:val="005941A3"/>
    <w:rsid w:val="005946AB"/>
    <w:rsid w:val="00595A74"/>
    <w:rsid w:val="00596226"/>
    <w:rsid w:val="00596309"/>
    <w:rsid w:val="00596F2D"/>
    <w:rsid w:val="00597369"/>
    <w:rsid w:val="005977E8"/>
    <w:rsid w:val="005A081D"/>
    <w:rsid w:val="005A11D8"/>
    <w:rsid w:val="005A2505"/>
    <w:rsid w:val="005A2F6B"/>
    <w:rsid w:val="005A390D"/>
    <w:rsid w:val="005A3A68"/>
    <w:rsid w:val="005A5F29"/>
    <w:rsid w:val="005A6431"/>
    <w:rsid w:val="005A71F5"/>
    <w:rsid w:val="005C1E0B"/>
    <w:rsid w:val="005C3394"/>
    <w:rsid w:val="005C4433"/>
    <w:rsid w:val="005C7D0C"/>
    <w:rsid w:val="005D4244"/>
    <w:rsid w:val="005E07A8"/>
    <w:rsid w:val="005E1AEF"/>
    <w:rsid w:val="005E3669"/>
    <w:rsid w:val="005F5F80"/>
    <w:rsid w:val="005F62ED"/>
    <w:rsid w:val="005F7339"/>
    <w:rsid w:val="00605067"/>
    <w:rsid w:val="006054A8"/>
    <w:rsid w:val="00605AB6"/>
    <w:rsid w:val="00607E0F"/>
    <w:rsid w:val="00610F50"/>
    <w:rsid w:val="00617403"/>
    <w:rsid w:val="00621087"/>
    <w:rsid w:val="00623AD7"/>
    <w:rsid w:val="006269A1"/>
    <w:rsid w:val="006303FF"/>
    <w:rsid w:val="006325B1"/>
    <w:rsid w:val="00632AEC"/>
    <w:rsid w:val="00636A3D"/>
    <w:rsid w:val="006403D2"/>
    <w:rsid w:val="00643D57"/>
    <w:rsid w:val="0064499E"/>
    <w:rsid w:val="00645592"/>
    <w:rsid w:val="00651C57"/>
    <w:rsid w:val="006520E7"/>
    <w:rsid w:val="006533A2"/>
    <w:rsid w:val="0065372D"/>
    <w:rsid w:val="006560F8"/>
    <w:rsid w:val="0066694A"/>
    <w:rsid w:val="006705F7"/>
    <w:rsid w:val="006733D5"/>
    <w:rsid w:val="00674E0A"/>
    <w:rsid w:val="00680AD8"/>
    <w:rsid w:val="006814E7"/>
    <w:rsid w:val="00682275"/>
    <w:rsid w:val="006826AF"/>
    <w:rsid w:val="00684458"/>
    <w:rsid w:val="00687E3F"/>
    <w:rsid w:val="006906F3"/>
    <w:rsid w:val="00693E98"/>
    <w:rsid w:val="006A0DF8"/>
    <w:rsid w:val="006A25D2"/>
    <w:rsid w:val="006A2BD7"/>
    <w:rsid w:val="006A4D5B"/>
    <w:rsid w:val="006A7EAE"/>
    <w:rsid w:val="006B0549"/>
    <w:rsid w:val="006B0C48"/>
    <w:rsid w:val="006B0F22"/>
    <w:rsid w:val="006B5BEF"/>
    <w:rsid w:val="006B7171"/>
    <w:rsid w:val="006C1B8D"/>
    <w:rsid w:val="006C3ED5"/>
    <w:rsid w:val="006C552B"/>
    <w:rsid w:val="006D01D3"/>
    <w:rsid w:val="006D3FA9"/>
    <w:rsid w:val="006D6315"/>
    <w:rsid w:val="006D650D"/>
    <w:rsid w:val="006D6994"/>
    <w:rsid w:val="006E112C"/>
    <w:rsid w:val="006E1D4C"/>
    <w:rsid w:val="006E279C"/>
    <w:rsid w:val="006E29DE"/>
    <w:rsid w:val="006E4E00"/>
    <w:rsid w:val="006E5304"/>
    <w:rsid w:val="006E5CDF"/>
    <w:rsid w:val="006E6DA9"/>
    <w:rsid w:val="006F0472"/>
    <w:rsid w:val="006F0935"/>
    <w:rsid w:val="006F4EF5"/>
    <w:rsid w:val="006F7519"/>
    <w:rsid w:val="007013CB"/>
    <w:rsid w:val="0070409F"/>
    <w:rsid w:val="007113DC"/>
    <w:rsid w:val="00712FA6"/>
    <w:rsid w:val="0071402E"/>
    <w:rsid w:val="00715918"/>
    <w:rsid w:val="00722F8A"/>
    <w:rsid w:val="007230BC"/>
    <w:rsid w:val="00723E74"/>
    <w:rsid w:val="007242B4"/>
    <w:rsid w:val="0073005B"/>
    <w:rsid w:val="00730E81"/>
    <w:rsid w:val="00733E21"/>
    <w:rsid w:val="0073404F"/>
    <w:rsid w:val="00734A0C"/>
    <w:rsid w:val="00740B16"/>
    <w:rsid w:val="00742E67"/>
    <w:rsid w:val="00743F50"/>
    <w:rsid w:val="00747EF6"/>
    <w:rsid w:val="007508EF"/>
    <w:rsid w:val="00750B62"/>
    <w:rsid w:val="0075159B"/>
    <w:rsid w:val="007531D5"/>
    <w:rsid w:val="0075373D"/>
    <w:rsid w:val="00753F14"/>
    <w:rsid w:val="00757106"/>
    <w:rsid w:val="00761997"/>
    <w:rsid w:val="00766B76"/>
    <w:rsid w:val="00771621"/>
    <w:rsid w:val="00774FA6"/>
    <w:rsid w:val="00775A18"/>
    <w:rsid w:val="00775E59"/>
    <w:rsid w:val="00787CB4"/>
    <w:rsid w:val="00791B92"/>
    <w:rsid w:val="007934D2"/>
    <w:rsid w:val="00795B9D"/>
    <w:rsid w:val="00795E61"/>
    <w:rsid w:val="007966DB"/>
    <w:rsid w:val="007B3A5E"/>
    <w:rsid w:val="007B529A"/>
    <w:rsid w:val="007B57B1"/>
    <w:rsid w:val="007B5C83"/>
    <w:rsid w:val="007B689C"/>
    <w:rsid w:val="007C02F9"/>
    <w:rsid w:val="007C108B"/>
    <w:rsid w:val="007C2DF7"/>
    <w:rsid w:val="007C302D"/>
    <w:rsid w:val="007C6B4E"/>
    <w:rsid w:val="007D023F"/>
    <w:rsid w:val="007D127A"/>
    <w:rsid w:val="007D1376"/>
    <w:rsid w:val="007D16C5"/>
    <w:rsid w:val="007D25EE"/>
    <w:rsid w:val="007D3BF6"/>
    <w:rsid w:val="007E0AC9"/>
    <w:rsid w:val="007E5FE7"/>
    <w:rsid w:val="007E6854"/>
    <w:rsid w:val="007F1021"/>
    <w:rsid w:val="007F43D4"/>
    <w:rsid w:val="007F5301"/>
    <w:rsid w:val="007F5C97"/>
    <w:rsid w:val="007F5DD1"/>
    <w:rsid w:val="007F6652"/>
    <w:rsid w:val="007F6742"/>
    <w:rsid w:val="008006D1"/>
    <w:rsid w:val="008031C1"/>
    <w:rsid w:val="00803785"/>
    <w:rsid w:val="008061A3"/>
    <w:rsid w:val="00810C49"/>
    <w:rsid w:val="008124F5"/>
    <w:rsid w:val="00813262"/>
    <w:rsid w:val="00815464"/>
    <w:rsid w:val="00820074"/>
    <w:rsid w:val="00820C2B"/>
    <w:rsid w:val="008217B2"/>
    <w:rsid w:val="008218EF"/>
    <w:rsid w:val="008222C5"/>
    <w:rsid w:val="008263DF"/>
    <w:rsid w:val="00826574"/>
    <w:rsid w:val="00830723"/>
    <w:rsid w:val="0083116D"/>
    <w:rsid w:val="0083393C"/>
    <w:rsid w:val="00835493"/>
    <w:rsid w:val="00842E61"/>
    <w:rsid w:val="00843356"/>
    <w:rsid w:val="008443E7"/>
    <w:rsid w:val="008449E3"/>
    <w:rsid w:val="008464B2"/>
    <w:rsid w:val="00847665"/>
    <w:rsid w:val="00847BE1"/>
    <w:rsid w:val="00851136"/>
    <w:rsid w:val="00851EBF"/>
    <w:rsid w:val="008552B3"/>
    <w:rsid w:val="0086021D"/>
    <w:rsid w:val="00862AF4"/>
    <w:rsid w:val="008634B7"/>
    <w:rsid w:val="00863F89"/>
    <w:rsid w:val="008643F3"/>
    <w:rsid w:val="0086753A"/>
    <w:rsid w:val="00874C86"/>
    <w:rsid w:val="00875EDB"/>
    <w:rsid w:val="00876CE8"/>
    <w:rsid w:val="00881DF6"/>
    <w:rsid w:val="00882805"/>
    <w:rsid w:val="008868E6"/>
    <w:rsid w:val="00886E11"/>
    <w:rsid w:val="00890231"/>
    <w:rsid w:val="008922CA"/>
    <w:rsid w:val="008955B8"/>
    <w:rsid w:val="00897A92"/>
    <w:rsid w:val="008A0455"/>
    <w:rsid w:val="008A1722"/>
    <w:rsid w:val="008A1BCF"/>
    <w:rsid w:val="008A7920"/>
    <w:rsid w:val="008A7D64"/>
    <w:rsid w:val="008B18BD"/>
    <w:rsid w:val="008B755E"/>
    <w:rsid w:val="008B7668"/>
    <w:rsid w:val="008C07AB"/>
    <w:rsid w:val="008C121E"/>
    <w:rsid w:val="008C1253"/>
    <w:rsid w:val="008C5D7E"/>
    <w:rsid w:val="008C698B"/>
    <w:rsid w:val="008D0B54"/>
    <w:rsid w:val="008D0BA1"/>
    <w:rsid w:val="008D2B88"/>
    <w:rsid w:val="008D2D7E"/>
    <w:rsid w:val="008D5182"/>
    <w:rsid w:val="008D5359"/>
    <w:rsid w:val="008D6D5E"/>
    <w:rsid w:val="008D7435"/>
    <w:rsid w:val="008E0484"/>
    <w:rsid w:val="008E187B"/>
    <w:rsid w:val="008E234D"/>
    <w:rsid w:val="008E39DC"/>
    <w:rsid w:val="008E3C7A"/>
    <w:rsid w:val="008E455C"/>
    <w:rsid w:val="008E4FB8"/>
    <w:rsid w:val="008E5F7C"/>
    <w:rsid w:val="008E6DF2"/>
    <w:rsid w:val="008E7355"/>
    <w:rsid w:val="008E7E5A"/>
    <w:rsid w:val="008F1860"/>
    <w:rsid w:val="008F4E1B"/>
    <w:rsid w:val="008F5981"/>
    <w:rsid w:val="008F763E"/>
    <w:rsid w:val="00900ED6"/>
    <w:rsid w:val="00901BE4"/>
    <w:rsid w:val="0090264F"/>
    <w:rsid w:val="009032E4"/>
    <w:rsid w:val="00906CCD"/>
    <w:rsid w:val="00911747"/>
    <w:rsid w:val="009143F1"/>
    <w:rsid w:val="00914855"/>
    <w:rsid w:val="00915C11"/>
    <w:rsid w:val="00915F05"/>
    <w:rsid w:val="009171CE"/>
    <w:rsid w:val="009178DF"/>
    <w:rsid w:val="00924A83"/>
    <w:rsid w:val="009250A0"/>
    <w:rsid w:val="00931374"/>
    <w:rsid w:val="009317D3"/>
    <w:rsid w:val="00934706"/>
    <w:rsid w:val="0093616A"/>
    <w:rsid w:val="0093644B"/>
    <w:rsid w:val="009366A5"/>
    <w:rsid w:val="00936CCC"/>
    <w:rsid w:val="009376A5"/>
    <w:rsid w:val="00937C51"/>
    <w:rsid w:val="00937D0C"/>
    <w:rsid w:val="00937DF4"/>
    <w:rsid w:val="00940929"/>
    <w:rsid w:val="00943EBF"/>
    <w:rsid w:val="0094400A"/>
    <w:rsid w:val="009448F4"/>
    <w:rsid w:val="0094528E"/>
    <w:rsid w:val="00950BA9"/>
    <w:rsid w:val="00951254"/>
    <w:rsid w:val="00951485"/>
    <w:rsid w:val="009528C0"/>
    <w:rsid w:val="00955D10"/>
    <w:rsid w:val="00960DBC"/>
    <w:rsid w:val="009611FA"/>
    <w:rsid w:val="00963347"/>
    <w:rsid w:val="009637E5"/>
    <w:rsid w:val="00963B87"/>
    <w:rsid w:val="009656E3"/>
    <w:rsid w:val="00965AEA"/>
    <w:rsid w:val="009672C2"/>
    <w:rsid w:val="00970D87"/>
    <w:rsid w:val="009723AD"/>
    <w:rsid w:val="00974468"/>
    <w:rsid w:val="0097656A"/>
    <w:rsid w:val="0097742B"/>
    <w:rsid w:val="00982829"/>
    <w:rsid w:val="00985A22"/>
    <w:rsid w:val="009865DB"/>
    <w:rsid w:val="00986A89"/>
    <w:rsid w:val="00987B47"/>
    <w:rsid w:val="009910CE"/>
    <w:rsid w:val="009B0139"/>
    <w:rsid w:val="009B122A"/>
    <w:rsid w:val="009B1C56"/>
    <w:rsid w:val="009B23D4"/>
    <w:rsid w:val="009B287F"/>
    <w:rsid w:val="009B36CA"/>
    <w:rsid w:val="009B62C3"/>
    <w:rsid w:val="009B74DA"/>
    <w:rsid w:val="009B7881"/>
    <w:rsid w:val="009B7A81"/>
    <w:rsid w:val="009C0E83"/>
    <w:rsid w:val="009C1D85"/>
    <w:rsid w:val="009C2396"/>
    <w:rsid w:val="009C271D"/>
    <w:rsid w:val="009D0E59"/>
    <w:rsid w:val="009D2DC7"/>
    <w:rsid w:val="009D301F"/>
    <w:rsid w:val="009D46AB"/>
    <w:rsid w:val="009E2663"/>
    <w:rsid w:val="009E2754"/>
    <w:rsid w:val="009E3746"/>
    <w:rsid w:val="009F053D"/>
    <w:rsid w:val="009F10DE"/>
    <w:rsid w:val="009F2325"/>
    <w:rsid w:val="009F3886"/>
    <w:rsid w:val="00A04393"/>
    <w:rsid w:val="00A05AE5"/>
    <w:rsid w:val="00A07020"/>
    <w:rsid w:val="00A0707E"/>
    <w:rsid w:val="00A07187"/>
    <w:rsid w:val="00A0726E"/>
    <w:rsid w:val="00A0730F"/>
    <w:rsid w:val="00A07682"/>
    <w:rsid w:val="00A144A7"/>
    <w:rsid w:val="00A14B99"/>
    <w:rsid w:val="00A15C5C"/>
    <w:rsid w:val="00A15FC6"/>
    <w:rsid w:val="00A1708E"/>
    <w:rsid w:val="00A17E54"/>
    <w:rsid w:val="00A256D6"/>
    <w:rsid w:val="00A266C5"/>
    <w:rsid w:val="00A27237"/>
    <w:rsid w:val="00A27C1B"/>
    <w:rsid w:val="00A32048"/>
    <w:rsid w:val="00A3390B"/>
    <w:rsid w:val="00A350ED"/>
    <w:rsid w:val="00A41584"/>
    <w:rsid w:val="00A44911"/>
    <w:rsid w:val="00A52BF6"/>
    <w:rsid w:val="00A52D05"/>
    <w:rsid w:val="00A530E9"/>
    <w:rsid w:val="00A550CF"/>
    <w:rsid w:val="00A628AF"/>
    <w:rsid w:val="00A63B2C"/>
    <w:rsid w:val="00A63B34"/>
    <w:rsid w:val="00A7342F"/>
    <w:rsid w:val="00A74634"/>
    <w:rsid w:val="00A7645F"/>
    <w:rsid w:val="00A82823"/>
    <w:rsid w:val="00A83C91"/>
    <w:rsid w:val="00A8439B"/>
    <w:rsid w:val="00A84E87"/>
    <w:rsid w:val="00A864E1"/>
    <w:rsid w:val="00A9164D"/>
    <w:rsid w:val="00A91AB7"/>
    <w:rsid w:val="00A941F2"/>
    <w:rsid w:val="00A94C41"/>
    <w:rsid w:val="00A94DFA"/>
    <w:rsid w:val="00A97218"/>
    <w:rsid w:val="00A979E2"/>
    <w:rsid w:val="00AA0462"/>
    <w:rsid w:val="00AA04A0"/>
    <w:rsid w:val="00AA12C8"/>
    <w:rsid w:val="00AA35A1"/>
    <w:rsid w:val="00AA5AD2"/>
    <w:rsid w:val="00AB0CDE"/>
    <w:rsid w:val="00AB1643"/>
    <w:rsid w:val="00AB56AA"/>
    <w:rsid w:val="00AB5E7A"/>
    <w:rsid w:val="00AC08F8"/>
    <w:rsid w:val="00AC3823"/>
    <w:rsid w:val="00AD2C45"/>
    <w:rsid w:val="00AD381B"/>
    <w:rsid w:val="00AD3FD8"/>
    <w:rsid w:val="00AD7A33"/>
    <w:rsid w:val="00AE0C95"/>
    <w:rsid w:val="00AE1619"/>
    <w:rsid w:val="00AE1E9E"/>
    <w:rsid w:val="00AE1F14"/>
    <w:rsid w:val="00AE2E70"/>
    <w:rsid w:val="00AE3E40"/>
    <w:rsid w:val="00AE72CC"/>
    <w:rsid w:val="00AE7CBF"/>
    <w:rsid w:val="00AF01F5"/>
    <w:rsid w:val="00AF1414"/>
    <w:rsid w:val="00AF2AD0"/>
    <w:rsid w:val="00AF2C4C"/>
    <w:rsid w:val="00AF3336"/>
    <w:rsid w:val="00AF4579"/>
    <w:rsid w:val="00B00949"/>
    <w:rsid w:val="00B0197E"/>
    <w:rsid w:val="00B01E81"/>
    <w:rsid w:val="00B0435F"/>
    <w:rsid w:val="00B04766"/>
    <w:rsid w:val="00B0569C"/>
    <w:rsid w:val="00B06DF0"/>
    <w:rsid w:val="00B079A7"/>
    <w:rsid w:val="00B10DB9"/>
    <w:rsid w:val="00B11DF8"/>
    <w:rsid w:val="00B15D82"/>
    <w:rsid w:val="00B17A76"/>
    <w:rsid w:val="00B2056A"/>
    <w:rsid w:val="00B231D9"/>
    <w:rsid w:val="00B23AE4"/>
    <w:rsid w:val="00B24C4E"/>
    <w:rsid w:val="00B271C5"/>
    <w:rsid w:val="00B303DD"/>
    <w:rsid w:val="00B34854"/>
    <w:rsid w:val="00B34BE7"/>
    <w:rsid w:val="00B3678C"/>
    <w:rsid w:val="00B37E4B"/>
    <w:rsid w:val="00B42417"/>
    <w:rsid w:val="00B42880"/>
    <w:rsid w:val="00B43501"/>
    <w:rsid w:val="00B440D9"/>
    <w:rsid w:val="00B45447"/>
    <w:rsid w:val="00B473EC"/>
    <w:rsid w:val="00B47B6B"/>
    <w:rsid w:val="00B47C7E"/>
    <w:rsid w:val="00B512E6"/>
    <w:rsid w:val="00B53AB1"/>
    <w:rsid w:val="00B605C6"/>
    <w:rsid w:val="00B65FB4"/>
    <w:rsid w:val="00B70B72"/>
    <w:rsid w:val="00B715B4"/>
    <w:rsid w:val="00B73CA9"/>
    <w:rsid w:val="00B75AFF"/>
    <w:rsid w:val="00B765CA"/>
    <w:rsid w:val="00B77DF7"/>
    <w:rsid w:val="00B851A8"/>
    <w:rsid w:val="00B856DA"/>
    <w:rsid w:val="00B8765D"/>
    <w:rsid w:val="00B96371"/>
    <w:rsid w:val="00BA1F76"/>
    <w:rsid w:val="00BA2559"/>
    <w:rsid w:val="00BA5DC1"/>
    <w:rsid w:val="00BB0119"/>
    <w:rsid w:val="00BB0F4E"/>
    <w:rsid w:val="00BB2D8B"/>
    <w:rsid w:val="00BB372A"/>
    <w:rsid w:val="00BB758B"/>
    <w:rsid w:val="00BC1DD2"/>
    <w:rsid w:val="00BC5571"/>
    <w:rsid w:val="00BC5676"/>
    <w:rsid w:val="00BC689E"/>
    <w:rsid w:val="00BC704C"/>
    <w:rsid w:val="00BD1BBA"/>
    <w:rsid w:val="00BD2346"/>
    <w:rsid w:val="00BD2FF4"/>
    <w:rsid w:val="00BD30A1"/>
    <w:rsid w:val="00BD3B34"/>
    <w:rsid w:val="00BD5D70"/>
    <w:rsid w:val="00BD66E6"/>
    <w:rsid w:val="00BD67C2"/>
    <w:rsid w:val="00BD782E"/>
    <w:rsid w:val="00BE1885"/>
    <w:rsid w:val="00BE30DE"/>
    <w:rsid w:val="00BE47F4"/>
    <w:rsid w:val="00BE667E"/>
    <w:rsid w:val="00BE67C3"/>
    <w:rsid w:val="00BE7434"/>
    <w:rsid w:val="00BF0682"/>
    <w:rsid w:val="00BF1147"/>
    <w:rsid w:val="00BF23D2"/>
    <w:rsid w:val="00BF349C"/>
    <w:rsid w:val="00BF4BB3"/>
    <w:rsid w:val="00BF57F0"/>
    <w:rsid w:val="00BF6A10"/>
    <w:rsid w:val="00C010A7"/>
    <w:rsid w:val="00C048DB"/>
    <w:rsid w:val="00C143F4"/>
    <w:rsid w:val="00C173F7"/>
    <w:rsid w:val="00C176D2"/>
    <w:rsid w:val="00C17CC6"/>
    <w:rsid w:val="00C20168"/>
    <w:rsid w:val="00C239AF"/>
    <w:rsid w:val="00C27682"/>
    <w:rsid w:val="00C354EB"/>
    <w:rsid w:val="00C41902"/>
    <w:rsid w:val="00C41ABA"/>
    <w:rsid w:val="00C42388"/>
    <w:rsid w:val="00C4285D"/>
    <w:rsid w:val="00C44809"/>
    <w:rsid w:val="00C44C22"/>
    <w:rsid w:val="00C465B1"/>
    <w:rsid w:val="00C46878"/>
    <w:rsid w:val="00C46BCC"/>
    <w:rsid w:val="00C5224B"/>
    <w:rsid w:val="00C52979"/>
    <w:rsid w:val="00C52F6D"/>
    <w:rsid w:val="00C55E62"/>
    <w:rsid w:val="00C562BF"/>
    <w:rsid w:val="00C56FD7"/>
    <w:rsid w:val="00C625DD"/>
    <w:rsid w:val="00C70920"/>
    <w:rsid w:val="00C70D92"/>
    <w:rsid w:val="00C75012"/>
    <w:rsid w:val="00C77B17"/>
    <w:rsid w:val="00C814D9"/>
    <w:rsid w:val="00C81D67"/>
    <w:rsid w:val="00C8280E"/>
    <w:rsid w:val="00C83FA6"/>
    <w:rsid w:val="00C843B2"/>
    <w:rsid w:val="00C85712"/>
    <w:rsid w:val="00C86045"/>
    <w:rsid w:val="00C8665D"/>
    <w:rsid w:val="00C86A46"/>
    <w:rsid w:val="00C8763F"/>
    <w:rsid w:val="00C90FB6"/>
    <w:rsid w:val="00C921DF"/>
    <w:rsid w:val="00C93E8E"/>
    <w:rsid w:val="00C95555"/>
    <w:rsid w:val="00C95F6B"/>
    <w:rsid w:val="00CA3412"/>
    <w:rsid w:val="00CA49B1"/>
    <w:rsid w:val="00CA4F7B"/>
    <w:rsid w:val="00CA691E"/>
    <w:rsid w:val="00CA6EEC"/>
    <w:rsid w:val="00CA7E20"/>
    <w:rsid w:val="00CB139E"/>
    <w:rsid w:val="00CB4136"/>
    <w:rsid w:val="00CB6DF4"/>
    <w:rsid w:val="00CB7D84"/>
    <w:rsid w:val="00CC2555"/>
    <w:rsid w:val="00CC38FF"/>
    <w:rsid w:val="00CC4C68"/>
    <w:rsid w:val="00CC576D"/>
    <w:rsid w:val="00CC61A0"/>
    <w:rsid w:val="00CC6C74"/>
    <w:rsid w:val="00CC71D1"/>
    <w:rsid w:val="00CD1315"/>
    <w:rsid w:val="00CD2F8C"/>
    <w:rsid w:val="00CD48D5"/>
    <w:rsid w:val="00CD5EE9"/>
    <w:rsid w:val="00CE2263"/>
    <w:rsid w:val="00CE304C"/>
    <w:rsid w:val="00CE6956"/>
    <w:rsid w:val="00CE7C72"/>
    <w:rsid w:val="00CF0F40"/>
    <w:rsid w:val="00CF1A54"/>
    <w:rsid w:val="00CF2AD9"/>
    <w:rsid w:val="00CF3097"/>
    <w:rsid w:val="00CF3442"/>
    <w:rsid w:val="00CF5DDA"/>
    <w:rsid w:val="00CF63EB"/>
    <w:rsid w:val="00D00CC7"/>
    <w:rsid w:val="00D01766"/>
    <w:rsid w:val="00D02802"/>
    <w:rsid w:val="00D03465"/>
    <w:rsid w:val="00D054A2"/>
    <w:rsid w:val="00D05578"/>
    <w:rsid w:val="00D11BF8"/>
    <w:rsid w:val="00D12AEB"/>
    <w:rsid w:val="00D13800"/>
    <w:rsid w:val="00D142B2"/>
    <w:rsid w:val="00D1440E"/>
    <w:rsid w:val="00D15494"/>
    <w:rsid w:val="00D15AA5"/>
    <w:rsid w:val="00D1799E"/>
    <w:rsid w:val="00D223EB"/>
    <w:rsid w:val="00D23E55"/>
    <w:rsid w:val="00D24403"/>
    <w:rsid w:val="00D248EF"/>
    <w:rsid w:val="00D24AF2"/>
    <w:rsid w:val="00D25722"/>
    <w:rsid w:val="00D27182"/>
    <w:rsid w:val="00D279F2"/>
    <w:rsid w:val="00D33210"/>
    <w:rsid w:val="00D37D26"/>
    <w:rsid w:val="00D37EAE"/>
    <w:rsid w:val="00D4103C"/>
    <w:rsid w:val="00D41E4A"/>
    <w:rsid w:val="00D422E3"/>
    <w:rsid w:val="00D436C9"/>
    <w:rsid w:val="00D506CF"/>
    <w:rsid w:val="00D51950"/>
    <w:rsid w:val="00D54B26"/>
    <w:rsid w:val="00D60585"/>
    <w:rsid w:val="00D6142C"/>
    <w:rsid w:val="00D6254B"/>
    <w:rsid w:val="00D63B4A"/>
    <w:rsid w:val="00D64C10"/>
    <w:rsid w:val="00D653C6"/>
    <w:rsid w:val="00D753F8"/>
    <w:rsid w:val="00D75C50"/>
    <w:rsid w:val="00D76F97"/>
    <w:rsid w:val="00D849A9"/>
    <w:rsid w:val="00D851C5"/>
    <w:rsid w:val="00D85B70"/>
    <w:rsid w:val="00D866CA"/>
    <w:rsid w:val="00D93BBE"/>
    <w:rsid w:val="00D95A4C"/>
    <w:rsid w:val="00DA30C7"/>
    <w:rsid w:val="00DA6574"/>
    <w:rsid w:val="00DA6F3F"/>
    <w:rsid w:val="00DB2E40"/>
    <w:rsid w:val="00DB499A"/>
    <w:rsid w:val="00DB53EB"/>
    <w:rsid w:val="00DB6498"/>
    <w:rsid w:val="00DB685D"/>
    <w:rsid w:val="00DB6A78"/>
    <w:rsid w:val="00DB7186"/>
    <w:rsid w:val="00DC3F91"/>
    <w:rsid w:val="00DD0C1E"/>
    <w:rsid w:val="00DD1419"/>
    <w:rsid w:val="00DD15B6"/>
    <w:rsid w:val="00DD707B"/>
    <w:rsid w:val="00DD74BE"/>
    <w:rsid w:val="00DE53D8"/>
    <w:rsid w:val="00DE7675"/>
    <w:rsid w:val="00DF07AB"/>
    <w:rsid w:val="00DF2366"/>
    <w:rsid w:val="00DF2716"/>
    <w:rsid w:val="00DF3BCD"/>
    <w:rsid w:val="00DF40C8"/>
    <w:rsid w:val="00DF61D9"/>
    <w:rsid w:val="00DF7DD6"/>
    <w:rsid w:val="00E0011C"/>
    <w:rsid w:val="00E001B4"/>
    <w:rsid w:val="00E0057B"/>
    <w:rsid w:val="00E016A6"/>
    <w:rsid w:val="00E0173C"/>
    <w:rsid w:val="00E0201D"/>
    <w:rsid w:val="00E0307B"/>
    <w:rsid w:val="00E053D2"/>
    <w:rsid w:val="00E06845"/>
    <w:rsid w:val="00E0696A"/>
    <w:rsid w:val="00E07CD1"/>
    <w:rsid w:val="00E07F6A"/>
    <w:rsid w:val="00E07F7B"/>
    <w:rsid w:val="00E10890"/>
    <w:rsid w:val="00E15BF1"/>
    <w:rsid w:val="00E15C5B"/>
    <w:rsid w:val="00E20E96"/>
    <w:rsid w:val="00E25B24"/>
    <w:rsid w:val="00E27352"/>
    <w:rsid w:val="00E33041"/>
    <w:rsid w:val="00E34127"/>
    <w:rsid w:val="00E34361"/>
    <w:rsid w:val="00E36A96"/>
    <w:rsid w:val="00E375B1"/>
    <w:rsid w:val="00E44060"/>
    <w:rsid w:val="00E4579E"/>
    <w:rsid w:val="00E46C03"/>
    <w:rsid w:val="00E51913"/>
    <w:rsid w:val="00E54D9E"/>
    <w:rsid w:val="00E54E73"/>
    <w:rsid w:val="00E5594A"/>
    <w:rsid w:val="00E56B19"/>
    <w:rsid w:val="00E6000D"/>
    <w:rsid w:val="00E6165E"/>
    <w:rsid w:val="00E61DF7"/>
    <w:rsid w:val="00E701D0"/>
    <w:rsid w:val="00E71F1D"/>
    <w:rsid w:val="00E72C72"/>
    <w:rsid w:val="00E73075"/>
    <w:rsid w:val="00E743A3"/>
    <w:rsid w:val="00E765E9"/>
    <w:rsid w:val="00E806BC"/>
    <w:rsid w:val="00E84BDB"/>
    <w:rsid w:val="00E854B7"/>
    <w:rsid w:val="00E85FDE"/>
    <w:rsid w:val="00E86ACC"/>
    <w:rsid w:val="00E8740C"/>
    <w:rsid w:val="00E9046F"/>
    <w:rsid w:val="00E921FC"/>
    <w:rsid w:val="00E9257E"/>
    <w:rsid w:val="00E92D51"/>
    <w:rsid w:val="00E932CC"/>
    <w:rsid w:val="00E94723"/>
    <w:rsid w:val="00E951C0"/>
    <w:rsid w:val="00E973AC"/>
    <w:rsid w:val="00EA0562"/>
    <w:rsid w:val="00EA63D9"/>
    <w:rsid w:val="00EB3372"/>
    <w:rsid w:val="00EB5E3E"/>
    <w:rsid w:val="00EB63FE"/>
    <w:rsid w:val="00EC102F"/>
    <w:rsid w:val="00EC2145"/>
    <w:rsid w:val="00EC5F2B"/>
    <w:rsid w:val="00EC7F18"/>
    <w:rsid w:val="00ED11A7"/>
    <w:rsid w:val="00ED4A6A"/>
    <w:rsid w:val="00ED55BC"/>
    <w:rsid w:val="00EE0262"/>
    <w:rsid w:val="00EE0E26"/>
    <w:rsid w:val="00EE15A4"/>
    <w:rsid w:val="00EE5976"/>
    <w:rsid w:val="00EF1AF6"/>
    <w:rsid w:val="00EF43C6"/>
    <w:rsid w:val="00EF7B23"/>
    <w:rsid w:val="00F055F8"/>
    <w:rsid w:val="00F065A1"/>
    <w:rsid w:val="00F06B13"/>
    <w:rsid w:val="00F101A5"/>
    <w:rsid w:val="00F12B4F"/>
    <w:rsid w:val="00F13D4E"/>
    <w:rsid w:val="00F15C16"/>
    <w:rsid w:val="00F160CC"/>
    <w:rsid w:val="00F21CEC"/>
    <w:rsid w:val="00F23FE9"/>
    <w:rsid w:val="00F2425E"/>
    <w:rsid w:val="00F2668C"/>
    <w:rsid w:val="00F273E5"/>
    <w:rsid w:val="00F327BD"/>
    <w:rsid w:val="00F33195"/>
    <w:rsid w:val="00F358C6"/>
    <w:rsid w:val="00F35DC5"/>
    <w:rsid w:val="00F37114"/>
    <w:rsid w:val="00F375D5"/>
    <w:rsid w:val="00F37923"/>
    <w:rsid w:val="00F442EE"/>
    <w:rsid w:val="00F44AC8"/>
    <w:rsid w:val="00F50CED"/>
    <w:rsid w:val="00F51A26"/>
    <w:rsid w:val="00F51EAF"/>
    <w:rsid w:val="00F5589B"/>
    <w:rsid w:val="00F5646B"/>
    <w:rsid w:val="00F564AF"/>
    <w:rsid w:val="00F648BC"/>
    <w:rsid w:val="00F65C63"/>
    <w:rsid w:val="00F66881"/>
    <w:rsid w:val="00F747E9"/>
    <w:rsid w:val="00F75B25"/>
    <w:rsid w:val="00F76C99"/>
    <w:rsid w:val="00F804A0"/>
    <w:rsid w:val="00F805AF"/>
    <w:rsid w:val="00F8212F"/>
    <w:rsid w:val="00F84D44"/>
    <w:rsid w:val="00F90453"/>
    <w:rsid w:val="00F9073C"/>
    <w:rsid w:val="00F90C54"/>
    <w:rsid w:val="00F92D3B"/>
    <w:rsid w:val="00F956B0"/>
    <w:rsid w:val="00F965BD"/>
    <w:rsid w:val="00FA0244"/>
    <w:rsid w:val="00FA2294"/>
    <w:rsid w:val="00FA24C1"/>
    <w:rsid w:val="00FA2790"/>
    <w:rsid w:val="00FA5262"/>
    <w:rsid w:val="00FA59CA"/>
    <w:rsid w:val="00FA5F90"/>
    <w:rsid w:val="00FA7C14"/>
    <w:rsid w:val="00FB1E9F"/>
    <w:rsid w:val="00FB3938"/>
    <w:rsid w:val="00FB5624"/>
    <w:rsid w:val="00FB6B1B"/>
    <w:rsid w:val="00FB7800"/>
    <w:rsid w:val="00FC3E50"/>
    <w:rsid w:val="00FC40E5"/>
    <w:rsid w:val="00FC498E"/>
    <w:rsid w:val="00FC6EEA"/>
    <w:rsid w:val="00FD0471"/>
    <w:rsid w:val="00FD1088"/>
    <w:rsid w:val="00FD1CC4"/>
    <w:rsid w:val="00FE0B49"/>
    <w:rsid w:val="00FE3604"/>
    <w:rsid w:val="00FE4B35"/>
    <w:rsid w:val="00FF03A3"/>
    <w:rsid w:val="00FF1221"/>
    <w:rsid w:val="00FF375A"/>
    <w:rsid w:val="00FF4BA9"/>
    <w:rsid w:val="00FF71FF"/>
    <w:rsid w:val="01CEC757"/>
    <w:rsid w:val="07DB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6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pPr>
  </w:style>
  <w:style w:type="paragraph" w:styleId="BodyText">
    <w:name w:val="Body Text"/>
    <w:basedOn w:val="Normal"/>
    <w:link w:val="BodyTextChar"/>
    <w:uiPriority w:val="1"/>
    <w:qFormat/>
    <w:rsid w:val="00E0307B"/>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pPr>
    <w:rPr>
      <w:rFonts w:ascii="Calibri" w:eastAsia="Calibri" w:hAnsi="Calibri" w:cs="Calibri"/>
      <w:sz w:val="22"/>
      <w:szCs w:val="22"/>
    </w:rPr>
  </w:style>
  <w:style w:type="paragraph" w:customStyle="1" w:styleId="xmsonormal">
    <w:name w:val="x_msonormal"/>
    <w:basedOn w:val="Normal"/>
    <w:rsid w:val="00C048D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p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937D0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20D5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C70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198979120">
      <w:bodyDiv w:val="1"/>
      <w:marLeft w:val="0"/>
      <w:marRight w:val="0"/>
      <w:marTop w:val="0"/>
      <w:marBottom w:val="0"/>
      <w:divBdr>
        <w:top w:val="none" w:sz="0" w:space="0" w:color="auto"/>
        <w:left w:val="none" w:sz="0" w:space="0" w:color="auto"/>
        <w:bottom w:val="none" w:sz="0" w:space="0" w:color="auto"/>
        <w:right w:val="none" w:sz="0" w:space="0" w:color="auto"/>
      </w:divBdr>
    </w:div>
    <w:div w:id="236747050">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267421683">
      <w:bodyDiv w:val="1"/>
      <w:marLeft w:val="0"/>
      <w:marRight w:val="0"/>
      <w:marTop w:val="0"/>
      <w:marBottom w:val="0"/>
      <w:divBdr>
        <w:top w:val="none" w:sz="0" w:space="0" w:color="auto"/>
        <w:left w:val="none" w:sz="0" w:space="0" w:color="auto"/>
        <w:bottom w:val="none" w:sz="0" w:space="0" w:color="auto"/>
        <w:right w:val="none" w:sz="0" w:space="0" w:color="auto"/>
      </w:divBdr>
    </w:div>
    <w:div w:id="1398553626">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726021899">
      <w:bodyDiv w:val="1"/>
      <w:marLeft w:val="0"/>
      <w:marRight w:val="0"/>
      <w:marTop w:val="0"/>
      <w:marBottom w:val="0"/>
      <w:divBdr>
        <w:top w:val="none" w:sz="0" w:space="0" w:color="auto"/>
        <w:left w:val="none" w:sz="0" w:space="0" w:color="auto"/>
        <w:bottom w:val="none" w:sz="0" w:space="0" w:color="auto"/>
        <w:right w:val="none" w:sz="0" w:space="0" w:color="auto"/>
      </w:divBdr>
    </w:div>
    <w:div w:id="1737821008">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17E5136F-52A8-4E86-B5EE-89973BC62B4B}">
    <t:Anchor>
      <t:Comment id="679952664"/>
    </t:Anchor>
    <t:History>
      <t:Event id="{B2FE3DB9-BFBB-475B-8108-74BA1B123802}" time="2023-08-20T23:58:18.483Z">
        <t:Attribution userId="S::abengzon@bilh.org::b95c6d05-6883-401b-997b-8e3c26dbe531" userProvider="AD" userName="Bengzon, Alan (BILH - Director, Strategic Planning and Business Development)"/>
        <t:Anchor>
          <t:Comment id="680324826"/>
        </t:Anchor>
        <t:Create/>
      </t:Event>
      <t:Event id="{09610849-6C97-4598-9083-15BB657C43E7}" time="2023-08-20T23:58:18.483Z">
        <t:Attribution userId="S::abengzon@bilh.org::b95c6d05-6883-401b-997b-8e3c26dbe531" userProvider="AD" userName="Bengzon, Alan (BILH - Director, Strategic Planning and Business Development)"/>
        <t:Anchor>
          <t:Comment id="680324826"/>
        </t:Anchor>
        <t:Assign userId="S::Angela.N.Tambini@Lahey.org::682c518d-5574-435b-bc7d-5c59d1f1ba0c" userProvider="AD" userName="Tambini, Angela N."/>
      </t:Event>
      <t:Event id="{21FF109B-EA10-40A8-B3C0-8284883ED641}" time="2023-08-20T23:58:18.483Z">
        <t:Attribution userId="S::abengzon@bilh.org::b95c6d05-6883-401b-997b-8e3c26dbe531" userProvider="AD" userName="Bengzon, Alan (BILH - Director, Strategic Planning and Business Development)"/>
        <t:Anchor>
          <t:Comment id="680324826"/>
        </t:Anchor>
        <t:SetTitle title="@Tambini, Angela N. "/>
      </t:Event>
    </t:History>
  </t:Task>
  <t:Task id="{4CB40DC4-DDC6-40D2-846C-817F18789856}">
    <t:Anchor>
      <t:Comment id="679970209"/>
    </t:Anchor>
    <t:History>
      <t:Event id="{B9CD2067-3041-4D0A-91BA-17C59E869156}" time="2023-08-20T23:58:52.676Z">
        <t:Attribution userId="S::abengzon@bilh.org::b95c6d05-6883-401b-997b-8e3c26dbe531" userProvider="AD" userName="Bengzon, Alan (BILH - Director, Strategic Planning and Business Development)"/>
        <t:Anchor>
          <t:Comment id="680324860"/>
        </t:Anchor>
        <t:Create/>
      </t:Event>
      <t:Event id="{EDBF0CA0-4565-4C9A-AAD8-AD4E80382AD5}" time="2023-08-20T23:58:52.676Z">
        <t:Attribution userId="S::abengzon@bilh.org::b95c6d05-6883-401b-997b-8e3c26dbe531" userProvider="AD" userName="Bengzon, Alan (BILH - Director, Strategic Planning and Business Development)"/>
        <t:Anchor>
          <t:Comment id="680324860"/>
        </t:Anchor>
        <t:Assign userId="S::Angela.N.Tambini@Lahey.org::682c518d-5574-435b-bc7d-5c59d1f1ba0c" userProvider="AD" userName="Tambini, Angela N."/>
      </t:Event>
      <t:Event id="{47BDF592-58AF-422E-9949-95DDC761DC4C}" time="2023-08-20T23:58:52.676Z">
        <t:Attribution userId="S::abengzon@bilh.org::b95c6d05-6883-401b-997b-8e3c26dbe531" userProvider="AD" userName="Bengzon, Alan (BILH - Director, Strategic Planning and Business Development)"/>
        <t:Anchor>
          <t:Comment id="680324860"/>
        </t:Anchor>
        <t:SetTitle title="@Tambini, Angela N. "/>
      </t:Event>
    </t:History>
  </t:Task>
  <t:Task id="{69331808-4C69-4286-8859-02E47C9B7EEE}">
    <t:Anchor>
      <t:Comment id="679952886"/>
    </t:Anchor>
    <t:History>
      <t:Event id="{068E46CA-A307-42B5-AB5E-E94EA566EAC3}" time="2023-08-20T23:58:29.179Z">
        <t:Attribution userId="S::abengzon@bilh.org::b95c6d05-6883-401b-997b-8e3c26dbe531" userProvider="AD" userName="Bengzon, Alan (BILH - Director, Strategic Planning and Business Development)"/>
        <t:Anchor>
          <t:Comment id="680324837"/>
        </t:Anchor>
        <t:Create/>
      </t:Event>
      <t:Event id="{9E76119F-C2C3-4826-82F9-87AD1FF0A376}" time="2023-08-20T23:58:29.179Z">
        <t:Attribution userId="S::abengzon@bilh.org::b95c6d05-6883-401b-997b-8e3c26dbe531" userProvider="AD" userName="Bengzon, Alan (BILH - Director, Strategic Planning and Business Development)"/>
        <t:Anchor>
          <t:Comment id="680324837"/>
        </t:Anchor>
        <t:Assign userId="S::Angela.N.Tambini@Lahey.org::682c518d-5574-435b-bc7d-5c59d1f1ba0c" userProvider="AD" userName="Tambini, Angela N."/>
      </t:Event>
      <t:Event id="{9BC0263F-6B4C-4777-B669-884D9B9ED6BF}" time="2023-08-20T23:58:29.179Z">
        <t:Attribution userId="S::abengzon@bilh.org::b95c6d05-6883-401b-997b-8e3c26dbe531" userProvider="AD" userName="Bengzon, Alan (BILH - Director, Strategic Planning and Business Development)"/>
        <t:Anchor>
          <t:Comment id="680324837"/>
        </t:Anchor>
        <t:SetTitle title="@Tambini, Angela N. "/>
      </t:Event>
    </t:History>
  </t:Task>
  <t:Task id="{3DA019EC-53A2-4CB3-AF6B-9D62A8043C8C}">
    <t:Anchor>
      <t:Comment id="679969228"/>
    </t:Anchor>
    <t:History>
      <t:Event id="{E1529B66-157A-4CE6-B264-22DF5FBFF472}" time="2023-08-20T23:58:41.994Z">
        <t:Attribution userId="S::abengzon@bilh.org::b95c6d05-6883-401b-997b-8e3c26dbe531" userProvider="AD" userName="Bengzon, Alan (BILH - Director, Strategic Planning and Business Development)"/>
        <t:Anchor>
          <t:Comment id="680324849"/>
        </t:Anchor>
        <t:Create/>
      </t:Event>
      <t:Event id="{E0526838-8793-4DC1-97BC-917A313FEEB1}" time="2023-08-20T23:58:41.994Z">
        <t:Attribution userId="S::abengzon@bilh.org::b95c6d05-6883-401b-997b-8e3c26dbe531" userProvider="AD" userName="Bengzon, Alan (BILH - Director, Strategic Planning and Business Development)"/>
        <t:Anchor>
          <t:Comment id="680324849"/>
        </t:Anchor>
        <t:Assign userId="S::Angela.N.Tambini@Lahey.org::682c518d-5574-435b-bc7d-5c59d1f1ba0c" userProvider="AD" userName="Tambini, Angela N."/>
      </t:Event>
      <t:Event id="{091A1302-534E-4152-80BE-39F6CA1EBD60}" time="2023-08-20T23:58:41.994Z">
        <t:Attribution userId="S::abengzon@bilh.org::b95c6d05-6883-401b-997b-8e3c26dbe531" userProvider="AD" userName="Bengzon, Alan (BILH - Director, Strategic Planning and Business Development)"/>
        <t:Anchor>
          <t:Comment id="680324849"/>
        </t:Anchor>
        <t:SetTitle title="@Tambini, Angela N.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613BBFFB2CE44998315EAD431F26A3" ma:contentTypeVersion="17" ma:contentTypeDescription="Create a new document." ma:contentTypeScope="" ma:versionID="3197f84c78598dbd4bc0d51a58ae0f71">
  <xsd:schema xmlns:xsd="http://www.w3.org/2001/XMLSchema" xmlns:xs="http://www.w3.org/2001/XMLSchema" xmlns:p="http://schemas.microsoft.com/office/2006/metadata/properties" xmlns:ns2="24896d91-c939-4eff-91d3-3944b5736c42" xmlns:ns3="c9f96c22-738f-49df-9380-638189423d67" targetNamespace="http://schemas.microsoft.com/office/2006/metadata/properties" ma:root="true" ma:fieldsID="8649825469b0dbd1d866c98371375ee8" ns2:_="" ns3:_="">
    <xsd:import namespace="24896d91-c939-4eff-91d3-3944b5736c42"/>
    <xsd:import namespace="c9f96c22-738f-49df-9380-638189423d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96d91-c939-4eff-91d3-3944b5736c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735e6ea-53d0-40ce-9738-f87677afe92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f96c22-738f-49df-9380-638189423d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2583-1783-408e-bec9-c544b4629671}" ma:internalName="TaxCatchAll" ma:showField="CatchAllData" ma:web="c9f96c22-738f-49df-9380-638189423d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9f96c22-738f-49df-9380-638189423d67" xsi:nil="true"/>
    <lcf76f155ced4ddcb4097134ff3c332f xmlns="24896d91-c939-4eff-91d3-3944b5736c4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557FC9-045C-4212-BFD7-BAF06C95D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96d91-c939-4eff-91d3-3944b5736c42"/>
    <ds:schemaRef ds:uri="c9f96c22-738f-49df-9380-638189423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81688-260E-4C70-9CB3-828486135F31}">
  <ds:schemaRefs>
    <ds:schemaRef ds:uri="http://schemas.openxmlformats.org/officeDocument/2006/bibliography"/>
  </ds:schemaRefs>
</ds:datastoreItem>
</file>

<file path=customXml/itemProps3.xml><?xml version="1.0" encoding="utf-8"?>
<ds:datastoreItem xmlns:ds="http://schemas.openxmlformats.org/officeDocument/2006/customXml" ds:itemID="{CB6414E6-33A8-411E-B2D8-218C7B6E1D54}">
  <ds:schemaRefs>
    <ds:schemaRef ds:uri="http://schemas.microsoft.com/office/2006/metadata/properties"/>
    <ds:schemaRef ds:uri="http://schemas.microsoft.com/office/infopath/2007/PartnerControls"/>
    <ds:schemaRef ds:uri="c9f96c22-738f-49df-9380-638189423d67"/>
    <ds:schemaRef ds:uri="24896d91-c939-4eff-91d3-3944b5736c42"/>
  </ds:schemaRefs>
</ds:datastoreItem>
</file>

<file path=customXml/itemProps4.xml><?xml version="1.0" encoding="utf-8"?>
<ds:datastoreItem xmlns:ds="http://schemas.openxmlformats.org/officeDocument/2006/customXml" ds:itemID="{D501DF7D-3AB0-486D-B7B5-24625E164B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2097</Words>
  <Characters>11161</Characters>
  <Application>Microsoft Office Word</Application>
  <DocSecurity>0</DocSecurity>
  <Lines>744</Lines>
  <Paragraphs>662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Marks, Brett (DPH)</cp:lastModifiedBy>
  <cp:revision>16</cp:revision>
  <cp:lastPrinted>2022-04-08T14:57:00Z</cp:lastPrinted>
  <dcterms:created xsi:type="dcterms:W3CDTF">2023-08-21T14:56:00Z</dcterms:created>
  <dcterms:modified xsi:type="dcterms:W3CDTF">2023-09-06T11:36:00Z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0x0101000F613BBFFB2CE44998315EAD431F26A3</vt:lpwstr>
  </property>
  <property fmtid="{D5CDD505-2E9C-101B-9397-08002B2CF9AE}" pid="3" name="DOCXDOCID">
    <vt:lpwstr>Block DocID</vt:lpwstr>
  </property>
  <property fmtid="{D5CDD505-2E9C-101B-9397-08002B2CF9AE}" pid="4" name="ndDocumentId">
    <vt:lpwstr>4889-2107-2245</vt:lpwstr>
  </property>
</Properties>
</file>