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96F" w:rsidRPr="00F676F1" w:rsidRDefault="00DD696F" w:rsidP="00DD696F">
      <w:pPr>
        <w:pStyle w:val="NoSpacing"/>
        <w:rPr>
          <w:sz w:val="22"/>
        </w:rPr>
      </w:pPr>
      <w:r w:rsidRPr="00F676F1">
        <w:rPr>
          <w:sz w:val="22"/>
        </w:rPr>
        <w:t>October 28, 2016</w:t>
      </w:r>
    </w:p>
    <w:p w:rsidR="00DD696F" w:rsidRPr="00F676F1" w:rsidRDefault="00DD696F" w:rsidP="00DD696F">
      <w:pPr>
        <w:pStyle w:val="NoSpacing"/>
        <w:rPr>
          <w:sz w:val="22"/>
        </w:rPr>
      </w:pPr>
    </w:p>
    <w:p w:rsidR="00DD696F" w:rsidRPr="00F676F1" w:rsidRDefault="00DD696F" w:rsidP="00DD696F">
      <w:pPr>
        <w:pStyle w:val="NoSpacing"/>
        <w:rPr>
          <w:sz w:val="22"/>
        </w:rPr>
      </w:pPr>
      <w:r w:rsidRPr="00F676F1">
        <w:rPr>
          <w:sz w:val="22"/>
        </w:rPr>
        <w:t>Commissioner Monica Bharel</w:t>
      </w:r>
    </w:p>
    <w:p w:rsidR="00DD696F" w:rsidRPr="00F676F1" w:rsidRDefault="00DD696F" w:rsidP="00DD696F">
      <w:pPr>
        <w:pStyle w:val="NoSpacing"/>
        <w:rPr>
          <w:sz w:val="22"/>
        </w:rPr>
      </w:pPr>
      <w:r w:rsidRPr="00F676F1">
        <w:rPr>
          <w:sz w:val="22"/>
        </w:rPr>
        <w:t>Department of Public Health</w:t>
      </w:r>
    </w:p>
    <w:p w:rsidR="00433AB0" w:rsidRPr="00F676F1" w:rsidRDefault="00433AB0" w:rsidP="00DD696F">
      <w:pPr>
        <w:pStyle w:val="NoSpacing"/>
        <w:rPr>
          <w:sz w:val="22"/>
        </w:rPr>
      </w:pPr>
      <w:r w:rsidRPr="00F676F1">
        <w:rPr>
          <w:sz w:val="22"/>
        </w:rPr>
        <w:t>250 Washington Street</w:t>
      </w:r>
    </w:p>
    <w:p w:rsidR="00DD696F" w:rsidRPr="00F676F1" w:rsidRDefault="00DD696F" w:rsidP="00DD696F">
      <w:pPr>
        <w:pStyle w:val="NoSpacing"/>
        <w:rPr>
          <w:sz w:val="22"/>
        </w:rPr>
      </w:pPr>
      <w:r w:rsidRPr="00F676F1">
        <w:rPr>
          <w:sz w:val="22"/>
        </w:rPr>
        <w:t>Boston, MA 02108</w:t>
      </w:r>
    </w:p>
    <w:p w:rsidR="00DD696F" w:rsidRPr="00F676F1" w:rsidRDefault="00DD696F" w:rsidP="00DD696F">
      <w:pPr>
        <w:pStyle w:val="NoSpacing"/>
        <w:rPr>
          <w:sz w:val="22"/>
        </w:rPr>
      </w:pPr>
    </w:p>
    <w:p w:rsidR="00DD696F" w:rsidRPr="00F676F1" w:rsidRDefault="00DD696F" w:rsidP="00DD696F">
      <w:pPr>
        <w:pStyle w:val="NoSpacing"/>
        <w:rPr>
          <w:b/>
          <w:sz w:val="22"/>
        </w:rPr>
      </w:pPr>
      <w:r w:rsidRPr="00F676F1">
        <w:rPr>
          <w:b/>
          <w:sz w:val="22"/>
        </w:rPr>
        <w:t xml:space="preserve">Re: </w:t>
      </w:r>
      <w:r w:rsidR="001A62F0" w:rsidRPr="00F676F1">
        <w:rPr>
          <w:b/>
          <w:sz w:val="22"/>
        </w:rPr>
        <w:t>Clinic</w:t>
      </w:r>
      <w:r w:rsidRPr="00F676F1">
        <w:rPr>
          <w:b/>
          <w:sz w:val="22"/>
        </w:rPr>
        <w:t xml:space="preserve"> Regulat</w:t>
      </w:r>
      <w:r w:rsidR="00F676F1">
        <w:rPr>
          <w:b/>
          <w:sz w:val="22"/>
        </w:rPr>
        <w:t>ory Review</w:t>
      </w:r>
    </w:p>
    <w:p w:rsidR="00DD696F" w:rsidRPr="00F676F1" w:rsidRDefault="00DD696F" w:rsidP="00DD696F">
      <w:pPr>
        <w:pStyle w:val="NoSpacing"/>
        <w:rPr>
          <w:b/>
          <w:sz w:val="22"/>
        </w:rPr>
      </w:pPr>
    </w:p>
    <w:p w:rsidR="00DD696F" w:rsidRPr="00F676F1" w:rsidRDefault="00DD696F" w:rsidP="00DD696F">
      <w:pPr>
        <w:pStyle w:val="NoSpacing"/>
        <w:rPr>
          <w:sz w:val="22"/>
        </w:rPr>
      </w:pPr>
      <w:r w:rsidRPr="00F676F1">
        <w:rPr>
          <w:sz w:val="22"/>
        </w:rPr>
        <w:t>Dear Commissioner Bharel</w:t>
      </w:r>
      <w:r w:rsidR="00F676F1">
        <w:rPr>
          <w:sz w:val="22"/>
        </w:rPr>
        <w:t>,</w:t>
      </w:r>
    </w:p>
    <w:p w:rsidR="00DD696F" w:rsidRPr="00F676F1" w:rsidRDefault="00DD696F" w:rsidP="00DD696F">
      <w:pPr>
        <w:pStyle w:val="NoSpacing"/>
        <w:jc w:val="both"/>
        <w:rPr>
          <w:sz w:val="22"/>
        </w:rPr>
      </w:pPr>
    </w:p>
    <w:p w:rsidR="00DD696F" w:rsidRPr="00F676F1" w:rsidRDefault="00DD696F" w:rsidP="00DD696F">
      <w:pPr>
        <w:ind w:left="720"/>
        <w:jc w:val="both"/>
        <w:rPr>
          <w:sz w:val="22"/>
        </w:rPr>
      </w:pPr>
      <w:r w:rsidRPr="00F676F1">
        <w:rPr>
          <w:color w:val="000000"/>
          <w:sz w:val="22"/>
        </w:rPr>
        <w:t xml:space="preserve">The Betsy Lehman Center is </w:t>
      </w:r>
      <w:r w:rsidRPr="00F676F1">
        <w:rPr>
          <w:sz w:val="22"/>
        </w:rPr>
        <w:t xml:space="preserve">pleased to submit observations and recommendations in support of the Department of Public Health’s (DPH) </w:t>
      </w:r>
      <w:r w:rsidR="001A62F0" w:rsidRPr="00F676F1">
        <w:rPr>
          <w:sz w:val="22"/>
        </w:rPr>
        <w:t>clinic</w:t>
      </w:r>
      <w:r w:rsidRPr="00F676F1">
        <w:rPr>
          <w:sz w:val="22"/>
        </w:rPr>
        <w:t xml:space="preserve"> regulatory review process. </w:t>
      </w:r>
    </w:p>
    <w:p w:rsidR="00DD696F" w:rsidRPr="00F676F1" w:rsidRDefault="00DD696F" w:rsidP="00DD696F">
      <w:pPr>
        <w:ind w:left="720"/>
        <w:jc w:val="both"/>
        <w:rPr>
          <w:color w:val="000000"/>
          <w:sz w:val="22"/>
        </w:rPr>
      </w:pPr>
      <w:r w:rsidRPr="00F676F1">
        <w:rPr>
          <w:sz w:val="22"/>
        </w:rPr>
        <w:t xml:space="preserve">The comments contained in the attached table pertain to the reporting of adverse events by </w:t>
      </w:r>
      <w:r w:rsidR="001A62F0" w:rsidRPr="00F676F1">
        <w:rPr>
          <w:sz w:val="22"/>
        </w:rPr>
        <w:t>clinic</w:t>
      </w:r>
      <w:r w:rsidR="00EE7CA8" w:rsidRPr="00F676F1">
        <w:rPr>
          <w:sz w:val="22"/>
        </w:rPr>
        <w:t>s</w:t>
      </w:r>
      <w:r w:rsidRPr="00F676F1">
        <w:rPr>
          <w:sz w:val="22"/>
        </w:rPr>
        <w:t xml:space="preserve"> under </w:t>
      </w:r>
      <w:r w:rsidR="001A62F0" w:rsidRPr="00F676F1">
        <w:rPr>
          <w:sz w:val="22"/>
        </w:rPr>
        <w:t>105 CMR §§ 140.307-140.308</w:t>
      </w:r>
      <w:r w:rsidRPr="00F676F1">
        <w:rPr>
          <w:sz w:val="22"/>
        </w:rPr>
        <w:t xml:space="preserve">. They mainly suggest ways in which DPH might clarify or streamline </w:t>
      </w:r>
      <w:r w:rsidR="001A62F0" w:rsidRPr="00F676F1">
        <w:rPr>
          <w:sz w:val="22"/>
        </w:rPr>
        <w:t>clinic</w:t>
      </w:r>
      <w:r w:rsidRPr="00F676F1">
        <w:rPr>
          <w:sz w:val="22"/>
        </w:rPr>
        <w:t xml:space="preserve"> reporting responsibilities. We believe that these modifications, together with the amendments already proposed by DPH, will lead to more complete adverse event reporting and ultimately enhance DPH’s ability to investigate or intervene as needed. In addition to supporting DPH’s important regulatory function, it is our view that more effective reporting will </w:t>
      </w:r>
      <w:r w:rsidRPr="00F676F1">
        <w:rPr>
          <w:color w:val="000000"/>
          <w:sz w:val="22"/>
        </w:rPr>
        <w:t>bolster the facilities’ own internal safety and quality improvement activities and, ultimately, the Commonwealth’s broader health care cost, quality, and transparency goals.</w:t>
      </w:r>
    </w:p>
    <w:p w:rsidR="00DD696F" w:rsidRPr="00F676F1" w:rsidRDefault="00DD696F" w:rsidP="00DD696F">
      <w:pPr>
        <w:ind w:left="720"/>
        <w:jc w:val="both"/>
        <w:rPr>
          <w:color w:val="000000"/>
          <w:sz w:val="22"/>
        </w:rPr>
      </w:pPr>
      <w:r w:rsidRPr="00F676F1">
        <w:rPr>
          <w:color w:val="000000"/>
          <w:sz w:val="22"/>
        </w:rPr>
        <w:t xml:space="preserve">We want to commend DPH on the tremendous effort that has been devoted to the regulatory review process, and thank you for the opportunity to contribute to the discussion.  </w:t>
      </w:r>
    </w:p>
    <w:p w:rsidR="008D2BE2" w:rsidRPr="00F676F1" w:rsidRDefault="00EE7CA8" w:rsidP="00F676F1">
      <w:pPr>
        <w:pStyle w:val="NoSpacing"/>
        <w:rPr>
          <w:sz w:val="22"/>
        </w:rPr>
      </w:pPr>
      <w:r w:rsidRPr="00F676F1">
        <w:rPr>
          <w:sz w:val="22"/>
        </w:rPr>
        <w:t>Sincerely,</w:t>
      </w:r>
    </w:p>
    <w:p w:rsidR="00CE4AB4" w:rsidRPr="00F676F1" w:rsidRDefault="00F676F1" w:rsidP="00CE4AB4">
      <w:pPr>
        <w:pStyle w:val="NoSpacing"/>
        <w:rPr>
          <w:sz w:val="22"/>
        </w:rPr>
      </w:pPr>
      <w:r>
        <w:rPr>
          <w:rFonts w:eastAsia="Calibri" w:cs="Times New Roman"/>
          <w:noProof/>
          <w:sz w:val="22"/>
        </w:rPr>
        <w:drawing>
          <wp:inline distT="0" distB="0" distL="0" distR="0" wp14:anchorId="7DD031D8" wp14:editId="371530FE">
            <wp:extent cx="537658" cy="1427064"/>
            <wp:effectExtent l="0" t="6668" r="8573" b="8572"/>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538532" cy="1429384"/>
                    </a:xfrm>
                    <a:prstGeom prst="rect">
                      <a:avLst/>
                    </a:prstGeom>
                    <a:noFill/>
                    <a:ln>
                      <a:noFill/>
                    </a:ln>
                  </pic:spPr>
                </pic:pic>
              </a:graphicData>
            </a:graphic>
          </wp:inline>
        </w:drawing>
      </w:r>
    </w:p>
    <w:p w:rsidR="00EE7CA8" w:rsidRPr="00F676F1" w:rsidRDefault="00EE7CA8" w:rsidP="00EE7CA8">
      <w:pPr>
        <w:pStyle w:val="NoSpacing"/>
        <w:rPr>
          <w:sz w:val="22"/>
        </w:rPr>
      </w:pPr>
      <w:r w:rsidRPr="00F676F1">
        <w:rPr>
          <w:sz w:val="22"/>
        </w:rPr>
        <w:t>Barbara Fain</w:t>
      </w:r>
      <w:r w:rsidR="004140C0" w:rsidRPr="00F676F1">
        <w:rPr>
          <w:sz w:val="22"/>
        </w:rPr>
        <w:t>, JD, MPP</w:t>
      </w:r>
    </w:p>
    <w:p w:rsidR="00814FF7" w:rsidRDefault="00814FF7" w:rsidP="00EE7CA8">
      <w:pPr>
        <w:pStyle w:val="NoSpacing"/>
        <w:rPr>
          <w:sz w:val="23"/>
          <w:szCs w:val="23"/>
        </w:rPr>
        <w:sectPr w:rsidR="00814FF7" w:rsidSect="0043061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tbl>
      <w:tblPr>
        <w:tblStyle w:val="TableGrid"/>
        <w:tblW w:w="14670" w:type="dxa"/>
        <w:tblInd w:w="-252" w:type="dxa"/>
        <w:tblLayout w:type="fixed"/>
        <w:tblLook w:val="04A0" w:firstRow="1" w:lastRow="0" w:firstColumn="1" w:lastColumn="0" w:noHBand="0" w:noVBand="1"/>
      </w:tblPr>
      <w:tblGrid>
        <w:gridCol w:w="468"/>
        <w:gridCol w:w="1602"/>
        <w:gridCol w:w="3870"/>
        <w:gridCol w:w="5220"/>
        <w:gridCol w:w="3510"/>
      </w:tblGrid>
      <w:tr w:rsidR="00814FF7" w:rsidRPr="00640F14" w:rsidTr="00B00BB8">
        <w:trPr>
          <w:trHeight w:val="449"/>
          <w:tblHeader/>
        </w:trPr>
        <w:tc>
          <w:tcPr>
            <w:tcW w:w="468" w:type="dxa"/>
            <w:shd w:val="clear" w:color="auto" w:fill="D9D9D9" w:themeFill="background1" w:themeFillShade="D9"/>
            <w:vAlign w:val="center"/>
          </w:tcPr>
          <w:p w:rsidR="00814FF7" w:rsidRPr="00640F14" w:rsidRDefault="00814FF7" w:rsidP="00B00BB8">
            <w:pPr>
              <w:jc w:val="center"/>
              <w:rPr>
                <w:b/>
              </w:rPr>
            </w:pPr>
          </w:p>
        </w:tc>
        <w:tc>
          <w:tcPr>
            <w:tcW w:w="1602" w:type="dxa"/>
            <w:shd w:val="clear" w:color="auto" w:fill="D9D9D9" w:themeFill="background1" w:themeFillShade="D9"/>
            <w:vAlign w:val="center"/>
          </w:tcPr>
          <w:p w:rsidR="00814FF7" w:rsidRPr="00640F14" w:rsidRDefault="00814FF7" w:rsidP="00B00BB8">
            <w:pPr>
              <w:jc w:val="center"/>
              <w:rPr>
                <w:b/>
              </w:rPr>
            </w:pPr>
            <w:r w:rsidRPr="00640F14">
              <w:rPr>
                <w:b/>
              </w:rPr>
              <w:t>Regulation(s)</w:t>
            </w:r>
          </w:p>
        </w:tc>
        <w:tc>
          <w:tcPr>
            <w:tcW w:w="3870" w:type="dxa"/>
            <w:shd w:val="clear" w:color="auto" w:fill="D9D9D9" w:themeFill="background1" w:themeFillShade="D9"/>
            <w:vAlign w:val="center"/>
          </w:tcPr>
          <w:p w:rsidR="00814FF7" w:rsidRPr="00640F14" w:rsidRDefault="00814FF7" w:rsidP="00B00BB8">
            <w:pPr>
              <w:jc w:val="center"/>
              <w:rPr>
                <w:b/>
              </w:rPr>
            </w:pPr>
            <w:r w:rsidRPr="00640F14">
              <w:rPr>
                <w:b/>
              </w:rPr>
              <w:t>Observation</w:t>
            </w:r>
          </w:p>
        </w:tc>
        <w:tc>
          <w:tcPr>
            <w:tcW w:w="5220" w:type="dxa"/>
            <w:shd w:val="clear" w:color="auto" w:fill="D9D9D9" w:themeFill="background1" w:themeFillShade="D9"/>
            <w:vAlign w:val="center"/>
          </w:tcPr>
          <w:p w:rsidR="00814FF7" w:rsidRPr="00640F14" w:rsidRDefault="00814FF7" w:rsidP="00B00BB8">
            <w:pPr>
              <w:tabs>
                <w:tab w:val="left" w:pos="2035"/>
              </w:tabs>
              <w:jc w:val="center"/>
              <w:rPr>
                <w:b/>
              </w:rPr>
            </w:pPr>
            <w:r w:rsidRPr="00640F14">
              <w:rPr>
                <w:b/>
              </w:rPr>
              <w:t>Recommendation</w:t>
            </w:r>
          </w:p>
        </w:tc>
        <w:tc>
          <w:tcPr>
            <w:tcW w:w="3510" w:type="dxa"/>
            <w:shd w:val="clear" w:color="auto" w:fill="D9D9D9" w:themeFill="background1" w:themeFillShade="D9"/>
            <w:vAlign w:val="center"/>
          </w:tcPr>
          <w:p w:rsidR="00814FF7" w:rsidRPr="00640F14" w:rsidRDefault="00814FF7" w:rsidP="00B00BB8">
            <w:pPr>
              <w:tabs>
                <w:tab w:val="left" w:pos="2035"/>
              </w:tabs>
              <w:jc w:val="center"/>
              <w:rPr>
                <w:b/>
              </w:rPr>
            </w:pPr>
            <w:r w:rsidRPr="00640F14">
              <w:rPr>
                <w:b/>
              </w:rPr>
              <w:t>Notes</w:t>
            </w:r>
          </w:p>
        </w:tc>
      </w:tr>
      <w:tr w:rsidR="00814FF7" w:rsidRPr="00640F14" w:rsidTr="00B00BB8">
        <w:trPr>
          <w:trHeight w:val="576"/>
        </w:trPr>
        <w:tc>
          <w:tcPr>
            <w:tcW w:w="14670" w:type="dxa"/>
            <w:gridSpan w:val="5"/>
            <w:shd w:val="clear" w:color="auto" w:fill="DBE5F1" w:themeFill="accent1" w:themeFillTint="33"/>
            <w:vAlign w:val="center"/>
          </w:tcPr>
          <w:p w:rsidR="00814FF7" w:rsidRPr="00640F14" w:rsidRDefault="00814FF7" w:rsidP="00B00BB8">
            <w:pPr>
              <w:rPr>
                <w:b/>
              </w:rPr>
            </w:pPr>
            <w:r w:rsidRPr="00640F14">
              <w:rPr>
                <w:b/>
              </w:rPr>
              <w:t>SREs</w:t>
            </w:r>
          </w:p>
        </w:tc>
      </w:tr>
      <w:tr w:rsidR="00814FF7" w:rsidRPr="00640F14" w:rsidTr="00B00BB8">
        <w:trPr>
          <w:trHeight w:val="530"/>
        </w:trPr>
        <w:tc>
          <w:tcPr>
            <w:tcW w:w="468" w:type="dxa"/>
            <w:shd w:val="clear" w:color="auto" w:fill="auto"/>
          </w:tcPr>
          <w:p w:rsidR="00814FF7" w:rsidRPr="00640F14" w:rsidRDefault="00814FF7" w:rsidP="00B00BB8">
            <w:pPr>
              <w:pStyle w:val="NoSpacing"/>
              <w:jc w:val="center"/>
              <w:rPr>
                <w:rFonts w:asciiTheme="minorHAnsi" w:hAnsiTheme="minorHAnsi"/>
                <w:b/>
                <w:sz w:val="22"/>
              </w:rPr>
            </w:pPr>
            <w:r w:rsidRPr="00640F14">
              <w:rPr>
                <w:rFonts w:asciiTheme="minorHAnsi" w:hAnsiTheme="minorHAnsi"/>
                <w:b/>
                <w:sz w:val="22"/>
              </w:rPr>
              <w:t>1</w:t>
            </w:r>
          </w:p>
        </w:tc>
        <w:tc>
          <w:tcPr>
            <w:tcW w:w="1602" w:type="dxa"/>
          </w:tcPr>
          <w:p w:rsidR="00814FF7" w:rsidRPr="00640F14" w:rsidRDefault="00814FF7" w:rsidP="00B00BB8">
            <w:r w:rsidRPr="00640F14">
              <w:t>105 CMR § 1</w:t>
            </w:r>
            <w:r>
              <w:t>4</w:t>
            </w:r>
            <w:r w:rsidRPr="00640F14">
              <w:t>0.3</w:t>
            </w:r>
            <w:r>
              <w:t>08</w:t>
            </w:r>
            <w:r w:rsidRPr="00640F14">
              <w:t>(</w:t>
            </w:r>
            <w:r>
              <w:t>A</w:t>
            </w:r>
            <w:r w:rsidRPr="00640F14">
              <w:t>)</w:t>
            </w:r>
          </w:p>
          <w:p w:rsidR="00814FF7" w:rsidRPr="00640F14" w:rsidRDefault="00814FF7" w:rsidP="00B00BB8">
            <w:pPr>
              <w:ind w:left="-36"/>
              <w:rPr>
                <w:b/>
              </w:rPr>
            </w:pPr>
            <w:r w:rsidRPr="00640F14">
              <w:rPr>
                <w:b/>
              </w:rPr>
              <w:t xml:space="preserve"> </w:t>
            </w:r>
          </w:p>
        </w:tc>
        <w:tc>
          <w:tcPr>
            <w:tcW w:w="3870" w:type="dxa"/>
          </w:tcPr>
          <w:p w:rsidR="00814FF7" w:rsidRPr="00640F14" w:rsidRDefault="00814FF7" w:rsidP="00B00BB8">
            <w:pPr>
              <w:pStyle w:val="NoSpacing"/>
              <w:rPr>
                <w:rFonts w:asciiTheme="minorHAnsi" w:hAnsiTheme="minorHAnsi"/>
                <w:b/>
                <w:sz w:val="22"/>
              </w:rPr>
            </w:pPr>
            <w:r w:rsidRPr="00640F14">
              <w:rPr>
                <w:rFonts w:asciiTheme="minorHAnsi" w:hAnsiTheme="minorHAnsi"/>
                <w:b/>
                <w:sz w:val="22"/>
              </w:rPr>
              <w:t>SRE definition</w:t>
            </w:r>
          </w:p>
          <w:p w:rsidR="00814FF7" w:rsidRPr="00640F14" w:rsidRDefault="00814FF7" w:rsidP="00B00BB8">
            <w:pPr>
              <w:pStyle w:val="NoSpacing"/>
              <w:rPr>
                <w:rFonts w:asciiTheme="minorHAnsi" w:hAnsiTheme="minorHAnsi"/>
                <w:sz w:val="22"/>
              </w:rPr>
            </w:pPr>
            <w:r w:rsidRPr="00640F14">
              <w:rPr>
                <w:rFonts w:asciiTheme="minorHAnsi" w:hAnsiTheme="minorHAnsi"/>
                <w:sz w:val="22"/>
              </w:rPr>
              <w:t>Under DPH guid</w:t>
            </w:r>
            <w:r>
              <w:rPr>
                <w:rFonts w:asciiTheme="minorHAnsi" w:hAnsiTheme="minorHAnsi"/>
                <w:sz w:val="22"/>
              </w:rPr>
              <w:t>ance</w:t>
            </w:r>
            <w:r w:rsidRPr="00640F14">
              <w:rPr>
                <w:rFonts w:asciiTheme="minorHAnsi" w:hAnsiTheme="minorHAnsi"/>
                <w:sz w:val="22"/>
              </w:rPr>
              <w:t>, hospitals and ASCs must report SREs involving their patients that have occurred at other hospitals or ASCs</w:t>
            </w:r>
            <w:r w:rsidRPr="00640F14">
              <w:rPr>
                <w:rFonts w:asciiTheme="minorHAnsi" w:hAnsiTheme="minorHAnsi"/>
                <w:sz w:val="22"/>
                <w:vertAlign w:val="superscript"/>
              </w:rPr>
              <w:t>1</w:t>
            </w:r>
            <w:r w:rsidRPr="00640F14">
              <w:rPr>
                <w:rFonts w:asciiTheme="minorHAnsi" w:hAnsiTheme="minorHAnsi"/>
                <w:sz w:val="22"/>
              </w:rPr>
              <w:t>. However, the present regulatory definition of “SRE”</w:t>
            </w:r>
            <w:r>
              <w:rPr>
                <w:rFonts w:asciiTheme="minorHAnsi" w:hAnsiTheme="minorHAnsi"/>
                <w:sz w:val="22"/>
              </w:rPr>
              <w:t xml:space="preserve"> in 105 CMR § 14</w:t>
            </w:r>
            <w:r w:rsidRPr="00640F14">
              <w:rPr>
                <w:rFonts w:asciiTheme="minorHAnsi" w:hAnsiTheme="minorHAnsi"/>
                <w:sz w:val="22"/>
              </w:rPr>
              <w:t>0.3</w:t>
            </w:r>
            <w:r>
              <w:rPr>
                <w:rFonts w:asciiTheme="minorHAnsi" w:hAnsiTheme="minorHAnsi"/>
                <w:sz w:val="22"/>
              </w:rPr>
              <w:t>08</w:t>
            </w:r>
            <w:r w:rsidRPr="00640F14">
              <w:rPr>
                <w:rFonts w:asciiTheme="minorHAnsi" w:hAnsiTheme="minorHAnsi"/>
                <w:sz w:val="22"/>
              </w:rPr>
              <w:t xml:space="preserve"> refers only to events that occur on the premises of hospitals.</w:t>
            </w:r>
          </w:p>
          <w:p w:rsidR="00814FF7" w:rsidRPr="00640F14" w:rsidRDefault="00814FF7" w:rsidP="00B00BB8">
            <w:pPr>
              <w:pStyle w:val="NoSpacing"/>
              <w:rPr>
                <w:rFonts w:asciiTheme="minorHAnsi" w:hAnsiTheme="minorHAnsi"/>
                <w:sz w:val="22"/>
              </w:rPr>
            </w:pPr>
          </w:p>
          <w:p w:rsidR="00814FF7" w:rsidRPr="00640F14" w:rsidRDefault="00814FF7" w:rsidP="00B00BB8">
            <w:pPr>
              <w:pStyle w:val="NoSpacing"/>
              <w:rPr>
                <w:rFonts w:asciiTheme="minorHAnsi" w:hAnsiTheme="minorHAnsi"/>
                <w:sz w:val="22"/>
              </w:rPr>
            </w:pPr>
            <w:r w:rsidRPr="00640F14">
              <w:rPr>
                <w:rStyle w:val="FootnoteReference"/>
                <w:rFonts w:asciiTheme="minorHAnsi" w:hAnsiTheme="minorHAnsi"/>
                <w:sz w:val="22"/>
              </w:rPr>
              <w:footnoteRef/>
            </w:r>
            <w:r w:rsidRPr="00640F14">
              <w:rPr>
                <w:rFonts w:asciiTheme="minorHAnsi" w:hAnsiTheme="minorHAnsi"/>
                <w:sz w:val="22"/>
              </w:rPr>
              <w:t xml:space="preserve"> </w:t>
            </w:r>
            <w:hyperlink r:id="rId15" w:history="1">
              <w:r w:rsidRPr="00E1153E">
                <w:rPr>
                  <w:rStyle w:val="Hyperlink"/>
                  <w:rFonts w:asciiTheme="minorHAnsi" w:hAnsiTheme="minorHAnsi"/>
                  <w:sz w:val="18"/>
                  <w:szCs w:val="18"/>
                </w:rPr>
                <w:t>Circular Letter #12-9-570 (Sept. 7, 2012)</w:t>
              </w:r>
            </w:hyperlink>
          </w:p>
        </w:tc>
        <w:tc>
          <w:tcPr>
            <w:tcW w:w="5220" w:type="dxa"/>
          </w:tcPr>
          <w:p w:rsidR="00814FF7" w:rsidRPr="00640F14" w:rsidRDefault="00814FF7" w:rsidP="00B00BB8">
            <w:pPr>
              <w:pStyle w:val="NoSpacing"/>
              <w:rPr>
                <w:rFonts w:asciiTheme="minorHAnsi" w:hAnsiTheme="minorHAnsi"/>
                <w:b/>
                <w:sz w:val="22"/>
              </w:rPr>
            </w:pPr>
            <w:r w:rsidRPr="00640F14">
              <w:rPr>
                <w:rFonts w:asciiTheme="minorHAnsi" w:hAnsiTheme="minorHAnsi"/>
                <w:b/>
                <w:sz w:val="22"/>
              </w:rPr>
              <w:t>Clarification: Standardize SRE definition across hospital and clinic regulations as follows:</w:t>
            </w:r>
          </w:p>
          <w:p w:rsidR="00814FF7" w:rsidRPr="00640F14" w:rsidRDefault="00814FF7" w:rsidP="00B00BB8">
            <w:pPr>
              <w:pStyle w:val="NoSpacing"/>
              <w:rPr>
                <w:rFonts w:asciiTheme="minorHAnsi" w:hAnsiTheme="minorHAnsi"/>
                <w:sz w:val="22"/>
              </w:rPr>
            </w:pPr>
          </w:p>
          <w:p w:rsidR="00814FF7" w:rsidRPr="00640F14" w:rsidRDefault="00814FF7" w:rsidP="00B00BB8">
            <w:pPr>
              <w:pStyle w:val="NoSpacing"/>
              <w:rPr>
                <w:rFonts w:asciiTheme="minorHAnsi" w:hAnsiTheme="minorHAnsi"/>
                <w:sz w:val="22"/>
                <w:u w:val="single"/>
              </w:rPr>
            </w:pPr>
            <w:r>
              <w:rPr>
                <w:rFonts w:asciiTheme="minorHAnsi" w:hAnsiTheme="minorHAnsi"/>
                <w:sz w:val="22"/>
                <w:u w:val="single"/>
              </w:rPr>
              <w:t>[</w:t>
            </w:r>
            <w:r w:rsidRPr="0064730C">
              <w:rPr>
                <w:rFonts w:asciiTheme="minorHAnsi" w:hAnsiTheme="minorHAnsi"/>
                <w:sz w:val="22"/>
                <w:u w:val="single"/>
              </w:rPr>
              <w:t>140.308(A)</w:t>
            </w:r>
            <w:r>
              <w:rPr>
                <w:rFonts w:asciiTheme="minorHAnsi" w:hAnsiTheme="minorHAnsi"/>
                <w:sz w:val="22"/>
                <w:u w:val="single"/>
              </w:rPr>
              <w:t>]</w:t>
            </w:r>
          </w:p>
          <w:p w:rsidR="00814FF7" w:rsidRPr="00640F14" w:rsidRDefault="00814FF7" w:rsidP="00B00BB8">
            <w:pPr>
              <w:pStyle w:val="NoSpacing"/>
              <w:rPr>
                <w:rFonts w:asciiTheme="minorHAnsi" w:hAnsiTheme="minorHAnsi"/>
                <w:i/>
                <w:sz w:val="22"/>
              </w:rPr>
            </w:pPr>
            <w:r w:rsidRPr="00640F14">
              <w:rPr>
                <w:rFonts w:asciiTheme="minorHAnsi" w:hAnsiTheme="minorHAnsi"/>
                <w:i/>
                <w:sz w:val="22"/>
              </w:rPr>
              <w:t xml:space="preserve">“Serious Reportable Event (SRE) means an event that occurs on premises covered by </w:t>
            </w:r>
            <w:r w:rsidRPr="00640F14">
              <w:rPr>
                <w:rFonts w:asciiTheme="minorHAnsi" w:hAnsiTheme="minorHAnsi"/>
                <w:b/>
                <w:i/>
                <w:color w:val="33CC33"/>
                <w:sz w:val="22"/>
              </w:rPr>
              <w:t>the license of a hospital or ASC</w:t>
            </w:r>
            <w:r w:rsidRPr="00640F14">
              <w:rPr>
                <w:rFonts w:asciiTheme="minorHAnsi" w:hAnsiTheme="minorHAnsi"/>
                <w:i/>
                <w:color w:val="33CC33"/>
                <w:sz w:val="22"/>
              </w:rPr>
              <w:t xml:space="preserve"> </w:t>
            </w:r>
            <w:r>
              <w:rPr>
                <w:rFonts w:asciiTheme="minorHAnsi" w:hAnsiTheme="minorHAnsi"/>
                <w:i/>
                <w:strike/>
                <w:color w:val="33CC33"/>
                <w:sz w:val="22"/>
              </w:rPr>
              <w:t>an ASC’s</w:t>
            </w:r>
            <w:r w:rsidRPr="00640F14">
              <w:rPr>
                <w:rFonts w:asciiTheme="minorHAnsi" w:hAnsiTheme="minorHAnsi"/>
                <w:i/>
                <w:strike/>
                <w:color w:val="33CC33"/>
                <w:sz w:val="22"/>
              </w:rPr>
              <w:t xml:space="preserve"> license</w:t>
            </w:r>
            <w:r w:rsidRPr="00640F14">
              <w:rPr>
                <w:rFonts w:asciiTheme="minorHAnsi" w:hAnsiTheme="minorHAnsi"/>
                <w:i/>
                <w:color w:val="33CC33"/>
                <w:sz w:val="22"/>
              </w:rPr>
              <w:t xml:space="preserve"> </w:t>
            </w:r>
            <w:r w:rsidRPr="00640F14">
              <w:rPr>
                <w:rFonts w:asciiTheme="minorHAnsi" w:hAnsiTheme="minorHAnsi"/>
                <w:i/>
                <w:sz w:val="22"/>
              </w:rPr>
              <w:t>that results in an adverse patient outcome…”</w:t>
            </w:r>
          </w:p>
          <w:p w:rsidR="00814FF7" w:rsidRPr="00640F14" w:rsidRDefault="00814FF7" w:rsidP="00B00BB8">
            <w:pPr>
              <w:pStyle w:val="NoSpacing"/>
              <w:rPr>
                <w:rFonts w:asciiTheme="minorHAnsi" w:hAnsiTheme="minorHAnsi"/>
                <w:sz w:val="22"/>
              </w:rPr>
            </w:pPr>
            <w:r w:rsidRPr="00640F14">
              <w:rPr>
                <w:rFonts w:asciiTheme="minorHAnsi" w:hAnsiTheme="minorHAnsi"/>
                <w:sz w:val="22"/>
              </w:rPr>
              <w:t xml:space="preserve"> </w:t>
            </w:r>
          </w:p>
          <w:p w:rsidR="00814FF7" w:rsidRPr="00640F14" w:rsidRDefault="00814FF7" w:rsidP="00B00BB8">
            <w:pPr>
              <w:pStyle w:val="NoSpacing"/>
              <w:rPr>
                <w:rFonts w:asciiTheme="minorHAnsi" w:hAnsiTheme="minorHAnsi"/>
                <w:i/>
                <w:sz w:val="22"/>
              </w:rPr>
            </w:pPr>
          </w:p>
        </w:tc>
        <w:tc>
          <w:tcPr>
            <w:tcW w:w="3510" w:type="dxa"/>
          </w:tcPr>
          <w:p w:rsidR="00814FF7" w:rsidRPr="00640F14" w:rsidRDefault="00814FF7" w:rsidP="00B00BB8">
            <w:pPr>
              <w:pStyle w:val="NoSpacing"/>
              <w:rPr>
                <w:rFonts w:asciiTheme="minorHAnsi" w:hAnsiTheme="minorHAnsi"/>
                <w:sz w:val="22"/>
              </w:rPr>
            </w:pPr>
          </w:p>
        </w:tc>
      </w:tr>
      <w:tr w:rsidR="00814FF7" w:rsidRPr="00640F14" w:rsidTr="00B00BB8">
        <w:trPr>
          <w:trHeight w:val="2420"/>
        </w:trPr>
        <w:tc>
          <w:tcPr>
            <w:tcW w:w="468" w:type="dxa"/>
            <w:shd w:val="clear" w:color="auto" w:fill="auto"/>
          </w:tcPr>
          <w:p w:rsidR="00814FF7" w:rsidRPr="00640F14" w:rsidRDefault="00814FF7" w:rsidP="00B00BB8">
            <w:pPr>
              <w:jc w:val="center"/>
              <w:rPr>
                <w:b/>
              </w:rPr>
            </w:pPr>
            <w:r>
              <w:rPr>
                <w:b/>
              </w:rPr>
              <w:t>2</w:t>
            </w:r>
          </w:p>
        </w:tc>
        <w:tc>
          <w:tcPr>
            <w:tcW w:w="1602" w:type="dxa"/>
          </w:tcPr>
          <w:p w:rsidR="00814FF7" w:rsidRPr="00640F14" w:rsidRDefault="00814FF7" w:rsidP="00B00BB8">
            <w:r w:rsidRPr="00640F14">
              <w:t xml:space="preserve">105 CMR § </w:t>
            </w:r>
            <w:r>
              <w:t>140.308 (B)(1)(b</w:t>
            </w:r>
            <w:r w:rsidRPr="0064730C">
              <w:t>)</w:t>
            </w:r>
            <w:r>
              <w:t xml:space="preserve"> </w:t>
            </w:r>
          </w:p>
          <w:p w:rsidR="00814FF7" w:rsidRPr="00640F14" w:rsidRDefault="00814FF7" w:rsidP="00B00BB8"/>
          <w:p w:rsidR="00814FF7" w:rsidRPr="00640F14" w:rsidRDefault="00814FF7" w:rsidP="00B00BB8">
            <w:pPr>
              <w:rPr>
                <w:b/>
              </w:rPr>
            </w:pPr>
          </w:p>
        </w:tc>
        <w:tc>
          <w:tcPr>
            <w:tcW w:w="3870" w:type="dxa"/>
          </w:tcPr>
          <w:p w:rsidR="00814FF7" w:rsidRPr="00640F14" w:rsidRDefault="00814FF7" w:rsidP="00B00BB8">
            <w:pPr>
              <w:rPr>
                <w:b/>
              </w:rPr>
            </w:pPr>
            <w:r w:rsidRPr="00640F14">
              <w:rPr>
                <w:b/>
              </w:rPr>
              <w:t>Form of patient notification (7-day)</w:t>
            </w:r>
          </w:p>
          <w:p w:rsidR="00814FF7" w:rsidRPr="00640F14" w:rsidRDefault="00814FF7" w:rsidP="00B00BB8">
            <w:pPr>
              <w:rPr>
                <w:b/>
              </w:rPr>
            </w:pPr>
          </w:p>
          <w:p w:rsidR="00814FF7" w:rsidRDefault="00814FF7" w:rsidP="00B00BB8">
            <w:r>
              <w:t xml:space="preserve">First, proposed amendments to ASC provisions regarding 7-day patient notification make the clinic SRE regulations inconsistent with hospital regulations.   </w:t>
            </w:r>
          </w:p>
          <w:p w:rsidR="00814FF7" w:rsidRDefault="00814FF7" w:rsidP="00B00BB8"/>
          <w:p w:rsidR="00814FF7" w:rsidRDefault="00814FF7" w:rsidP="00814FF7">
            <w:pPr>
              <w:pStyle w:val="ListParagraph"/>
              <w:widowControl/>
              <w:numPr>
                <w:ilvl w:val="0"/>
                <w:numId w:val="11"/>
              </w:numPr>
              <w:spacing w:after="0" w:line="240" w:lineRule="auto"/>
              <w:ind w:left="432" w:hanging="180"/>
            </w:pPr>
            <w:r>
              <w:t>The proposed clinic regulations 140.308 (B)(1)(b</w:t>
            </w:r>
            <w:r w:rsidRPr="0064730C">
              <w:t>)</w:t>
            </w:r>
            <w:r>
              <w:t xml:space="preserve"> no longer include the phrase “verbally and in writing”:</w:t>
            </w:r>
          </w:p>
          <w:p w:rsidR="00814FF7" w:rsidRPr="0018309C" w:rsidRDefault="00814FF7" w:rsidP="00B00BB8">
            <w:pPr>
              <w:pStyle w:val="ListParagraph"/>
              <w:ind w:left="432" w:hanging="180"/>
              <w:rPr>
                <w:rFonts w:eastAsia="Calibri" w:cs="Times New Roman"/>
                <w:i/>
              </w:rPr>
            </w:pPr>
            <w:r>
              <w:rPr>
                <w:rFonts w:eastAsia="Calibri" w:cs="Times New Roman"/>
                <w:i/>
              </w:rPr>
              <w:t xml:space="preserve">   </w:t>
            </w:r>
            <w:r w:rsidRPr="0018309C">
              <w:rPr>
                <w:rFonts w:eastAsia="Calibri" w:cs="Times New Roman"/>
                <w:i/>
              </w:rPr>
              <w:t>“(</w:t>
            </w:r>
            <w:proofErr w:type="spellStart"/>
            <w:r w:rsidRPr="0018309C">
              <w:rPr>
                <w:rFonts w:eastAsia="Calibri" w:cs="Times New Roman"/>
                <w:b/>
                <w:i/>
                <w:color w:val="0070C0"/>
              </w:rPr>
              <w:t>b</w:t>
            </w:r>
            <w:r w:rsidRPr="0018309C">
              <w:rPr>
                <w:rFonts w:eastAsia="Calibri" w:cs="Times New Roman"/>
                <w:i/>
                <w:strike/>
                <w:color w:val="FF0000"/>
              </w:rPr>
              <w:t>c</w:t>
            </w:r>
            <w:proofErr w:type="spellEnd"/>
            <w:r w:rsidRPr="0018309C">
              <w:rPr>
                <w:rFonts w:eastAsia="Calibri" w:cs="Times New Roman"/>
                <w:i/>
              </w:rPr>
              <w:t xml:space="preserve">) inform the patient or the patient’s representative </w:t>
            </w:r>
            <w:r w:rsidRPr="0018309C">
              <w:rPr>
                <w:rFonts w:eastAsia="Calibri" w:cs="Times New Roman"/>
                <w:i/>
                <w:strike/>
                <w:color w:val="FF0000"/>
              </w:rPr>
              <w:t xml:space="preserve">verbally and in writing </w:t>
            </w:r>
            <w:r w:rsidRPr="0018309C">
              <w:rPr>
                <w:rFonts w:eastAsia="Calibri" w:cs="Times New Roman"/>
                <w:i/>
              </w:rPr>
              <w:t>about:”</w:t>
            </w:r>
          </w:p>
          <w:p w:rsidR="00814FF7" w:rsidRDefault="00814FF7" w:rsidP="00B00BB8">
            <w:pPr>
              <w:ind w:left="432" w:hanging="180"/>
            </w:pPr>
          </w:p>
          <w:p w:rsidR="00814FF7" w:rsidRDefault="00814FF7" w:rsidP="00814FF7">
            <w:pPr>
              <w:pStyle w:val="ListParagraph"/>
              <w:widowControl/>
              <w:numPr>
                <w:ilvl w:val="0"/>
                <w:numId w:val="11"/>
              </w:numPr>
              <w:spacing w:after="0" w:line="240" w:lineRule="auto"/>
              <w:ind w:left="432" w:hanging="180"/>
            </w:pPr>
            <w:r>
              <w:t xml:space="preserve">Whereas hospital regulations </w:t>
            </w:r>
            <w:r w:rsidRPr="00454734">
              <w:t xml:space="preserve">130.332(B)(1)(b) </w:t>
            </w:r>
            <w:r>
              <w:t xml:space="preserve">read: </w:t>
            </w:r>
          </w:p>
          <w:p w:rsidR="00814FF7" w:rsidRPr="0018309C" w:rsidRDefault="00814FF7" w:rsidP="00B00BB8">
            <w:pPr>
              <w:pStyle w:val="ListParagraph"/>
              <w:overflowPunct w:val="0"/>
              <w:autoSpaceDE w:val="0"/>
              <w:autoSpaceDN w:val="0"/>
              <w:adjustRightInd w:val="0"/>
              <w:ind w:left="432" w:hanging="180"/>
              <w:rPr>
                <w:i/>
              </w:rPr>
            </w:pPr>
            <w:r>
              <w:rPr>
                <w:i/>
              </w:rPr>
              <w:lastRenderedPageBreak/>
              <w:t xml:space="preserve">   </w:t>
            </w:r>
            <w:r w:rsidRPr="0018309C">
              <w:rPr>
                <w:i/>
              </w:rPr>
              <w:t>“(</w:t>
            </w:r>
            <w:proofErr w:type="spellStart"/>
            <w:r w:rsidRPr="0018309C">
              <w:rPr>
                <w:b/>
                <w:i/>
                <w:color w:val="0070C0"/>
              </w:rPr>
              <w:t>b</w:t>
            </w:r>
            <w:r w:rsidRPr="0018309C">
              <w:rPr>
                <w:b/>
                <w:i/>
                <w:strike/>
                <w:color w:val="FF0000"/>
              </w:rPr>
              <w:t>c</w:t>
            </w:r>
            <w:proofErr w:type="spellEnd"/>
            <w:r w:rsidRPr="0018309C">
              <w:rPr>
                <w:b/>
                <w:i/>
                <w:strike/>
                <w:color w:val="FF0000"/>
              </w:rPr>
              <w:t xml:space="preserve">) </w:t>
            </w:r>
            <w:r w:rsidRPr="0018309C">
              <w:rPr>
                <w:b/>
                <w:i/>
                <w:strike/>
                <w:color w:val="FF0000"/>
              </w:rPr>
              <w:tab/>
            </w:r>
            <w:r w:rsidRPr="0018309C">
              <w:rPr>
                <w:i/>
              </w:rPr>
              <w:t xml:space="preserve">inform the patient or the patient’s representative </w:t>
            </w:r>
            <w:r w:rsidRPr="0018309C">
              <w:rPr>
                <w:i/>
                <w:strike/>
                <w:color w:val="FF0000"/>
              </w:rPr>
              <w:t>and</w:t>
            </w:r>
            <w:r w:rsidRPr="0018309C">
              <w:rPr>
                <w:i/>
              </w:rPr>
              <w:t xml:space="preserve"> </w:t>
            </w:r>
            <w:r w:rsidRPr="0018309C">
              <w:rPr>
                <w:b/>
                <w:i/>
                <w:color w:val="0070C0"/>
              </w:rPr>
              <w:t xml:space="preserve">or </w:t>
            </w:r>
            <w:r w:rsidRPr="0018309C">
              <w:rPr>
                <w:i/>
              </w:rPr>
              <w:t>in writing</w:t>
            </w:r>
            <w:r w:rsidRPr="0018309C">
              <w:rPr>
                <w:i/>
                <w:color w:val="00B050"/>
              </w:rPr>
              <w:t xml:space="preserve"> </w:t>
            </w:r>
            <w:r w:rsidRPr="0018309C">
              <w:rPr>
                <w:i/>
              </w:rPr>
              <w:t>about:”</w:t>
            </w:r>
          </w:p>
          <w:p w:rsidR="00814FF7" w:rsidRDefault="00814FF7" w:rsidP="00B00BB8"/>
          <w:p w:rsidR="00814FF7" w:rsidRPr="00640F14" w:rsidRDefault="00814FF7" w:rsidP="00B00BB8">
            <w:r>
              <w:t xml:space="preserve">Second, assuming the phrase is reinserted, the 7-day patient notification provision still: </w:t>
            </w:r>
          </w:p>
          <w:p w:rsidR="00814FF7" w:rsidRPr="00640F14" w:rsidRDefault="00814FF7" w:rsidP="00814FF7">
            <w:pPr>
              <w:pStyle w:val="ListParagraph"/>
              <w:widowControl/>
              <w:numPr>
                <w:ilvl w:val="0"/>
                <w:numId w:val="7"/>
              </w:numPr>
              <w:spacing w:after="0" w:line="240" w:lineRule="auto"/>
            </w:pPr>
            <w:r w:rsidRPr="00640F14">
              <w:t xml:space="preserve">Uses the word “verbally”—which is inclusive of words both written or oral—rather than the intended word  “orally” </w:t>
            </w:r>
          </w:p>
          <w:p w:rsidR="00814FF7" w:rsidRPr="00640F14" w:rsidRDefault="00814FF7" w:rsidP="00B00BB8">
            <w:pPr>
              <w:pStyle w:val="ListParagraph"/>
            </w:pPr>
          </w:p>
          <w:p w:rsidR="00814FF7" w:rsidRPr="00640F14" w:rsidRDefault="00814FF7" w:rsidP="00814FF7">
            <w:pPr>
              <w:pStyle w:val="ListParagraph"/>
              <w:widowControl/>
              <w:numPr>
                <w:ilvl w:val="0"/>
                <w:numId w:val="7"/>
              </w:numPr>
              <w:spacing w:after="0" w:line="240" w:lineRule="auto"/>
            </w:pPr>
            <w:r w:rsidRPr="00640F14">
              <w:t xml:space="preserve">May imply that the options are mutually exclusive. </w:t>
            </w:r>
          </w:p>
        </w:tc>
        <w:tc>
          <w:tcPr>
            <w:tcW w:w="5220" w:type="dxa"/>
          </w:tcPr>
          <w:p w:rsidR="00814FF7" w:rsidRPr="00640F14" w:rsidRDefault="00814FF7" w:rsidP="00B00BB8">
            <w:r w:rsidRPr="00640F14">
              <w:rPr>
                <w:b/>
              </w:rPr>
              <w:lastRenderedPageBreak/>
              <w:t>Reword 7-day patient notification provision for clarity and emphasis as follows:</w:t>
            </w:r>
          </w:p>
          <w:p w:rsidR="00814FF7" w:rsidRPr="00640F14" w:rsidRDefault="00814FF7" w:rsidP="00B00BB8">
            <w:pPr>
              <w:pStyle w:val="ListParagraph"/>
              <w:ind w:left="408"/>
            </w:pPr>
          </w:p>
          <w:p w:rsidR="00814FF7" w:rsidRPr="00640F14" w:rsidRDefault="00814FF7" w:rsidP="00B00BB8">
            <w:pPr>
              <w:ind w:left="408"/>
              <w:rPr>
                <w:u w:val="single"/>
              </w:rPr>
            </w:pPr>
            <w:r w:rsidRPr="00640F14">
              <w:rPr>
                <w:u w:val="single"/>
              </w:rPr>
              <w:t>[1</w:t>
            </w:r>
            <w:r>
              <w:rPr>
                <w:u w:val="single"/>
              </w:rPr>
              <w:t>4</w:t>
            </w:r>
            <w:r w:rsidRPr="00640F14">
              <w:rPr>
                <w:u w:val="single"/>
              </w:rPr>
              <w:t>0.3</w:t>
            </w:r>
            <w:r>
              <w:rPr>
                <w:u w:val="single"/>
              </w:rPr>
              <w:t>08</w:t>
            </w:r>
            <w:r w:rsidRPr="00640F14">
              <w:rPr>
                <w:u w:val="single"/>
              </w:rPr>
              <w:t>(B)(1)(b)</w:t>
            </w:r>
            <w:r>
              <w:rPr>
                <w:u w:val="single"/>
              </w:rPr>
              <w:t>]</w:t>
            </w:r>
          </w:p>
          <w:p w:rsidR="00814FF7" w:rsidRPr="00640F14" w:rsidRDefault="00814FF7" w:rsidP="00B00BB8">
            <w:pPr>
              <w:overflowPunct w:val="0"/>
              <w:autoSpaceDE w:val="0"/>
              <w:autoSpaceDN w:val="0"/>
              <w:adjustRightInd w:val="0"/>
              <w:ind w:left="972" w:hanging="180"/>
              <w:rPr>
                <w:i/>
              </w:rPr>
            </w:pPr>
            <w:r w:rsidRPr="00640F14">
              <w:rPr>
                <w:i/>
              </w:rPr>
              <w:t>(</w:t>
            </w:r>
            <w:proofErr w:type="spellStart"/>
            <w:r w:rsidRPr="00640F14">
              <w:rPr>
                <w:b/>
                <w:i/>
                <w:color w:val="0070C0"/>
              </w:rPr>
              <w:t>b</w:t>
            </w:r>
            <w:r w:rsidRPr="00640F14">
              <w:rPr>
                <w:b/>
                <w:i/>
                <w:strike/>
                <w:color w:val="FF0000"/>
              </w:rPr>
              <w:t>c</w:t>
            </w:r>
            <w:proofErr w:type="spellEnd"/>
            <w:r w:rsidRPr="00640F14">
              <w:rPr>
                <w:b/>
                <w:i/>
                <w:strike/>
                <w:color w:val="FF0000"/>
              </w:rPr>
              <w:t xml:space="preserve">) </w:t>
            </w:r>
            <w:r w:rsidRPr="00640F14">
              <w:rPr>
                <w:b/>
                <w:i/>
                <w:strike/>
                <w:color w:val="FF0000"/>
              </w:rPr>
              <w:tab/>
            </w:r>
            <w:r w:rsidRPr="00640F14">
              <w:rPr>
                <w:i/>
              </w:rPr>
              <w:t xml:space="preserve">inform the patient or the patient’s representative </w:t>
            </w:r>
            <w:r w:rsidRPr="00640F14">
              <w:rPr>
                <w:b/>
                <w:i/>
                <w:color w:val="33CC33"/>
              </w:rPr>
              <w:t xml:space="preserve">orally </w:t>
            </w:r>
            <w:r w:rsidRPr="00640F14">
              <w:rPr>
                <w:i/>
                <w:strike/>
                <w:color w:val="00B050"/>
              </w:rPr>
              <w:t>verbally</w:t>
            </w:r>
            <w:r w:rsidRPr="00640F14">
              <w:rPr>
                <w:i/>
              </w:rPr>
              <w:t xml:space="preserve"> </w:t>
            </w:r>
            <w:r w:rsidRPr="00640F14">
              <w:rPr>
                <w:i/>
                <w:strike/>
                <w:color w:val="FF0000"/>
              </w:rPr>
              <w:t>and</w:t>
            </w:r>
            <w:r w:rsidRPr="00640F14">
              <w:rPr>
                <w:i/>
              </w:rPr>
              <w:t xml:space="preserve"> </w:t>
            </w:r>
            <w:r w:rsidRPr="00640F14">
              <w:rPr>
                <w:b/>
                <w:i/>
                <w:color w:val="0070C0"/>
              </w:rPr>
              <w:t xml:space="preserve">or </w:t>
            </w:r>
            <w:r w:rsidRPr="00640F14">
              <w:rPr>
                <w:i/>
              </w:rPr>
              <w:t>in writing</w:t>
            </w:r>
            <w:r w:rsidRPr="00640F14">
              <w:rPr>
                <w:i/>
                <w:color w:val="00B050"/>
              </w:rPr>
              <w:t xml:space="preserve"> </w:t>
            </w:r>
            <w:r w:rsidRPr="00640F14">
              <w:rPr>
                <w:b/>
                <w:i/>
                <w:color w:val="00B050"/>
              </w:rPr>
              <w:t>or both</w:t>
            </w:r>
            <w:r w:rsidRPr="00640F14">
              <w:rPr>
                <w:i/>
              </w:rPr>
              <w:t xml:space="preserve"> about:</w:t>
            </w:r>
          </w:p>
          <w:p w:rsidR="00814FF7" w:rsidRPr="00640F14" w:rsidRDefault="00814FF7" w:rsidP="00B00BB8"/>
          <w:p w:rsidR="00814FF7" w:rsidRPr="00640F14" w:rsidRDefault="00814FF7" w:rsidP="00B00BB8"/>
          <w:p w:rsidR="00814FF7" w:rsidRPr="00640F14" w:rsidRDefault="00814FF7" w:rsidP="00B00BB8">
            <w:pPr>
              <w:ind w:left="720"/>
              <w:rPr>
                <w:i/>
              </w:rPr>
            </w:pPr>
            <w:r w:rsidRPr="00640F14">
              <w:rPr>
                <w:i/>
              </w:rPr>
              <w:t xml:space="preserve"> </w:t>
            </w:r>
          </w:p>
        </w:tc>
        <w:tc>
          <w:tcPr>
            <w:tcW w:w="3510" w:type="dxa"/>
          </w:tcPr>
          <w:p w:rsidR="00814FF7" w:rsidRPr="00640F14" w:rsidRDefault="00814FF7" w:rsidP="00B00BB8">
            <w:r w:rsidRPr="00640F14">
              <w:t xml:space="preserve">The Betsy Lehman Center has received a wide range of input from patients and other stakeholders regarding patient preferences for how information is communicated following an SRE. Because individual needs vary, no notification policy </w:t>
            </w:r>
            <w:r>
              <w:t xml:space="preserve">is ideal for </w:t>
            </w:r>
            <w:r w:rsidRPr="00640F14">
              <w:t xml:space="preserve">everyone. </w:t>
            </w:r>
          </w:p>
          <w:p w:rsidR="00814FF7" w:rsidRPr="00640F14" w:rsidRDefault="00814FF7" w:rsidP="00B00BB8"/>
          <w:p w:rsidR="00814FF7" w:rsidRPr="00640F14" w:rsidRDefault="00814FF7" w:rsidP="00B00BB8">
            <w:pPr>
              <w:rPr>
                <w:b/>
                <w:highlight w:val="cyan"/>
              </w:rPr>
            </w:pPr>
            <w:r w:rsidRPr="00640F14">
              <w:t>However, we believe that best practice is for facilities to always start with a conversation, followed by a written communication that is appropriate to the situation at hand. We suggest that this principle be conveyed in Departmental guidance if not in the regulation itself.</w:t>
            </w:r>
          </w:p>
        </w:tc>
      </w:tr>
      <w:tr w:rsidR="00814FF7" w:rsidRPr="00640F14" w:rsidTr="00B00BB8">
        <w:trPr>
          <w:trHeight w:val="548"/>
        </w:trPr>
        <w:tc>
          <w:tcPr>
            <w:tcW w:w="468" w:type="dxa"/>
            <w:shd w:val="clear" w:color="auto" w:fill="auto"/>
          </w:tcPr>
          <w:p w:rsidR="00814FF7" w:rsidRPr="00640F14" w:rsidRDefault="00814FF7" w:rsidP="00B00BB8">
            <w:pPr>
              <w:jc w:val="center"/>
              <w:rPr>
                <w:b/>
              </w:rPr>
            </w:pPr>
            <w:r>
              <w:rPr>
                <w:b/>
              </w:rPr>
              <w:lastRenderedPageBreak/>
              <w:t>3</w:t>
            </w:r>
          </w:p>
        </w:tc>
        <w:tc>
          <w:tcPr>
            <w:tcW w:w="1602" w:type="dxa"/>
          </w:tcPr>
          <w:p w:rsidR="00814FF7" w:rsidRPr="00640F14" w:rsidRDefault="00814FF7" w:rsidP="00B00BB8">
            <w:r w:rsidRPr="00640F14">
              <w:t xml:space="preserve">105 CMR § </w:t>
            </w:r>
            <w:r>
              <w:t xml:space="preserve">140.308 </w:t>
            </w:r>
            <w:r w:rsidRPr="00640F14">
              <w:t>(B)(1)(c)</w:t>
            </w:r>
          </w:p>
          <w:p w:rsidR="00814FF7" w:rsidRPr="00640F14" w:rsidRDefault="00814FF7" w:rsidP="00B00BB8"/>
        </w:tc>
        <w:tc>
          <w:tcPr>
            <w:tcW w:w="3870" w:type="dxa"/>
          </w:tcPr>
          <w:p w:rsidR="00814FF7" w:rsidRPr="00640F14" w:rsidRDefault="00814FF7" w:rsidP="00B00BB8">
            <w:pPr>
              <w:rPr>
                <w:b/>
              </w:rPr>
            </w:pPr>
            <w:r w:rsidRPr="00640F14">
              <w:rPr>
                <w:b/>
              </w:rPr>
              <w:t>Editing error - Patient notification (7-day)</w:t>
            </w:r>
          </w:p>
          <w:p w:rsidR="00814FF7" w:rsidRPr="00640F14" w:rsidRDefault="00814FF7" w:rsidP="00B00BB8">
            <w:r w:rsidRPr="00640F14">
              <w:t>Citation [</w:t>
            </w:r>
            <w:r>
              <w:t xml:space="preserve">140.308 </w:t>
            </w:r>
            <w:r w:rsidRPr="00640F14">
              <w:t>(B)(1)(c)] in</w:t>
            </w:r>
            <w:r>
              <w:t xml:space="preserve"> clinic</w:t>
            </w:r>
            <w:r w:rsidRPr="00640F14">
              <w:t xml:space="preserve"> SRE regulations was not updated after the line before it, which it references, was revised:</w:t>
            </w:r>
          </w:p>
          <w:p w:rsidR="00814FF7" w:rsidRPr="00640F14" w:rsidRDefault="00814FF7" w:rsidP="00B00BB8"/>
          <w:p w:rsidR="00814FF7" w:rsidRPr="00640F14" w:rsidRDefault="00814FF7" w:rsidP="00B00BB8">
            <w:pPr>
              <w:overflowPunct w:val="0"/>
              <w:autoSpaceDE w:val="0"/>
              <w:autoSpaceDN w:val="0"/>
              <w:adjustRightInd w:val="0"/>
              <w:ind w:left="180" w:hanging="180"/>
              <w:rPr>
                <w:i/>
              </w:rPr>
            </w:pPr>
            <w:r w:rsidRPr="00640F14">
              <w:rPr>
                <w:i/>
              </w:rPr>
              <w:t>(</w:t>
            </w:r>
            <w:proofErr w:type="spellStart"/>
            <w:r w:rsidRPr="00640F14">
              <w:rPr>
                <w:b/>
                <w:i/>
                <w:color w:val="0070C0"/>
              </w:rPr>
              <w:t>b</w:t>
            </w:r>
            <w:r w:rsidRPr="00640F14">
              <w:rPr>
                <w:b/>
                <w:i/>
                <w:strike/>
                <w:color w:val="FF0000"/>
              </w:rPr>
              <w:t>c</w:t>
            </w:r>
            <w:proofErr w:type="spellEnd"/>
            <w:r w:rsidRPr="00640F14">
              <w:rPr>
                <w:b/>
                <w:i/>
                <w:strike/>
                <w:color w:val="FF0000"/>
              </w:rPr>
              <w:t xml:space="preserve">) </w:t>
            </w:r>
            <w:r w:rsidRPr="00640F14">
              <w:rPr>
                <w:b/>
                <w:i/>
                <w:strike/>
                <w:color w:val="FF0000"/>
              </w:rPr>
              <w:tab/>
            </w:r>
            <w:r w:rsidRPr="00640F14">
              <w:rPr>
                <w:i/>
              </w:rPr>
              <w:t xml:space="preserve">inform the patient or the patient’s representative </w:t>
            </w:r>
            <w:r w:rsidRPr="006929BB">
              <w:rPr>
                <w:i/>
                <w:strike/>
                <w:color w:val="FF0000"/>
              </w:rPr>
              <w:t xml:space="preserve">verbally </w:t>
            </w:r>
            <w:r w:rsidRPr="00640F14">
              <w:rPr>
                <w:i/>
                <w:strike/>
                <w:color w:val="FF0000"/>
              </w:rPr>
              <w:t>and</w:t>
            </w:r>
            <w:r w:rsidRPr="00640F14">
              <w:rPr>
                <w:i/>
              </w:rPr>
              <w:t xml:space="preserve"> </w:t>
            </w:r>
            <w:r w:rsidRPr="006929BB">
              <w:rPr>
                <w:i/>
                <w:strike/>
                <w:color w:val="FF0000"/>
              </w:rPr>
              <w:t>in writing</w:t>
            </w:r>
            <w:r w:rsidRPr="00640F14">
              <w:rPr>
                <w:i/>
                <w:color w:val="00B050"/>
              </w:rPr>
              <w:t xml:space="preserve"> </w:t>
            </w:r>
            <w:r w:rsidRPr="00640F14">
              <w:rPr>
                <w:i/>
              </w:rPr>
              <w:t>about:</w:t>
            </w:r>
          </w:p>
          <w:p w:rsidR="00814FF7" w:rsidRPr="00640F14" w:rsidRDefault="00814FF7" w:rsidP="00B00BB8">
            <w:pPr>
              <w:rPr>
                <w:i/>
              </w:rPr>
            </w:pPr>
          </w:p>
          <w:p w:rsidR="00814FF7" w:rsidRPr="00640F14" w:rsidRDefault="00814FF7" w:rsidP="00B00BB8">
            <w:pPr>
              <w:rPr>
                <w:b/>
              </w:rPr>
            </w:pPr>
            <w:r w:rsidRPr="00640F14">
              <w:rPr>
                <w:i/>
              </w:rPr>
              <w:t xml:space="preserve">(c) affirm on the SRE report that the </w:t>
            </w:r>
            <w:r>
              <w:rPr>
                <w:i/>
              </w:rPr>
              <w:t xml:space="preserve">ASC </w:t>
            </w:r>
            <w:r w:rsidRPr="00640F14">
              <w:rPr>
                <w:i/>
              </w:rPr>
              <w:t>has complied with the patient notification requirements of 105 CMR 1</w:t>
            </w:r>
            <w:r>
              <w:rPr>
                <w:i/>
              </w:rPr>
              <w:t>4</w:t>
            </w:r>
            <w:r w:rsidRPr="00640F14">
              <w:rPr>
                <w:i/>
              </w:rPr>
              <w:t>0.3</w:t>
            </w:r>
            <w:r>
              <w:rPr>
                <w:i/>
              </w:rPr>
              <w:t>08</w:t>
            </w:r>
            <w:r w:rsidRPr="00640F14">
              <w:rPr>
                <w:i/>
              </w:rPr>
              <w:t>(B)(1)</w:t>
            </w:r>
            <w:r w:rsidRPr="00640F14">
              <w:rPr>
                <w:i/>
                <w:highlight w:val="lightGray"/>
              </w:rPr>
              <w:t>(c)”</w:t>
            </w:r>
          </w:p>
        </w:tc>
        <w:tc>
          <w:tcPr>
            <w:tcW w:w="5220" w:type="dxa"/>
          </w:tcPr>
          <w:p w:rsidR="00814FF7" w:rsidRPr="00640F14" w:rsidRDefault="00814FF7" w:rsidP="00B00BB8">
            <w:pPr>
              <w:rPr>
                <w:b/>
              </w:rPr>
            </w:pPr>
            <w:r w:rsidRPr="00640F14">
              <w:rPr>
                <w:b/>
              </w:rPr>
              <w:t>Make the following correction:</w:t>
            </w:r>
          </w:p>
          <w:p w:rsidR="00814FF7" w:rsidRPr="00640F14" w:rsidRDefault="00814FF7" w:rsidP="00B00BB8">
            <w:pPr>
              <w:pStyle w:val="ListParagraph"/>
              <w:ind w:left="360"/>
              <w:rPr>
                <w:u w:val="single"/>
              </w:rPr>
            </w:pPr>
          </w:p>
          <w:p w:rsidR="00814FF7" w:rsidRPr="00640F14" w:rsidRDefault="00814FF7" w:rsidP="00B00BB8">
            <w:pPr>
              <w:pStyle w:val="ListParagraph"/>
              <w:ind w:left="360"/>
              <w:rPr>
                <w:b/>
                <w:u w:val="single"/>
              </w:rPr>
            </w:pPr>
            <w:r w:rsidRPr="00640F14">
              <w:rPr>
                <w:u w:val="single"/>
              </w:rPr>
              <w:t>[1</w:t>
            </w:r>
            <w:r>
              <w:rPr>
                <w:u w:val="single"/>
              </w:rPr>
              <w:t>4</w:t>
            </w:r>
            <w:r w:rsidRPr="00640F14">
              <w:rPr>
                <w:u w:val="single"/>
              </w:rPr>
              <w:t>0.3</w:t>
            </w:r>
            <w:r>
              <w:rPr>
                <w:u w:val="single"/>
              </w:rPr>
              <w:t>08</w:t>
            </w:r>
            <w:r w:rsidRPr="00640F14">
              <w:rPr>
                <w:u w:val="single"/>
              </w:rPr>
              <w:t xml:space="preserve"> (B)(1)(c)]</w:t>
            </w:r>
          </w:p>
          <w:p w:rsidR="00814FF7" w:rsidRPr="00640F14" w:rsidRDefault="00814FF7" w:rsidP="00B00BB8">
            <w:pPr>
              <w:tabs>
                <w:tab w:val="num" w:pos="2889"/>
              </w:tabs>
              <w:rPr>
                <w:b/>
                <w:i/>
              </w:rPr>
            </w:pPr>
            <w:r w:rsidRPr="00640F14">
              <w:rPr>
                <w:i/>
              </w:rPr>
              <w:t xml:space="preserve"> “(c) </w:t>
            </w:r>
            <w:proofErr w:type="gramStart"/>
            <w:r w:rsidRPr="00640F14">
              <w:rPr>
                <w:i/>
              </w:rPr>
              <w:t>affirm</w:t>
            </w:r>
            <w:proofErr w:type="gramEnd"/>
            <w:r w:rsidRPr="00640F14">
              <w:rPr>
                <w:i/>
              </w:rPr>
              <w:t xml:space="preserve"> on the SRE report that the hospital has complied with the patient notification requirements of 105 CMR</w:t>
            </w:r>
            <w:r>
              <w:rPr>
                <w:i/>
              </w:rPr>
              <w:t xml:space="preserve"> </w:t>
            </w:r>
            <w:r w:rsidRPr="00640F14">
              <w:rPr>
                <w:i/>
              </w:rPr>
              <w:t>1</w:t>
            </w:r>
            <w:r>
              <w:rPr>
                <w:i/>
              </w:rPr>
              <w:t>4</w:t>
            </w:r>
            <w:r w:rsidRPr="00640F14">
              <w:rPr>
                <w:i/>
              </w:rPr>
              <w:t>0.3</w:t>
            </w:r>
            <w:r>
              <w:rPr>
                <w:i/>
              </w:rPr>
              <w:t>08</w:t>
            </w:r>
            <w:r w:rsidRPr="00640F14">
              <w:rPr>
                <w:i/>
              </w:rPr>
              <w:t>(B)(1)</w:t>
            </w:r>
            <w:r w:rsidRPr="00640F14">
              <w:rPr>
                <w:i/>
                <w:highlight w:val="lightGray"/>
              </w:rPr>
              <w:t>(</w:t>
            </w:r>
            <w:r w:rsidRPr="00640F14">
              <w:rPr>
                <w:i/>
              </w:rPr>
              <w:t>)</w:t>
            </w:r>
            <w:r w:rsidRPr="00640F14">
              <w:rPr>
                <w:i/>
                <w:strike/>
                <w:color w:val="00B050"/>
              </w:rPr>
              <w:t>(c)</w:t>
            </w:r>
            <w:r w:rsidRPr="00640F14">
              <w:rPr>
                <w:b/>
                <w:i/>
                <w:color w:val="00B050"/>
              </w:rPr>
              <w:t>(b)</w:t>
            </w:r>
            <w:r w:rsidRPr="00640F14">
              <w:rPr>
                <w:i/>
              </w:rPr>
              <w:t xml:space="preserve">.” </w:t>
            </w:r>
          </w:p>
          <w:p w:rsidR="00814FF7" w:rsidRPr="00640F14" w:rsidRDefault="00814FF7" w:rsidP="00B00BB8">
            <w:pPr>
              <w:rPr>
                <w:b/>
              </w:rPr>
            </w:pPr>
          </w:p>
        </w:tc>
        <w:tc>
          <w:tcPr>
            <w:tcW w:w="3510" w:type="dxa"/>
          </w:tcPr>
          <w:p w:rsidR="00814FF7" w:rsidRPr="00640F14" w:rsidRDefault="00814FF7" w:rsidP="00B00BB8">
            <w:pPr>
              <w:ind w:left="360"/>
              <w:rPr>
                <w:b/>
                <w:i/>
                <w:color w:val="7030A0"/>
                <w:highlight w:val="cyan"/>
              </w:rPr>
            </w:pPr>
          </w:p>
        </w:tc>
      </w:tr>
      <w:tr w:rsidR="00814FF7" w:rsidRPr="00640F14" w:rsidTr="00B00BB8">
        <w:trPr>
          <w:trHeight w:val="530"/>
        </w:trPr>
        <w:tc>
          <w:tcPr>
            <w:tcW w:w="468" w:type="dxa"/>
            <w:shd w:val="clear" w:color="auto" w:fill="auto"/>
          </w:tcPr>
          <w:p w:rsidR="00814FF7" w:rsidRPr="00640F14" w:rsidRDefault="00814FF7" w:rsidP="00B00BB8">
            <w:pPr>
              <w:jc w:val="center"/>
              <w:rPr>
                <w:b/>
              </w:rPr>
            </w:pPr>
            <w:r>
              <w:rPr>
                <w:b/>
              </w:rPr>
              <w:lastRenderedPageBreak/>
              <w:t>4</w:t>
            </w:r>
          </w:p>
        </w:tc>
        <w:tc>
          <w:tcPr>
            <w:tcW w:w="1602" w:type="dxa"/>
          </w:tcPr>
          <w:p w:rsidR="00814FF7" w:rsidRPr="00640F14" w:rsidRDefault="00814FF7" w:rsidP="00B00BB8">
            <w:r w:rsidRPr="00640F14">
              <w:t xml:space="preserve">105 CMR § </w:t>
            </w:r>
            <w:r>
              <w:t>140.308</w:t>
            </w:r>
            <w:r w:rsidRPr="00640F14">
              <w:t>(C)(</w:t>
            </w:r>
            <w:r>
              <w:t>2</w:t>
            </w:r>
            <w:r w:rsidRPr="00640F14">
              <w:t>)(c)</w:t>
            </w:r>
          </w:p>
          <w:p w:rsidR="00814FF7" w:rsidRPr="00640F14" w:rsidRDefault="00814FF7" w:rsidP="00B00BB8"/>
          <w:p w:rsidR="00814FF7" w:rsidRPr="00640F14" w:rsidRDefault="00814FF7" w:rsidP="00B00BB8">
            <w:pPr>
              <w:rPr>
                <w:b/>
              </w:rPr>
            </w:pPr>
          </w:p>
        </w:tc>
        <w:tc>
          <w:tcPr>
            <w:tcW w:w="3870" w:type="dxa"/>
          </w:tcPr>
          <w:p w:rsidR="00814FF7" w:rsidRPr="00640F14" w:rsidRDefault="00814FF7" w:rsidP="00B00BB8">
            <w:pPr>
              <w:rPr>
                <w:b/>
              </w:rPr>
            </w:pPr>
            <w:r w:rsidRPr="00640F14">
              <w:rPr>
                <w:b/>
              </w:rPr>
              <w:t>Patient notification (30-day)</w:t>
            </w:r>
          </w:p>
          <w:p w:rsidR="00814FF7" w:rsidRPr="00640F14" w:rsidRDefault="00814FF7" w:rsidP="00B00BB8"/>
          <w:p w:rsidR="00814FF7" w:rsidRPr="00640F14" w:rsidRDefault="00814FF7" w:rsidP="00B00BB8">
            <w:r w:rsidRPr="00640F14">
              <w:t>The proposed amendment to the provision on 7-day patient notification [1</w:t>
            </w:r>
            <w:r>
              <w:t>4</w:t>
            </w:r>
            <w:r w:rsidRPr="00640F14">
              <w:t>0.3</w:t>
            </w:r>
            <w:r>
              <w:t>08</w:t>
            </w:r>
            <w:r w:rsidRPr="00640F14">
              <w:t>(B</w:t>
            </w:r>
            <w:proofErr w:type="gramStart"/>
            <w:r w:rsidRPr="00640F14">
              <w:t>)(</w:t>
            </w:r>
            <w:proofErr w:type="gramEnd"/>
            <w:r w:rsidRPr="00640F14">
              <w:t xml:space="preserve">1)(b)] </w:t>
            </w:r>
            <w:r>
              <w:t>does not specify how</w:t>
            </w:r>
            <w:r w:rsidRPr="00640F14">
              <w:t xml:space="preserve"> </w:t>
            </w:r>
            <w:r>
              <w:t>ASC</w:t>
            </w:r>
            <w:r w:rsidRPr="00640F14">
              <w:t xml:space="preserve">s </w:t>
            </w:r>
            <w:r>
              <w:t xml:space="preserve">should notify patients, leaving </w:t>
            </w:r>
            <w:r w:rsidRPr="00640F14">
              <w:t xml:space="preserve">the option to provide oral notification alone. The absence of a written record raises concerns that some patients may not receive all of the information to which they are entitled in the initial aftermath of an SRE.  </w:t>
            </w:r>
          </w:p>
          <w:p w:rsidR="00814FF7" w:rsidRPr="00640F14" w:rsidRDefault="00814FF7" w:rsidP="00B00BB8"/>
          <w:p w:rsidR="00814FF7" w:rsidRPr="00640F14" w:rsidRDefault="00814FF7" w:rsidP="00B00BB8">
            <w:r w:rsidRPr="00640F14">
              <w:t>It is possible to promote documentation and to introduce a measure of accountability through the 30-day letter.</w:t>
            </w:r>
          </w:p>
          <w:p w:rsidR="00814FF7" w:rsidRPr="00640F14" w:rsidRDefault="00814FF7" w:rsidP="00B00BB8">
            <w:pPr>
              <w:pStyle w:val="ListParagraph"/>
              <w:ind w:left="360"/>
            </w:pPr>
          </w:p>
          <w:p w:rsidR="00814FF7" w:rsidRPr="00640F14" w:rsidRDefault="00814FF7" w:rsidP="00B00BB8">
            <w:pPr>
              <w:pStyle w:val="ListParagraph"/>
              <w:ind w:left="360"/>
            </w:pPr>
          </w:p>
          <w:p w:rsidR="00814FF7" w:rsidRPr="00640F14" w:rsidRDefault="00814FF7" w:rsidP="00B00BB8">
            <w:pPr>
              <w:pStyle w:val="ListParagraph"/>
              <w:ind w:left="360"/>
            </w:pPr>
          </w:p>
        </w:tc>
        <w:tc>
          <w:tcPr>
            <w:tcW w:w="5220" w:type="dxa"/>
          </w:tcPr>
          <w:p w:rsidR="00814FF7" w:rsidRPr="00640F14" w:rsidRDefault="00814FF7" w:rsidP="00B00BB8">
            <w:pPr>
              <w:rPr>
                <w:b/>
              </w:rPr>
            </w:pPr>
            <w:r w:rsidRPr="00640F14">
              <w:rPr>
                <w:b/>
              </w:rPr>
              <w:t xml:space="preserve">Create a separate subsection to address patient notification within 30 days </w:t>
            </w:r>
          </w:p>
          <w:p w:rsidR="00814FF7" w:rsidRPr="00640F14" w:rsidRDefault="00814FF7" w:rsidP="00B00BB8">
            <w:pPr>
              <w:rPr>
                <w:b/>
              </w:rPr>
            </w:pPr>
          </w:p>
          <w:p w:rsidR="00814FF7" w:rsidRPr="00640F14" w:rsidRDefault="00814FF7" w:rsidP="00B00BB8">
            <w:r w:rsidRPr="00640F14">
              <w:t xml:space="preserve">Amend the 30-day patient notification provision to require a reference to the initial 7-day communication as follows:  </w:t>
            </w:r>
          </w:p>
          <w:p w:rsidR="00814FF7" w:rsidRPr="00640F14" w:rsidRDefault="00814FF7" w:rsidP="00B00BB8">
            <w:pPr>
              <w:rPr>
                <w:b/>
              </w:rPr>
            </w:pPr>
          </w:p>
          <w:p w:rsidR="00814FF7" w:rsidRPr="00640F14" w:rsidRDefault="00814FF7" w:rsidP="00B00BB8">
            <w:pPr>
              <w:rPr>
                <w:u w:val="single"/>
              </w:rPr>
            </w:pPr>
            <w:r w:rsidRPr="00640F14">
              <w:rPr>
                <w:u w:val="single"/>
              </w:rPr>
              <w:t>[</w:t>
            </w:r>
            <w:r w:rsidRPr="009C765E">
              <w:rPr>
                <w:u w:val="single"/>
              </w:rPr>
              <w:t>140.308</w:t>
            </w:r>
            <w:r w:rsidRPr="00640F14" w:rsidDel="009C765E">
              <w:rPr>
                <w:u w:val="single"/>
              </w:rPr>
              <w:t xml:space="preserve"> </w:t>
            </w:r>
            <w:r w:rsidRPr="00640F14">
              <w:rPr>
                <w:u w:val="single"/>
              </w:rPr>
              <w:t>(C)(</w:t>
            </w:r>
            <w:r>
              <w:rPr>
                <w:u w:val="single"/>
              </w:rPr>
              <w:t>2</w:t>
            </w:r>
            <w:r w:rsidRPr="00640F14">
              <w:rPr>
                <w:u w:val="single"/>
              </w:rPr>
              <w:t>)(c)]</w:t>
            </w:r>
          </w:p>
          <w:p w:rsidR="00814FF7" w:rsidRPr="00640F14" w:rsidRDefault="00814FF7" w:rsidP="00B00BB8">
            <w:pPr>
              <w:rPr>
                <w:u w:val="single"/>
              </w:rPr>
            </w:pPr>
          </w:p>
          <w:p w:rsidR="00814FF7" w:rsidRPr="00640F14" w:rsidRDefault="00814FF7" w:rsidP="00B00BB8">
            <w:pPr>
              <w:rPr>
                <w:i/>
              </w:rPr>
            </w:pPr>
            <w:r w:rsidRPr="00640F14">
              <w:rPr>
                <w:i/>
              </w:rPr>
              <w:t xml:space="preserve"> (c) </w:t>
            </w:r>
            <w:proofErr w:type="gramStart"/>
            <w:r w:rsidRPr="00640F14">
              <w:rPr>
                <w:i/>
              </w:rPr>
              <w:t>provide</w:t>
            </w:r>
            <w:proofErr w:type="gramEnd"/>
            <w:r w:rsidRPr="00640F14">
              <w:rPr>
                <w:i/>
              </w:rPr>
              <w:t xml:space="preserve"> a copy of the updated SRE report to the Department, </w:t>
            </w:r>
            <w:r w:rsidRPr="00640F14">
              <w:rPr>
                <w:i/>
                <w:strike/>
                <w:color w:val="33CC33"/>
              </w:rPr>
              <w:t>the patient</w:t>
            </w:r>
            <w:r w:rsidRPr="00640F14">
              <w:rPr>
                <w:i/>
              </w:rPr>
              <w:t xml:space="preserve"> and any responsible third-party payer.”</w:t>
            </w:r>
          </w:p>
          <w:p w:rsidR="00814FF7" w:rsidRPr="00640F14" w:rsidRDefault="00814FF7" w:rsidP="00B00BB8">
            <w:pPr>
              <w:rPr>
                <w:b/>
                <w:i/>
                <w:color w:val="33CC33"/>
              </w:rPr>
            </w:pPr>
            <w:r w:rsidRPr="00640F14">
              <w:rPr>
                <w:b/>
                <w:i/>
                <w:color w:val="33CC33"/>
              </w:rPr>
              <w:t>(d) Notify the patient or patient representative by:</w:t>
            </w:r>
          </w:p>
          <w:p w:rsidR="00814FF7" w:rsidRPr="00640F14" w:rsidRDefault="00814FF7" w:rsidP="00814FF7">
            <w:pPr>
              <w:widowControl/>
              <w:numPr>
                <w:ilvl w:val="0"/>
                <w:numId w:val="4"/>
              </w:numPr>
              <w:spacing w:after="0" w:line="240" w:lineRule="auto"/>
              <w:rPr>
                <w:b/>
                <w:i/>
                <w:color w:val="33CC33"/>
              </w:rPr>
            </w:pPr>
            <w:r w:rsidRPr="00640F14">
              <w:rPr>
                <w:b/>
                <w:i/>
                <w:color w:val="33CC33"/>
              </w:rPr>
              <w:t xml:space="preserve">A letter that summarizes the event, the </w:t>
            </w:r>
            <w:r>
              <w:rPr>
                <w:b/>
                <w:i/>
                <w:color w:val="33CC33"/>
              </w:rPr>
              <w:t>ASC</w:t>
            </w:r>
            <w:r w:rsidRPr="00640F14">
              <w:rPr>
                <w:b/>
                <w:i/>
                <w:color w:val="33CC33"/>
              </w:rPr>
              <w:t xml:space="preserve">’s investigation, and its findings. This letter should reference </w:t>
            </w:r>
            <w:proofErr w:type="gramStart"/>
            <w:r w:rsidRPr="00640F14">
              <w:rPr>
                <w:b/>
                <w:i/>
                <w:color w:val="33CC33"/>
              </w:rPr>
              <w:t>the  initial</w:t>
            </w:r>
            <w:proofErr w:type="gramEnd"/>
            <w:r w:rsidRPr="00640F14">
              <w:rPr>
                <w:b/>
                <w:i/>
                <w:color w:val="33CC33"/>
              </w:rPr>
              <w:t xml:space="preserve"> notification provided under 105 CMR § 1</w:t>
            </w:r>
            <w:r>
              <w:rPr>
                <w:b/>
                <w:i/>
                <w:color w:val="33CC33"/>
              </w:rPr>
              <w:t>4</w:t>
            </w:r>
            <w:r w:rsidRPr="00640F14">
              <w:rPr>
                <w:b/>
                <w:i/>
                <w:color w:val="33CC33"/>
              </w:rPr>
              <w:t>0.3</w:t>
            </w:r>
            <w:r>
              <w:rPr>
                <w:b/>
                <w:i/>
                <w:color w:val="33CC33"/>
              </w:rPr>
              <w:t>08</w:t>
            </w:r>
            <w:r w:rsidRPr="00640F14">
              <w:rPr>
                <w:b/>
                <w:i/>
                <w:color w:val="33CC33"/>
              </w:rPr>
              <w:t xml:space="preserve">(B)(1)(b)  including, at a minimum the date of the communication, how it was delivered, and a general statement of the information conveyed. </w:t>
            </w:r>
          </w:p>
          <w:p w:rsidR="00814FF7" w:rsidRPr="00640F14" w:rsidRDefault="00814FF7" w:rsidP="00B00BB8">
            <w:pPr>
              <w:ind w:left="720"/>
              <w:rPr>
                <w:b/>
                <w:i/>
                <w:color w:val="33CC33"/>
              </w:rPr>
            </w:pPr>
          </w:p>
          <w:p w:rsidR="00814FF7" w:rsidRPr="00640F14" w:rsidRDefault="00814FF7" w:rsidP="00814FF7">
            <w:pPr>
              <w:widowControl/>
              <w:numPr>
                <w:ilvl w:val="0"/>
                <w:numId w:val="4"/>
              </w:numPr>
              <w:spacing w:after="0" w:line="240" w:lineRule="auto"/>
              <w:rPr>
                <w:b/>
                <w:i/>
                <w:color w:val="33CC33"/>
              </w:rPr>
            </w:pPr>
            <w:r w:rsidRPr="00640F14">
              <w:rPr>
                <w:b/>
                <w:i/>
                <w:color w:val="33CC33"/>
              </w:rPr>
              <w:t>The updated SRE report</w:t>
            </w:r>
          </w:p>
        </w:tc>
        <w:tc>
          <w:tcPr>
            <w:tcW w:w="3510" w:type="dxa"/>
          </w:tcPr>
          <w:p w:rsidR="00814FF7" w:rsidRPr="00FF5357" w:rsidRDefault="00814FF7" w:rsidP="00B00BB8">
            <w:r w:rsidRPr="00FF5357">
              <w:t>The proposed reference to the 7-day notification could be accomplished through a simple introductory sentence, for example, “As Dr. X explained to you on July 1, you experienced a [type of SRE] while in our care. “</w:t>
            </w:r>
          </w:p>
          <w:p w:rsidR="00814FF7" w:rsidRPr="00FF5357" w:rsidRDefault="00814FF7" w:rsidP="00B00BB8"/>
          <w:p w:rsidR="00814FF7" w:rsidRPr="00FF5357" w:rsidRDefault="00814FF7" w:rsidP="00B00BB8">
            <w:r w:rsidRPr="00FF5357">
              <w:t xml:space="preserve">If this recommendation is not addressed in the regulation, we suggest that it </w:t>
            </w:r>
            <w:r>
              <w:t>be</w:t>
            </w:r>
            <w:r w:rsidRPr="00FF5357">
              <w:t xml:space="preserve"> included in Departmental guidance.  </w:t>
            </w:r>
          </w:p>
          <w:p w:rsidR="00814FF7" w:rsidRPr="00FF5357" w:rsidRDefault="00814FF7" w:rsidP="00B00BB8"/>
          <w:p w:rsidR="00814FF7" w:rsidRPr="00FF5357" w:rsidRDefault="00814FF7" w:rsidP="00B00BB8"/>
          <w:p w:rsidR="00814FF7" w:rsidRPr="00FF5357" w:rsidRDefault="00814FF7" w:rsidP="00B00BB8"/>
          <w:p w:rsidR="00814FF7" w:rsidRPr="00640F14" w:rsidRDefault="00814FF7" w:rsidP="00B00BB8"/>
        </w:tc>
      </w:tr>
      <w:tr w:rsidR="00814FF7" w:rsidRPr="00640F14" w:rsidTr="00B00BB8">
        <w:trPr>
          <w:trHeight w:val="350"/>
        </w:trPr>
        <w:tc>
          <w:tcPr>
            <w:tcW w:w="468" w:type="dxa"/>
            <w:shd w:val="clear" w:color="auto" w:fill="auto"/>
          </w:tcPr>
          <w:p w:rsidR="00814FF7" w:rsidRPr="00640F14" w:rsidRDefault="00814FF7" w:rsidP="00B00BB8">
            <w:pPr>
              <w:jc w:val="center"/>
              <w:rPr>
                <w:b/>
              </w:rPr>
            </w:pPr>
            <w:r>
              <w:rPr>
                <w:b/>
              </w:rPr>
              <w:t>5</w:t>
            </w:r>
          </w:p>
        </w:tc>
        <w:tc>
          <w:tcPr>
            <w:tcW w:w="1602" w:type="dxa"/>
          </w:tcPr>
          <w:p w:rsidR="00814FF7" w:rsidRPr="00640F14" w:rsidRDefault="00814FF7" w:rsidP="00B00BB8">
            <w:r w:rsidRPr="00640F14">
              <w:t xml:space="preserve">105 CMR § </w:t>
            </w:r>
            <w:r>
              <w:t>140.308</w:t>
            </w:r>
            <w:r w:rsidRPr="00640F14">
              <w:t xml:space="preserve"> (C)(2)(b)(4)</w:t>
            </w:r>
          </w:p>
          <w:p w:rsidR="00814FF7" w:rsidRPr="00640F14" w:rsidRDefault="00814FF7" w:rsidP="00B00BB8"/>
          <w:p w:rsidR="00814FF7" w:rsidRPr="00640F14" w:rsidRDefault="00814FF7" w:rsidP="00B00BB8"/>
        </w:tc>
        <w:tc>
          <w:tcPr>
            <w:tcW w:w="3870" w:type="dxa"/>
          </w:tcPr>
          <w:p w:rsidR="00814FF7" w:rsidRPr="00640F14" w:rsidRDefault="00814FF7" w:rsidP="00B00BB8">
            <w:pPr>
              <w:rPr>
                <w:b/>
              </w:rPr>
            </w:pPr>
            <w:r w:rsidRPr="00640F14">
              <w:rPr>
                <w:b/>
              </w:rPr>
              <w:lastRenderedPageBreak/>
              <w:t xml:space="preserve">Timing of corrective actions </w:t>
            </w:r>
          </w:p>
          <w:p w:rsidR="00814FF7" w:rsidRPr="00640F14" w:rsidRDefault="00814FF7" w:rsidP="00B00BB8">
            <w:pPr>
              <w:spacing w:before="40" w:after="20"/>
            </w:pPr>
            <w:r w:rsidRPr="00640F14">
              <w:t>The proposed amendments—including expanding corrective actions to encompass those “developed, implemented and to be monitored”— to 1</w:t>
            </w:r>
            <w:r>
              <w:t>4</w:t>
            </w:r>
            <w:r w:rsidRPr="00640F14">
              <w:t>0.3</w:t>
            </w:r>
            <w:r>
              <w:t>08</w:t>
            </w:r>
            <w:r w:rsidRPr="00640F14">
              <w:t xml:space="preserve">(C) “Preventability </w:t>
            </w:r>
            <w:r w:rsidRPr="00640F14">
              <w:lastRenderedPageBreak/>
              <w:t xml:space="preserve">Determination” are welcome; however, as written, the provision appears to refer to only those </w:t>
            </w:r>
            <w:r>
              <w:t xml:space="preserve">corrective </w:t>
            </w:r>
            <w:r w:rsidRPr="00640F14">
              <w:t>actions that have</w:t>
            </w:r>
            <w:r w:rsidRPr="00640F14">
              <w:rPr>
                <w:i/>
              </w:rPr>
              <w:t xml:space="preserve"> already </w:t>
            </w:r>
            <w:r w:rsidRPr="00640F14">
              <w:t>been implemented.</w:t>
            </w:r>
          </w:p>
        </w:tc>
        <w:tc>
          <w:tcPr>
            <w:tcW w:w="5220" w:type="dxa"/>
          </w:tcPr>
          <w:p w:rsidR="00814FF7" w:rsidRPr="00640F14" w:rsidRDefault="00814FF7" w:rsidP="00B00BB8">
            <w:pPr>
              <w:rPr>
                <w:b/>
              </w:rPr>
            </w:pPr>
            <w:r w:rsidRPr="00640F14">
              <w:rPr>
                <w:b/>
              </w:rPr>
              <w:lastRenderedPageBreak/>
              <w:t>Reword corrective actions reporting obligation to encompass both actions already implemented as well as those planned.</w:t>
            </w:r>
          </w:p>
          <w:p w:rsidR="00814FF7" w:rsidRPr="00640F14" w:rsidRDefault="00814FF7" w:rsidP="00B00BB8">
            <w:pPr>
              <w:rPr>
                <w:b/>
              </w:rPr>
            </w:pPr>
          </w:p>
          <w:p w:rsidR="00814FF7" w:rsidRPr="00640F14" w:rsidRDefault="00814FF7" w:rsidP="00B00BB8">
            <w:pPr>
              <w:rPr>
                <w:u w:val="single"/>
              </w:rPr>
            </w:pPr>
            <w:r w:rsidRPr="00640F14">
              <w:rPr>
                <w:u w:val="single"/>
              </w:rPr>
              <w:lastRenderedPageBreak/>
              <w:t>[1</w:t>
            </w:r>
            <w:r>
              <w:rPr>
                <w:u w:val="single"/>
              </w:rPr>
              <w:t>4</w:t>
            </w:r>
            <w:r w:rsidRPr="00640F14">
              <w:rPr>
                <w:u w:val="single"/>
              </w:rPr>
              <w:t>0.3</w:t>
            </w:r>
            <w:r>
              <w:rPr>
                <w:u w:val="single"/>
              </w:rPr>
              <w:t>08</w:t>
            </w:r>
            <w:r w:rsidRPr="00640F14">
              <w:rPr>
                <w:u w:val="single"/>
              </w:rPr>
              <w:t xml:space="preserve">(C)(2)(b)(4) </w:t>
            </w:r>
          </w:p>
          <w:p w:rsidR="00814FF7" w:rsidRPr="00640F14" w:rsidRDefault="00814FF7" w:rsidP="00B00BB8">
            <w:pPr>
              <w:ind w:left="342"/>
              <w:rPr>
                <w:u w:val="single"/>
              </w:rPr>
            </w:pPr>
          </w:p>
          <w:p w:rsidR="00814FF7" w:rsidRPr="00640F14" w:rsidRDefault="00814FF7" w:rsidP="00B00BB8">
            <w:pPr>
              <w:ind w:left="342"/>
              <w:rPr>
                <w:i/>
              </w:rPr>
            </w:pPr>
            <w:r w:rsidRPr="00640F14">
              <w:rPr>
                <w:i/>
              </w:rPr>
              <w:t xml:space="preserve">“description of </w:t>
            </w:r>
            <w:r w:rsidRPr="00640F14">
              <w:rPr>
                <w:b/>
                <w:i/>
                <w:color w:val="0070C0"/>
              </w:rPr>
              <w:t xml:space="preserve">the </w:t>
            </w:r>
            <w:r w:rsidRPr="00640F14">
              <w:rPr>
                <w:i/>
                <w:strike/>
                <w:color w:val="FF0000"/>
              </w:rPr>
              <w:t>any</w:t>
            </w:r>
            <w:r w:rsidRPr="00640F14">
              <w:rPr>
                <w:i/>
              </w:rPr>
              <w:t xml:space="preserve"> corrective </w:t>
            </w:r>
            <w:r w:rsidRPr="00640F14">
              <w:rPr>
                <w:b/>
                <w:i/>
                <w:color w:val="0070C0"/>
              </w:rPr>
              <w:t xml:space="preserve">actions </w:t>
            </w:r>
            <w:r w:rsidRPr="00640F14">
              <w:rPr>
                <w:b/>
                <w:i/>
                <w:strike/>
                <w:color w:val="33CC33"/>
              </w:rPr>
              <w:t>developed,</w:t>
            </w:r>
            <w:r w:rsidRPr="00640F14">
              <w:rPr>
                <w:b/>
                <w:i/>
                <w:color w:val="33CC33"/>
              </w:rPr>
              <w:t xml:space="preserve"> that have or will be</w:t>
            </w:r>
            <w:r w:rsidRPr="00640F14">
              <w:rPr>
                <w:b/>
                <w:i/>
              </w:rPr>
              <w:t xml:space="preserve"> </w:t>
            </w:r>
            <w:r w:rsidRPr="00640F14">
              <w:rPr>
                <w:b/>
                <w:i/>
                <w:color w:val="0070C0"/>
              </w:rPr>
              <w:t xml:space="preserve">implemented and </w:t>
            </w:r>
            <w:r w:rsidRPr="00640F14">
              <w:rPr>
                <w:b/>
                <w:i/>
                <w:strike/>
                <w:color w:val="33CC33"/>
              </w:rPr>
              <w:t>to be</w:t>
            </w:r>
            <w:r w:rsidRPr="00640F14">
              <w:rPr>
                <w:b/>
                <w:i/>
                <w:color w:val="33CC33"/>
              </w:rPr>
              <w:t xml:space="preserve"> </w:t>
            </w:r>
            <w:r w:rsidRPr="00640F14">
              <w:rPr>
                <w:b/>
                <w:i/>
                <w:color w:val="0070C0"/>
              </w:rPr>
              <w:t xml:space="preserve">monitored </w:t>
            </w:r>
            <w:r w:rsidRPr="00640F14">
              <w:rPr>
                <w:i/>
                <w:strike/>
                <w:color w:val="FF0000"/>
              </w:rPr>
              <w:t>measures taken</w:t>
            </w:r>
            <w:r w:rsidRPr="00640F14">
              <w:rPr>
                <w:i/>
              </w:rPr>
              <w:t xml:space="preserve"> by the </w:t>
            </w:r>
            <w:r>
              <w:rPr>
                <w:i/>
              </w:rPr>
              <w:t>ASC</w:t>
            </w:r>
            <w:r w:rsidRPr="00640F14">
              <w:rPr>
                <w:i/>
              </w:rPr>
              <w:t xml:space="preserve"> following discovery of the SRE;”</w:t>
            </w:r>
            <w:r w:rsidRPr="00640F14">
              <w:t xml:space="preserve"> </w:t>
            </w:r>
          </w:p>
        </w:tc>
        <w:tc>
          <w:tcPr>
            <w:tcW w:w="3510" w:type="dxa"/>
          </w:tcPr>
          <w:p w:rsidR="00814FF7" w:rsidRPr="00640F14" w:rsidRDefault="00814FF7" w:rsidP="00B00BB8">
            <w:pPr>
              <w:rPr>
                <w:u w:val="single"/>
              </w:rPr>
            </w:pPr>
          </w:p>
          <w:p w:rsidR="00814FF7" w:rsidRPr="00640F14" w:rsidRDefault="00814FF7" w:rsidP="00B00BB8">
            <w:pPr>
              <w:rPr>
                <w:u w:val="single"/>
              </w:rPr>
            </w:pPr>
          </w:p>
          <w:p w:rsidR="00814FF7" w:rsidRPr="00640F14" w:rsidRDefault="00814FF7" w:rsidP="00B00BB8">
            <w:pPr>
              <w:rPr>
                <w:u w:val="single"/>
              </w:rPr>
            </w:pPr>
          </w:p>
          <w:p w:rsidR="00814FF7" w:rsidRPr="00640F14" w:rsidRDefault="00814FF7" w:rsidP="00B00BB8">
            <w:pPr>
              <w:rPr>
                <w:u w:val="single"/>
              </w:rPr>
            </w:pPr>
          </w:p>
          <w:p w:rsidR="00814FF7" w:rsidRPr="00640F14" w:rsidRDefault="00814FF7" w:rsidP="00B00BB8"/>
        </w:tc>
      </w:tr>
      <w:tr w:rsidR="00814FF7" w:rsidRPr="00640F14" w:rsidTr="00B00BB8">
        <w:trPr>
          <w:trHeight w:val="350"/>
        </w:trPr>
        <w:tc>
          <w:tcPr>
            <w:tcW w:w="468" w:type="dxa"/>
            <w:shd w:val="clear" w:color="auto" w:fill="auto"/>
          </w:tcPr>
          <w:p w:rsidR="00814FF7" w:rsidRPr="00640F14" w:rsidRDefault="00814FF7" w:rsidP="00B00BB8">
            <w:pPr>
              <w:jc w:val="center"/>
              <w:rPr>
                <w:b/>
              </w:rPr>
            </w:pPr>
            <w:r>
              <w:rPr>
                <w:b/>
              </w:rPr>
              <w:lastRenderedPageBreak/>
              <w:t>6</w:t>
            </w:r>
          </w:p>
        </w:tc>
        <w:tc>
          <w:tcPr>
            <w:tcW w:w="1602" w:type="dxa"/>
          </w:tcPr>
          <w:p w:rsidR="00814FF7" w:rsidRPr="00640F14" w:rsidRDefault="00814FF7" w:rsidP="00B00BB8">
            <w:r w:rsidRPr="00640F14">
              <w:t>105 CMR § 1</w:t>
            </w:r>
            <w:r>
              <w:t>4</w:t>
            </w:r>
            <w:r w:rsidRPr="00640F14">
              <w:t>0.3</w:t>
            </w:r>
            <w:r>
              <w:t>08</w:t>
            </w:r>
            <w:r w:rsidRPr="00640F14">
              <w:t xml:space="preserve"> (D)(6)</w:t>
            </w:r>
          </w:p>
          <w:p w:rsidR="00814FF7" w:rsidRPr="00640F14" w:rsidRDefault="00814FF7" w:rsidP="00B00BB8"/>
          <w:p w:rsidR="00814FF7" w:rsidRPr="00640F14" w:rsidRDefault="00814FF7" w:rsidP="00B00BB8">
            <w:pPr>
              <w:rPr>
                <w:b/>
              </w:rPr>
            </w:pPr>
          </w:p>
        </w:tc>
        <w:tc>
          <w:tcPr>
            <w:tcW w:w="3870" w:type="dxa"/>
          </w:tcPr>
          <w:p w:rsidR="00814FF7" w:rsidRPr="00640F14" w:rsidRDefault="00814FF7" w:rsidP="00B00BB8">
            <w:pPr>
              <w:rPr>
                <w:b/>
              </w:rPr>
            </w:pPr>
            <w:proofErr w:type="spellStart"/>
            <w:r w:rsidRPr="00640F14">
              <w:rPr>
                <w:b/>
              </w:rPr>
              <w:t>MassHealth</w:t>
            </w:r>
            <w:proofErr w:type="spellEnd"/>
            <w:r w:rsidRPr="00640F14">
              <w:rPr>
                <w:b/>
              </w:rPr>
              <w:t xml:space="preserve"> reimbursement provision</w:t>
            </w:r>
          </w:p>
          <w:p w:rsidR="00814FF7" w:rsidRPr="00640F14" w:rsidRDefault="00814FF7" w:rsidP="00B00BB8">
            <w:r w:rsidRPr="00640F14">
              <w:t xml:space="preserve">The new </w:t>
            </w:r>
            <w:proofErr w:type="spellStart"/>
            <w:r w:rsidRPr="00640F14">
              <w:t>MassHealth</w:t>
            </w:r>
            <w:proofErr w:type="spellEnd"/>
            <w:r w:rsidRPr="00640F14">
              <w:t xml:space="preserve"> reimbursement provision under “Reimbursement for SREs” 1</w:t>
            </w:r>
            <w:r>
              <w:t>4</w:t>
            </w:r>
            <w:r w:rsidRPr="00640F14">
              <w:t>0.3</w:t>
            </w:r>
            <w:r>
              <w:t>08</w:t>
            </w:r>
            <w:r w:rsidRPr="00640F14">
              <w:t>(D)(6) lacks clarity as drafted:</w:t>
            </w:r>
          </w:p>
          <w:p w:rsidR="00814FF7" w:rsidRPr="0010491E" w:rsidRDefault="00814FF7" w:rsidP="00B00BB8">
            <w:pPr>
              <w:tabs>
                <w:tab w:val="num" w:pos="1980"/>
              </w:tabs>
              <w:overflowPunct w:val="0"/>
              <w:autoSpaceDE w:val="0"/>
              <w:autoSpaceDN w:val="0"/>
              <w:adjustRightInd w:val="0"/>
              <w:rPr>
                <w:b/>
                <w:i/>
                <w:color w:val="0070C0"/>
              </w:rPr>
            </w:pPr>
            <w:r w:rsidRPr="0010491E">
              <w:rPr>
                <w:b/>
                <w:i/>
                <w:color w:val="0070C0"/>
              </w:rPr>
              <w:t>“</w:t>
            </w:r>
            <w:r>
              <w:rPr>
                <w:b/>
                <w:i/>
                <w:color w:val="0070C0"/>
              </w:rPr>
              <w:t xml:space="preserve">(6) </w:t>
            </w:r>
            <w:r w:rsidRPr="0010491E">
              <w:rPr>
                <w:b/>
                <w:i/>
                <w:color w:val="0070C0"/>
              </w:rPr>
              <w:t xml:space="preserve">For services to </w:t>
            </w:r>
            <w:proofErr w:type="spellStart"/>
            <w:r w:rsidRPr="0010491E">
              <w:rPr>
                <w:b/>
                <w:i/>
                <w:color w:val="0070C0"/>
              </w:rPr>
              <w:t>MassHealth</w:t>
            </w:r>
            <w:proofErr w:type="spellEnd"/>
            <w:r w:rsidRPr="0010491E">
              <w:rPr>
                <w:b/>
                <w:i/>
                <w:color w:val="0070C0"/>
              </w:rPr>
              <w:t xml:space="preserve"> members, the ASC shall perform the documented review process and reporting pursuant to 105 CMR 140.308 (C) and (D) but is not</w:t>
            </w:r>
            <w:r>
              <w:rPr>
                <w:b/>
                <w:i/>
                <w:color w:val="0070C0"/>
              </w:rPr>
              <w:t xml:space="preserve"> subject to 105 CMR 140.308(D).”</w:t>
            </w:r>
          </w:p>
        </w:tc>
        <w:tc>
          <w:tcPr>
            <w:tcW w:w="5220" w:type="dxa"/>
          </w:tcPr>
          <w:p w:rsidR="00814FF7" w:rsidRPr="00640F14" w:rsidRDefault="00814FF7" w:rsidP="00B00BB8">
            <w:pPr>
              <w:rPr>
                <w:b/>
              </w:rPr>
            </w:pPr>
            <w:r w:rsidRPr="00640F14">
              <w:rPr>
                <w:b/>
              </w:rPr>
              <w:t xml:space="preserve">Revise the </w:t>
            </w:r>
            <w:proofErr w:type="spellStart"/>
            <w:r w:rsidRPr="00640F14">
              <w:rPr>
                <w:b/>
              </w:rPr>
              <w:t>MassHealth</w:t>
            </w:r>
            <w:proofErr w:type="spellEnd"/>
            <w:r w:rsidRPr="00640F14">
              <w:rPr>
                <w:b/>
              </w:rPr>
              <w:t xml:space="preserve"> provision so that it more clearly indicates the desired action. </w:t>
            </w:r>
          </w:p>
          <w:p w:rsidR="00814FF7" w:rsidRPr="00640F14" w:rsidRDefault="00814FF7" w:rsidP="00B00BB8">
            <w:pPr>
              <w:rPr>
                <w:u w:val="single"/>
              </w:rPr>
            </w:pPr>
          </w:p>
          <w:p w:rsidR="00814FF7" w:rsidRPr="00640F14" w:rsidRDefault="00814FF7" w:rsidP="00B00BB8">
            <w:pPr>
              <w:ind w:left="720"/>
            </w:pPr>
          </w:p>
        </w:tc>
        <w:tc>
          <w:tcPr>
            <w:tcW w:w="3510" w:type="dxa"/>
          </w:tcPr>
          <w:p w:rsidR="00814FF7" w:rsidRPr="00640F14" w:rsidRDefault="00814FF7" w:rsidP="00B00BB8">
            <w:r w:rsidRPr="00640F14">
              <w:t xml:space="preserve">We endorse what we take to be the underlying principle that a facility’s internal investigation into an SRE should not be influenced by reimbursement considerations. </w:t>
            </w:r>
          </w:p>
        </w:tc>
      </w:tr>
      <w:tr w:rsidR="00814FF7" w:rsidRPr="00640F14" w:rsidTr="00B00BB8">
        <w:trPr>
          <w:trHeight w:val="576"/>
        </w:trPr>
        <w:tc>
          <w:tcPr>
            <w:tcW w:w="14670" w:type="dxa"/>
            <w:gridSpan w:val="5"/>
            <w:shd w:val="clear" w:color="auto" w:fill="DBE5F1" w:themeFill="accent1" w:themeFillTint="33"/>
            <w:vAlign w:val="center"/>
          </w:tcPr>
          <w:p w:rsidR="00814FF7" w:rsidRPr="00640F14" w:rsidRDefault="00814FF7" w:rsidP="00B00BB8">
            <w:pPr>
              <w:rPr>
                <w:b/>
              </w:rPr>
            </w:pPr>
            <w:r w:rsidRPr="00640F14">
              <w:rPr>
                <w:b/>
              </w:rPr>
              <w:t>SERIOUS INCIDENTS</w:t>
            </w:r>
          </w:p>
        </w:tc>
      </w:tr>
      <w:tr w:rsidR="00814FF7" w:rsidRPr="00640F14" w:rsidTr="00B00BB8">
        <w:trPr>
          <w:trHeight w:val="70"/>
        </w:trPr>
        <w:tc>
          <w:tcPr>
            <w:tcW w:w="468" w:type="dxa"/>
            <w:shd w:val="clear" w:color="auto" w:fill="auto"/>
          </w:tcPr>
          <w:p w:rsidR="00814FF7" w:rsidRPr="00640F14" w:rsidRDefault="00814FF7" w:rsidP="00B00BB8">
            <w:pPr>
              <w:pStyle w:val="NoSpacing"/>
              <w:jc w:val="center"/>
              <w:rPr>
                <w:rFonts w:asciiTheme="minorHAnsi" w:hAnsiTheme="minorHAnsi"/>
                <w:b/>
                <w:sz w:val="22"/>
              </w:rPr>
            </w:pPr>
            <w:bookmarkStart w:id="0" w:name="page51"/>
            <w:bookmarkEnd w:id="0"/>
            <w:r>
              <w:rPr>
                <w:rFonts w:asciiTheme="minorHAnsi" w:hAnsiTheme="minorHAnsi"/>
                <w:b/>
                <w:sz w:val="22"/>
              </w:rPr>
              <w:t>7</w:t>
            </w:r>
          </w:p>
        </w:tc>
        <w:tc>
          <w:tcPr>
            <w:tcW w:w="1602" w:type="dxa"/>
          </w:tcPr>
          <w:p w:rsidR="00814FF7" w:rsidRPr="00640F14" w:rsidRDefault="00814FF7" w:rsidP="00B00BB8">
            <w:pPr>
              <w:pStyle w:val="NoSpacing"/>
              <w:rPr>
                <w:rFonts w:asciiTheme="minorHAnsi" w:hAnsiTheme="minorHAnsi"/>
                <w:sz w:val="22"/>
              </w:rPr>
            </w:pPr>
            <w:r w:rsidRPr="00640F14">
              <w:rPr>
                <w:rFonts w:asciiTheme="minorHAnsi" w:hAnsiTheme="minorHAnsi"/>
                <w:sz w:val="22"/>
              </w:rPr>
              <w:t>105 CMR § 1</w:t>
            </w:r>
            <w:r>
              <w:rPr>
                <w:rFonts w:asciiTheme="minorHAnsi" w:hAnsiTheme="minorHAnsi"/>
                <w:sz w:val="22"/>
              </w:rPr>
              <w:t>4</w:t>
            </w:r>
            <w:r w:rsidRPr="00640F14">
              <w:rPr>
                <w:rFonts w:asciiTheme="minorHAnsi" w:hAnsiTheme="minorHAnsi"/>
                <w:sz w:val="22"/>
              </w:rPr>
              <w:t>0.3</w:t>
            </w:r>
            <w:r>
              <w:rPr>
                <w:rFonts w:asciiTheme="minorHAnsi" w:hAnsiTheme="minorHAnsi"/>
                <w:sz w:val="22"/>
              </w:rPr>
              <w:t>07</w:t>
            </w:r>
            <w:r w:rsidRPr="00640F14">
              <w:rPr>
                <w:rFonts w:asciiTheme="minorHAnsi" w:hAnsiTheme="minorHAnsi"/>
                <w:sz w:val="22"/>
              </w:rPr>
              <w:t>(A),(C)</w:t>
            </w:r>
          </w:p>
          <w:p w:rsidR="00814FF7" w:rsidRPr="00640F14" w:rsidRDefault="00814FF7" w:rsidP="00B00BB8">
            <w:pPr>
              <w:pStyle w:val="NoSpacing"/>
              <w:rPr>
                <w:rFonts w:asciiTheme="minorHAnsi" w:hAnsiTheme="minorHAnsi"/>
                <w:sz w:val="22"/>
              </w:rPr>
            </w:pPr>
          </w:p>
          <w:p w:rsidR="00814FF7" w:rsidRPr="00640F14" w:rsidRDefault="00814FF7" w:rsidP="00B00BB8">
            <w:pPr>
              <w:pStyle w:val="NoSpacing"/>
              <w:rPr>
                <w:rFonts w:asciiTheme="minorHAnsi" w:hAnsiTheme="minorHAnsi"/>
                <w:sz w:val="22"/>
              </w:rPr>
            </w:pPr>
          </w:p>
        </w:tc>
        <w:tc>
          <w:tcPr>
            <w:tcW w:w="3870" w:type="dxa"/>
          </w:tcPr>
          <w:p w:rsidR="00814FF7" w:rsidRPr="00640F14" w:rsidRDefault="00814FF7" w:rsidP="00B00BB8">
            <w:pPr>
              <w:pStyle w:val="NoSpacing"/>
              <w:rPr>
                <w:rFonts w:asciiTheme="minorHAnsi" w:hAnsiTheme="minorHAnsi"/>
                <w:b/>
                <w:sz w:val="22"/>
              </w:rPr>
            </w:pPr>
            <w:r w:rsidRPr="00640F14">
              <w:rPr>
                <w:rFonts w:asciiTheme="minorHAnsi" w:hAnsiTheme="minorHAnsi"/>
                <w:b/>
                <w:sz w:val="22"/>
              </w:rPr>
              <w:t>7-day report for immediately reportable events</w:t>
            </w:r>
          </w:p>
          <w:p w:rsidR="00814FF7" w:rsidRPr="00640F14" w:rsidRDefault="00814FF7" w:rsidP="00B00BB8">
            <w:pPr>
              <w:pStyle w:val="NoSpacing"/>
              <w:rPr>
                <w:rFonts w:asciiTheme="minorHAnsi" w:hAnsiTheme="minorHAnsi"/>
                <w:sz w:val="22"/>
              </w:rPr>
            </w:pPr>
            <w:r w:rsidRPr="00640F14">
              <w:rPr>
                <w:rFonts w:asciiTheme="minorHAnsi" w:hAnsiTheme="minorHAnsi"/>
                <w:sz w:val="22"/>
              </w:rPr>
              <w:t>It is unclear whether incidents that are immediately reportable (and do not qualify as SREs) should also be reported by written report within 7 days in addition to making the immediate notification.</w:t>
            </w:r>
          </w:p>
          <w:p w:rsidR="00814FF7" w:rsidRPr="00640F14" w:rsidRDefault="00814FF7" w:rsidP="00B00BB8">
            <w:pPr>
              <w:pStyle w:val="NoSpacing"/>
              <w:rPr>
                <w:rFonts w:asciiTheme="minorHAnsi" w:hAnsiTheme="minorHAnsi"/>
                <w:sz w:val="22"/>
              </w:rPr>
            </w:pPr>
          </w:p>
          <w:p w:rsidR="00814FF7" w:rsidRPr="00640F14" w:rsidRDefault="00814FF7" w:rsidP="00B00BB8">
            <w:pPr>
              <w:pStyle w:val="NoSpacing"/>
              <w:rPr>
                <w:rFonts w:asciiTheme="minorHAnsi" w:hAnsiTheme="minorHAnsi"/>
                <w:sz w:val="22"/>
              </w:rPr>
            </w:pPr>
            <w:r w:rsidRPr="00640F14">
              <w:rPr>
                <w:rFonts w:asciiTheme="minorHAnsi" w:hAnsiTheme="minorHAnsi"/>
                <w:sz w:val="22"/>
              </w:rPr>
              <w:t>We note that 1</w:t>
            </w:r>
            <w:r>
              <w:rPr>
                <w:rFonts w:asciiTheme="minorHAnsi" w:hAnsiTheme="minorHAnsi"/>
                <w:sz w:val="22"/>
              </w:rPr>
              <w:t>4</w:t>
            </w:r>
            <w:r w:rsidRPr="00640F14">
              <w:rPr>
                <w:rFonts w:asciiTheme="minorHAnsi" w:hAnsiTheme="minorHAnsi"/>
                <w:sz w:val="22"/>
              </w:rPr>
              <w:t>0.3</w:t>
            </w:r>
            <w:r>
              <w:rPr>
                <w:rFonts w:asciiTheme="minorHAnsi" w:hAnsiTheme="minorHAnsi"/>
                <w:sz w:val="22"/>
              </w:rPr>
              <w:t>07</w:t>
            </w:r>
            <w:r w:rsidRPr="00640F14">
              <w:rPr>
                <w:rFonts w:asciiTheme="minorHAnsi" w:hAnsiTheme="minorHAnsi"/>
                <w:sz w:val="22"/>
              </w:rPr>
              <w:t xml:space="preserve">(C) requires that “any </w:t>
            </w:r>
            <w:r w:rsidRPr="00640F14">
              <w:rPr>
                <w:rFonts w:asciiTheme="minorHAnsi" w:hAnsiTheme="minorHAnsi"/>
                <w:i/>
                <w:sz w:val="22"/>
              </w:rPr>
              <w:t>other</w:t>
            </w:r>
            <w:r w:rsidRPr="00640F14">
              <w:rPr>
                <w:rFonts w:asciiTheme="minorHAnsi" w:hAnsiTheme="minorHAnsi"/>
                <w:sz w:val="22"/>
              </w:rPr>
              <w:t xml:space="preserve"> serious incident…” (</w:t>
            </w:r>
            <w:proofErr w:type="gramStart"/>
            <w:r w:rsidRPr="00640F14">
              <w:rPr>
                <w:rFonts w:asciiTheme="minorHAnsi" w:hAnsiTheme="minorHAnsi"/>
                <w:sz w:val="22"/>
              </w:rPr>
              <w:t>italics</w:t>
            </w:r>
            <w:proofErr w:type="gramEnd"/>
            <w:r w:rsidRPr="00640F14">
              <w:rPr>
                <w:rFonts w:asciiTheme="minorHAnsi" w:hAnsiTheme="minorHAnsi"/>
                <w:sz w:val="22"/>
              </w:rPr>
              <w:t xml:space="preserve"> </w:t>
            </w:r>
            <w:r w:rsidRPr="00640F14">
              <w:rPr>
                <w:rFonts w:asciiTheme="minorHAnsi" w:hAnsiTheme="minorHAnsi"/>
                <w:sz w:val="22"/>
              </w:rPr>
              <w:lastRenderedPageBreak/>
              <w:t xml:space="preserve">added) be reported within 7 days by written report, which could be interpreted to </w:t>
            </w:r>
            <w:r w:rsidRPr="00640F14">
              <w:rPr>
                <w:rFonts w:asciiTheme="minorHAnsi" w:hAnsiTheme="minorHAnsi"/>
                <w:i/>
                <w:sz w:val="22"/>
              </w:rPr>
              <w:t>not</w:t>
            </w:r>
            <w:r w:rsidRPr="00640F14">
              <w:rPr>
                <w:rFonts w:asciiTheme="minorHAnsi" w:hAnsiTheme="minorHAnsi"/>
                <w:sz w:val="22"/>
              </w:rPr>
              <w:t xml:space="preserve"> include any incident reportable under 1</w:t>
            </w:r>
            <w:r>
              <w:rPr>
                <w:rFonts w:asciiTheme="minorHAnsi" w:hAnsiTheme="minorHAnsi"/>
                <w:sz w:val="22"/>
              </w:rPr>
              <w:t>4</w:t>
            </w:r>
            <w:r w:rsidRPr="00640F14">
              <w:rPr>
                <w:rFonts w:asciiTheme="minorHAnsi" w:hAnsiTheme="minorHAnsi"/>
                <w:sz w:val="22"/>
              </w:rPr>
              <w:t>0.3</w:t>
            </w:r>
            <w:r>
              <w:rPr>
                <w:rFonts w:asciiTheme="minorHAnsi" w:hAnsiTheme="minorHAnsi"/>
                <w:sz w:val="22"/>
              </w:rPr>
              <w:t>07</w:t>
            </w:r>
            <w:r w:rsidRPr="00640F14">
              <w:rPr>
                <w:rFonts w:asciiTheme="minorHAnsi" w:hAnsiTheme="minorHAnsi"/>
                <w:sz w:val="22"/>
              </w:rPr>
              <w:t xml:space="preserve">(A &amp; B).  </w:t>
            </w:r>
          </w:p>
        </w:tc>
        <w:tc>
          <w:tcPr>
            <w:tcW w:w="5220" w:type="dxa"/>
          </w:tcPr>
          <w:p w:rsidR="00814FF7" w:rsidRPr="00640F14" w:rsidRDefault="00814FF7" w:rsidP="00B00BB8">
            <w:pPr>
              <w:pStyle w:val="NoSpacing"/>
              <w:rPr>
                <w:rFonts w:asciiTheme="minorHAnsi" w:hAnsiTheme="minorHAnsi"/>
                <w:b/>
                <w:color w:val="E36C0A" w:themeColor="accent6" w:themeShade="BF"/>
                <w:sz w:val="22"/>
              </w:rPr>
            </w:pPr>
            <w:r w:rsidRPr="00640F14">
              <w:rPr>
                <w:rFonts w:asciiTheme="minorHAnsi" w:hAnsiTheme="minorHAnsi"/>
                <w:b/>
                <w:sz w:val="22"/>
              </w:rPr>
              <w:lastRenderedPageBreak/>
              <w:t>Clarify whether immediately reportable incidents listed in 105 CMR §1</w:t>
            </w:r>
            <w:r>
              <w:rPr>
                <w:rFonts w:asciiTheme="minorHAnsi" w:hAnsiTheme="minorHAnsi"/>
                <w:b/>
                <w:sz w:val="22"/>
              </w:rPr>
              <w:t>4</w:t>
            </w:r>
            <w:r w:rsidRPr="00640F14">
              <w:rPr>
                <w:rFonts w:asciiTheme="minorHAnsi" w:hAnsiTheme="minorHAnsi"/>
                <w:b/>
                <w:sz w:val="22"/>
              </w:rPr>
              <w:t>0.3</w:t>
            </w:r>
            <w:r>
              <w:rPr>
                <w:rFonts w:asciiTheme="minorHAnsi" w:hAnsiTheme="minorHAnsi"/>
                <w:b/>
                <w:sz w:val="22"/>
              </w:rPr>
              <w:t>07</w:t>
            </w:r>
            <w:r w:rsidRPr="00640F14">
              <w:rPr>
                <w:rFonts w:asciiTheme="minorHAnsi" w:hAnsiTheme="minorHAnsi"/>
                <w:b/>
                <w:sz w:val="22"/>
              </w:rPr>
              <w:t xml:space="preserve">(A, B) should </w:t>
            </w:r>
            <w:r w:rsidRPr="00640F14">
              <w:rPr>
                <w:rFonts w:asciiTheme="minorHAnsi" w:hAnsiTheme="minorHAnsi"/>
                <w:b/>
                <w:i/>
                <w:sz w:val="22"/>
              </w:rPr>
              <w:t>also</w:t>
            </w:r>
            <w:r w:rsidRPr="00640F14">
              <w:rPr>
                <w:rFonts w:asciiTheme="minorHAnsi" w:hAnsiTheme="minorHAnsi"/>
                <w:b/>
                <w:sz w:val="22"/>
              </w:rPr>
              <w:t xml:space="preserve"> be reported in writing within 7 days.</w:t>
            </w:r>
            <w:r w:rsidRPr="00640F14">
              <w:rPr>
                <w:rFonts w:asciiTheme="minorHAnsi" w:hAnsiTheme="minorHAnsi"/>
                <w:b/>
                <w:color w:val="E36C0A" w:themeColor="accent6" w:themeShade="BF"/>
                <w:sz w:val="22"/>
              </w:rPr>
              <w:t xml:space="preserve"> </w:t>
            </w:r>
          </w:p>
          <w:p w:rsidR="00814FF7" w:rsidRPr="00640F14" w:rsidRDefault="00814FF7" w:rsidP="00B00BB8">
            <w:pPr>
              <w:pStyle w:val="NoSpacing"/>
              <w:rPr>
                <w:rFonts w:asciiTheme="minorHAnsi" w:hAnsiTheme="minorHAnsi"/>
                <w:sz w:val="22"/>
              </w:rPr>
            </w:pPr>
          </w:p>
          <w:p w:rsidR="00814FF7" w:rsidRPr="00640F14" w:rsidRDefault="00814FF7" w:rsidP="00B00BB8">
            <w:pPr>
              <w:pStyle w:val="NoSpacing"/>
              <w:rPr>
                <w:rFonts w:asciiTheme="minorHAnsi" w:hAnsiTheme="minorHAnsi"/>
                <w:i/>
                <w:sz w:val="22"/>
              </w:rPr>
            </w:pPr>
          </w:p>
        </w:tc>
        <w:tc>
          <w:tcPr>
            <w:tcW w:w="3510" w:type="dxa"/>
          </w:tcPr>
          <w:p w:rsidR="00814FF7" w:rsidRPr="00640F14" w:rsidRDefault="00814FF7" w:rsidP="00B00BB8">
            <w:pPr>
              <w:pStyle w:val="NoSpacing"/>
              <w:rPr>
                <w:rFonts w:asciiTheme="minorHAnsi" w:hAnsiTheme="minorHAnsi"/>
                <w:sz w:val="22"/>
              </w:rPr>
            </w:pPr>
          </w:p>
        </w:tc>
      </w:tr>
      <w:tr w:rsidR="00814FF7" w:rsidRPr="00640F14" w:rsidTr="00B00BB8">
        <w:trPr>
          <w:trHeight w:val="800"/>
        </w:trPr>
        <w:tc>
          <w:tcPr>
            <w:tcW w:w="468" w:type="dxa"/>
            <w:shd w:val="clear" w:color="auto" w:fill="auto"/>
          </w:tcPr>
          <w:p w:rsidR="00814FF7" w:rsidRPr="00640F14" w:rsidRDefault="00814FF7" w:rsidP="00B00BB8">
            <w:pPr>
              <w:pStyle w:val="NoSpacing"/>
              <w:jc w:val="center"/>
              <w:rPr>
                <w:rFonts w:asciiTheme="minorHAnsi" w:hAnsiTheme="minorHAnsi"/>
                <w:b/>
                <w:color w:val="FF0000"/>
                <w:sz w:val="22"/>
              </w:rPr>
            </w:pPr>
            <w:r>
              <w:rPr>
                <w:rFonts w:asciiTheme="minorHAnsi" w:hAnsiTheme="minorHAnsi"/>
                <w:b/>
                <w:sz w:val="22"/>
              </w:rPr>
              <w:lastRenderedPageBreak/>
              <w:t>8</w:t>
            </w:r>
          </w:p>
        </w:tc>
        <w:tc>
          <w:tcPr>
            <w:tcW w:w="1602" w:type="dxa"/>
          </w:tcPr>
          <w:p w:rsidR="00814FF7" w:rsidRPr="00640F14" w:rsidRDefault="00814FF7" w:rsidP="00B00BB8">
            <w:r w:rsidRPr="00640F14">
              <w:t>105 CMR § 1</w:t>
            </w:r>
            <w:r>
              <w:t>4</w:t>
            </w:r>
            <w:r w:rsidRPr="00640F14">
              <w:t>0.3</w:t>
            </w:r>
            <w:r>
              <w:t>07</w:t>
            </w:r>
            <w:r w:rsidRPr="00640F14">
              <w:t>(D)</w:t>
            </w:r>
          </w:p>
          <w:p w:rsidR="00814FF7" w:rsidRPr="00640F14" w:rsidRDefault="00814FF7" w:rsidP="00B00BB8">
            <w:pPr>
              <w:pStyle w:val="NoSpacing"/>
              <w:rPr>
                <w:rFonts w:asciiTheme="minorHAnsi" w:hAnsiTheme="minorHAnsi"/>
                <w:sz w:val="22"/>
              </w:rPr>
            </w:pPr>
          </w:p>
          <w:p w:rsidR="00814FF7" w:rsidRPr="00640F14" w:rsidRDefault="00814FF7" w:rsidP="00B00BB8"/>
        </w:tc>
        <w:tc>
          <w:tcPr>
            <w:tcW w:w="3870" w:type="dxa"/>
          </w:tcPr>
          <w:p w:rsidR="00814FF7" w:rsidRPr="00640F14" w:rsidRDefault="00814FF7" w:rsidP="00B00BB8">
            <w:pPr>
              <w:pStyle w:val="NoSpacing"/>
              <w:rPr>
                <w:rFonts w:asciiTheme="minorHAnsi" w:hAnsiTheme="minorHAnsi"/>
                <w:b/>
                <w:sz w:val="22"/>
              </w:rPr>
            </w:pPr>
            <w:r w:rsidRPr="00640F14">
              <w:rPr>
                <w:rFonts w:asciiTheme="minorHAnsi" w:hAnsiTheme="minorHAnsi"/>
                <w:b/>
                <w:sz w:val="22"/>
              </w:rPr>
              <w:t xml:space="preserve">Overlap with SREs/duplicate reporting </w:t>
            </w:r>
          </w:p>
          <w:p w:rsidR="00814FF7" w:rsidRPr="00640F14" w:rsidRDefault="00814FF7" w:rsidP="00B00BB8">
            <w:pPr>
              <w:pStyle w:val="NoSpacing"/>
              <w:spacing w:before="80"/>
              <w:rPr>
                <w:rFonts w:asciiTheme="minorHAnsi" w:hAnsiTheme="minorHAnsi"/>
                <w:sz w:val="22"/>
              </w:rPr>
            </w:pPr>
            <w:r w:rsidRPr="00640F14">
              <w:rPr>
                <w:rFonts w:asciiTheme="minorHAnsi" w:hAnsiTheme="minorHAnsi"/>
                <w:sz w:val="22"/>
              </w:rPr>
              <w:t>For events that meet the definition of both a Serious Incident and an SRE, the regulations are unclear as to whether or not facilities should submit two separate reports within seven days (one as a Serious Incident, the second as an SRE):</w:t>
            </w:r>
          </w:p>
          <w:p w:rsidR="00814FF7" w:rsidRPr="00640F14" w:rsidRDefault="00814FF7" w:rsidP="00B00BB8">
            <w:pPr>
              <w:pStyle w:val="NoSpacing"/>
              <w:rPr>
                <w:rFonts w:asciiTheme="minorHAnsi" w:hAnsiTheme="minorHAnsi"/>
                <w:sz w:val="22"/>
              </w:rPr>
            </w:pPr>
          </w:p>
          <w:p w:rsidR="00814FF7" w:rsidRPr="00640F14" w:rsidRDefault="00814FF7" w:rsidP="00B00BB8">
            <w:pPr>
              <w:pStyle w:val="NoSpacing"/>
              <w:rPr>
                <w:rFonts w:asciiTheme="minorHAnsi" w:hAnsiTheme="minorHAnsi"/>
                <w:i/>
                <w:sz w:val="22"/>
              </w:rPr>
            </w:pPr>
            <w:r w:rsidRPr="00640F14">
              <w:rPr>
                <w:rFonts w:asciiTheme="minorHAnsi" w:hAnsiTheme="minorHAnsi"/>
                <w:i/>
                <w:sz w:val="22"/>
              </w:rPr>
              <w:t>(D) If a</w:t>
            </w:r>
            <w:r>
              <w:rPr>
                <w:rFonts w:asciiTheme="minorHAnsi" w:hAnsiTheme="minorHAnsi"/>
                <w:i/>
                <w:sz w:val="22"/>
              </w:rPr>
              <w:t>n ambulatory surgery center</w:t>
            </w:r>
            <w:r w:rsidRPr="00640F14">
              <w:rPr>
                <w:rFonts w:asciiTheme="minorHAnsi" w:hAnsiTheme="minorHAnsi"/>
                <w:i/>
                <w:sz w:val="22"/>
              </w:rPr>
              <w:t xml:space="preserve"> makes a report of any incident pursuant to 105 CMR 1</w:t>
            </w:r>
            <w:r>
              <w:rPr>
                <w:rFonts w:asciiTheme="minorHAnsi" w:hAnsiTheme="minorHAnsi"/>
                <w:i/>
                <w:sz w:val="22"/>
              </w:rPr>
              <w:t>4</w:t>
            </w:r>
            <w:r w:rsidRPr="00640F14">
              <w:rPr>
                <w:rFonts w:asciiTheme="minorHAnsi" w:hAnsiTheme="minorHAnsi"/>
                <w:i/>
                <w:sz w:val="22"/>
              </w:rPr>
              <w:t>0.3</w:t>
            </w:r>
            <w:r>
              <w:rPr>
                <w:rFonts w:asciiTheme="minorHAnsi" w:hAnsiTheme="minorHAnsi"/>
                <w:i/>
                <w:sz w:val="22"/>
              </w:rPr>
              <w:t>07</w:t>
            </w:r>
            <w:r w:rsidRPr="00640F14">
              <w:rPr>
                <w:rFonts w:asciiTheme="minorHAnsi" w:hAnsiTheme="minorHAnsi"/>
                <w:i/>
                <w:sz w:val="22"/>
              </w:rPr>
              <w:t>(A), (B) or (C), and the incident meets the definition of Serious Reportable Event in 105 CMR 1</w:t>
            </w:r>
            <w:r>
              <w:rPr>
                <w:rFonts w:asciiTheme="minorHAnsi" w:hAnsiTheme="minorHAnsi"/>
                <w:i/>
                <w:sz w:val="22"/>
              </w:rPr>
              <w:t>4</w:t>
            </w:r>
            <w:r w:rsidRPr="00640F14">
              <w:rPr>
                <w:rFonts w:asciiTheme="minorHAnsi" w:hAnsiTheme="minorHAnsi"/>
                <w:i/>
                <w:sz w:val="22"/>
              </w:rPr>
              <w:t>0.3</w:t>
            </w:r>
            <w:r>
              <w:rPr>
                <w:rFonts w:asciiTheme="minorHAnsi" w:hAnsiTheme="minorHAnsi"/>
                <w:i/>
                <w:sz w:val="22"/>
              </w:rPr>
              <w:t>08(A)</w:t>
            </w:r>
            <w:r w:rsidRPr="00640F14">
              <w:rPr>
                <w:rFonts w:asciiTheme="minorHAnsi" w:hAnsiTheme="minorHAnsi"/>
                <w:i/>
                <w:sz w:val="22"/>
              </w:rPr>
              <w:t xml:space="preserve">, </w:t>
            </w:r>
            <w:r w:rsidRPr="00640F14">
              <w:rPr>
                <w:rFonts w:asciiTheme="minorHAnsi" w:hAnsiTheme="minorHAnsi"/>
                <w:i/>
                <w:sz w:val="22"/>
                <w:highlight w:val="lightGray"/>
              </w:rPr>
              <w:t xml:space="preserve">the </w:t>
            </w:r>
            <w:r>
              <w:rPr>
                <w:rFonts w:asciiTheme="minorHAnsi" w:hAnsiTheme="minorHAnsi"/>
                <w:i/>
                <w:sz w:val="22"/>
                <w:highlight w:val="lightGray"/>
              </w:rPr>
              <w:t xml:space="preserve">ambulatory surgery center </w:t>
            </w:r>
            <w:r w:rsidRPr="00640F14">
              <w:rPr>
                <w:rFonts w:asciiTheme="minorHAnsi" w:hAnsiTheme="minorHAnsi"/>
                <w:b/>
                <w:i/>
                <w:sz w:val="22"/>
                <w:highlight w:val="lightGray"/>
              </w:rPr>
              <w:t xml:space="preserve">also </w:t>
            </w:r>
            <w:r w:rsidRPr="00640F14">
              <w:rPr>
                <w:rFonts w:asciiTheme="minorHAnsi" w:hAnsiTheme="minorHAnsi"/>
                <w:i/>
                <w:sz w:val="22"/>
                <w:highlight w:val="lightGray"/>
              </w:rPr>
              <w:t>shall comply</w:t>
            </w:r>
            <w:r w:rsidRPr="00640F14">
              <w:rPr>
                <w:rFonts w:asciiTheme="minorHAnsi" w:hAnsiTheme="minorHAnsi"/>
                <w:i/>
                <w:sz w:val="22"/>
              </w:rPr>
              <w:t xml:space="preserve"> with the requirements of 105 CMR 1</w:t>
            </w:r>
            <w:r>
              <w:rPr>
                <w:rFonts w:asciiTheme="minorHAnsi" w:hAnsiTheme="minorHAnsi"/>
                <w:i/>
                <w:sz w:val="22"/>
              </w:rPr>
              <w:t>4</w:t>
            </w:r>
            <w:r w:rsidRPr="00640F14">
              <w:rPr>
                <w:rFonts w:asciiTheme="minorHAnsi" w:hAnsiTheme="minorHAnsi"/>
                <w:i/>
                <w:sz w:val="22"/>
              </w:rPr>
              <w:t>0.3</w:t>
            </w:r>
            <w:r>
              <w:rPr>
                <w:rFonts w:asciiTheme="minorHAnsi" w:hAnsiTheme="minorHAnsi"/>
                <w:i/>
                <w:sz w:val="22"/>
              </w:rPr>
              <w:t>08</w:t>
            </w:r>
            <w:r w:rsidRPr="00640F14">
              <w:rPr>
                <w:rFonts w:asciiTheme="minorHAnsi" w:hAnsiTheme="minorHAnsi"/>
                <w:i/>
                <w:sz w:val="22"/>
              </w:rPr>
              <w:t>.</w:t>
            </w:r>
          </w:p>
          <w:p w:rsidR="00814FF7" w:rsidRPr="00640F14" w:rsidRDefault="00814FF7" w:rsidP="00B00BB8">
            <w:pPr>
              <w:pStyle w:val="NoSpacing"/>
              <w:rPr>
                <w:rFonts w:asciiTheme="minorHAnsi" w:hAnsiTheme="minorHAnsi"/>
                <w:sz w:val="22"/>
              </w:rPr>
            </w:pPr>
          </w:p>
          <w:p w:rsidR="00814FF7" w:rsidRPr="00640F14" w:rsidRDefault="00814FF7" w:rsidP="00B00BB8">
            <w:pPr>
              <w:pStyle w:val="NoSpacing"/>
              <w:rPr>
                <w:rFonts w:asciiTheme="minorHAnsi" w:hAnsiTheme="minorHAnsi"/>
                <w:sz w:val="22"/>
              </w:rPr>
            </w:pPr>
            <w:r w:rsidRPr="00640F14">
              <w:rPr>
                <w:rFonts w:asciiTheme="minorHAnsi" w:hAnsiTheme="minorHAnsi"/>
                <w:sz w:val="22"/>
              </w:rPr>
              <w:t>It is our understanding</w:t>
            </w:r>
            <w:r>
              <w:rPr>
                <w:rFonts w:asciiTheme="minorHAnsi" w:hAnsiTheme="minorHAnsi"/>
                <w:sz w:val="22"/>
              </w:rPr>
              <w:t xml:space="preserve"> </w:t>
            </w:r>
            <w:r w:rsidRPr="00640F14">
              <w:rPr>
                <w:rFonts w:asciiTheme="minorHAnsi" w:hAnsiTheme="minorHAnsi"/>
                <w:sz w:val="22"/>
              </w:rPr>
              <w:t>that:</w:t>
            </w:r>
          </w:p>
          <w:p w:rsidR="00814FF7" w:rsidRPr="00640F14" w:rsidRDefault="00814FF7" w:rsidP="00814FF7">
            <w:pPr>
              <w:pStyle w:val="NoSpacing"/>
              <w:widowControl/>
              <w:numPr>
                <w:ilvl w:val="1"/>
                <w:numId w:val="5"/>
              </w:numPr>
              <w:ind w:left="360"/>
              <w:rPr>
                <w:rFonts w:asciiTheme="minorHAnsi" w:hAnsiTheme="minorHAnsi"/>
                <w:sz w:val="22"/>
              </w:rPr>
            </w:pPr>
            <w:r w:rsidRPr="00640F14">
              <w:rPr>
                <w:rFonts w:asciiTheme="minorHAnsi" w:hAnsiTheme="minorHAnsi"/>
                <w:sz w:val="22"/>
              </w:rPr>
              <w:t>Any event which qualifies both as an SRE under 105 CMR § 1</w:t>
            </w:r>
            <w:r>
              <w:rPr>
                <w:rFonts w:asciiTheme="minorHAnsi" w:hAnsiTheme="minorHAnsi"/>
                <w:sz w:val="22"/>
              </w:rPr>
              <w:t>4</w:t>
            </w:r>
            <w:r w:rsidRPr="00640F14">
              <w:rPr>
                <w:rFonts w:asciiTheme="minorHAnsi" w:hAnsiTheme="minorHAnsi"/>
                <w:sz w:val="22"/>
              </w:rPr>
              <w:t>0.3</w:t>
            </w:r>
            <w:r>
              <w:rPr>
                <w:rFonts w:asciiTheme="minorHAnsi" w:hAnsiTheme="minorHAnsi"/>
                <w:sz w:val="22"/>
              </w:rPr>
              <w:t>08</w:t>
            </w:r>
            <w:r w:rsidRPr="00640F14">
              <w:rPr>
                <w:rFonts w:asciiTheme="minorHAnsi" w:hAnsiTheme="minorHAnsi"/>
                <w:sz w:val="22"/>
              </w:rPr>
              <w:t xml:space="preserve"> and as a Serious Incident under § 1</w:t>
            </w:r>
            <w:r>
              <w:rPr>
                <w:rFonts w:asciiTheme="minorHAnsi" w:hAnsiTheme="minorHAnsi"/>
                <w:sz w:val="22"/>
              </w:rPr>
              <w:t>4</w:t>
            </w:r>
            <w:r w:rsidRPr="00640F14">
              <w:rPr>
                <w:rFonts w:asciiTheme="minorHAnsi" w:hAnsiTheme="minorHAnsi"/>
                <w:sz w:val="22"/>
              </w:rPr>
              <w:t>0.3</w:t>
            </w:r>
            <w:r>
              <w:rPr>
                <w:rFonts w:asciiTheme="minorHAnsi" w:hAnsiTheme="minorHAnsi"/>
                <w:sz w:val="22"/>
              </w:rPr>
              <w:t>07</w:t>
            </w:r>
            <w:r w:rsidRPr="00640F14">
              <w:rPr>
                <w:rFonts w:asciiTheme="minorHAnsi" w:hAnsiTheme="minorHAnsi"/>
                <w:sz w:val="22"/>
              </w:rPr>
              <w:t>(A or B) is reported immediately by phone to DPH and then submitted as an SRE in accordance with the requirements of § 1</w:t>
            </w:r>
            <w:r>
              <w:rPr>
                <w:rFonts w:asciiTheme="minorHAnsi" w:hAnsiTheme="minorHAnsi"/>
                <w:sz w:val="22"/>
              </w:rPr>
              <w:t>4</w:t>
            </w:r>
            <w:r w:rsidRPr="00640F14">
              <w:rPr>
                <w:rFonts w:asciiTheme="minorHAnsi" w:hAnsiTheme="minorHAnsi"/>
                <w:sz w:val="22"/>
              </w:rPr>
              <w:t>0.3</w:t>
            </w:r>
            <w:r>
              <w:rPr>
                <w:rFonts w:asciiTheme="minorHAnsi" w:hAnsiTheme="minorHAnsi"/>
                <w:sz w:val="22"/>
              </w:rPr>
              <w:t>08</w:t>
            </w:r>
            <w:r w:rsidRPr="00640F14">
              <w:rPr>
                <w:rFonts w:asciiTheme="minorHAnsi" w:hAnsiTheme="minorHAnsi"/>
                <w:sz w:val="22"/>
              </w:rPr>
              <w:t xml:space="preserve">.  </w:t>
            </w:r>
          </w:p>
          <w:p w:rsidR="00814FF7" w:rsidRPr="00640F14" w:rsidRDefault="00814FF7" w:rsidP="00B00BB8">
            <w:pPr>
              <w:pStyle w:val="NoSpacing"/>
              <w:rPr>
                <w:rFonts w:asciiTheme="minorHAnsi" w:hAnsiTheme="minorHAnsi"/>
                <w:sz w:val="22"/>
              </w:rPr>
            </w:pPr>
          </w:p>
          <w:p w:rsidR="00814FF7" w:rsidRPr="00640F14" w:rsidRDefault="00814FF7" w:rsidP="00814FF7">
            <w:pPr>
              <w:pStyle w:val="NoSpacing"/>
              <w:widowControl/>
              <w:numPr>
                <w:ilvl w:val="1"/>
                <w:numId w:val="5"/>
              </w:numPr>
              <w:ind w:left="360"/>
              <w:rPr>
                <w:rFonts w:asciiTheme="minorHAnsi" w:hAnsiTheme="minorHAnsi"/>
                <w:sz w:val="22"/>
              </w:rPr>
            </w:pPr>
            <w:r w:rsidRPr="00640F14">
              <w:rPr>
                <w:rFonts w:asciiTheme="minorHAnsi" w:hAnsiTheme="minorHAnsi"/>
                <w:sz w:val="22"/>
              </w:rPr>
              <w:t xml:space="preserve">Any event which qualifies both as </w:t>
            </w:r>
            <w:r w:rsidRPr="00640F14">
              <w:rPr>
                <w:rFonts w:asciiTheme="minorHAnsi" w:hAnsiTheme="minorHAnsi"/>
                <w:sz w:val="22"/>
              </w:rPr>
              <w:lastRenderedPageBreak/>
              <w:t>an SRE under § 1</w:t>
            </w:r>
            <w:r>
              <w:rPr>
                <w:rFonts w:asciiTheme="minorHAnsi" w:hAnsiTheme="minorHAnsi"/>
                <w:sz w:val="22"/>
              </w:rPr>
              <w:t>4</w:t>
            </w:r>
            <w:r w:rsidRPr="00640F14">
              <w:rPr>
                <w:rFonts w:asciiTheme="minorHAnsi" w:hAnsiTheme="minorHAnsi"/>
                <w:sz w:val="22"/>
              </w:rPr>
              <w:t>0.3</w:t>
            </w:r>
            <w:r>
              <w:rPr>
                <w:rFonts w:asciiTheme="minorHAnsi" w:hAnsiTheme="minorHAnsi"/>
                <w:sz w:val="22"/>
              </w:rPr>
              <w:t>08</w:t>
            </w:r>
            <w:r w:rsidRPr="00640F14">
              <w:rPr>
                <w:rFonts w:asciiTheme="minorHAnsi" w:hAnsiTheme="minorHAnsi"/>
                <w:sz w:val="22"/>
              </w:rPr>
              <w:t xml:space="preserve"> and as a Serious Incident under § 1</w:t>
            </w:r>
            <w:r>
              <w:rPr>
                <w:rFonts w:asciiTheme="minorHAnsi" w:hAnsiTheme="minorHAnsi"/>
                <w:sz w:val="22"/>
              </w:rPr>
              <w:t>4</w:t>
            </w:r>
            <w:r w:rsidRPr="00640F14">
              <w:rPr>
                <w:rFonts w:asciiTheme="minorHAnsi" w:hAnsiTheme="minorHAnsi"/>
                <w:sz w:val="22"/>
              </w:rPr>
              <w:t>0.3</w:t>
            </w:r>
            <w:r>
              <w:rPr>
                <w:rFonts w:asciiTheme="minorHAnsi" w:hAnsiTheme="minorHAnsi"/>
                <w:sz w:val="22"/>
              </w:rPr>
              <w:t>07</w:t>
            </w:r>
            <w:r w:rsidRPr="00640F14">
              <w:rPr>
                <w:rFonts w:asciiTheme="minorHAnsi" w:hAnsiTheme="minorHAnsi"/>
                <w:sz w:val="22"/>
              </w:rPr>
              <w:t>(C) is reported solely as an SRE in accordance with the requirements of § 1</w:t>
            </w:r>
            <w:r>
              <w:rPr>
                <w:rFonts w:asciiTheme="minorHAnsi" w:hAnsiTheme="minorHAnsi"/>
                <w:sz w:val="22"/>
              </w:rPr>
              <w:t>4</w:t>
            </w:r>
            <w:r w:rsidRPr="00640F14">
              <w:rPr>
                <w:rFonts w:asciiTheme="minorHAnsi" w:hAnsiTheme="minorHAnsi"/>
                <w:sz w:val="22"/>
              </w:rPr>
              <w:t>0.3</w:t>
            </w:r>
            <w:r>
              <w:rPr>
                <w:rFonts w:asciiTheme="minorHAnsi" w:hAnsiTheme="minorHAnsi"/>
                <w:sz w:val="22"/>
              </w:rPr>
              <w:t>08</w:t>
            </w:r>
            <w:r w:rsidRPr="00640F14">
              <w:rPr>
                <w:rFonts w:asciiTheme="minorHAnsi" w:hAnsiTheme="minorHAnsi"/>
                <w:sz w:val="22"/>
              </w:rPr>
              <w:t xml:space="preserve">.  </w:t>
            </w:r>
          </w:p>
          <w:p w:rsidR="00814FF7" w:rsidRPr="00640F14" w:rsidRDefault="00814FF7" w:rsidP="00B00BB8">
            <w:pPr>
              <w:pStyle w:val="NoSpacing"/>
              <w:rPr>
                <w:rFonts w:asciiTheme="minorHAnsi" w:hAnsiTheme="minorHAnsi"/>
                <w:sz w:val="22"/>
              </w:rPr>
            </w:pPr>
          </w:p>
          <w:p w:rsidR="00814FF7" w:rsidRPr="00640F14" w:rsidRDefault="00814FF7" w:rsidP="00B00BB8">
            <w:pPr>
              <w:pStyle w:val="NoSpacing"/>
              <w:rPr>
                <w:rFonts w:asciiTheme="minorHAnsi" w:hAnsiTheme="minorHAnsi"/>
                <w:sz w:val="22"/>
              </w:rPr>
            </w:pPr>
            <w:r w:rsidRPr="00640F14">
              <w:rPr>
                <w:rFonts w:asciiTheme="minorHAnsi" w:hAnsiTheme="minorHAnsi"/>
                <w:sz w:val="22"/>
              </w:rPr>
              <w:t>However, the phrase “</w:t>
            </w:r>
            <w:r w:rsidRPr="00640F14">
              <w:rPr>
                <w:rFonts w:asciiTheme="minorHAnsi" w:hAnsiTheme="minorHAnsi"/>
                <w:i/>
                <w:sz w:val="22"/>
              </w:rPr>
              <w:t xml:space="preserve">the </w:t>
            </w:r>
            <w:r>
              <w:rPr>
                <w:rFonts w:asciiTheme="minorHAnsi" w:hAnsiTheme="minorHAnsi"/>
                <w:i/>
                <w:sz w:val="22"/>
              </w:rPr>
              <w:t>ambulatory surgery center</w:t>
            </w:r>
            <w:r w:rsidRPr="00640F14">
              <w:rPr>
                <w:rFonts w:asciiTheme="minorHAnsi" w:hAnsiTheme="minorHAnsi"/>
                <w:i/>
                <w:sz w:val="22"/>
              </w:rPr>
              <w:t xml:space="preserve"> </w:t>
            </w:r>
            <w:r w:rsidRPr="00640F14">
              <w:rPr>
                <w:rFonts w:asciiTheme="minorHAnsi" w:hAnsiTheme="minorHAnsi"/>
                <w:b/>
                <w:i/>
                <w:sz w:val="22"/>
              </w:rPr>
              <w:t xml:space="preserve">also </w:t>
            </w:r>
            <w:r w:rsidRPr="00640F14">
              <w:rPr>
                <w:rFonts w:asciiTheme="minorHAnsi" w:hAnsiTheme="minorHAnsi"/>
                <w:i/>
                <w:sz w:val="22"/>
              </w:rPr>
              <w:t>shall comply with the requirements of 105 CMR 1</w:t>
            </w:r>
            <w:r>
              <w:rPr>
                <w:rFonts w:asciiTheme="minorHAnsi" w:hAnsiTheme="minorHAnsi"/>
                <w:i/>
                <w:sz w:val="22"/>
              </w:rPr>
              <w:t>4</w:t>
            </w:r>
            <w:r w:rsidRPr="00640F14">
              <w:rPr>
                <w:rFonts w:asciiTheme="minorHAnsi" w:hAnsiTheme="minorHAnsi"/>
                <w:i/>
                <w:sz w:val="22"/>
              </w:rPr>
              <w:t>0.3</w:t>
            </w:r>
            <w:r>
              <w:rPr>
                <w:rFonts w:asciiTheme="minorHAnsi" w:hAnsiTheme="minorHAnsi"/>
                <w:i/>
                <w:sz w:val="22"/>
              </w:rPr>
              <w:t>08</w:t>
            </w:r>
            <w:r w:rsidRPr="00640F14">
              <w:rPr>
                <w:rFonts w:asciiTheme="minorHAnsi" w:hAnsiTheme="minorHAnsi"/>
                <w:sz w:val="22"/>
              </w:rPr>
              <w:t xml:space="preserve">” suggests that two reports should be filed – one as a Serious Incident </w:t>
            </w:r>
            <w:r w:rsidRPr="007F556F">
              <w:rPr>
                <w:rFonts w:asciiTheme="minorHAnsi" w:hAnsiTheme="minorHAnsi"/>
                <w:sz w:val="22"/>
              </w:rPr>
              <w:t xml:space="preserve">and </w:t>
            </w:r>
            <w:r w:rsidRPr="00640F14">
              <w:rPr>
                <w:rFonts w:asciiTheme="minorHAnsi" w:hAnsiTheme="minorHAnsi"/>
                <w:sz w:val="22"/>
              </w:rPr>
              <w:t>the other as an SRE.</w:t>
            </w:r>
          </w:p>
        </w:tc>
        <w:tc>
          <w:tcPr>
            <w:tcW w:w="5220" w:type="dxa"/>
          </w:tcPr>
          <w:p w:rsidR="00814FF7" w:rsidRPr="00640F14" w:rsidRDefault="00814FF7" w:rsidP="00B00BB8">
            <w:pPr>
              <w:pStyle w:val="NoSpacing"/>
              <w:rPr>
                <w:rFonts w:asciiTheme="minorHAnsi" w:hAnsiTheme="minorHAnsi"/>
                <w:b/>
                <w:sz w:val="22"/>
              </w:rPr>
            </w:pPr>
            <w:r w:rsidRPr="00640F14">
              <w:rPr>
                <w:rFonts w:asciiTheme="minorHAnsi" w:hAnsiTheme="minorHAnsi"/>
                <w:b/>
                <w:sz w:val="22"/>
              </w:rPr>
              <w:lastRenderedPageBreak/>
              <w:t xml:space="preserve">Clarify in Department guidance how </w:t>
            </w:r>
            <w:r>
              <w:rPr>
                <w:rFonts w:asciiTheme="minorHAnsi" w:hAnsiTheme="minorHAnsi"/>
                <w:b/>
                <w:sz w:val="22"/>
              </w:rPr>
              <w:t>ASC</w:t>
            </w:r>
            <w:r w:rsidRPr="00640F14">
              <w:rPr>
                <w:rFonts w:asciiTheme="minorHAnsi" w:hAnsiTheme="minorHAnsi"/>
                <w:b/>
                <w:sz w:val="22"/>
              </w:rPr>
              <w:t>s should report events that qualify as both Serious Incidents and SREs.</w:t>
            </w:r>
          </w:p>
          <w:p w:rsidR="00814FF7" w:rsidRDefault="00814FF7" w:rsidP="00B00BB8"/>
          <w:p w:rsidR="00814FF7" w:rsidRPr="007F6322" w:rsidRDefault="00814FF7" w:rsidP="00B00BB8">
            <w:pPr>
              <w:pStyle w:val="NoSpacing"/>
              <w:rPr>
                <w:bCs/>
                <w:sz w:val="22"/>
              </w:rPr>
            </w:pPr>
            <w:r w:rsidRPr="007F6322">
              <w:rPr>
                <w:bCs/>
                <w:sz w:val="22"/>
              </w:rPr>
              <w:t>The following is a suggested approach that we expect would clarify obligations, minimize duplicate reporting, and accomplish the state’s goals for event reporting:</w:t>
            </w:r>
          </w:p>
          <w:p w:rsidR="00814FF7" w:rsidRPr="00640F14" w:rsidRDefault="00814FF7" w:rsidP="00B00BB8"/>
          <w:p w:rsidR="00814FF7" w:rsidRPr="00640F14" w:rsidRDefault="00814FF7" w:rsidP="00814FF7">
            <w:pPr>
              <w:pStyle w:val="NoSpacing"/>
              <w:widowControl/>
              <w:numPr>
                <w:ilvl w:val="0"/>
                <w:numId w:val="8"/>
              </w:numPr>
              <w:rPr>
                <w:rFonts w:asciiTheme="minorHAnsi" w:hAnsiTheme="minorHAnsi"/>
                <w:sz w:val="22"/>
              </w:rPr>
            </w:pPr>
            <w:r w:rsidRPr="00640F14">
              <w:rPr>
                <w:rFonts w:asciiTheme="minorHAnsi" w:hAnsiTheme="minorHAnsi"/>
                <w:sz w:val="22"/>
              </w:rPr>
              <w:t>If an immediately reportable serious incident is also an SRE – immediate report + SRE protocol</w:t>
            </w:r>
          </w:p>
          <w:p w:rsidR="00814FF7" w:rsidRPr="00640F14" w:rsidRDefault="00814FF7" w:rsidP="00B00BB8">
            <w:pPr>
              <w:pStyle w:val="NoSpacing"/>
              <w:rPr>
                <w:rFonts w:asciiTheme="minorHAnsi" w:hAnsiTheme="minorHAnsi"/>
                <w:sz w:val="22"/>
              </w:rPr>
            </w:pPr>
          </w:p>
          <w:p w:rsidR="00814FF7" w:rsidRPr="00640F14" w:rsidRDefault="00814FF7" w:rsidP="00814FF7">
            <w:pPr>
              <w:pStyle w:val="NoSpacing"/>
              <w:widowControl/>
              <w:numPr>
                <w:ilvl w:val="0"/>
                <w:numId w:val="8"/>
              </w:numPr>
              <w:rPr>
                <w:rFonts w:asciiTheme="minorHAnsi" w:hAnsiTheme="minorHAnsi"/>
                <w:sz w:val="22"/>
              </w:rPr>
            </w:pPr>
            <w:r w:rsidRPr="00640F14">
              <w:rPr>
                <w:rFonts w:asciiTheme="minorHAnsi" w:hAnsiTheme="minorHAnsi"/>
                <w:sz w:val="22"/>
              </w:rPr>
              <w:t>If immediately reportable serious incident but not an SRE – immediate report + report in writing within 7 days as a serious incident</w:t>
            </w:r>
          </w:p>
          <w:p w:rsidR="00814FF7" w:rsidRPr="00640F14" w:rsidRDefault="00814FF7" w:rsidP="00B00BB8">
            <w:pPr>
              <w:pStyle w:val="NoSpacing"/>
              <w:rPr>
                <w:rFonts w:asciiTheme="minorHAnsi" w:hAnsiTheme="minorHAnsi"/>
                <w:sz w:val="22"/>
              </w:rPr>
            </w:pPr>
          </w:p>
          <w:p w:rsidR="00814FF7" w:rsidRPr="00640F14" w:rsidRDefault="00814FF7" w:rsidP="00814FF7">
            <w:pPr>
              <w:pStyle w:val="NoSpacing"/>
              <w:widowControl/>
              <w:numPr>
                <w:ilvl w:val="0"/>
                <w:numId w:val="8"/>
              </w:numPr>
              <w:rPr>
                <w:rFonts w:asciiTheme="minorHAnsi" w:hAnsiTheme="minorHAnsi"/>
                <w:color w:val="FF0000"/>
                <w:sz w:val="22"/>
              </w:rPr>
            </w:pPr>
            <w:r w:rsidRPr="00640F14">
              <w:rPr>
                <w:rFonts w:asciiTheme="minorHAnsi" w:hAnsiTheme="minorHAnsi"/>
                <w:sz w:val="22"/>
              </w:rPr>
              <w:t>If not immediately reportable and not an SRE, report in writing within 7 days as a serious incident</w:t>
            </w:r>
          </w:p>
        </w:tc>
        <w:tc>
          <w:tcPr>
            <w:tcW w:w="3510" w:type="dxa"/>
          </w:tcPr>
          <w:p w:rsidR="00814FF7" w:rsidRPr="00640F14" w:rsidRDefault="00814FF7" w:rsidP="00B00BB8"/>
        </w:tc>
      </w:tr>
      <w:tr w:rsidR="00814FF7" w:rsidRPr="00640F14" w:rsidTr="00B00BB8">
        <w:trPr>
          <w:trHeight w:val="1070"/>
        </w:trPr>
        <w:tc>
          <w:tcPr>
            <w:tcW w:w="468" w:type="dxa"/>
            <w:shd w:val="clear" w:color="auto" w:fill="auto"/>
          </w:tcPr>
          <w:p w:rsidR="00814FF7" w:rsidRPr="00640F14" w:rsidRDefault="00814FF7" w:rsidP="00B00BB8">
            <w:pPr>
              <w:jc w:val="center"/>
              <w:rPr>
                <w:b/>
              </w:rPr>
            </w:pPr>
            <w:r>
              <w:rPr>
                <w:b/>
              </w:rPr>
              <w:lastRenderedPageBreak/>
              <w:t>9</w:t>
            </w:r>
          </w:p>
        </w:tc>
        <w:tc>
          <w:tcPr>
            <w:tcW w:w="1602" w:type="dxa"/>
          </w:tcPr>
          <w:p w:rsidR="00814FF7" w:rsidRPr="00640F14" w:rsidRDefault="00814FF7" w:rsidP="00B00BB8">
            <w:r w:rsidRPr="00640F14">
              <w:t>105 CMR § 1</w:t>
            </w:r>
            <w:r>
              <w:t>4</w:t>
            </w:r>
            <w:r w:rsidRPr="00640F14">
              <w:t>0.3</w:t>
            </w:r>
            <w:r>
              <w:t>07</w:t>
            </w:r>
            <w:r w:rsidRPr="00640F14">
              <w:t>(C)</w:t>
            </w:r>
          </w:p>
          <w:p w:rsidR="00814FF7" w:rsidRPr="00640F14" w:rsidRDefault="00814FF7" w:rsidP="00B00BB8">
            <w:pPr>
              <w:pStyle w:val="NoSpacing"/>
              <w:rPr>
                <w:rFonts w:asciiTheme="minorHAnsi" w:hAnsiTheme="minorHAnsi"/>
                <w:sz w:val="22"/>
              </w:rPr>
            </w:pPr>
          </w:p>
          <w:p w:rsidR="00814FF7" w:rsidRPr="00640F14" w:rsidRDefault="00814FF7" w:rsidP="00B00BB8">
            <w:pPr>
              <w:rPr>
                <w:b/>
              </w:rPr>
            </w:pPr>
          </w:p>
        </w:tc>
        <w:tc>
          <w:tcPr>
            <w:tcW w:w="3870" w:type="dxa"/>
          </w:tcPr>
          <w:p w:rsidR="00814FF7" w:rsidRPr="00640F14" w:rsidRDefault="00814FF7" w:rsidP="00B00BB8">
            <w:pPr>
              <w:rPr>
                <w:b/>
              </w:rPr>
            </w:pPr>
            <w:r>
              <w:rPr>
                <w:b/>
              </w:rPr>
              <w:t>R</w:t>
            </w:r>
            <w:r w:rsidRPr="00640F14">
              <w:rPr>
                <w:b/>
              </w:rPr>
              <w:t>eference to SADEs under Serious Incidents</w:t>
            </w:r>
          </w:p>
          <w:p w:rsidR="00814FF7" w:rsidRPr="00640F14" w:rsidRDefault="00814FF7" w:rsidP="00B00BB8">
            <w:r w:rsidRPr="00640F14">
              <w:t xml:space="preserve">We support removing all references to SREs from the Serious Incident regulations (140.307) as proposed in the amended regulations; however, the proposed amendments also </w:t>
            </w:r>
            <w:r w:rsidRPr="00640F14">
              <w:rPr>
                <w:i/>
              </w:rPr>
              <w:t>add</w:t>
            </w:r>
            <w:r w:rsidRPr="00640F14">
              <w:t xml:space="preserve"> a reference to SADEs that</w:t>
            </w:r>
            <w:r>
              <w:t xml:space="preserve"> </w:t>
            </w:r>
            <w:r w:rsidRPr="0086065B">
              <w:rPr>
                <w:i/>
              </w:rPr>
              <w:t>does not apply to all clinics</w:t>
            </w:r>
            <w:r w:rsidRPr="00640F14">
              <w:t xml:space="preserve">. </w:t>
            </w:r>
          </w:p>
          <w:p w:rsidR="00814FF7" w:rsidRPr="00640F14" w:rsidRDefault="00814FF7" w:rsidP="00B00BB8"/>
          <w:p w:rsidR="00814FF7" w:rsidRPr="00640F14" w:rsidRDefault="00814FF7" w:rsidP="00B00BB8">
            <w:r w:rsidRPr="00640F14">
              <w:t>Serious Incidents (1</w:t>
            </w:r>
            <w:r>
              <w:t>4</w:t>
            </w:r>
            <w:r w:rsidRPr="00640F14">
              <w:t>0.3</w:t>
            </w:r>
            <w:r>
              <w:t>07(C)</w:t>
            </w:r>
            <w:r w:rsidRPr="00640F14">
              <w:t>):</w:t>
            </w:r>
          </w:p>
          <w:p w:rsidR="00814FF7" w:rsidRPr="00640F14" w:rsidRDefault="00814FF7" w:rsidP="00B00BB8">
            <w:pPr>
              <w:rPr>
                <w:i/>
              </w:rPr>
            </w:pPr>
            <w:r w:rsidRPr="00640F14">
              <w:rPr>
                <w:i/>
              </w:rPr>
              <w:t>“</w:t>
            </w:r>
            <w:r>
              <w:rPr>
                <w:i/>
              </w:rPr>
              <w:t xml:space="preserve">A clinic </w:t>
            </w:r>
            <w:r w:rsidRPr="00640F14">
              <w:rPr>
                <w:i/>
              </w:rPr>
              <w:t>shall report to the Department any other serious incident</w:t>
            </w:r>
            <w:r w:rsidRPr="00640F14">
              <w:rPr>
                <w:i/>
                <w:strike/>
              </w:rPr>
              <w:t xml:space="preserve">, </w:t>
            </w:r>
            <w:r w:rsidRPr="00C9798B">
              <w:rPr>
                <w:i/>
                <w:strike/>
                <w:color w:val="FF0000"/>
              </w:rPr>
              <w:t xml:space="preserve">or </w:t>
            </w:r>
            <w:r w:rsidRPr="00640F14">
              <w:rPr>
                <w:i/>
                <w:strike/>
                <w:color w:val="FF0000"/>
              </w:rPr>
              <w:t>serious reportable event pursuant to 105 CMR 1</w:t>
            </w:r>
            <w:r>
              <w:rPr>
                <w:i/>
                <w:strike/>
                <w:color w:val="FF0000"/>
              </w:rPr>
              <w:t>4</w:t>
            </w:r>
            <w:r w:rsidRPr="00640F14">
              <w:rPr>
                <w:i/>
                <w:strike/>
                <w:color w:val="FF0000"/>
              </w:rPr>
              <w:t>0.3</w:t>
            </w:r>
            <w:r>
              <w:rPr>
                <w:i/>
                <w:strike/>
                <w:color w:val="FF0000"/>
              </w:rPr>
              <w:t>08</w:t>
            </w:r>
            <w:r w:rsidRPr="00640F14">
              <w:rPr>
                <w:i/>
                <w:strike/>
                <w:color w:val="FF0000"/>
              </w:rPr>
              <w:t>(A) (SRE)</w:t>
            </w:r>
            <w:r w:rsidRPr="00640F14">
              <w:rPr>
                <w:i/>
              </w:rPr>
              <w:t xml:space="preserve"> occurring on premises covered by the</w:t>
            </w:r>
            <w:r>
              <w:rPr>
                <w:i/>
              </w:rPr>
              <w:t xml:space="preserve"> clinic</w:t>
            </w:r>
            <w:r w:rsidRPr="00640F14">
              <w:rPr>
                <w:i/>
              </w:rPr>
              <w:t xml:space="preserve">’s license that seriously affects the health and safety of a patient(s) or that causes serious physical injury to a patient(s) </w:t>
            </w:r>
            <w:r w:rsidRPr="00640F14">
              <w:rPr>
                <w:b/>
                <w:i/>
                <w:color w:val="0070C0"/>
              </w:rPr>
              <w:t xml:space="preserve">or a medication error that meets the definition of a Serious Adverse Drug Event (SADE) </w:t>
            </w:r>
            <w:r w:rsidRPr="00640F14">
              <w:rPr>
                <w:b/>
                <w:i/>
                <w:color w:val="0070C0"/>
              </w:rPr>
              <w:lastRenderedPageBreak/>
              <w:t>pursuant to 105 CMR 1</w:t>
            </w:r>
            <w:r>
              <w:rPr>
                <w:b/>
                <w:i/>
                <w:color w:val="0070C0"/>
              </w:rPr>
              <w:t>4</w:t>
            </w:r>
            <w:r w:rsidRPr="00640F14">
              <w:rPr>
                <w:b/>
                <w:i/>
                <w:color w:val="0070C0"/>
              </w:rPr>
              <w:t>0.3</w:t>
            </w:r>
            <w:r>
              <w:rPr>
                <w:b/>
                <w:i/>
                <w:color w:val="0070C0"/>
              </w:rPr>
              <w:t>08</w:t>
            </w:r>
            <w:r w:rsidRPr="00640F14">
              <w:rPr>
                <w:b/>
                <w:i/>
                <w:color w:val="0070C0"/>
              </w:rPr>
              <w:t>(A)</w:t>
            </w:r>
            <w:r w:rsidRPr="00640F14">
              <w:rPr>
                <w:b/>
                <w:i/>
                <w:color w:val="0000FF"/>
              </w:rPr>
              <w:t xml:space="preserve"> </w:t>
            </w:r>
            <w:r w:rsidRPr="00640F14">
              <w:rPr>
                <w:i/>
              </w:rPr>
              <w:t>within seven</w:t>
            </w:r>
            <w:r w:rsidRPr="00640F14">
              <w:rPr>
                <w:b/>
                <w:i/>
                <w:color w:val="0070C0"/>
              </w:rPr>
              <w:t xml:space="preserve"> calendar</w:t>
            </w:r>
            <w:r w:rsidRPr="00640F14">
              <w:rPr>
                <w:b/>
                <w:i/>
              </w:rPr>
              <w:t xml:space="preserve"> </w:t>
            </w:r>
            <w:r w:rsidRPr="00640F14">
              <w:rPr>
                <w:i/>
              </w:rPr>
              <w:t>days of the date of occurrence of the event.”</w:t>
            </w:r>
          </w:p>
          <w:p w:rsidR="00814FF7" w:rsidRPr="00640F14" w:rsidRDefault="00814FF7" w:rsidP="00B00BB8"/>
          <w:p w:rsidR="00814FF7" w:rsidRDefault="00814FF7" w:rsidP="00B00BB8">
            <w:r w:rsidRPr="00640F14">
              <w:t>Given that new SADEs regulations</w:t>
            </w:r>
            <w:r>
              <w:t>:</w:t>
            </w:r>
          </w:p>
          <w:p w:rsidR="00814FF7" w:rsidRDefault="00814FF7" w:rsidP="00814FF7">
            <w:pPr>
              <w:pStyle w:val="ListParagraph"/>
              <w:widowControl/>
              <w:numPr>
                <w:ilvl w:val="0"/>
                <w:numId w:val="12"/>
              </w:numPr>
              <w:spacing w:after="0" w:line="240" w:lineRule="auto"/>
            </w:pPr>
            <w:r>
              <w:t>only apply to ASCs, not all clinics; and</w:t>
            </w:r>
          </w:p>
          <w:p w:rsidR="00814FF7" w:rsidRDefault="00814FF7" w:rsidP="00B00BB8">
            <w:pPr>
              <w:pStyle w:val="ListParagraph"/>
            </w:pPr>
          </w:p>
          <w:p w:rsidR="00814FF7" w:rsidRDefault="00814FF7" w:rsidP="00814FF7">
            <w:pPr>
              <w:pStyle w:val="ListParagraph"/>
              <w:widowControl/>
              <w:numPr>
                <w:ilvl w:val="0"/>
                <w:numId w:val="12"/>
              </w:numPr>
              <w:spacing w:after="0" w:line="240" w:lineRule="auto"/>
            </w:pPr>
            <w:r>
              <w:t>a</w:t>
            </w:r>
            <w:r w:rsidRPr="00640F14">
              <w:t>lready require report</w:t>
            </w:r>
            <w:r>
              <w:t>ing</w:t>
            </w:r>
            <w:r w:rsidRPr="00640F14">
              <w:t xml:space="preserve"> within 7 days</w:t>
            </w:r>
            <w:r>
              <w:t>,</w:t>
            </w:r>
          </w:p>
          <w:p w:rsidR="00814FF7" w:rsidRPr="00640F14" w:rsidRDefault="00814FF7" w:rsidP="00B00BB8">
            <w:proofErr w:type="gramStart"/>
            <w:r>
              <w:t>w</w:t>
            </w:r>
            <w:r w:rsidRPr="00640F14">
              <w:t>e</w:t>
            </w:r>
            <w:proofErr w:type="gramEnd"/>
            <w:r w:rsidRPr="00640F14">
              <w:t xml:space="preserve"> believe the reference to SADEs in 105 CMR § 1</w:t>
            </w:r>
            <w:r>
              <w:t>4</w:t>
            </w:r>
            <w:r w:rsidRPr="00640F14">
              <w:t>0.3</w:t>
            </w:r>
            <w:r>
              <w:t>07</w:t>
            </w:r>
            <w:r w:rsidRPr="00640F14">
              <w:t xml:space="preserve"> (C) </w:t>
            </w:r>
            <w:r>
              <w:t xml:space="preserve">should be removed. </w:t>
            </w:r>
          </w:p>
        </w:tc>
        <w:tc>
          <w:tcPr>
            <w:tcW w:w="5220" w:type="dxa"/>
          </w:tcPr>
          <w:p w:rsidR="00814FF7" w:rsidRPr="00640F14" w:rsidRDefault="00814FF7" w:rsidP="00B00BB8">
            <w:pPr>
              <w:rPr>
                <w:b/>
              </w:rPr>
            </w:pPr>
            <w:r w:rsidRPr="00640F14">
              <w:rPr>
                <w:b/>
              </w:rPr>
              <w:lastRenderedPageBreak/>
              <w:t>Remove the reference to SADEs in 1</w:t>
            </w:r>
            <w:r>
              <w:rPr>
                <w:b/>
              </w:rPr>
              <w:t>4</w:t>
            </w:r>
            <w:r w:rsidRPr="00640F14">
              <w:rPr>
                <w:b/>
              </w:rPr>
              <w:t>0.3</w:t>
            </w:r>
            <w:r>
              <w:rPr>
                <w:b/>
              </w:rPr>
              <w:t>07</w:t>
            </w:r>
            <w:r w:rsidRPr="00640F14">
              <w:rPr>
                <w:b/>
              </w:rPr>
              <w:t>(C) “Serious Incidents”:</w:t>
            </w:r>
          </w:p>
          <w:p w:rsidR="00814FF7" w:rsidRPr="00640F14" w:rsidRDefault="00814FF7" w:rsidP="00B00BB8">
            <w:pPr>
              <w:overflowPunct w:val="0"/>
              <w:autoSpaceDE w:val="0"/>
              <w:autoSpaceDN w:val="0"/>
              <w:adjustRightInd w:val="0"/>
            </w:pPr>
          </w:p>
          <w:p w:rsidR="00814FF7" w:rsidRPr="00640F14" w:rsidRDefault="00814FF7" w:rsidP="00814FF7">
            <w:pPr>
              <w:pStyle w:val="ListParagraph"/>
              <w:numPr>
                <w:ilvl w:val="0"/>
                <w:numId w:val="6"/>
              </w:numPr>
              <w:overflowPunct w:val="0"/>
              <w:autoSpaceDE w:val="0"/>
              <w:autoSpaceDN w:val="0"/>
              <w:adjustRightInd w:val="0"/>
              <w:spacing w:after="0" w:line="240" w:lineRule="auto"/>
              <w:rPr>
                <w:i/>
              </w:rPr>
            </w:pPr>
            <w:r w:rsidRPr="00640F14">
              <w:rPr>
                <w:i/>
              </w:rPr>
              <w:t xml:space="preserve">Each </w:t>
            </w:r>
            <w:r>
              <w:rPr>
                <w:i/>
              </w:rPr>
              <w:t>clinic</w:t>
            </w:r>
            <w:r w:rsidRPr="00640F14">
              <w:rPr>
                <w:i/>
              </w:rPr>
              <w:t xml:space="preserve"> shall report to the Department any other serious incident</w:t>
            </w:r>
            <w:r w:rsidRPr="00640F14">
              <w:rPr>
                <w:i/>
                <w:strike/>
              </w:rPr>
              <w:t xml:space="preserve">, </w:t>
            </w:r>
            <w:r w:rsidRPr="00640F14">
              <w:rPr>
                <w:b/>
                <w:i/>
                <w:color w:val="0070C0"/>
              </w:rPr>
              <w:t>or</w:t>
            </w:r>
            <w:r w:rsidRPr="00640F14">
              <w:rPr>
                <w:i/>
              </w:rPr>
              <w:t xml:space="preserve"> accident </w:t>
            </w:r>
            <w:r w:rsidRPr="00640F14">
              <w:rPr>
                <w:i/>
                <w:strike/>
              </w:rPr>
              <w:t xml:space="preserve">or </w:t>
            </w:r>
            <w:r w:rsidRPr="00640F14">
              <w:rPr>
                <w:i/>
                <w:strike/>
                <w:color w:val="FF0000"/>
              </w:rPr>
              <w:t>serious reportable event pursuant to 105 CMR 1</w:t>
            </w:r>
            <w:r>
              <w:rPr>
                <w:i/>
                <w:strike/>
                <w:color w:val="FF0000"/>
              </w:rPr>
              <w:t>4</w:t>
            </w:r>
            <w:r w:rsidRPr="00640F14">
              <w:rPr>
                <w:i/>
                <w:strike/>
                <w:color w:val="FF0000"/>
              </w:rPr>
              <w:t>0.3</w:t>
            </w:r>
            <w:r>
              <w:rPr>
                <w:i/>
                <w:strike/>
                <w:color w:val="FF0000"/>
              </w:rPr>
              <w:t>08</w:t>
            </w:r>
            <w:r w:rsidRPr="00640F14">
              <w:rPr>
                <w:i/>
                <w:strike/>
                <w:color w:val="FF0000"/>
              </w:rPr>
              <w:t>(A) (SRE)</w:t>
            </w:r>
            <w:r w:rsidRPr="00640F14">
              <w:rPr>
                <w:i/>
              </w:rPr>
              <w:t xml:space="preserve"> occurring on premises covered by the </w:t>
            </w:r>
            <w:r>
              <w:rPr>
                <w:i/>
              </w:rPr>
              <w:t>clinic</w:t>
            </w:r>
            <w:r w:rsidRPr="00640F14">
              <w:rPr>
                <w:i/>
              </w:rPr>
              <w:t xml:space="preserve">’s license that seriously affects the health and safety of a patient(s) or that causes serious physical injury to a patient(s) </w:t>
            </w:r>
            <w:r w:rsidRPr="00640F14">
              <w:rPr>
                <w:i/>
                <w:strike/>
                <w:color w:val="33CC33"/>
              </w:rPr>
              <w:t>or a medication error that meets the definition of a Serious Adverse Drug Event (SADE) pursuant to 105 CMR 1</w:t>
            </w:r>
            <w:r>
              <w:rPr>
                <w:i/>
                <w:strike/>
                <w:color w:val="33CC33"/>
              </w:rPr>
              <w:t>4</w:t>
            </w:r>
            <w:r w:rsidRPr="00640F14">
              <w:rPr>
                <w:i/>
                <w:strike/>
                <w:color w:val="33CC33"/>
              </w:rPr>
              <w:t>0.3</w:t>
            </w:r>
            <w:r>
              <w:rPr>
                <w:i/>
                <w:strike/>
                <w:color w:val="33CC33"/>
              </w:rPr>
              <w:t>08</w:t>
            </w:r>
            <w:r w:rsidRPr="00640F14">
              <w:rPr>
                <w:i/>
                <w:strike/>
                <w:color w:val="33CC33"/>
              </w:rPr>
              <w:t>(A)</w:t>
            </w:r>
            <w:r w:rsidRPr="00640F14">
              <w:rPr>
                <w:rFonts w:cs="Arial"/>
                <w:i/>
                <w:strike/>
                <w:color w:val="33CC33"/>
              </w:rPr>
              <w:t xml:space="preserve"> </w:t>
            </w:r>
            <w:r w:rsidRPr="00640F14">
              <w:rPr>
                <w:i/>
              </w:rPr>
              <w:t xml:space="preserve">within seven </w:t>
            </w:r>
            <w:r w:rsidRPr="00640F14">
              <w:rPr>
                <w:b/>
                <w:i/>
                <w:color w:val="0070C0"/>
              </w:rPr>
              <w:t>calendar</w:t>
            </w:r>
            <w:r w:rsidRPr="00640F14">
              <w:rPr>
                <w:b/>
                <w:i/>
              </w:rPr>
              <w:t xml:space="preserve"> </w:t>
            </w:r>
            <w:r w:rsidRPr="00640F14">
              <w:rPr>
                <w:i/>
              </w:rPr>
              <w:t xml:space="preserve">days of the date of occurrence of the event. </w:t>
            </w:r>
          </w:p>
          <w:p w:rsidR="00814FF7" w:rsidRPr="00640F14" w:rsidRDefault="00814FF7" w:rsidP="00B00BB8"/>
          <w:p w:rsidR="00814FF7" w:rsidRPr="00640F14" w:rsidRDefault="00814FF7" w:rsidP="00B00BB8"/>
          <w:p w:rsidR="00814FF7" w:rsidRPr="00640F14" w:rsidRDefault="00814FF7" w:rsidP="00B00BB8"/>
        </w:tc>
        <w:tc>
          <w:tcPr>
            <w:tcW w:w="3510" w:type="dxa"/>
          </w:tcPr>
          <w:p w:rsidR="00814FF7" w:rsidRPr="00640F14" w:rsidRDefault="00814FF7" w:rsidP="00B00BB8">
            <w:pPr>
              <w:rPr>
                <w:color w:val="FF0000"/>
              </w:rPr>
            </w:pPr>
          </w:p>
        </w:tc>
      </w:tr>
      <w:tr w:rsidR="00814FF7" w:rsidRPr="00640F14" w:rsidTr="00B00BB8">
        <w:trPr>
          <w:trHeight w:val="3140"/>
        </w:trPr>
        <w:tc>
          <w:tcPr>
            <w:tcW w:w="468" w:type="dxa"/>
            <w:shd w:val="clear" w:color="auto" w:fill="auto"/>
          </w:tcPr>
          <w:p w:rsidR="00814FF7" w:rsidRPr="00640F14" w:rsidRDefault="00814FF7" w:rsidP="00B00BB8">
            <w:pPr>
              <w:pStyle w:val="NoSpacing"/>
              <w:jc w:val="center"/>
              <w:rPr>
                <w:rFonts w:asciiTheme="minorHAnsi" w:hAnsiTheme="minorHAnsi"/>
                <w:b/>
                <w:sz w:val="22"/>
              </w:rPr>
            </w:pPr>
            <w:r w:rsidRPr="00640F14">
              <w:rPr>
                <w:rFonts w:asciiTheme="minorHAnsi" w:hAnsiTheme="minorHAnsi"/>
                <w:b/>
                <w:sz w:val="22"/>
              </w:rPr>
              <w:lastRenderedPageBreak/>
              <w:t>1</w:t>
            </w:r>
            <w:r>
              <w:rPr>
                <w:rFonts w:asciiTheme="minorHAnsi" w:hAnsiTheme="minorHAnsi"/>
                <w:b/>
                <w:sz w:val="22"/>
              </w:rPr>
              <w:t>0</w:t>
            </w:r>
          </w:p>
        </w:tc>
        <w:tc>
          <w:tcPr>
            <w:tcW w:w="1602" w:type="dxa"/>
          </w:tcPr>
          <w:p w:rsidR="00814FF7" w:rsidRPr="00640F14" w:rsidRDefault="00814FF7" w:rsidP="00B00BB8">
            <w:pPr>
              <w:pStyle w:val="NoSpacing"/>
              <w:rPr>
                <w:rFonts w:asciiTheme="minorHAnsi" w:hAnsiTheme="minorHAnsi"/>
                <w:sz w:val="22"/>
              </w:rPr>
            </w:pPr>
            <w:r w:rsidRPr="00640F14">
              <w:rPr>
                <w:rFonts w:asciiTheme="minorHAnsi" w:hAnsiTheme="minorHAnsi"/>
                <w:sz w:val="22"/>
              </w:rPr>
              <w:t>105 CMR § 1</w:t>
            </w:r>
            <w:r>
              <w:rPr>
                <w:rFonts w:asciiTheme="minorHAnsi" w:hAnsiTheme="minorHAnsi"/>
                <w:sz w:val="22"/>
              </w:rPr>
              <w:t>4</w:t>
            </w:r>
            <w:r w:rsidRPr="00640F14">
              <w:rPr>
                <w:rFonts w:asciiTheme="minorHAnsi" w:hAnsiTheme="minorHAnsi"/>
                <w:sz w:val="22"/>
              </w:rPr>
              <w:t>0.3</w:t>
            </w:r>
            <w:r>
              <w:rPr>
                <w:rFonts w:asciiTheme="minorHAnsi" w:hAnsiTheme="minorHAnsi"/>
                <w:sz w:val="22"/>
              </w:rPr>
              <w:t>07</w:t>
            </w:r>
            <w:r w:rsidRPr="00640F14">
              <w:rPr>
                <w:rFonts w:asciiTheme="minorHAnsi" w:hAnsiTheme="minorHAnsi"/>
                <w:sz w:val="22"/>
              </w:rPr>
              <w:t>(B)</w:t>
            </w:r>
          </w:p>
          <w:p w:rsidR="00814FF7" w:rsidRPr="00640F14" w:rsidRDefault="00814FF7" w:rsidP="00B00BB8">
            <w:pPr>
              <w:pStyle w:val="NoSpacing"/>
              <w:rPr>
                <w:rFonts w:asciiTheme="minorHAnsi" w:hAnsiTheme="minorHAnsi"/>
                <w:sz w:val="22"/>
              </w:rPr>
            </w:pPr>
          </w:p>
        </w:tc>
        <w:tc>
          <w:tcPr>
            <w:tcW w:w="3870" w:type="dxa"/>
          </w:tcPr>
          <w:p w:rsidR="00814FF7" w:rsidRPr="00640F14" w:rsidRDefault="00814FF7" w:rsidP="00B00BB8">
            <w:pPr>
              <w:pStyle w:val="NoSpacing"/>
              <w:rPr>
                <w:rFonts w:asciiTheme="minorHAnsi" w:hAnsiTheme="minorHAnsi"/>
                <w:sz w:val="22"/>
              </w:rPr>
            </w:pPr>
            <w:r w:rsidRPr="00640F14">
              <w:rPr>
                <w:rFonts w:asciiTheme="minorHAnsi" w:hAnsiTheme="minorHAnsi"/>
                <w:b/>
                <w:sz w:val="22"/>
              </w:rPr>
              <w:t xml:space="preserve">Abuse &amp; neglect definitions: </w:t>
            </w:r>
          </w:p>
          <w:p w:rsidR="00814FF7" w:rsidRPr="00640F14" w:rsidRDefault="00814FF7" w:rsidP="00B00BB8">
            <w:pPr>
              <w:pStyle w:val="NoSpacing"/>
              <w:rPr>
                <w:rFonts w:asciiTheme="minorHAnsi" w:hAnsiTheme="minorHAnsi"/>
                <w:sz w:val="22"/>
              </w:rPr>
            </w:pPr>
            <w:r w:rsidRPr="00640F14">
              <w:rPr>
                <w:rFonts w:asciiTheme="minorHAnsi" w:hAnsiTheme="minorHAnsi"/>
                <w:sz w:val="22"/>
              </w:rPr>
              <w:t>Currently, regulation 140.307(B) do</w:t>
            </w:r>
            <w:r>
              <w:rPr>
                <w:rFonts w:asciiTheme="minorHAnsi" w:hAnsiTheme="minorHAnsi"/>
                <w:sz w:val="22"/>
              </w:rPr>
              <w:t>es</w:t>
            </w:r>
            <w:r w:rsidRPr="00640F14">
              <w:rPr>
                <w:rFonts w:asciiTheme="minorHAnsi" w:hAnsiTheme="minorHAnsi"/>
                <w:sz w:val="22"/>
              </w:rPr>
              <w:t xml:space="preserve"> not define the terms abuse, neglect, mistreatment, or misappropriation of patient [or resident] property. </w:t>
            </w:r>
          </w:p>
        </w:tc>
        <w:tc>
          <w:tcPr>
            <w:tcW w:w="5220" w:type="dxa"/>
          </w:tcPr>
          <w:p w:rsidR="00814FF7" w:rsidRPr="00640F14" w:rsidRDefault="00814FF7" w:rsidP="00B00BB8">
            <w:pPr>
              <w:pStyle w:val="NoSpacing"/>
              <w:rPr>
                <w:rFonts w:asciiTheme="minorHAnsi" w:hAnsiTheme="minorHAnsi"/>
                <w:b/>
                <w:sz w:val="22"/>
              </w:rPr>
            </w:pPr>
            <w:r w:rsidRPr="00640F14">
              <w:rPr>
                <w:rFonts w:asciiTheme="minorHAnsi" w:hAnsiTheme="minorHAnsi"/>
                <w:b/>
                <w:sz w:val="22"/>
              </w:rPr>
              <w:t xml:space="preserve">Add definitions for </w:t>
            </w:r>
            <w:r w:rsidRPr="00640F14">
              <w:rPr>
                <w:rFonts w:asciiTheme="minorHAnsi" w:hAnsiTheme="minorHAnsi"/>
                <w:b/>
                <w:i/>
                <w:sz w:val="22"/>
              </w:rPr>
              <w:t>abuse, neglect, mistreatment, or misappropriation of patient [or resident] property</w:t>
            </w:r>
            <w:r w:rsidRPr="00640F14">
              <w:rPr>
                <w:rFonts w:asciiTheme="minorHAnsi" w:hAnsiTheme="minorHAnsi"/>
                <w:b/>
                <w:sz w:val="22"/>
              </w:rPr>
              <w:t xml:space="preserve"> by applying definitions in </w:t>
            </w:r>
            <w:hyperlink r:id="rId16" w:history="1">
              <w:r w:rsidRPr="00640F14">
                <w:rPr>
                  <w:rStyle w:val="Hyperlink"/>
                  <w:rFonts w:asciiTheme="minorHAnsi" w:hAnsiTheme="minorHAnsi"/>
                  <w:b/>
                  <w:sz w:val="22"/>
                </w:rPr>
                <w:t xml:space="preserve">105 CMR §155.003 </w:t>
              </w:r>
            </w:hyperlink>
            <w:r w:rsidRPr="00640F14">
              <w:rPr>
                <w:rStyle w:val="Hyperlink"/>
                <w:rFonts w:asciiTheme="minorHAnsi" w:hAnsiTheme="minorHAnsi"/>
                <w:b/>
                <w:sz w:val="22"/>
              </w:rPr>
              <w:t>(long-term care facilities)</w:t>
            </w:r>
            <w:r w:rsidRPr="00640F14">
              <w:rPr>
                <w:rFonts w:asciiTheme="minorHAnsi" w:hAnsiTheme="minorHAnsi"/>
                <w:b/>
                <w:sz w:val="22"/>
              </w:rPr>
              <w:t xml:space="preserve"> </w:t>
            </w:r>
          </w:p>
          <w:p w:rsidR="00814FF7" w:rsidRPr="00640F14" w:rsidRDefault="00814FF7" w:rsidP="00B00BB8">
            <w:pPr>
              <w:pStyle w:val="NoSpacing"/>
              <w:rPr>
                <w:rFonts w:asciiTheme="minorHAnsi" w:hAnsiTheme="minorHAnsi"/>
                <w:sz w:val="22"/>
              </w:rPr>
            </w:pPr>
          </w:p>
          <w:p w:rsidR="00814FF7" w:rsidRPr="00640F14" w:rsidRDefault="00814FF7" w:rsidP="00B00BB8">
            <w:pPr>
              <w:pStyle w:val="NoSpacing"/>
              <w:rPr>
                <w:rFonts w:asciiTheme="minorHAnsi" w:hAnsiTheme="minorHAnsi"/>
                <w:sz w:val="22"/>
              </w:rPr>
            </w:pPr>
            <w:r w:rsidRPr="00640F14">
              <w:rPr>
                <w:rFonts w:asciiTheme="minorHAnsi" w:hAnsiTheme="minorHAnsi"/>
                <w:sz w:val="22"/>
              </w:rPr>
              <w:t>(Note, however, that these definitions utilize the defined terms “patient” and “resident” in 105 CMR §155.003.</w:t>
            </w:r>
            <w:r w:rsidRPr="007F556F">
              <w:rPr>
                <w:rFonts w:asciiTheme="minorHAnsi" w:hAnsiTheme="minorHAnsi"/>
                <w:sz w:val="22"/>
                <w:vertAlign w:val="superscript"/>
              </w:rPr>
              <w:t>1</w:t>
            </w:r>
            <w:r w:rsidRPr="00640F14">
              <w:rPr>
                <w:rFonts w:asciiTheme="minorHAnsi" w:hAnsiTheme="minorHAnsi"/>
                <w:sz w:val="22"/>
              </w:rPr>
              <w:t xml:space="preserve"> If this narrows the scope of the obligation, clarify the appropriate definition of “patient” and “resident.”)  </w:t>
            </w:r>
          </w:p>
          <w:p w:rsidR="00814FF7" w:rsidRPr="00640F14" w:rsidRDefault="00814FF7" w:rsidP="00B00BB8">
            <w:pPr>
              <w:pStyle w:val="NoSpacing"/>
              <w:rPr>
                <w:rFonts w:asciiTheme="minorHAnsi" w:hAnsiTheme="minorHAnsi"/>
                <w:sz w:val="22"/>
              </w:rPr>
            </w:pPr>
          </w:p>
          <w:p w:rsidR="00814FF7" w:rsidRPr="007F556F" w:rsidRDefault="00814FF7" w:rsidP="00B00BB8">
            <w:pPr>
              <w:pStyle w:val="NoSpacing"/>
              <w:rPr>
                <w:rFonts w:asciiTheme="minorHAnsi" w:hAnsiTheme="minorHAnsi"/>
                <w:sz w:val="22"/>
              </w:rPr>
            </w:pPr>
            <w:r w:rsidRPr="007F556F">
              <w:rPr>
                <w:rFonts w:asciiTheme="minorHAnsi" w:hAnsiTheme="minorHAnsi"/>
                <w:sz w:val="22"/>
                <w:vertAlign w:val="superscript"/>
              </w:rPr>
              <w:footnoteRef/>
            </w:r>
            <w:r w:rsidRPr="007F556F">
              <w:rPr>
                <w:rFonts w:asciiTheme="minorHAnsi" w:hAnsiTheme="minorHAnsi"/>
                <w:sz w:val="22"/>
                <w:vertAlign w:val="superscript"/>
              </w:rPr>
              <w:t xml:space="preserve"> </w:t>
            </w:r>
            <w:r w:rsidRPr="007F556F">
              <w:rPr>
                <w:rFonts w:asciiTheme="minorHAnsi" w:hAnsiTheme="minorHAnsi"/>
                <w:sz w:val="22"/>
              </w:rPr>
              <w:t xml:space="preserve">“Resident” is defined as “an individual who resides in a long term care facility licensed under M.G.L. c. 111, § 71,” and “patient” as “an individual who receives health, homemaker or hospice services at his or her residence from an individual employed by a home health agency, homemaker agency, or a hospice program.  </w:t>
            </w:r>
          </w:p>
        </w:tc>
        <w:tc>
          <w:tcPr>
            <w:tcW w:w="3510" w:type="dxa"/>
          </w:tcPr>
          <w:p w:rsidR="00814FF7" w:rsidRPr="00640F14" w:rsidRDefault="00814FF7" w:rsidP="00B00BB8">
            <w:pPr>
              <w:pStyle w:val="NoSpacing"/>
              <w:rPr>
                <w:rFonts w:asciiTheme="minorHAnsi" w:hAnsiTheme="minorHAnsi"/>
                <w:sz w:val="22"/>
              </w:rPr>
            </w:pPr>
            <w:r w:rsidRPr="00640F14">
              <w:rPr>
                <w:rFonts w:asciiTheme="minorHAnsi" w:hAnsiTheme="minorHAnsi"/>
                <w:sz w:val="22"/>
              </w:rPr>
              <w:t xml:space="preserve"> </w:t>
            </w:r>
          </w:p>
        </w:tc>
      </w:tr>
      <w:tr w:rsidR="00814FF7" w:rsidRPr="00640F14" w:rsidTr="00B00BB8">
        <w:trPr>
          <w:trHeight w:val="576"/>
        </w:trPr>
        <w:tc>
          <w:tcPr>
            <w:tcW w:w="14670" w:type="dxa"/>
            <w:gridSpan w:val="5"/>
            <w:shd w:val="clear" w:color="auto" w:fill="DBE5F1" w:themeFill="accent1" w:themeFillTint="33"/>
            <w:vAlign w:val="center"/>
          </w:tcPr>
          <w:p w:rsidR="00814FF7" w:rsidRPr="00640F14" w:rsidRDefault="00814FF7" w:rsidP="00B00BB8">
            <w:pPr>
              <w:rPr>
                <w:b/>
              </w:rPr>
            </w:pPr>
            <w:r w:rsidRPr="00640F14">
              <w:rPr>
                <w:b/>
              </w:rPr>
              <w:lastRenderedPageBreak/>
              <w:t>SADEs</w:t>
            </w:r>
          </w:p>
        </w:tc>
      </w:tr>
      <w:tr w:rsidR="00814FF7" w:rsidRPr="00640F14" w:rsidTr="00B00BB8">
        <w:trPr>
          <w:trHeight w:val="58"/>
        </w:trPr>
        <w:tc>
          <w:tcPr>
            <w:tcW w:w="468" w:type="dxa"/>
            <w:shd w:val="clear" w:color="auto" w:fill="auto"/>
          </w:tcPr>
          <w:p w:rsidR="00814FF7" w:rsidRPr="00640F14" w:rsidRDefault="00814FF7" w:rsidP="00B00BB8">
            <w:pPr>
              <w:jc w:val="center"/>
              <w:rPr>
                <w:b/>
              </w:rPr>
            </w:pPr>
            <w:r w:rsidRPr="00640F14">
              <w:rPr>
                <w:b/>
              </w:rPr>
              <w:t>1</w:t>
            </w:r>
            <w:r>
              <w:rPr>
                <w:b/>
              </w:rPr>
              <w:t>1</w:t>
            </w:r>
          </w:p>
        </w:tc>
        <w:tc>
          <w:tcPr>
            <w:tcW w:w="1602" w:type="dxa"/>
            <w:shd w:val="clear" w:color="auto" w:fill="auto"/>
          </w:tcPr>
          <w:p w:rsidR="00814FF7" w:rsidRPr="00640F14" w:rsidRDefault="00814FF7" w:rsidP="00B00BB8">
            <w:r w:rsidRPr="00640F14">
              <w:t>105 CMR § 1</w:t>
            </w:r>
            <w:r>
              <w:t>4</w:t>
            </w:r>
            <w:r w:rsidRPr="00640F14">
              <w:t>0.3</w:t>
            </w:r>
            <w:r>
              <w:t>08</w:t>
            </w:r>
            <w:r w:rsidRPr="00640F14">
              <w:t xml:space="preserve"> (E)</w:t>
            </w:r>
          </w:p>
          <w:p w:rsidR="00814FF7" w:rsidRPr="00640F14" w:rsidRDefault="00814FF7" w:rsidP="00B00BB8"/>
          <w:p w:rsidR="00814FF7" w:rsidRPr="00640F14" w:rsidRDefault="00814FF7" w:rsidP="00B00BB8">
            <w:pPr>
              <w:rPr>
                <w:b/>
              </w:rPr>
            </w:pPr>
          </w:p>
        </w:tc>
        <w:tc>
          <w:tcPr>
            <w:tcW w:w="3870" w:type="dxa"/>
            <w:shd w:val="clear" w:color="auto" w:fill="auto"/>
          </w:tcPr>
          <w:p w:rsidR="00814FF7" w:rsidRPr="00640F14" w:rsidRDefault="00814FF7" w:rsidP="00B00BB8">
            <w:pPr>
              <w:rPr>
                <w:b/>
              </w:rPr>
            </w:pPr>
            <w:r w:rsidRPr="00640F14">
              <w:rPr>
                <w:b/>
              </w:rPr>
              <w:t>Overlap with SREs</w:t>
            </w:r>
          </w:p>
          <w:p w:rsidR="00814FF7" w:rsidRPr="00640F14" w:rsidRDefault="00814FF7" w:rsidP="00B00BB8">
            <w:r w:rsidRPr="00640F14">
              <w:t xml:space="preserve">SADEs reporting obligation overlaps with SREs, leaving it unclear whether hospitals should submit two separate reports (one as a SADE and a second as an SRE): </w:t>
            </w:r>
          </w:p>
          <w:p w:rsidR="00814FF7" w:rsidRPr="00640F14" w:rsidRDefault="00814FF7" w:rsidP="00B00BB8"/>
          <w:p w:rsidR="00814FF7" w:rsidRPr="00640F14" w:rsidRDefault="00814FF7" w:rsidP="00B00BB8">
            <w:pPr>
              <w:pStyle w:val="ListParagraph"/>
              <w:overflowPunct w:val="0"/>
              <w:autoSpaceDE w:val="0"/>
              <w:autoSpaceDN w:val="0"/>
              <w:adjustRightInd w:val="0"/>
              <w:ind w:left="0"/>
            </w:pPr>
            <w:r w:rsidRPr="00640F14">
              <w:rPr>
                <w:b/>
                <w:i/>
                <w:color w:val="0070C0"/>
              </w:rPr>
              <w:t xml:space="preserve">(2)  If a SADE also is an SRE, the hospital shall </w:t>
            </w:r>
            <w:r w:rsidRPr="00640F14">
              <w:rPr>
                <w:b/>
                <w:i/>
                <w:color w:val="0070C0"/>
                <w:highlight w:val="lightGray"/>
              </w:rPr>
              <w:t>also</w:t>
            </w:r>
            <w:r w:rsidRPr="00640F14">
              <w:rPr>
                <w:b/>
                <w:i/>
                <w:color w:val="0070C0"/>
              </w:rPr>
              <w:t xml:space="preserve"> comply with the requirements of 105 CMR 130.332(B), (C) and (D).</w:t>
            </w:r>
          </w:p>
          <w:p w:rsidR="00814FF7" w:rsidRPr="00640F14" w:rsidRDefault="00814FF7" w:rsidP="00B00BB8"/>
        </w:tc>
        <w:tc>
          <w:tcPr>
            <w:tcW w:w="5220" w:type="dxa"/>
          </w:tcPr>
          <w:p w:rsidR="00814FF7" w:rsidRPr="00640F14" w:rsidRDefault="00814FF7" w:rsidP="00B00BB8">
            <w:pPr>
              <w:pStyle w:val="NoSpacing"/>
              <w:rPr>
                <w:rFonts w:asciiTheme="minorHAnsi" w:hAnsiTheme="minorHAnsi"/>
                <w:b/>
                <w:sz w:val="22"/>
              </w:rPr>
            </w:pPr>
            <w:r w:rsidRPr="00640F14">
              <w:rPr>
                <w:rFonts w:asciiTheme="minorHAnsi" w:hAnsiTheme="minorHAnsi"/>
                <w:b/>
                <w:sz w:val="22"/>
              </w:rPr>
              <w:t xml:space="preserve">Clarify in Department guidance how SADEs that also qualify as </w:t>
            </w:r>
            <w:r w:rsidRPr="00920A2D">
              <w:rPr>
                <w:rFonts w:asciiTheme="minorHAnsi" w:hAnsiTheme="minorHAnsi"/>
                <w:b/>
                <w:sz w:val="22"/>
              </w:rPr>
              <w:t>SREs should be reported, including whether or not ASCs should</w:t>
            </w:r>
            <w:r w:rsidRPr="00640F14">
              <w:rPr>
                <w:rFonts w:asciiTheme="minorHAnsi" w:hAnsiTheme="minorHAnsi"/>
                <w:b/>
                <w:sz w:val="22"/>
              </w:rPr>
              <w:t xml:space="preserve"> submit two separate reports.</w:t>
            </w:r>
          </w:p>
          <w:p w:rsidR="00814FF7" w:rsidRPr="00640F14" w:rsidRDefault="00814FF7" w:rsidP="00B00BB8">
            <w:pPr>
              <w:pStyle w:val="NoSpacing"/>
              <w:ind w:left="360"/>
              <w:rPr>
                <w:rFonts w:asciiTheme="minorHAnsi" w:hAnsiTheme="minorHAnsi"/>
                <w:sz w:val="22"/>
              </w:rPr>
            </w:pPr>
          </w:p>
          <w:p w:rsidR="00814FF7" w:rsidRPr="00640F14" w:rsidRDefault="00814FF7" w:rsidP="00B00BB8"/>
        </w:tc>
        <w:tc>
          <w:tcPr>
            <w:tcW w:w="3510" w:type="dxa"/>
          </w:tcPr>
          <w:p w:rsidR="00814FF7" w:rsidRPr="00640F14" w:rsidRDefault="00814FF7" w:rsidP="00B00BB8">
            <w:pPr>
              <w:pStyle w:val="NoSpacing"/>
              <w:rPr>
                <w:rFonts w:asciiTheme="minorHAnsi" w:hAnsiTheme="minorHAnsi"/>
                <w:sz w:val="22"/>
              </w:rPr>
            </w:pPr>
          </w:p>
        </w:tc>
      </w:tr>
      <w:tr w:rsidR="00814FF7" w:rsidRPr="00640F14" w:rsidTr="00B00BB8">
        <w:trPr>
          <w:trHeight w:val="350"/>
        </w:trPr>
        <w:tc>
          <w:tcPr>
            <w:tcW w:w="468" w:type="dxa"/>
            <w:shd w:val="clear" w:color="auto" w:fill="auto"/>
          </w:tcPr>
          <w:p w:rsidR="00814FF7" w:rsidRPr="00640F14" w:rsidRDefault="00814FF7" w:rsidP="00B00BB8">
            <w:pPr>
              <w:jc w:val="center"/>
              <w:rPr>
                <w:b/>
              </w:rPr>
            </w:pPr>
            <w:r w:rsidRPr="00640F14">
              <w:rPr>
                <w:b/>
              </w:rPr>
              <w:t>1</w:t>
            </w:r>
            <w:r>
              <w:rPr>
                <w:b/>
              </w:rPr>
              <w:t>2</w:t>
            </w:r>
          </w:p>
        </w:tc>
        <w:tc>
          <w:tcPr>
            <w:tcW w:w="1602" w:type="dxa"/>
            <w:shd w:val="clear" w:color="auto" w:fill="auto"/>
          </w:tcPr>
          <w:p w:rsidR="00814FF7" w:rsidRPr="00640F14" w:rsidRDefault="00814FF7" w:rsidP="00B00BB8">
            <w:r w:rsidRPr="00640F14">
              <w:t>105 CMR §1</w:t>
            </w:r>
            <w:r>
              <w:t>4</w:t>
            </w:r>
            <w:r w:rsidRPr="00640F14">
              <w:t>0.3</w:t>
            </w:r>
            <w:r>
              <w:t>08</w:t>
            </w:r>
            <w:r w:rsidRPr="00640F14">
              <w:t xml:space="preserve"> (E)(3)</w:t>
            </w:r>
          </w:p>
          <w:p w:rsidR="00814FF7" w:rsidRPr="00640F14" w:rsidRDefault="00814FF7" w:rsidP="00B00BB8"/>
          <w:p w:rsidR="00814FF7" w:rsidRPr="00640F14" w:rsidRDefault="00814FF7" w:rsidP="00B00BB8">
            <w:pPr>
              <w:rPr>
                <w:b/>
              </w:rPr>
            </w:pPr>
            <w:r w:rsidRPr="00640F14">
              <w:t xml:space="preserve"> </w:t>
            </w:r>
          </w:p>
        </w:tc>
        <w:tc>
          <w:tcPr>
            <w:tcW w:w="3870" w:type="dxa"/>
            <w:shd w:val="clear" w:color="auto" w:fill="auto"/>
          </w:tcPr>
          <w:p w:rsidR="00814FF7" w:rsidRPr="00640F14" w:rsidRDefault="00814FF7" w:rsidP="00B00BB8">
            <w:r w:rsidRPr="00640F14">
              <w:rPr>
                <w:b/>
              </w:rPr>
              <w:t xml:space="preserve">Reporting pharmacy-related SADEs  </w:t>
            </w:r>
            <w:r w:rsidRPr="00640F14">
              <w:t>[1</w:t>
            </w:r>
            <w:r>
              <w:t>4</w:t>
            </w:r>
            <w:r w:rsidRPr="00640F14">
              <w:t>0.3</w:t>
            </w:r>
            <w:r>
              <w:t>08</w:t>
            </w:r>
            <w:r w:rsidRPr="00640F14">
              <w:t xml:space="preserve"> (E)(3)</w:t>
            </w:r>
            <w:r>
              <w:t>]</w:t>
            </w:r>
          </w:p>
          <w:p w:rsidR="00814FF7" w:rsidRPr="00640F14" w:rsidRDefault="00814FF7" w:rsidP="00B00BB8">
            <w:pPr>
              <w:spacing w:before="60" w:after="80"/>
              <w:rPr>
                <w:b/>
              </w:rPr>
            </w:pPr>
          </w:p>
          <w:p w:rsidR="00814FF7" w:rsidRPr="00640F14" w:rsidRDefault="00814FF7" w:rsidP="00814FF7">
            <w:pPr>
              <w:pStyle w:val="ListParagraph"/>
              <w:widowControl/>
              <w:numPr>
                <w:ilvl w:val="0"/>
                <w:numId w:val="9"/>
              </w:numPr>
              <w:spacing w:before="60" w:after="80" w:line="240" w:lineRule="auto"/>
              <w:rPr>
                <w:b/>
              </w:rPr>
            </w:pPr>
            <w:r w:rsidRPr="00640F14">
              <w:rPr>
                <w:b/>
              </w:rPr>
              <w:t>Production, compounding and dispensing</w:t>
            </w:r>
            <w:r>
              <w:rPr>
                <w:b/>
              </w:rPr>
              <w:t>—</w:t>
            </w:r>
            <w:r>
              <w:t>T</w:t>
            </w:r>
            <w:r w:rsidRPr="001440B3">
              <w:t xml:space="preserve">he statute [M.G.L. </w:t>
            </w:r>
            <w:r>
              <w:t>c.111</w:t>
            </w:r>
            <w:r w:rsidRPr="001440B3">
              <w:t xml:space="preserve"> </w:t>
            </w:r>
            <w:r w:rsidRPr="00640F14">
              <w:t xml:space="preserve">§ </w:t>
            </w:r>
            <w:proofErr w:type="gramStart"/>
            <w:r>
              <w:t>51H</w:t>
            </w:r>
            <w:r w:rsidRPr="001440B3">
              <w:t>(</w:t>
            </w:r>
            <w:proofErr w:type="gramEnd"/>
            <w:r w:rsidRPr="001440B3">
              <w:t>b)</w:t>
            </w:r>
            <w:r>
              <w:t xml:space="preserve">] specifies that it applies to </w:t>
            </w:r>
            <w:r w:rsidRPr="001440B3">
              <w:rPr>
                <w:i/>
              </w:rPr>
              <w:t>dispensing</w:t>
            </w:r>
            <w:r>
              <w:t>, in addition to producing and compounding. However, the proposed regulation</w:t>
            </w:r>
            <w:r w:rsidRPr="00640F14">
              <w:t xml:space="preserve"> </w:t>
            </w:r>
            <w:r>
              <w:t>omits “</w:t>
            </w:r>
            <w:r w:rsidRPr="00640F14">
              <w:t>dispensing</w:t>
            </w:r>
            <w:r>
              <w:t>.”</w:t>
            </w:r>
          </w:p>
          <w:p w:rsidR="00814FF7" w:rsidRPr="00640F14" w:rsidRDefault="00814FF7" w:rsidP="00B00BB8">
            <w:pPr>
              <w:pStyle w:val="ListParagraph"/>
              <w:spacing w:before="60" w:after="80"/>
              <w:ind w:left="360"/>
              <w:rPr>
                <w:b/>
              </w:rPr>
            </w:pPr>
          </w:p>
          <w:p w:rsidR="00814FF7" w:rsidRPr="007F556F" w:rsidRDefault="00814FF7" w:rsidP="00814FF7">
            <w:pPr>
              <w:pStyle w:val="ListParagraph"/>
              <w:widowControl/>
              <w:numPr>
                <w:ilvl w:val="0"/>
                <w:numId w:val="9"/>
              </w:numPr>
              <w:spacing w:before="60" w:after="80" w:line="240" w:lineRule="auto"/>
              <w:rPr>
                <w:b/>
              </w:rPr>
            </w:pPr>
            <w:r w:rsidRPr="00640F14">
              <w:rPr>
                <w:b/>
              </w:rPr>
              <w:t>Off premises—</w:t>
            </w:r>
            <w:proofErr w:type="gramStart"/>
            <w:r w:rsidRPr="00640F14">
              <w:t>The</w:t>
            </w:r>
            <w:proofErr w:type="gramEnd"/>
            <w:r w:rsidRPr="00640F14">
              <w:t xml:space="preserve"> regulation</w:t>
            </w:r>
            <w:r>
              <w:t xml:space="preserve"> does not clearly state that </w:t>
            </w:r>
            <w:r w:rsidRPr="00640F14">
              <w:t xml:space="preserve">provision (3) applies to SADEs that occur </w:t>
            </w:r>
            <w:r w:rsidRPr="00640F14">
              <w:rPr>
                <w:i/>
              </w:rPr>
              <w:t>off</w:t>
            </w:r>
            <w:r w:rsidRPr="00640F14">
              <w:t>-premises of a</w:t>
            </w:r>
            <w:r>
              <w:t>n ASC</w:t>
            </w:r>
            <w:r w:rsidRPr="00640F14">
              <w:t xml:space="preserve">. For example, a patient is treated at </w:t>
            </w:r>
            <w:r>
              <w:t xml:space="preserve">an ASC </w:t>
            </w:r>
            <w:r w:rsidRPr="00640F14">
              <w:t xml:space="preserve">after consuming the wrong medication which was mistakenly </w:t>
            </w:r>
            <w:r w:rsidRPr="00640F14">
              <w:lastRenderedPageBreak/>
              <w:t>dispensed by an outside pharmacy?</w:t>
            </w:r>
          </w:p>
        </w:tc>
        <w:tc>
          <w:tcPr>
            <w:tcW w:w="5220" w:type="dxa"/>
          </w:tcPr>
          <w:p w:rsidR="00814FF7" w:rsidRPr="00640F14" w:rsidRDefault="00814FF7" w:rsidP="00B00BB8">
            <w:pPr>
              <w:rPr>
                <w:b/>
              </w:rPr>
            </w:pPr>
            <w:r w:rsidRPr="00640F14">
              <w:rPr>
                <w:b/>
              </w:rPr>
              <w:lastRenderedPageBreak/>
              <w:t>Amend 1</w:t>
            </w:r>
            <w:r>
              <w:rPr>
                <w:b/>
              </w:rPr>
              <w:t>4</w:t>
            </w:r>
            <w:r w:rsidRPr="00640F14">
              <w:rPr>
                <w:b/>
              </w:rPr>
              <w:t>0.3</w:t>
            </w:r>
            <w:r>
              <w:rPr>
                <w:b/>
              </w:rPr>
              <w:t>08</w:t>
            </w:r>
            <w:r w:rsidRPr="00640F14">
              <w:rPr>
                <w:b/>
              </w:rPr>
              <w:t xml:space="preserve"> (E)(3) to clarify that provision (3) of the SADEs regulations:</w:t>
            </w:r>
          </w:p>
          <w:p w:rsidR="00814FF7" w:rsidRPr="00640F14" w:rsidRDefault="00814FF7" w:rsidP="00814FF7">
            <w:pPr>
              <w:pStyle w:val="ListParagraph"/>
              <w:widowControl/>
              <w:numPr>
                <w:ilvl w:val="0"/>
                <w:numId w:val="10"/>
              </w:numPr>
              <w:spacing w:after="0" w:line="240" w:lineRule="auto"/>
              <w:rPr>
                <w:b/>
              </w:rPr>
            </w:pPr>
            <w:r w:rsidRPr="00640F14">
              <w:rPr>
                <w:b/>
              </w:rPr>
              <w:t>Includes SADEs that result from the production, compounding,</w:t>
            </w:r>
            <w:r w:rsidRPr="00640F14">
              <w:rPr>
                <w:b/>
                <w:i/>
              </w:rPr>
              <w:t xml:space="preserve"> and dispensing</w:t>
            </w:r>
            <w:r w:rsidRPr="00640F14">
              <w:rPr>
                <w:b/>
              </w:rPr>
              <w:t xml:space="preserve"> of pharmaceuticals or drug preparation by a pharmacy</w:t>
            </w:r>
          </w:p>
          <w:p w:rsidR="00814FF7" w:rsidRPr="00640F14" w:rsidRDefault="00814FF7" w:rsidP="00B00BB8">
            <w:pPr>
              <w:pStyle w:val="ListParagraph"/>
              <w:rPr>
                <w:b/>
              </w:rPr>
            </w:pPr>
          </w:p>
          <w:p w:rsidR="00814FF7" w:rsidRPr="00640F14" w:rsidRDefault="00814FF7" w:rsidP="00814FF7">
            <w:pPr>
              <w:pStyle w:val="ListParagraph"/>
              <w:widowControl/>
              <w:numPr>
                <w:ilvl w:val="0"/>
                <w:numId w:val="10"/>
              </w:numPr>
              <w:spacing w:after="0" w:line="240" w:lineRule="auto"/>
              <w:rPr>
                <w:b/>
              </w:rPr>
            </w:pPr>
            <w:r w:rsidRPr="00640F14">
              <w:rPr>
                <w:b/>
              </w:rPr>
              <w:t xml:space="preserve">Applies exclusively to SADEs that originate off the premises of the reporting </w:t>
            </w:r>
            <w:r>
              <w:rPr>
                <w:b/>
              </w:rPr>
              <w:t>ASC</w:t>
            </w:r>
          </w:p>
          <w:p w:rsidR="00814FF7" w:rsidRPr="00640F14" w:rsidRDefault="00814FF7" w:rsidP="00B00BB8"/>
          <w:p w:rsidR="00814FF7" w:rsidRPr="00640F14" w:rsidRDefault="00814FF7" w:rsidP="00B00BB8">
            <w:r w:rsidRPr="00640F14">
              <w:t>Suggested language:</w:t>
            </w:r>
          </w:p>
          <w:p w:rsidR="00814FF7" w:rsidRPr="00640F14" w:rsidRDefault="00814FF7" w:rsidP="00B00BB8">
            <w:pPr>
              <w:ind w:left="252"/>
              <w:rPr>
                <w:b/>
                <w:bCs/>
                <w:color w:val="0070C0"/>
              </w:rPr>
            </w:pPr>
            <w:r w:rsidRPr="00640F14">
              <w:rPr>
                <w:b/>
                <w:bCs/>
                <w:color w:val="0070C0"/>
              </w:rPr>
              <w:t xml:space="preserve">(3)  Upon first discovering, through diagnostic evaluation and assessment of an individual patient, that a SADE has resulted from a patient’s use, consumption or interaction with any pharmaceutical or drug preparation </w:t>
            </w:r>
            <w:r w:rsidRPr="00640F14">
              <w:rPr>
                <w:b/>
                <w:bCs/>
                <w:color w:val="33CC33"/>
              </w:rPr>
              <w:t xml:space="preserve">produced, compounded, or dispensed at a pharmacy not </w:t>
            </w:r>
            <w:r w:rsidRPr="00640F14">
              <w:rPr>
                <w:b/>
                <w:bCs/>
                <w:color w:val="33CC33"/>
              </w:rPr>
              <w:lastRenderedPageBreak/>
              <w:t>on the premises of the</w:t>
            </w:r>
            <w:r>
              <w:rPr>
                <w:b/>
                <w:bCs/>
                <w:color w:val="33CC33"/>
              </w:rPr>
              <w:t xml:space="preserve"> ASC</w:t>
            </w:r>
            <w:r w:rsidRPr="00157400">
              <w:rPr>
                <w:b/>
                <w:bCs/>
                <w:color w:val="33CC33"/>
              </w:rPr>
              <w:t>,</w:t>
            </w:r>
            <w:r>
              <w:rPr>
                <w:b/>
                <w:bCs/>
                <w:color w:val="33CC33"/>
              </w:rPr>
              <w:t xml:space="preserve"> an ASC</w:t>
            </w:r>
            <w:r w:rsidRPr="00157400">
              <w:rPr>
                <w:b/>
                <w:bCs/>
                <w:color w:val="33CC33"/>
              </w:rPr>
              <w:t xml:space="preserve"> </w:t>
            </w:r>
            <w:r w:rsidRPr="009217CB">
              <w:rPr>
                <w:b/>
                <w:bCs/>
                <w:strike/>
                <w:color w:val="33CC33"/>
              </w:rPr>
              <w:t>a hospital</w:t>
            </w:r>
            <w:r>
              <w:rPr>
                <w:b/>
                <w:bCs/>
                <w:color w:val="0070C0"/>
              </w:rPr>
              <w:t xml:space="preserve"> </w:t>
            </w:r>
            <w:r w:rsidRPr="00640F14">
              <w:rPr>
                <w:b/>
                <w:bCs/>
                <w:color w:val="0070C0"/>
              </w:rPr>
              <w:t>must report the event…</w:t>
            </w:r>
          </w:p>
        </w:tc>
        <w:tc>
          <w:tcPr>
            <w:tcW w:w="3510" w:type="dxa"/>
          </w:tcPr>
          <w:p w:rsidR="00814FF7" w:rsidRPr="00640F14" w:rsidRDefault="00814FF7" w:rsidP="00B00BB8">
            <w:pPr>
              <w:rPr>
                <w:u w:val="single"/>
              </w:rPr>
            </w:pPr>
          </w:p>
        </w:tc>
      </w:tr>
      <w:tr w:rsidR="00814FF7" w:rsidRPr="00640F14" w:rsidTr="00B00BB8">
        <w:trPr>
          <w:trHeight w:val="800"/>
        </w:trPr>
        <w:tc>
          <w:tcPr>
            <w:tcW w:w="468" w:type="dxa"/>
            <w:shd w:val="clear" w:color="auto" w:fill="auto"/>
          </w:tcPr>
          <w:p w:rsidR="00814FF7" w:rsidRPr="00640F14" w:rsidRDefault="00814FF7" w:rsidP="00B00BB8">
            <w:pPr>
              <w:jc w:val="center"/>
              <w:rPr>
                <w:b/>
              </w:rPr>
            </w:pPr>
            <w:r w:rsidRPr="00640F14">
              <w:rPr>
                <w:b/>
              </w:rPr>
              <w:lastRenderedPageBreak/>
              <w:t>1</w:t>
            </w:r>
            <w:r>
              <w:rPr>
                <w:b/>
              </w:rPr>
              <w:t>3</w:t>
            </w:r>
          </w:p>
        </w:tc>
        <w:tc>
          <w:tcPr>
            <w:tcW w:w="1602" w:type="dxa"/>
            <w:shd w:val="clear" w:color="auto" w:fill="auto"/>
          </w:tcPr>
          <w:p w:rsidR="00814FF7" w:rsidRPr="00640F14" w:rsidRDefault="00814FF7" w:rsidP="00B00BB8">
            <w:r>
              <w:t xml:space="preserve">105 CMR </w:t>
            </w:r>
            <w:r w:rsidRPr="00640F14">
              <w:t>§ 1</w:t>
            </w:r>
            <w:r>
              <w:t>4</w:t>
            </w:r>
            <w:r w:rsidRPr="00640F14">
              <w:t>0.3</w:t>
            </w:r>
            <w:r>
              <w:t>08</w:t>
            </w:r>
            <w:r w:rsidRPr="00640F14">
              <w:t xml:space="preserve"> (E)(3)</w:t>
            </w:r>
          </w:p>
          <w:p w:rsidR="00814FF7" w:rsidRPr="00640F14" w:rsidRDefault="00814FF7" w:rsidP="00B00BB8"/>
          <w:p w:rsidR="00814FF7" w:rsidRPr="00640F14" w:rsidRDefault="00814FF7" w:rsidP="00B00BB8">
            <w:pPr>
              <w:rPr>
                <w:b/>
              </w:rPr>
            </w:pPr>
            <w:r w:rsidRPr="00640F14">
              <w:t xml:space="preserve"> </w:t>
            </w:r>
          </w:p>
        </w:tc>
        <w:tc>
          <w:tcPr>
            <w:tcW w:w="3870" w:type="dxa"/>
            <w:shd w:val="clear" w:color="auto" w:fill="auto"/>
          </w:tcPr>
          <w:p w:rsidR="00814FF7" w:rsidRPr="00640F14" w:rsidRDefault="00814FF7" w:rsidP="00B00BB8">
            <w:pPr>
              <w:spacing w:before="60" w:after="80"/>
              <w:rPr>
                <w:b/>
              </w:rPr>
            </w:pPr>
            <w:r w:rsidRPr="00640F14">
              <w:rPr>
                <w:b/>
              </w:rPr>
              <w:t xml:space="preserve">Reporting to </w:t>
            </w:r>
            <w:proofErr w:type="spellStart"/>
            <w:r w:rsidRPr="00640F14">
              <w:rPr>
                <w:b/>
              </w:rPr>
              <w:t>MedWatch</w:t>
            </w:r>
            <w:proofErr w:type="spellEnd"/>
          </w:p>
          <w:p w:rsidR="00814FF7" w:rsidRPr="00640F14" w:rsidRDefault="00814FF7" w:rsidP="00B00BB8">
            <w:pPr>
              <w:spacing w:before="60" w:after="80"/>
            </w:pPr>
            <w:r w:rsidRPr="00640F14">
              <w:t xml:space="preserve">Because dispensing-related SADEs are not reportable to the federal </w:t>
            </w:r>
            <w:proofErr w:type="spellStart"/>
            <w:r w:rsidRPr="00640F14">
              <w:t>MedWatch</w:t>
            </w:r>
            <w:proofErr w:type="spellEnd"/>
            <w:r w:rsidRPr="00640F14">
              <w:t xml:space="preserve"> program, 1</w:t>
            </w:r>
            <w:r>
              <w:t>4</w:t>
            </w:r>
            <w:r w:rsidRPr="00640F14">
              <w:t>0.3</w:t>
            </w:r>
            <w:r>
              <w:t>08</w:t>
            </w:r>
            <w:r w:rsidRPr="00640F14">
              <w:t xml:space="preserve"> (E</w:t>
            </w:r>
            <w:proofErr w:type="gramStart"/>
            <w:r w:rsidRPr="00640F14">
              <w:t>)(</w:t>
            </w:r>
            <w:proofErr w:type="gramEnd"/>
            <w:r w:rsidRPr="00640F14">
              <w:t xml:space="preserve">3) would be clearer if separated into two sentences: one that addresses reporting SADEs that occur off- premises to the originating pharmacy; and a second that addresses the reporting of SADEs to </w:t>
            </w:r>
            <w:proofErr w:type="spellStart"/>
            <w:r w:rsidRPr="00640F14">
              <w:t>MedWatch</w:t>
            </w:r>
            <w:proofErr w:type="spellEnd"/>
            <w:r w:rsidRPr="00640F14">
              <w:t>.</w:t>
            </w:r>
          </w:p>
        </w:tc>
        <w:tc>
          <w:tcPr>
            <w:tcW w:w="5220" w:type="dxa"/>
          </w:tcPr>
          <w:p w:rsidR="00814FF7" w:rsidRPr="00640F14" w:rsidRDefault="00814FF7" w:rsidP="00B00BB8">
            <w:pPr>
              <w:rPr>
                <w:b/>
              </w:rPr>
            </w:pPr>
            <w:r w:rsidRPr="00640F14">
              <w:rPr>
                <w:b/>
              </w:rPr>
              <w:t xml:space="preserve">Separate out the federal </w:t>
            </w:r>
            <w:proofErr w:type="spellStart"/>
            <w:r w:rsidRPr="00640F14">
              <w:rPr>
                <w:b/>
              </w:rPr>
              <w:t>MedWatch</w:t>
            </w:r>
            <w:proofErr w:type="spellEnd"/>
            <w:r w:rsidRPr="00640F14">
              <w:rPr>
                <w:b/>
              </w:rPr>
              <w:t xml:space="preserve"> reporting requirement in 1</w:t>
            </w:r>
            <w:r>
              <w:rPr>
                <w:b/>
              </w:rPr>
              <w:t>4</w:t>
            </w:r>
            <w:r w:rsidRPr="00640F14">
              <w:rPr>
                <w:b/>
              </w:rPr>
              <w:t>0.3</w:t>
            </w:r>
            <w:r>
              <w:rPr>
                <w:b/>
              </w:rPr>
              <w:t>08</w:t>
            </w:r>
            <w:r w:rsidRPr="00640F14">
              <w:rPr>
                <w:b/>
              </w:rPr>
              <w:t xml:space="preserve"> (E)(3) as its own </w:t>
            </w:r>
            <w:r>
              <w:rPr>
                <w:b/>
              </w:rPr>
              <w:t>sentence</w:t>
            </w:r>
            <w:r w:rsidRPr="00640F14">
              <w:rPr>
                <w:b/>
              </w:rPr>
              <w:t xml:space="preserve"> for clarity: </w:t>
            </w:r>
          </w:p>
          <w:p w:rsidR="00814FF7" w:rsidRPr="00640F14" w:rsidRDefault="00814FF7" w:rsidP="00B00BB8">
            <w:pPr>
              <w:rPr>
                <w:color w:val="FF0000"/>
              </w:rPr>
            </w:pPr>
          </w:p>
          <w:p w:rsidR="00814FF7" w:rsidRPr="007F556F" w:rsidRDefault="00814FF7" w:rsidP="00B00BB8">
            <w:pPr>
              <w:rPr>
                <w:b/>
                <w:bCs/>
                <w:color w:val="33CC33"/>
              </w:rPr>
            </w:pPr>
            <w:r w:rsidRPr="00640F14">
              <w:rPr>
                <w:b/>
                <w:bCs/>
                <w:color w:val="0070C0"/>
              </w:rPr>
              <w:t>(3)  …</w:t>
            </w:r>
            <w:r w:rsidRPr="009217CB">
              <w:rPr>
                <w:bCs/>
                <w:strike/>
                <w:color w:val="33CC33"/>
              </w:rPr>
              <w:t>a hospital</w:t>
            </w:r>
            <w:r w:rsidRPr="00640F14">
              <w:rPr>
                <w:b/>
                <w:bCs/>
                <w:color w:val="0070C0"/>
              </w:rPr>
              <w:t xml:space="preserve"> </w:t>
            </w:r>
            <w:r>
              <w:rPr>
                <w:b/>
                <w:bCs/>
                <w:color w:val="0070C0"/>
              </w:rPr>
              <w:t xml:space="preserve">an ASC </w:t>
            </w:r>
            <w:r w:rsidRPr="00640F14">
              <w:rPr>
                <w:b/>
                <w:bCs/>
                <w:color w:val="0070C0"/>
              </w:rPr>
              <w:t xml:space="preserve">must report the event </w:t>
            </w:r>
            <w:r w:rsidRPr="00640F14">
              <w:rPr>
                <w:b/>
                <w:bCs/>
                <w:color w:val="33CC33"/>
              </w:rPr>
              <w:t>to</w:t>
            </w:r>
            <w:r w:rsidRPr="00640F14">
              <w:rPr>
                <w:bCs/>
                <w:strike/>
                <w:color w:val="33CC33"/>
              </w:rPr>
              <w:t xml:space="preserve"> the federal </w:t>
            </w:r>
            <w:proofErr w:type="spellStart"/>
            <w:r w:rsidRPr="00640F14">
              <w:rPr>
                <w:bCs/>
                <w:strike/>
                <w:color w:val="33CC33"/>
              </w:rPr>
              <w:t>MedWatch</w:t>
            </w:r>
            <w:proofErr w:type="spellEnd"/>
            <w:r w:rsidRPr="00640F14">
              <w:rPr>
                <w:bCs/>
                <w:strike/>
                <w:color w:val="33CC33"/>
              </w:rPr>
              <w:t xml:space="preserve"> Program, as well as</w:t>
            </w:r>
            <w:r w:rsidRPr="00640F14">
              <w:rPr>
                <w:b/>
                <w:bCs/>
                <w:color w:val="0070C0"/>
              </w:rPr>
              <w:t xml:space="preserve"> the pharmacy</w:t>
            </w:r>
            <w:r w:rsidRPr="00640F14">
              <w:rPr>
                <w:b/>
                <w:bCs/>
                <w:color w:val="33CC33"/>
              </w:rPr>
              <w:t xml:space="preserve">, </w:t>
            </w:r>
            <w:r w:rsidRPr="00640F14">
              <w:rPr>
                <w:strike/>
                <w:color w:val="33CC33"/>
              </w:rPr>
              <w:t>was produced or compounded</w:t>
            </w:r>
            <w:r w:rsidRPr="00640F14">
              <w:rPr>
                <w:b/>
                <w:bCs/>
                <w:color w:val="984806" w:themeColor="accent6" w:themeShade="80"/>
              </w:rPr>
              <w:t xml:space="preserve"> </w:t>
            </w:r>
            <w:r w:rsidRPr="00640F14">
              <w:rPr>
                <w:b/>
                <w:bCs/>
                <w:color w:val="0070C0"/>
              </w:rPr>
              <w:t xml:space="preserve">in addition to </w:t>
            </w:r>
            <w:r w:rsidRPr="00640F14">
              <w:rPr>
                <w:b/>
                <w:bCs/>
                <w:color w:val="33CC33"/>
              </w:rPr>
              <w:t>any</w:t>
            </w:r>
            <w:r w:rsidRPr="00640F14">
              <w:rPr>
                <w:b/>
                <w:bCs/>
                <w:color w:val="0070C0"/>
              </w:rPr>
              <w:t xml:space="preserve"> </w:t>
            </w:r>
            <w:r w:rsidRPr="00640F14">
              <w:rPr>
                <w:strike/>
                <w:color w:val="33CC33"/>
              </w:rPr>
              <w:t>all</w:t>
            </w:r>
            <w:r w:rsidRPr="00640F14">
              <w:rPr>
                <w:b/>
                <w:bCs/>
                <w:color w:val="33CC33"/>
              </w:rPr>
              <w:t xml:space="preserve"> </w:t>
            </w:r>
            <w:r w:rsidRPr="00640F14">
              <w:rPr>
                <w:b/>
                <w:bCs/>
                <w:color w:val="0070C0"/>
              </w:rPr>
              <w:t xml:space="preserve">other reporting requirements. </w:t>
            </w:r>
            <w:r w:rsidRPr="00640F14">
              <w:rPr>
                <w:b/>
                <w:bCs/>
                <w:color w:val="33CC33"/>
              </w:rPr>
              <w:t>A</w:t>
            </w:r>
            <w:r>
              <w:rPr>
                <w:b/>
                <w:bCs/>
                <w:color w:val="33CC33"/>
              </w:rPr>
              <w:t>n ASC</w:t>
            </w:r>
            <w:r w:rsidRPr="00640F14">
              <w:rPr>
                <w:b/>
                <w:bCs/>
                <w:color w:val="33CC33"/>
              </w:rPr>
              <w:t xml:space="preserve"> must also report to the federal </w:t>
            </w:r>
            <w:proofErr w:type="spellStart"/>
            <w:r w:rsidRPr="00640F14">
              <w:rPr>
                <w:b/>
                <w:bCs/>
                <w:color w:val="33CC33"/>
              </w:rPr>
              <w:t>MedWatch</w:t>
            </w:r>
            <w:proofErr w:type="spellEnd"/>
            <w:r w:rsidRPr="00640F14">
              <w:rPr>
                <w:b/>
                <w:bCs/>
                <w:color w:val="33CC33"/>
              </w:rPr>
              <w:t xml:space="preserve"> Program a SADE resulting from a pharmaceutical or drug preparation produced or compounded at a pharmacy not on the premises of the</w:t>
            </w:r>
            <w:r>
              <w:rPr>
                <w:b/>
                <w:bCs/>
                <w:color w:val="33CC33"/>
              </w:rPr>
              <w:t xml:space="preserve"> ASC</w:t>
            </w:r>
            <w:r w:rsidRPr="00640F14">
              <w:rPr>
                <w:b/>
                <w:bCs/>
                <w:color w:val="33CC33"/>
              </w:rPr>
              <w:t>.</w:t>
            </w:r>
          </w:p>
        </w:tc>
        <w:tc>
          <w:tcPr>
            <w:tcW w:w="3510" w:type="dxa"/>
          </w:tcPr>
          <w:p w:rsidR="00814FF7" w:rsidRPr="00640F14" w:rsidRDefault="00814FF7" w:rsidP="00B00BB8"/>
        </w:tc>
      </w:tr>
      <w:tr w:rsidR="00814FF7" w:rsidRPr="00640F14" w:rsidTr="00B00BB8">
        <w:trPr>
          <w:trHeight w:val="800"/>
        </w:trPr>
        <w:tc>
          <w:tcPr>
            <w:tcW w:w="468" w:type="dxa"/>
            <w:shd w:val="clear" w:color="auto" w:fill="auto"/>
          </w:tcPr>
          <w:p w:rsidR="00814FF7" w:rsidRPr="00640F14" w:rsidRDefault="00814FF7" w:rsidP="00B00BB8">
            <w:pPr>
              <w:jc w:val="center"/>
              <w:rPr>
                <w:b/>
              </w:rPr>
            </w:pPr>
            <w:r w:rsidRPr="00640F14">
              <w:rPr>
                <w:b/>
              </w:rPr>
              <w:t>1</w:t>
            </w:r>
            <w:r>
              <w:rPr>
                <w:b/>
              </w:rPr>
              <w:t>4</w:t>
            </w:r>
          </w:p>
        </w:tc>
        <w:tc>
          <w:tcPr>
            <w:tcW w:w="1602" w:type="dxa"/>
            <w:shd w:val="clear" w:color="auto" w:fill="auto"/>
          </w:tcPr>
          <w:p w:rsidR="00814FF7" w:rsidRPr="00640F14" w:rsidRDefault="00814FF7" w:rsidP="00B00BB8">
            <w:pPr>
              <w:rPr>
                <w:b/>
              </w:rPr>
            </w:pPr>
            <w:r w:rsidRPr="00640F14">
              <w:t>1</w:t>
            </w:r>
            <w:r>
              <w:t xml:space="preserve">05 CMR </w:t>
            </w:r>
            <w:r w:rsidRPr="00640F14">
              <w:t>§140.308 (E)</w:t>
            </w:r>
            <w:r w:rsidRPr="00640F14">
              <w:rPr>
                <w:b/>
              </w:rPr>
              <w:t xml:space="preserve"> </w:t>
            </w:r>
          </w:p>
        </w:tc>
        <w:tc>
          <w:tcPr>
            <w:tcW w:w="3870" w:type="dxa"/>
            <w:shd w:val="clear" w:color="auto" w:fill="auto"/>
          </w:tcPr>
          <w:p w:rsidR="00814FF7" w:rsidRPr="00640F14" w:rsidRDefault="00814FF7" w:rsidP="00B00BB8">
            <w:pPr>
              <w:spacing w:after="100"/>
            </w:pPr>
            <w:r w:rsidRPr="00640F14">
              <w:rPr>
                <w:b/>
              </w:rPr>
              <w:t>Error in reference to “hospitals” in clinic regulations</w:t>
            </w:r>
            <w:r>
              <w:rPr>
                <w:b/>
              </w:rPr>
              <w:t>.</w:t>
            </w:r>
            <w:r w:rsidRPr="00640F14">
              <w:t xml:space="preserve"> The SADEs language in the clinics regulations mistakenly references hospitals instead of ASCs [140.308 (E)]:</w:t>
            </w:r>
          </w:p>
          <w:p w:rsidR="00814FF7" w:rsidRPr="00640F14" w:rsidRDefault="00814FF7" w:rsidP="00B00BB8">
            <w:pPr>
              <w:rPr>
                <w:rFonts w:eastAsia="Calibri" w:cs="Times New Roman"/>
                <w:b/>
                <w:i/>
                <w:color w:val="0070C0"/>
              </w:rPr>
            </w:pPr>
            <w:r w:rsidRPr="00640F14">
              <w:rPr>
                <w:rFonts w:eastAsia="Calibri" w:cs="Times New Roman"/>
                <w:b/>
                <w:i/>
                <w:color w:val="0070C0"/>
              </w:rPr>
              <w:t xml:space="preserve"> (1)  Within seven days of the date of discovery of a medication error that occurs or occurred on the premises of the </w:t>
            </w:r>
            <w:r w:rsidRPr="00640F14">
              <w:rPr>
                <w:rFonts w:eastAsia="Calibri" w:cs="Times New Roman"/>
                <w:b/>
                <w:i/>
                <w:color w:val="0070C0"/>
                <w:highlight w:val="lightGray"/>
              </w:rPr>
              <w:t>hospital</w:t>
            </w:r>
            <w:r w:rsidRPr="00640F14">
              <w:rPr>
                <w:rFonts w:eastAsia="Calibri" w:cs="Times New Roman"/>
                <w:b/>
                <w:i/>
                <w:color w:val="0070C0"/>
              </w:rPr>
              <w:t xml:space="preserve"> and that meets the definition of a SADE, a </w:t>
            </w:r>
            <w:r w:rsidRPr="00640F14">
              <w:rPr>
                <w:rFonts w:eastAsia="Calibri" w:cs="Times New Roman"/>
                <w:b/>
                <w:i/>
                <w:color w:val="0070C0"/>
                <w:highlight w:val="lightGray"/>
              </w:rPr>
              <w:t>hospital</w:t>
            </w:r>
            <w:r w:rsidRPr="00640F14">
              <w:rPr>
                <w:rFonts w:eastAsia="Calibri" w:cs="Times New Roman"/>
                <w:b/>
                <w:i/>
                <w:color w:val="0070C0"/>
              </w:rPr>
              <w:t xml:space="preserve"> shall report the SADE to the Department as specified in guidelines of the Department.</w:t>
            </w:r>
          </w:p>
          <w:p w:rsidR="00814FF7" w:rsidRPr="00640F14" w:rsidRDefault="00814FF7" w:rsidP="00B00BB8">
            <w:pPr>
              <w:rPr>
                <w:rFonts w:eastAsia="Calibri" w:cs="Times New Roman"/>
                <w:b/>
                <w:i/>
                <w:color w:val="0070C0"/>
              </w:rPr>
            </w:pPr>
            <w:r w:rsidRPr="00640F14">
              <w:rPr>
                <w:rFonts w:eastAsia="Calibri" w:cs="Times New Roman"/>
                <w:b/>
                <w:i/>
                <w:color w:val="0070C0"/>
              </w:rPr>
              <w:t xml:space="preserve">(2)  If a SADE also is an SRE, the </w:t>
            </w:r>
            <w:r w:rsidRPr="00640F14">
              <w:rPr>
                <w:rFonts w:eastAsia="Calibri" w:cs="Times New Roman"/>
                <w:b/>
                <w:i/>
                <w:color w:val="0070C0"/>
                <w:highlight w:val="lightGray"/>
              </w:rPr>
              <w:t>hospital</w:t>
            </w:r>
            <w:r w:rsidRPr="00640F14">
              <w:rPr>
                <w:rFonts w:eastAsia="Calibri" w:cs="Times New Roman"/>
                <w:b/>
                <w:i/>
                <w:color w:val="0070C0"/>
              </w:rPr>
              <w:t xml:space="preserve"> shall also comply with the requirements of 105 CMR 130.332(B), (C) and (D).</w:t>
            </w:r>
          </w:p>
          <w:p w:rsidR="00814FF7" w:rsidRPr="00640F14" w:rsidRDefault="00814FF7" w:rsidP="00B00BB8">
            <w:pPr>
              <w:rPr>
                <w:rFonts w:eastAsia="Calibri" w:cs="Times New Roman"/>
                <w:b/>
                <w:i/>
                <w:color w:val="0000FF"/>
              </w:rPr>
            </w:pPr>
            <w:r w:rsidRPr="00640F14">
              <w:rPr>
                <w:rFonts w:eastAsia="Calibri" w:cs="Times New Roman"/>
                <w:b/>
                <w:i/>
                <w:color w:val="0070C0"/>
              </w:rPr>
              <w:t>(3</w:t>
            </w:r>
            <w:proofErr w:type="gramStart"/>
            <w:r w:rsidRPr="00640F14">
              <w:rPr>
                <w:rFonts w:eastAsia="Calibri" w:cs="Times New Roman"/>
                <w:b/>
                <w:i/>
                <w:color w:val="0070C0"/>
              </w:rPr>
              <w:t>)  Upon</w:t>
            </w:r>
            <w:proofErr w:type="gramEnd"/>
            <w:r w:rsidRPr="00640F14">
              <w:rPr>
                <w:rFonts w:eastAsia="Calibri" w:cs="Times New Roman"/>
                <w:b/>
                <w:i/>
                <w:color w:val="0070C0"/>
              </w:rPr>
              <w:t xml:space="preserve"> first discovering, through </w:t>
            </w:r>
            <w:r w:rsidRPr="00640F14">
              <w:rPr>
                <w:rFonts w:eastAsia="Calibri" w:cs="Times New Roman"/>
                <w:b/>
                <w:i/>
                <w:color w:val="0070C0"/>
              </w:rPr>
              <w:lastRenderedPageBreak/>
              <w:t xml:space="preserve">diagnostic evaluation and assessment of an individual patient, that a SADE has resulted from a patient’s use, consumption or interaction with any pharmaceutical or drug preparation, a </w:t>
            </w:r>
            <w:r w:rsidRPr="00640F14">
              <w:rPr>
                <w:rFonts w:eastAsia="Calibri" w:cs="Times New Roman"/>
                <w:b/>
                <w:i/>
                <w:color w:val="0070C0"/>
                <w:highlight w:val="lightGray"/>
              </w:rPr>
              <w:t>hospital</w:t>
            </w:r>
            <w:r w:rsidRPr="00640F14">
              <w:rPr>
                <w:rFonts w:eastAsia="Calibri" w:cs="Times New Roman"/>
                <w:b/>
                <w:i/>
                <w:color w:val="0070C0"/>
              </w:rPr>
              <w:t xml:space="preserve"> must report the event to the federal </w:t>
            </w:r>
            <w:proofErr w:type="spellStart"/>
            <w:r w:rsidRPr="00640F14">
              <w:rPr>
                <w:rFonts w:eastAsia="Calibri" w:cs="Times New Roman"/>
                <w:b/>
                <w:i/>
                <w:color w:val="0070C0"/>
              </w:rPr>
              <w:t>MedWatch</w:t>
            </w:r>
            <w:proofErr w:type="spellEnd"/>
            <w:r w:rsidRPr="00640F14">
              <w:rPr>
                <w:rFonts w:eastAsia="Calibri" w:cs="Times New Roman"/>
                <w:b/>
                <w:i/>
                <w:color w:val="0070C0"/>
              </w:rPr>
              <w:t xml:space="preserve"> Program, as well as the pharmacy from which the drug was produced or compounded in addition to all other reporting requirements.”</w:t>
            </w:r>
          </w:p>
        </w:tc>
        <w:tc>
          <w:tcPr>
            <w:tcW w:w="5220" w:type="dxa"/>
          </w:tcPr>
          <w:p w:rsidR="00814FF7" w:rsidRPr="00640F14" w:rsidRDefault="00814FF7" w:rsidP="00B00BB8">
            <w:pPr>
              <w:rPr>
                <w:rFonts w:eastAsia="Calibri" w:cs="Times New Roman"/>
                <w:b/>
              </w:rPr>
            </w:pPr>
            <w:r w:rsidRPr="00640F14">
              <w:rPr>
                <w:rFonts w:eastAsia="Calibri" w:cs="Times New Roman"/>
                <w:b/>
              </w:rPr>
              <w:lastRenderedPageBreak/>
              <w:t xml:space="preserve">Replace ‘hospital’ </w:t>
            </w:r>
            <w:r w:rsidRPr="00920A2D">
              <w:rPr>
                <w:rFonts w:eastAsia="Calibri" w:cs="Times New Roman"/>
                <w:b/>
              </w:rPr>
              <w:t xml:space="preserve">with ‘ASC’ throughout </w:t>
            </w:r>
            <w:proofErr w:type="gramStart"/>
            <w:r w:rsidRPr="00920A2D">
              <w:rPr>
                <w:rFonts w:eastAsia="Calibri" w:cs="Times New Roman"/>
                <w:b/>
              </w:rPr>
              <w:t>SADEs</w:t>
            </w:r>
            <w:proofErr w:type="gramEnd"/>
            <w:r w:rsidRPr="00920A2D">
              <w:rPr>
                <w:rFonts w:eastAsia="Calibri" w:cs="Times New Roman"/>
                <w:b/>
              </w:rPr>
              <w:t xml:space="preserve"> regulations for clinics and reference correct regulations for ASCs reporting</w:t>
            </w:r>
            <w:r>
              <w:rPr>
                <w:rFonts w:eastAsia="Calibri" w:cs="Times New Roman"/>
                <w:b/>
              </w:rPr>
              <w:t xml:space="preserve"> SREs.</w:t>
            </w:r>
            <w:r w:rsidRPr="00640F14">
              <w:rPr>
                <w:rFonts w:eastAsia="Calibri" w:cs="Times New Roman"/>
                <w:b/>
              </w:rPr>
              <w:t xml:space="preserve"> </w:t>
            </w:r>
          </w:p>
          <w:p w:rsidR="00814FF7" w:rsidRPr="00640F14" w:rsidRDefault="00814FF7" w:rsidP="00B00BB8">
            <w:pPr>
              <w:rPr>
                <w:rFonts w:eastAsia="Calibri" w:cs="Times New Roman"/>
                <w:i/>
              </w:rPr>
            </w:pPr>
            <w:r w:rsidRPr="00640F14">
              <w:rPr>
                <w:rFonts w:eastAsia="Calibri" w:cs="Times New Roman"/>
                <w:i/>
              </w:rPr>
              <w:t xml:space="preserve">(1)  …premises of the </w:t>
            </w:r>
            <w:r w:rsidRPr="00640F14">
              <w:rPr>
                <w:rFonts w:eastAsia="Calibri" w:cs="Times New Roman"/>
                <w:b/>
                <w:i/>
                <w:color w:val="33CC33"/>
              </w:rPr>
              <w:t>ASC</w:t>
            </w:r>
            <w:r w:rsidRPr="00640F14">
              <w:rPr>
                <w:rFonts w:eastAsia="Calibri" w:cs="Times New Roman"/>
                <w:i/>
              </w:rPr>
              <w:t xml:space="preserve"> and that meets the definition of a SADE, a</w:t>
            </w:r>
            <w:r w:rsidRPr="007F556F">
              <w:rPr>
                <w:rFonts w:eastAsia="Calibri" w:cs="Times New Roman"/>
                <w:b/>
                <w:i/>
                <w:color w:val="33CC33"/>
              </w:rPr>
              <w:t>n</w:t>
            </w:r>
            <w:r w:rsidRPr="00640F14">
              <w:rPr>
                <w:rFonts w:eastAsia="Calibri" w:cs="Times New Roman"/>
                <w:i/>
                <w:color w:val="7030A0"/>
              </w:rPr>
              <w:t xml:space="preserve"> </w:t>
            </w:r>
            <w:r w:rsidRPr="00640F14">
              <w:rPr>
                <w:rFonts w:eastAsia="Calibri" w:cs="Times New Roman"/>
                <w:b/>
                <w:i/>
                <w:color w:val="33CC33"/>
              </w:rPr>
              <w:t>ASC</w:t>
            </w:r>
            <w:r w:rsidRPr="00640F14">
              <w:rPr>
                <w:rFonts w:eastAsia="Calibri" w:cs="Times New Roman"/>
                <w:i/>
              </w:rPr>
              <w:t xml:space="preserve"> shall report the SADE to the Department as specified in guidelines of the Department.</w:t>
            </w:r>
          </w:p>
          <w:p w:rsidR="00814FF7" w:rsidRPr="00640F14" w:rsidRDefault="00814FF7" w:rsidP="00B00BB8">
            <w:pPr>
              <w:rPr>
                <w:rFonts w:eastAsia="Calibri" w:cs="Times New Roman"/>
                <w:i/>
              </w:rPr>
            </w:pPr>
            <w:r w:rsidRPr="00640F14">
              <w:rPr>
                <w:rFonts w:eastAsia="Calibri" w:cs="Times New Roman"/>
                <w:i/>
              </w:rPr>
              <w:t xml:space="preserve">(2)  If a SADE also is an SRE, the </w:t>
            </w:r>
            <w:r w:rsidRPr="00640F14">
              <w:rPr>
                <w:rFonts w:eastAsia="Calibri" w:cs="Times New Roman"/>
                <w:b/>
                <w:i/>
                <w:color w:val="33CC33"/>
              </w:rPr>
              <w:t>ASC</w:t>
            </w:r>
            <w:r w:rsidRPr="00640F14">
              <w:rPr>
                <w:rFonts w:eastAsia="Calibri" w:cs="Times New Roman"/>
                <w:i/>
              </w:rPr>
              <w:t xml:space="preserve"> shall also comply with the requirements of 105 CMR</w:t>
            </w:r>
            <w:r>
              <w:rPr>
                <w:rFonts w:eastAsia="Calibri" w:cs="Times New Roman"/>
                <w:i/>
              </w:rPr>
              <w:t xml:space="preserve"> </w:t>
            </w:r>
            <w:r w:rsidRPr="002A2D1A">
              <w:rPr>
                <w:rFonts w:eastAsia="Calibri" w:cs="Times New Roman"/>
                <w:b/>
                <w:i/>
                <w:color w:val="33CC33"/>
              </w:rPr>
              <w:t>140.308</w:t>
            </w:r>
            <w:r w:rsidRPr="00640F14">
              <w:rPr>
                <w:rFonts w:eastAsia="Calibri" w:cs="Times New Roman"/>
                <w:i/>
              </w:rPr>
              <w:t xml:space="preserve"> </w:t>
            </w:r>
            <w:r w:rsidRPr="002A2D1A">
              <w:rPr>
                <w:rFonts w:eastAsia="Calibri" w:cs="Times New Roman"/>
                <w:b/>
                <w:i/>
                <w:strike/>
                <w:color w:val="33CC33"/>
              </w:rPr>
              <w:t>130.332</w:t>
            </w:r>
            <w:r w:rsidRPr="00640F14">
              <w:rPr>
                <w:rFonts w:eastAsia="Calibri" w:cs="Times New Roman"/>
                <w:i/>
              </w:rPr>
              <w:t>(B), (C) and (D).</w:t>
            </w:r>
          </w:p>
          <w:p w:rsidR="00814FF7" w:rsidRPr="00640F14" w:rsidRDefault="00814FF7" w:rsidP="00B00BB8">
            <w:r w:rsidRPr="00640F14">
              <w:rPr>
                <w:rFonts w:eastAsia="Calibri" w:cs="Times New Roman"/>
                <w:i/>
              </w:rPr>
              <w:t>(3) Upon first discovering, through diagnostic evaluation and assessment of an individual patient, that a SADE has resulted from a patient’s use, consumption or interaction with any pharmaceutical or drug preparation, a</w:t>
            </w:r>
            <w:r w:rsidRPr="007F556F">
              <w:rPr>
                <w:rFonts w:eastAsia="Calibri" w:cs="Times New Roman"/>
                <w:b/>
                <w:i/>
                <w:color w:val="33CC33"/>
              </w:rPr>
              <w:t>n</w:t>
            </w:r>
            <w:r w:rsidRPr="00640F14">
              <w:rPr>
                <w:rFonts w:eastAsia="Calibri" w:cs="Times New Roman"/>
                <w:i/>
              </w:rPr>
              <w:t xml:space="preserve"> </w:t>
            </w:r>
            <w:r w:rsidRPr="00640F14">
              <w:rPr>
                <w:rFonts w:eastAsia="Calibri" w:cs="Times New Roman"/>
                <w:b/>
                <w:i/>
                <w:color w:val="33CC33"/>
              </w:rPr>
              <w:t>ASC</w:t>
            </w:r>
            <w:r w:rsidRPr="00640F14">
              <w:rPr>
                <w:rFonts w:eastAsia="Calibri" w:cs="Times New Roman"/>
                <w:i/>
              </w:rPr>
              <w:t xml:space="preserve"> must report the event to the federal </w:t>
            </w:r>
            <w:proofErr w:type="spellStart"/>
            <w:r w:rsidRPr="00640F14">
              <w:rPr>
                <w:rFonts w:eastAsia="Calibri" w:cs="Times New Roman"/>
                <w:i/>
              </w:rPr>
              <w:t>MedWatch</w:t>
            </w:r>
            <w:proofErr w:type="spellEnd"/>
            <w:r w:rsidRPr="00640F14">
              <w:rPr>
                <w:rFonts w:eastAsia="Calibri" w:cs="Times New Roman"/>
                <w:i/>
              </w:rPr>
              <w:t xml:space="preserve"> Program, as well as the pharmacy from which the drug was produced or compounded </w:t>
            </w:r>
            <w:r w:rsidRPr="00640F14">
              <w:rPr>
                <w:rFonts w:eastAsia="Calibri" w:cs="Times New Roman"/>
                <w:i/>
              </w:rPr>
              <w:lastRenderedPageBreak/>
              <w:t>in addition to all other reporting requirements.”</w:t>
            </w:r>
          </w:p>
        </w:tc>
        <w:tc>
          <w:tcPr>
            <w:tcW w:w="3510" w:type="dxa"/>
          </w:tcPr>
          <w:p w:rsidR="00814FF7" w:rsidRPr="00640F14" w:rsidRDefault="00814FF7" w:rsidP="00B00BB8">
            <w:pPr>
              <w:rPr>
                <w:color w:val="FF0000"/>
              </w:rPr>
            </w:pPr>
          </w:p>
        </w:tc>
      </w:tr>
    </w:tbl>
    <w:p w:rsidR="00814FF7" w:rsidRDefault="00814FF7" w:rsidP="00814FF7">
      <w:pPr>
        <w:spacing w:after="40"/>
        <w:rPr>
          <w:bCs/>
          <w:u w:val="single"/>
        </w:rPr>
      </w:pPr>
    </w:p>
    <w:p w:rsidR="00814FF7" w:rsidRDefault="00814FF7" w:rsidP="00814FF7">
      <w:pPr>
        <w:spacing w:after="40"/>
        <w:rPr>
          <w:bCs/>
          <w:u w:val="single"/>
        </w:rPr>
      </w:pPr>
    </w:p>
    <w:p w:rsidR="00814FF7" w:rsidRDefault="00814FF7" w:rsidP="00814FF7">
      <w:pPr>
        <w:spacing w:after="40"/>
        <w:rPr>
          <w:bCs/>
          <w:u w:val="single"/>
        </w:rPr>
      </w:pPr>
    </w:p>
    <w:p w:rsidR="004140C0" w:rsidRPr="001E5D64" w:rsidRDefault="004140C0" w:rsidP="00EE7CA8">
      <w:pPr>
        <w:pStyle w:val="NoSpacing"/>
        <w:rPr>
          <w:sz w:val="23"/>
          <w:szCs w:val="23"/>
        </w:rPr>
      </w:pPr>
      <w:bookmarkStart w:id="1" w:name="_GoBack"/>
      <w:bookmarkEnd w:id="1"/>
    </w:p>
    <w:sectPr w:rsidR="004140C0" w:rsidRPr="001E5D64" w:rsidSect="0068081F">
      <w:headerReference w:type="default" r:id="rId17"/>
      <w:footerReference w:type="default" r:id="rId18"/>
      <w:pgSz w:w="15840" w:h="12240" w:orient="landscape" w:code="1"/>
      <w:pgMar w:top="1008" w:right="1008" w:bottom="1008" w:left="1008"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F61" w:rsidRDefault="00C34F61" w:rsidP="00B611D3">
      <w:pPr>
        <w:spacing w:after="0" w:line="240" w:lineRule="auto"/>
      </w:pPr>
      <w:r>
        <w:separator/>
      </w:r>
    </w:p>
  </w:endnote>
  <w:endnote w:type="continuationSeparator" w:id="0">
    <w:p w:rsidR="00C34F61" w:rsidRDefault="00C34F61" w:rsidP="00B61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6BD" w:rsidRDefault="003516BD" w:rsidP="005D22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30E4" w:rsidRDefault="00D230E4" w:rsidP="003516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6BD" w:rsidRDefault="003516BD" w:rsidP="007C2F30">
    <w:pPr>
      <w:pStyle w:val="Footer"/>
      <w:framePr w:w="594" w:h="467" w:hRule="exact" w:wrap="around" w:vAnchor="text" w:hAnchor="page" w:x="10166" w:y="-254"/>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F676F1">
      <w:rPr>
        <w:rStyle w:val="PageNumber"/>
        <w:noProof/>
      </w:rPr>
      <w:t>2</w:t>
    </w:r>
    <w:r>
      <w:rPr>
        <w:rStyle w:val="PageNumber"/>
      </w:rPr>
      <w:fldChar w:fldCharType="end"/>
    </w:r>
  </w:p>
  <w:p w:rsidR="00D230E4" w:rsidRDefault="00D230E4" w:rsidP="003516BD">
    <w:pPr>
      <w:spacing w:after="0" w:line="20" w:lineRule="exact"/>
      <w:ind w:right="36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E4" w:rsidRDefault="006D1DA7">
    <w:pPr>
      <w:pStyle w:val="Footer"/>
    </w:pPr>
    <w:r>
      <w:rPr>
        <w:noProof/>
        <w:sz w:val="2"/>
        <w:szCs w:val="2"/>
      </w:rPr>
      <mc:AlternateContent>
        <mc:Choice Requires="wpg">
          <w:drawing>
            <wp:anchor distT="0" distB="0" distL="114300" distR="114300" simplePos="0" relativeHeight="251691008" behindDoc="0" locked="0" layoutInCell="1" allowOverlap="1" wp14:anchorId="4C7E5A04" wp14:editId="26502C0A">
              <wp:simplePos x="0" y="0"/>
              <wp:positionH relativeFrom="column">
                <wp:posOffset>561975</wp:posOffset>
              </wp:positionH>
              <wp:positionV relativeFrom="paragraph">
                <wp:posOffset>-530860</wp:posOffset>
              </wp:positionV>
              <wp:extent cx="6010275" cy="923925"/>
              <wp:effectExtent l="0" t="0" r="0" b="9525"/>
              <wp:wrapThrough wrapText="bothSides">
                <wp:wrapPolygon edited="0">
                  <wp:start x="137" y="0"/>
                  <wp:lineTo x="137" y="17814"/>
                  <wp:lineTo x="6846" y="20487"/>
                  <wp:lineTo x="12529" y="21377"/>
                  <wp:lineTo x="16020" y="21377"/>
                  <wp:lineTo x="18553" y="20487"/>
                  <wp:lineTo x="21429" y="17814"/>
                  <wp:lineTo x="21360" y="0"/>
                  <wp:lineTo x="137" y="0"/>
                </wp:wrapPolygon>
              </wp:wrapThrough>
              <wp:docPr id="22" name="Group 22"/>
              <wp:cNvGraphicFramePr/>
              <a:graphic xmlns:a="http://schemas.openxmlformats.org/drawingml/2006/main">
                <a:graphicData uri="http://schemas.microsoft.com/office/word/2010/wordprocessingGroup">
                  <wpg:wgp>
                    <wpg:cNvGrpSpPr/>
                    <wpg:grpSpPr>
                      <a:xfrm>
                        <a:off x="0" y="0"/>
                        <a:ext cx="6010275" cy="923925"/>
                        <a:chOff x="0" y="0"/>
                        <a:chExt cx="6010275" cy="923925"/>
                      </a:xfrm>
                    </wpg:grpSpPr>
                    <wps:wsp>
                      <wps:cNvPr id="23" name="Text Box 23"/>
                      <wps:cNvSpPr txBox="1">
                        <a:spLocks/>
                      </wps:cNvSpPr>
                      <wps:spPr>
                        <a:xfrm>
                          <a:off x="0" y="0"/>
                          <a:ext cx="1238885" cy="7994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6544" w:rsidRDefault="002F6544" w:rsidP="0042464B">
                            <w:pPr>
                              <w:contextualSpacing/>
                              <w:rPr>
                                <w:b/>
                                <w:color w:val="06547F"/>
                                <w:sz w:val="16"/>
                                <w:szCs w:val="16"/>
                              </w:rPr>
                            </w:pPr>
                            <w:r>
                              <w:rPr>
                                <w:b/>
                                <w:color w:val="06547F"/>
                                <w:sz w:val="16"/>
                                <w:szCs w:val="16"/>
                              </w:rPr>
                              <w:t>EXECUTIVE DIRECTOR</w:t>
                            </w:r>
                          </w:p>
                          <w:p w:rsidR="00D230E4" w:rsidRPr="00B13A00" w:rsidRDefault="00D230E4" w:rsidP="0042464B">
                            <w:pPr>
                              <w:rPr>
                                <w:color w:val="06547F"/>
                                <w:sz w:val="16"/>
                                <w:szCs w:val="16"/>
                              </w:rPr>
                            </w:pPr>
                            <w:r>
                              <w:rPr>
                                <w:b/>
                                <w:color w:val="06547F"/>
                                <w:sz w:val="16"/>
                                <w:szCs w:val="16"/>
                              </w:rPr>
                              <w:t>Barbara Fain</w:t>
                            </w:r>
                            <w:r w:rsidR="00515CE1">
                              <w:rPr>
                                <w:b/>
                                <w:color w:val="06547F"/>
                                <w:sz w:val="16"/>
                                <w:szCs w:val="16"/>
                              </w:rPr>
                              <w:t xml:space="preserve"> </w:t>
                            </w:r>
                            <w:r>
                              <w:rPr>
                                <w:b/>
                                <w:color w:val="06547F"/>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a:spLocks/>
                      </wps:cNvSpPr>
                      <wps:spPr>
                        <a:xfrm>
                          <a:off x="1273810" y="0"/>
                          <a:ext cx="956945" cy="7994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D230E4" w:rsidRPr="00373933" w:rsidRDefault="00D230E4" w:rsidP="0042464B">
                            <w:pPr>
                              <w:rPr>
                                <w:color w:val="CC6600"/>
                                <w:sz w:val="16"/>
                                <w:szCs w:val="16"/>
                              </w:rPr>
                            </w:pPr>
                            <w:r w:rsidRPr="008A191B">
                              <w:rPr>
                                <w:b/>
                                <w:color w:val="CC6600"/>
                                <w:sz w:val="16"/>
                                <w:szCs w:val="16"/>
                              </w:rPr>
                              <w:t>BOARD MEMBERS</w:t>
                            </w:r>
                            <w:r>
                              <w:rPr>
                                <w:b/>
                                <w:color w:val="CC6600"/>
                                <w:sz w:val="16"/>
                                <w:szCs w:val="16"/>
                              </w:rPr>
                              <w:br/>
                            </w:r>
                            <w:r w:rsidRPr="008A191B">
                              <w:rPr>
                                <w:b/>
                                <w:color w:val="CC6600"/>
                                <w:sz w:val="16"/>
                                <w:szCs w:val="16"/>
                              </w:rPr>
                              <w:t>Maura Healey</w:t>
                            </w:r>
                            <w:r w:rsidRPr="00373933">
                              <w:rPr>
                                <w:b/>
                                <w:color w:val="CC6600"/>
                                <w:sz w:val="16"/>
                                <w:szCs w:val="16"/>
                              </w:rPr>
                              <w:br/>
                            </w:r>
                            <w:r w:rsidRPr="008A191B">
                              <w:rPr>
                                <w:color w:val="CC6600"/>
                                <w:sz w:val="16"/>
                                <w:szCs w:val="16"/>
                              </w:rPr>
                              <w:t>Attorney 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a:spLocks/>
                      </wps:cNvSpPr>
                      <wps:spPr>
                        <a:xfrm>
                          <a:off x="2296160" y="0"/>
                          <a:ext cx="1084580" cy="7994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D230E4" w:rsidRPr="00373933" w:rsidRDefault="00D230E4" w:rsidP="0042464B">
                            <w:pPr>
                              <w:rPr>
                                <w:color w:val="CC6600"/>
                                <w:sz w:val="16"/>
                                <w:szCs w:val="16"/>
                              </w:rPr>
                            </w:pPr>
                            <w:r>
                              <w:rPr>
                                <w:b/>
                                <w:color w:val="CC6600"/>
                                <w:sz w:val="16"/>
                                <w:szCs w:val="16"/>
                              </w:rPr>
                              <w:br/>
                            </w:r>
                            <w:r w:rsidRPr="00EF1D85">
                              <w:rPr>
                                <w:b/>
                                <w:color w:val="CC6600"/>
                                <w:sz w:val="16"/>
                                <w:szCs w:val="16"/>
                              </w:rPr>
                              <w:t>Marylou Sudders</w:t>
                            </w:r>
                            <w:r w:rsidRPr="00373933">
                              <w:rPr>
                                <w:b/>
                                <w:color w:val="CC6600"/>
                                <w:sz w:val="16"/>
                                <w:szCs w:val="16"/>
                              </w:rPr>
                              <w:br/>
                            </w:r>
                            <w:r w:rsidRPr="00EF1D85">
                              <w:rPr>
                                <w:color w:val="CC6600"/>
                                <w:sz w:val="16"/>
                                <w:szCs w:val="16"/>
                              </w:rPr>
                              <w:t>Secretary of Health</w:t>
                            </w:r>
                            <w:r>
                              <w:rPr>
                                <w:color w:val="CC6600"/>
                                <w:sz w:val="16"/>
                                <w:szCs w:val="16"/>
                              </w:rPr>
                              <w:br/>
                            </w:r>
                            <w:r w:rsidRPr="00EF1D85">
                              <w:rPr>
                                <w:color w:val="CC6600"/>
                                <w:sz w:val="16"/>
                                <w:szCs w:val="16"/>
                              </w:rPr>
                              <w:t>and Human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a:spLocks/>
                      </wps:cNvSpPr>
                      <wps:spPr>
                        <a:xfrm>
                          <a:off x="3439160" y="0"/>
                          <a:ext cx="1084580" cy="9239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D230E4" w:rsidRPr="00373933" w:rsidRDefault="00D230E4" w:rsidP="0042464B">
                            <w:pPr>
                              <w:rPr>
                                <w:color w:val="CC6600"/>
                                <w:sz w:val="16"/>
                                <w:szCs w:val="16"/>
                              </w:rPr>
                            </w:pPr>
                            <w:r>
                              <w:rPr>
                                <w:b/>
                                <w:color w:val="CC6600"/>
                                <w:sz w:val="16"/>
                                <w:szCs w:val="16"/>
                              </w:rPr>
                              <w:br/>
                            </w:r>
                            <w:r w:rsidRPr="003D0D04">
                              <w:rPr>
                                <w:b/>
                                <w:color w:val="CC6600"/>
                                <w:sz w:val="16"/>
                                <w:szCs w:val="16"/>
                              </w:rPr>
                              <w:t>John C. Chapman</w:t>
                            </w:r>
                            <w:r w:rsidRPr="00373933">
                              <w:rPr>
                                <w:b/>
                                <w:color w:val="CC6600"/>
                                <w:sz w:val="16"/>
                                <w:szCs w:val="16"/>
                              </w:rPr>
                              <w:br/>
                            </w:r>
                            <w:r>
                              <w:rPr>
                                <w:color w:val="CC6600"/>
                                <w:sz w:val="16"/>
                                <w:szCs w:val="16"/>
                              </w:rPr>
                              <w:t>Undersecretary</w:t>
                            </w:r>
                            <w:r>
                              <w:rPr>
                                <w:color w:val="CC6600"/>
                                <w:sz w:val="16"/>
                                <w:szCs w:val="16"/>
                              </w:rPr>
                              <w:br/>
                            </w:r>
                            <w:r w:rsidRPr="003D0D04">
                              <w:rPr>
                                <w:color w:val="CC6600"/>
                                <w:sz w:val="16"/>
                                <w:szCs w:val="16"/>
                              </w:rPr>
                              <w:t>of Consumer Affairs</w:t>
                            </w:r>
                            <w:r>
                              <w:rPr>
                                <w:color w:val="CC6600"/>
                                <w:sz w:val="16"/>
                                <w:szCs w:val="16"/>
                              </w:rPr>
                              <w:br/>
                            </w:r>
                            <w:r w:rsidRPr="003D0D04">
                              <w:rPr>
                                <w:color w:val="CC6600"/>
                                <w:sz w:val="16"/>
                                <w:szCs w:val="16"/>
                              </w:rPr>
                              <w:t>and Business Regulation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a:spLocks/>
                      </wps:cNvSpPr>
                      <wps:spPr>
                        <a:xfrm>
                          <a:off x="4697095" y="0"/>
                          <a:ext cx="1313180" cy="7994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D230E4" w:rsidRPr="00373933" w:rsidRDefault="00D230E4" w:rsidP="0042464B">
                            <w:pPr>
                              <w:rPr>
                                <w:color w:val="CC6600"/>
                                <w:sz w:val="16"/>
                                <w:szCs w:val="16"/>
                              </w:rPr>
                            </w:pPr>
                            <w:r>
                              <w:rPr>
                                <w:b/>
                                <w:color w:val="CC6600"/>
                                <w:sz w:val="16"/>
                                <w:szCs w:val="16"/>
                              </w:rPr>
                              <w:br/>
                            </w:r>
                            <w:r w:rsidR="00137B39">
                              <w:rPr>
                                <w:b/>
                                <w:color w:val="CC6600"/>
                                <w:sz w:val="16"/>
                                <w:szCs w:val="16"/>
                              </w:rPr>
                              <w:t>Ray Campbell</w:t>
                            </w:r>
                            <w:r w:rsidRPr="00373933">
                              <w:rPr>
                                <w:b/>
                                <w:color w:val="CC6600"/>
                                <w:sz w:val="16"/>
                                <w:szCs w:val="16"/>
                              </w:rPr>
                              <w:br/>
                            </w:r>
                            <w:r>
                              <w:rPr>
                                <w:color w:val="CC6600"/>
                                <w:sz w:val="16"/>
                                <w:szCs w:val="16"/>
                              </w:rPr>
                              <w:t>Executive Director</w:t>
                            </w:r>
                            <w:proofErr w:type="gramStart"/>
                            <w:r>
                              <w:rPr>
                                <w:color w:val="CC6600"/>
                                <w:sz w:val="16"/>
                                <w:szCs w:val="16"/>
                              </w:rPr>
                              <w:t>,</w:t>
                            </w:r>
                            <w:proofErr w:type="gramEnd"/>
                            <w:r>
                              <w:rPr>
                                <w:color w:val="CC6600"/>
                                <w:sz w:val="16"/>
                                <w:szCs w:val="16"/>
                              </w:rPr>
                              <w:br/>
                            </w:r>
                            <w:r w:rsidRPr="003D0D04">
                              <w:rPr>
                                <w:color w:val="CC6600"/>
                                <w:sz w:val="16"/>
                                <w:szCs w:val="16"/>
                              </w:rPr>
                              <w:t>Center for Health</w:t>
                            </w:r>
                            <w:r>
                              <w:rPr>
                                <w:color w:val="CC6600"/>
                                <w:sz w:val="16"/>
                                <w:szCs w:val="16"/>
                              </w:rPr>
                              <w:br/>
                            </w:r>
                            <w:r w:rsidRPr="003D0D04">
                              <w:rPr>
                                <w:color w:val="CC6600"/>
                                <w:sz w:val="16"/>
                                <w:szCs w:val="16"/>
                              </w:rPr>
                              <w:t>Information and</w:t>
                            </w:r>
                            <w:r w:rsidR="002F6544">
                              <w:rPr>
                                <w:color w:val="CC6600"/>
                                <w:sz w:val="16"/>
                                <w:szCs w:val="16"/>
                              </w:rPr>
                              <w:t xml:space="preserve"> Analysis</w:t>
                            </w:r>
                            <w:r w:rsidRPr="003D0D04">
                              <w:rPr>
                                <w:color w:val="CC6600"/>
                                <w:sz w:val="16"/>
                                <w:szCs w:val="16"/>
                              </w:rPr>
                              <w:t xml:space="preserve"> </w:t>
                            </w:r>
                            <w:r w:rsidR="002F6544">
                              <w:rPr>
                                <w:color w:val="CC6600"/>
                                <w:sz w:val="16"/>
                                <w:szCs w:val="16"/>
                              </w:rPr>
                              <w:t xml:space="preserve"> </w:t>
                            </w:r>
                            <w:proofErr w:type="spellStart"/>
                            <w:r w:rsidR="002F6544">
                              <w:rPr>
                                <w:color w:val="CC6600"/>
                                <w:sz w:val="16"/>
                                <w:szCs w:val="16"/>
                              </w:rPr>
                              <w:t>AAAn</w:t>
                            </w:r>
                            <w:r w:rsidRPr="003D0D04">
                              <w:rPr>
                                <w:color w:val="CC6600"/>
                                <w:sz w:val="16"/>
                                <w:szCs w:val="16"/>
                              </w:rPr>
                              <w:t>Analysis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2" o:spid="_x0000_s1027" style="position:absolute;margin-left:44.25pt;margin-top:-41.8pt;width:473.25pt;height:72.75pt;z-index:251691008;mso-width-relative:margin;mso-height-relative:margin" coordsize="60102,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dZQMAANESAAAOAAAAZHJzL2Uyb0RvYy54bWzsWG1P2zAQ/j5p/8Hy95KXpmkTkaIMVjQJ&#10;ARJMfHZdp42WxJ7tkrBp/31np0k7iiYEbB8qVCm1z+eXe+6eu8THJ01ZoHsmVc6rBHtHLkasonyR&#10;V8sEf72dDSYYKU2qBSl4xRL8wBQ+mX78cFyLmPl8xYsFkwgWqVRciwSvtBax4yi6YiVRR1ywCgYz&#10;LkuioSuXzkKSGlYvC8d33dCpuVwIySlTCqRn7SCe2vWzjFF9lWWKaVQkGM6m7VPa59w8nekxiZeS&#10;iFVON8cgLzhFSfIKNu2XOiOaoLXM95Yqcyq54pk+orx0eJbllFkbwBrPfWTNueRrYW1ZxvVS9DAB&#10;tI9wevGy9PL+WqJ8kWDfx6giJfjIbougD+DUYhmDzrkUN+JabgTLtmfsbTJZmn+wBDUW1oceVtZo&#10;REEYgmX+eIQRhbHIH0b+qMWdrsA5e9Po6vPfJzrdto45XX+YWkAIqS1K6nUo3ayIYBZ8ZRDoUBp2&#10;KN0a8z7xBvnDFiirZlBCugE5sMFGhBIXnH5TAB0ct9cxyKpYgfZzUfT84WQy2aA4jqIgtCj2YJBY&#10;SKXPGS+RaSRYQvDbE5D7C6XN/lsVs2nFZ3lRgJzERfWHABRbCbMMameTGAyGptE0ptvo/nk6Gvvp&#10;eBQNwnTkDQLPnQzS1PUHZ7PUTd1gdhoFn34ZfGDNbr7FoTXdgKCbeWMj0OtwnPPFA8AoeUtXJegs&#10;B5MuiNLXRAI/gcmQc/QVPLKC1wnmmxZGKy5/PCU3+hAQMIpRDXxPsPq+JpJhVHypIFQiLwhMgrCd&#10;AKyCjtwdme+OVOvylENK8SC7CWqbRl8XXTOTvLyD1JSaXWGIVBT2TrDumqe6zUKQ2ihLU6sEKUEQ&#10;fVHdCNpFj3HlbXNHpNh4VQOKl7wLThI/cm6r23ozXWue5dbzBucW1U0YAlHaEPz3jAn2GRN0ngZi&#10;vQljPH88nHiA8372iUZhFBwybTZ5unPwO20gQR0AbSBk23K8LTQ24e8UkVcXGt+PQi98kjaQyYPR&#10;BIZM0T7IctOX7fdyc0jlJtznTfjW5WYYDKPn8Gb7sntAr2l98X7nzSHxZrzPm/Fb8yYIo7EbQWXb&#10;f03zhvA76HrTV+933vwf3tjrAbg3sR+fmzseczGz27efQ9ubqOlvAAAA//8DAFBLAwQUAAYACAAA&#10;ACEA9KYeu+AAAAAKAQAADwAAAGRycy9kb3ducmV2LnhtbEyPQWuDQBCF74X+h2UKvSWrFcUa1xBC&#10;21MoNCmU3CY6UYk7K+5Gzb/v5tQeh/l473v5etadGGmwrWEF4TIAQVyaquVawffhfZGCsA65ws4w&#10;KbiRhXXx+JBjVpmJv2jcu1r4ELYZKmic6zMpbdmQRrs0PbH/nc2g0flzqGU14OTDdSdfgiCRGlv2&#10;DQ32tG2ovOyvWsHHhNMmCt/G3eW8vR0P8efPLiSlnp/mzQqEo9n9wXDX9+pQeKeTuXJlRacgTWNP&#10;KlikUQLiDgRR7NedFCThK8gil/8nFL8AAAD//wMAUEsBAi0AFAAGAAgAAAAhALaDOJL+AAAA4QEA&#10;ABMAAAAAAAAAAAAAAAAAAAAAAFtDb250ZW50X1R5cGVzXS54bWxQSwECLQAUAAYACAAAACEAOP0h&#10;/9YAAACUAQAACwAAAAAAAAAAAAAAAAAvAQAAX3JlbHMvLnJlbHNQSwECLQAUAAYACAAAACEAZUPf&#10;nWUDAADREgAADgAAAAAAAAAAAAAAAAAuAgAAZHJzL2Uyb0RvYy54bWxQSwECLQAUAAYACAAAACEA&#10;9KYeu+AAAAAKAQAADwAAAAAAAAAAAAAAAAC/BQAAZHJzL2Rvd25yZXYueG1sUEsFBgAAAAAEAAQA&#10;8wAAAMwGAAAAAA==&#10;">
              <v:shapetype id="_x0000_t202" coordsize="21600,21600" o:spt="202" path="m,l,21600r21600,l21600,xe">
                <v:stroke joinstyle="miter"/>
                <v:path gradientshapeok="t" o:connecttype="rect"/>
              </v:shapetype>
              <v:shape id="Text Box 23" o:spid="_x0000_s1028" type="#_x0000_t202" style="position:absolute;width:12388;height:7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PkHcIA&#10;AADbAAAADwAAAGRycy9kb3ducmV2LnhtbESP3WoCMRSE7wu+QzgF72q2FopsjVIKohRvuvoAh83p&#10;ZtnNSdhkf/TpjSB4OczMN8x6O9lWDNSF2rGC90UGgrh0uuZKwfm0e1uBCBFZY+uYFFwowHYze1lj&#10;rt3IfzQUsRIJwiFHBSZGn0sZSkMWw8J54uT9u85iTLKrpO5wTHDbymWWfUqLNacFg55+DJVN0VsF&#10;u35/sMNV9v63KEc2vunPx0ap+ev0/QUi0hSf4Uf7oBUsP+D+Jf0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Q+QdwgAAANsAAAAPAAAAAAAAAAAAAAAAAJgCAABkcnMvZG93&#10;bnJldi54bWxQSwUGAAAAAAQABAD1AAAAhwMAAAAA&#10;" filled="f" stroked="f">
                <v:path arrowok="t"/>
                <v:textbox>
                  <w:txbxContent>
                    <w:p w:rsidR="002F6544" w:rsidRDefault="002F6544" w:rsidP="0042464B">
                      <w:pPr>
                        <w:contextualSpacing/>
                        <w:rPr>
                          <w:b/>
                          <w:color w:val="06547F"/>
                          <w:sz w:val="16"/>
                          <w:szCs w:val="16"/>
                        </w:rPr>
                      </w:pPr>
                      <w:r>
                        <w:rPr>
                          <w:b/>
                          <w:color w:val="06547F"/>
                          <w:sz w:val="16"/>
                          <w:szCs w:val="16"/>
                        </w:rPr>
                        <w:t>EXECUTIVE DIRECTOR</w:t>
                      </w:r>
                    </w:p>
                    <w:p w:rsidR="00D230E4" w:rsidRPr="00B13A00" w:rsidRDefault="00D230E4" w:rsidP="0042464B">
                      <w:pPr>
                        <w:rPr>
                          <w:color w:val="06547F"/>
                          <w:sz w:val="16"/>
                          <w:szCs w:val="16"/>
                        </w:rPr>
                      </w:pPr>
                      <w:r>
                        <w:rPr>
                          <w:b/>
                          <w:color w:val="06547F"/>
                          <w:sz w:val="16"/>
                          <w:szCs w:val="16"/>
                        </w:rPr>
                        <w:t>Barbara Fain</w:t>
                      </w:r>
                      <w:r w:rsidR="00515CE1">
                        <w:rPr>
                          <w:b/>
                          <w:color w:val="06547F"/>
                          <w:sz w:val="16"/>
                          <w:szCs w:val="16"/>
                        </w:rPr>
                        <w:t xml:space="preserve"> </w:t>
                      </w:r>
                      <w:r>
                        <w:rPr>
                          <w:b/>
                          <w:color w:val="06547F"/>
                          <w:sz w:val="16"/>
                          <w:szCs w:val="16"/>
                        </w:rPr>
                        <w:br/>
                      </w:r>
                    </w:p>
                  </w:txbxContent>
                </v:textbox>
              </v:shape>
              <v:shape id="Text Box 24" o:spid="_x0000_s1029" type="#_x0000_t202" style="position:absolute;left:12738;width:9569;height:7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p8acIA&#10;AADbAAAADwAAAGRycy9kb3ducmV2LnhtbESP3WoCMRSE7wu+QzgF72q2UopsjVIKohRvuvoAh83p&#10;ZtnNSdhkf/TpjSB4OczMN8x6O9lWDNSF2rGC90UGgrh0uuZKwfm0e1uBCBFZY+uYFFwowHYze1lj&#10;rt3IfzQUsRIJwiFHBSZGn0sZSkMWw8J54uT9u85iTLKrpO5wTHDbymWWfUqLNacFg55+DJVN0VsF&#10;u35/sMNV9v63KEc2vunPx0ap+ev0/QUi0hSf4Uf7oBUsP+D+Jf0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nxpwgAAANsAAAAPAAAAAAAAAAAAAAAAAJgCAABkcnMvZG93&#10;bnJldi54bWxQSwUGAAAAAAQABAD1AAAAhwMAAAAA&#10;" filled="f" stroked="f">
                <v:path arrowok="t"/>
                <v:textbox>
                  <w:txbxContent>
                    <w:p w:rsidR="00D230E4" w:rsidRPr="00373933" w:rsidRDefault="00D230E4" w:rsidP="0042464B">
                      <w:pPr>
                        <w:rPr>
                          <w:color w:val="CC6600"/>
                          <w:sz w:val="16"/>
                          <w:szCs w:val="16"/>
                        </w:rPr>
                      </w:pPr>
                      <w:r w:rsidRPr="008A191B">
                        <w:rPr>
                          <w:b/>
                          <w:color w:val="CC6600"/>
                          <w:sz w:val="16"/>
                          <w:szCs w:val="16"/>
                        </w:rPr>
                        <w:t>BOARD MEMBERS</w:t>
                      </w:r>
                      <w:r>
                        <w:rPr>
                          <w:b/>
                          <w:color w:val="CC6600"/>
                          <w:sz w:val="16"/>
                          <w:szCs w:val="16"/>
                        </w:rPr>
                        <w:br/>
                      </w:r>
                      <w:r w:rsidRPr="008A191B">
                        <w:rPr>
                          <w:b/>
                          <w:color w:val="CC6600"/>
                          <w:sz w:val="16"/>
                          <w:szCs w:val="16"/>
                        </w:rPr>
                        <w:t>Maura Healey</w:t>
                      </w:r>
                      <w:r w:rsidRPr="00373933">
                        <w:rPr>
                          <w:b/>
                          <w:color w:val="CC6600"/>
                          <w:sz w:val="16"/>
                          <w:szCs w:val="16"/>
                        </w:rPr>
                        <w:br/>
                      </w:r>
                      <w:r w:rsidRPr="008A191B">
                        <w:rPr>
                          <w:color w:val="CC6600"/>
                          <w:sz w:val="16"/>
                          <w:szCs w:val="16"/>
                        </w:rPr>
                        <w:t>Attorney General</w:t>
                      </w:r>
                    </w:p>
                  </w:txbxContent>
                </v:textbox>
              </v:shape>
              <v:shape id="Text Box 25" o:spid="_x0000_s1030" type="#_x0000_t202" style="position:absolute;left:22961;width:10846;height:7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bZ8sIA&#10;AADbAAAADwAAAGRycy9kb3ducmV2LnhtbESP3WoCMRSE7wu+QzgF72q2QotsjVIKohRvuvoAh83p&#10;ZtnNSdhkf/TpjSB4OczMN8x6O9lWDNSF2rGC90UGgrh0uuZKwfm0e1uBCBFZY+uYFFwowHYze1lj&#10;rt3IfzQUsRIJwiFHBSZGn0sZSkMWw8J54uT9u85iTLKrpO5wTHDbymWWfUqLNacFg55+DJVN0VsF&#10;u35/sMNV9v63KEc2vunPx0ap+ev0/QUi0hSf4Uf7oBUsP+D+Jf0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5tnywgAAANsAAAAPAAAAAAAAAAAAAAAAAJgCAABkcnMvZG93&#10;bnJldi54bWxQSwUGAAAAAAQABAD1AAAAhwMAAAAA&#10;" filled="f" stroked="f">
                <v:path arrowok="t"/>
                <v:textbox>
                  <w:txbxContent>
                    <w:p w:rsidR="00D230E4" w:rsidRPr="00373933" w:rsidRDefault="00D230E4" w:rsidP="0042464B">
                      <w:pPr>
                        <w:rPr>
                          <w:color w:val="CC6600"/>
                          <w:sz w:val="16"/>
                          <w:szCs w:val="16"/>
                        </w:rPr>
                      </w:pPr>
                      <w:r>
                        <w:rPr>
                          <w:b/>
                          <w:color w:val="CC6600"/>
                          <w:sz w:val="16"/>
                          <w:szCs w:val="16"/>
                        </w:rPr>
                        <w:br/>
                      </w:r>
                      <w:r w:rsidRPr="00EF1D85">
                        <w:rPr>
                          <w:b/>
                          <w:color w:val="CC6600"/>
                          <w:sz w:val="16"/>
                          <w:szCs w:val="16"/>
                        </w:rPr>
                        <w:t>Marylou Sudders</w:t>
                      </w:r>
                      <w:r w:rsidRPr="00373933">
                        <w:rPr>
                          <w:b/>
                          <w:color w:val="CC6600"/>
                          <w:sz w:val="16"/>
                          <w:szCs w:val="16"/>
                        </w:rPr>
                        <w:br/>
                      </w:r>
                      <w:r w:rsidRPr="00EF1D85">
                        <w:rPr>
                          <w:color w:val="CC6600"/>
                          <w:sz w:val="16"/>
                          <w:szCs w:val="16"/>
                        </w:rPr>
                        <w:t>Secretary of Health</w:t>
                      </w:r>
                      <w:r>
                        <w:rPr>
                          <w:color w:val="CC6600"/>
                          <w:sz w:val="16"/>
                          <w:szCs w:val="16"/>
                        </w:rPr>
                        <w:br/>
                      </w:r>
                      <w:r w:rsidRPr="00EF1D85">
                        <w:rPr>
                          <w:color w:val="CC6600"/>
                          <w:sz w:val="16"/>
                          <w:szCs w:val="16"/>
                        </w:rPr>
                        <w:t>and Human Services</w:t>
                      </w:r>
                    </w:p>
                  </w:txbxContent>
                </v:textbox>
              </v:shape>
              <v:shape id="Text Box 26" o:spid="_x0000_s1031" type="#_x0000_t202" style="position:absolute;left:34391;width:10846;height:9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RHhcIA&#10;AADbAAAADwAAAGRycy9kb3ducmV2LnhtbESP3WoCMRSE74W+QzhC7zSrFyKrUUpBKqU3rj7AYXPc&#10;LLs5CZvsT/v0jSB4OczMN8z+ONlWDNSF2rGC1TIDQVw6XXOl4HY9LbYgQkTW2DomBb8U4Hh4m+0x&#10;127kCw1FrESCcMhRgYnR51KG0pDFsHSeOHl311mMSXaV1B2OCW5buc6yjbRYc1ow6OnTUNkUvVVw&#10;6r/OdviTvf8uypGNb/rbT6PU+3z62IGINMVX+Nk+awXrDTy+pB8g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NEeFwgAAANsAAAAPAAAAAAAAAAAAAAAAAJgCAABkcnMvZG93&#10;bnJldi54bWxQSwUGAAAAAAQABAD1AAAAhwMAAAAA&#10;" filled="f" stroked="f">
                <v:path arrowok="t"/>
                <v:textbox>
                  <w:txbxContent>
                    <w:p w:rsidR="00D230E4" w:rsidRPr="00373933" w:rsidRDefault="00D230E4" w:rsidP="0042464B">
                      <w:pPr>
                        <w:rPr>
                          <w:color w:val="CC6600"/>
                          <w:sz w:val="16"/>
                          <w:szCs w:val="16"/>
                        </w:rPr>
                      </w:pPr>
                      <w:r>
                        <w:rPr>
                          <w:b/>
                          <w:color w:val="CC6600"/>
                          <w:sz w:val="16"/>
                          <w:szCs w:val="16"/>
                        </w:rPr>
                        <w:br/>
                      </w:r>
                      <w:r w:rsidRPr="003D0D04">
                        <w:rPr>
                          <w:b/>
                          <w:color w:val="CC6600"/>
                          <w:sz w:val="16"/>
                          <w:szCs w:val="16"/>
                        </w:rPr>
                        <w:t>John C. Chapman</w:t>
                      </w:r>
                      <w:r w:rsidRPr="00373933">
                        <w:rPr>
                          <w:b/>
                          <w:color w:val="CC6600"/>
                          <w:sz w:val="16"/>
                          <w:szCs w:val="16"/>
                        </w:rPr>
                        <w:br/>
                      </w:r>
                      <w:r>
                        <w:rPr>
                          <w:color w:val="CC6600"/>
                          <w:sz w:val="16"/>
                          <w:szCs w:val="16"/>
                        </w:rPr>
                        <w:t>Undersecretary</w:t>
                      </w:r>
                      <w:r>
                        <w:rPr>
                          <w:color w:val="CC6600"/>
                          <w:sz w:val="16"/>
                          <w:szCs w:val="16"/>
                        </w:rPr>
                        <w:br/>
                      </w:r>
                      <w:r w:rsidRPr="003D0D04">
                        <w:rPr>
                          <w:color w:val="CC6600"/>
                          <w:sz w:val="16"/>
                          <w:szCs w:val="16"/>
                        </w:rPr>
                        <w:t>of Consumer Affairs</w:t>
                      </w:r>
                      <w:r>
                        <w:rPr>
                          <w:color w:val="CC6600"/>
                          <w:sz w:val="16"/>
                          <w:szCs w:val="16"/>
                        </w:rPr>
                        <w:br/>
                      </w:r>
                      <w:r w:rsidRPr="003D0D04">
                        <w:rPr>
                          <w:color w:val="CC6600"/>
                          <w:sz w:val="16"/>
                          <w:szCs w:val="16"/>
                        </w:rPr>
                        <w:t>and Business Regulation</w:t>
                      </w:r>
                    </w:p>
                  </w:txbxContent>
                </v:textbox>
              </v:shape>
              <v:shape id="Text Box 27" o:spid="_x0000_s1032" type="#_x0000_t202" style="position:absolute;left:46970;width:13132;height:7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jiHsIA&#10;AADbAAAADwAAAGRycy9kb3ducmV2LnhtbESP3WoCMRSE7wu+QzgF72q2XrSyNUopiFK86eoDHDan&#10;m2U3J2GT/dGnN4Lg5TAz3zDr7WRbMVAXascK3hcZCOLS6ZorBefT7m0FIkRkja1jUnChANvN7GWN&#10;uXYj/9FQxEokCIccFZgYfS5lKA1ZDAvniZP37zqLMcmukrrDMcFtK5dZ9iEt1pwWDHr6MVQ2RW8V&#10;7Pr9wQ5X2fvfohzZ+KY/Hxul5q/T9xeISFN8hh/tg1aw/IT7l/QD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eOIewgAAANsAAAAPAAAAAAAAAAAAAAAAAJgCAABkcnMvZG93&#10;bnJldi54bWxQSwUGAAAAAAQABAD1AAAAhwMAAAAA&#10;" filled="f" stroked="f">
                <v:path arrowok="t"/>
                <v:textbox>
                  <w:txbxContent>
                    <w:p w:rsidR="00D230E4" w:rsidRPr="00373933" w:rsidRDefault="00D230E4" w:rsidP="0042464B">
                      <w:pPr>
                        <w:rPr>
                          <w:color w:val="CC6600"/>
                          <w:sz w:val="16"/>
                          <w:szCs w:val="16"/>
                        </w:rPr>
                      </w:pPr>
                      <w:r>
                        <w:rPr>
                          <w:b/>
                          <w:color w:val="CC6600"/>
                          <w:sz w:val="16"/>
                          <w:szCs w:val="16"/>
                        </w:rPr>
                        <w:br/>
                      </w:r>
                      <w:r w:rsidR="00137B39">
                        <w:rPr>
                          <w:b/>
                          <w:color w:val="CC6600"/>
                          <w:sz w:val="16"/>
                          <w:szCs w:val="16"/>
                        </w:rPr>
                        <w:t>Ray Campbell</w:t>
                      </w:r>
                      <w:r w:rsidRPr="00373933">
                        <w:rPr>
                          <w:b/>
                          <w:color w:val="CC6600"/>
                          <w:sz w:val="16"/>
                          <w:szCs w:val="16"/>
                        </w:rPr>
                        <w:br/>
                      </w:r>
                      <w:r>
                        <w:rPr>
                          <w:color w:val="CC6600"/>
                          <w:sz w:val="16"/>
                          <w:szCs w:val="16"/>
                        </w:rPr>
                        <w:t>Executive Director</w:t>
                      </w:r>
                      <w:proofErr w:type="gramStart"/>
                      <w:r>
                        <w:rPr>
                          <w:color w:val="CC6600"/>
                          <w:sz w:val="16"/>
                          <w:szCs w:val="16"/>
                        </w:rPr>
                        <w:t>,</w:t>
                      </w:r>
                      <w:proofErr w:type="gramEnd"/>
                      <w:r>
                        <w:rPr>
                          <w:color w:val="CC6600"/>
                          <w:sz w:val="16"/>
                          <w:szCs w:val="16"/>
                        </w:rPr>
                        <w:br/>
                      </w:r>
                      <w:r w:rsidRPr="003D0D04">
                        <w:rPr>
                          <w:color w:val="CC6600"/>
                          <w:sz w:val="16"/>
                          <w:szCs w:val="16"/>
                        </w:rPr>
                        <w:t>Center for Health</w:t>
                      </w:r>
                      <w:r>
                        <w:rPr>
                          <w:color w:val="CC6600"/>
                          <w:sz w:val="16"/>
                          <w:szCs w:val="16"/>
                        </w:rPr>
                        <w:br/>
                      </w:r>
                      <w:r w:rsidRPr="003D0D04">
                        <w:rPr>
                          <w:color w:val="CC6600"/>
                          <w:sz w:val="16"/>
                          <w:szCs w:val="16"/>
                        </w:rPr>
                        <w:t>Information and</w:t>
                      </w:r>
                      <w:r w:rsidR="002F6544">
                        <w:rPr>
                          <w:color w:val="CC6600"/>
                          <w:sz w:val="16"/>
                          <w:szCs w:val="16"/>
                        </w:rPr>
                        <w:t xml:space="preserve"> Analysis</w:t>
                      </w:r>
                      <w:r w:rsidRPr="003D0D04">
                        <w:rPr>
                          <w:color w:val="CC6600"/>
                          <w:sz w:val="16"/>
                          <w:szCs w:val="16"/>
                        </w:rPr>
                        <w:t xml:space="preserve"> </w:t>
                      </w:r>
                      <w:r w:rsidR="002F6544">
                        <w:rPr>
                          <w:color w:val="CC6600"/>
                          <w:sz w:val="16"/>
                          <w:szCs w:val="16"/>
                        </w:rPr>
                        <w:t xml:space="preserve"> </w:t>
                      </w:r>
                      <w:proofErr w:type="spellStart"/>
                      <w:r w:rsidR="002F6544">
                        <w:rPr>
                          <w:color w:val="CC6600"/>
                          <w:sz w:val="16"/>
                          <w:szCs w:val="16"/>
                        </w:rPr>
                        <w:t>AAAn</w:t>
                      </w:r>
                      <w:r w:rsidRPr="003D0D04">
                        <w:rPr>
                          <w:color w:val="CC6600"/>
                          <w:sz w:val="16"/>
                          <w:szCs w:val="16"/>
                        </w:rPr>
                        <w:t>Analysis</w:t>
                      </w:r>
                      <w:proofErr w:type="spellEnd"/>
                    </w:p>
                  </w:txbxContent>
                </v:textbox>
              </v:shape>
              <w10:wrap type="through"/>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07851"/>
      <w:docPartObj>
        <w:docPartGallery w:val="Page Numbers (Bottom of Page)"/>
        <w:docPartUnique/>
      </w:docPartObj>
    </w:sdtPr>
    <w:sdtEndPr>
      <w:rPr>
        <w:noProof/>
      </w:rPr>
    </w:sdtEndPr>
    <w:sdtContent>
      <w:p w:rsidR="00490DBE" w:rsidRDefault="00814F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90DBE" w:rsidRDefault="00814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F61" w:rsidRDefault="00C34F61" w:rsidP="00B611D3">
      <w:pPr>
        <w:spacing w:after="0" w:line="240" w:lineRule="auto"/>
      </w:pPr>
      <w:r>
        <w:separator/>
      </w:r>
    </w:p>
  </w:footnote>
  <w:footnote w:type="continuationSeparator" w:id="0">
    <w:p w:rsidR="00C34F61" w:rsidRDefault="00C34F61" w:rsidP="00B61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E4" w:rsidRPr="00B611D3" w:rsidRDefault="006D1DA7" w:rsidP="00B611D3">
    <w:pPr>
      <w:pStyle w:val="Header"/>
    </w:pPr>
    <w:r>
      <w:rPr>
        <w:noProof/>
      </w:rPr>
      <w:drawing>
        <wp:anchor distT="0" distB="0" distL="114300" distR="114300" simplePos="0" relativeHeight="251698176" behindDoc="1" locked="0" layoutInCell="1" allowOverlap="1" wp14:anchorId="2028105F" wp14:editId="3C08D857">
          <wp:simplePos x="0" y="0"/>
          <wp:positionH relativeFrom="column">
            <wp:posOffset>2351928</wp:posOffset>
          </wp:positionH>
          <wp:positionV relativeFrom="paragraph">
            <wp:posOffset>1471930</wp:posOffset>
          </wp:positionV>
          <wp:extent cx="7054925" cy="7229778"/>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C_logo_RGB_orange-01.png"/>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7054925" cy="722977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E4" w:rsidRDefault="00F83D7D" w:rsidP="00554970">
    <w:pPr>
      <w:pStyle w:val="Header"/>
    </w:pPr>
    <w:r w:rsidRPr="00561A57">
      <w:rPr>
        <w:noProof/>
      </w:rPr>
      <mc:AlternateContent>
        <mc:Choice Requires="wps">
          <w:drawing>
            <wp:anchor distT="0" distB="0" distL="114300" distR="114300" simplePos="0" relativeHeight="251686912" behindDoc="0" locked="0" layoutInCell="1" allowOverlap="1" wp14:anchorId="3A60548D" wp14:editId="1C9881FD">
              <wp:simplePos x="0" y="0"/>
              <wp:positionH relativeFrom="column">
                <wp:posOffset>4467225</wp:posOffset>
              </wp:positionH>
              <wp:positionV relativeFrom="paragraph">
                <wp:posOffset>219075</wp:posOffset>
              </wp:positionV>
              <wp:extent cx="2105025" cy="799465"/>
              <wp:effectExtent l="0" t="0" r="0" b="635"/>
              <wp:wrapThrough wrapText="bothSides">
                <wp:wrapPolygon edited="0">
                  <wp:start x="391" y="0"/>
                  <wp:lineTo x="391" y="21102"/>
                  <wp:lineTo x="20916" y="21102"/>
                  <wp:lineTo x="20916" y="0"/>
                  <wp:lineTo x="391"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5025" cy="7994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D230E4" w:rsidRPr="00E93401" w:rsidRDefault="00D230E4" w:rsidP="00561A57">
                          <w:pPr>
                            <w:rPr>
                              <w:rStyle w:val="Hyperlink"/>
                            </w:rPr>
                          </w:pPr>
                          <w:r w:rsidRPr="00B13A00">
                            <w:rPr>
                              <w:color w:val="06547F"/>
                              <w:sz w:val="16"/>
                              <w:szCs w:val="16"/>
                            </w:rPr>
                            <w:t>50</w:t>
                          </w:r>
                          <w:r>
                            <w:rPr>
                              <w:color w:val="06547F"/>
                              <w:sz w:val="16"/>
                              <w:szCs w:val="16"/>
                            </w:rPr>
                            <w:t>1</w:t>
                          </w:r>
                          <w:r w:rsidRPr="00B13A00">
                            <w:rPr>
                              <w:color w:val="06547F"/>
                              <w:sz w:val="16"/>
                              <w:szCs w:val="16"/>
                            </w:rPr>
                            <w:t xml:space="preserve"> Boylston Street, 5</w:t>
                          </w:r>
                          <w:r w:rsidRPr="00B13A00">
                            <w:rPr>
                              <w:color w:val="06547F"/>
                              <w:sz w:val="16"/>
                              <w:szCs w:val="16"/>
                              <w:vertAlign w:val="superscript"/>
                            </w:rPr>
                            <w:t>th</w:t>
                          </w:r>
                          <w:r>
                            <w:rPr>
                              <w:color w:val="06547F"/>
                              <w:sz w:val="16"/>
                              <w:szCs w:val="16"/>
                            </w:rPr>
                            <w:t xml:space="preserve"> Floor</w:t>
                          </w:r>
                          <w:r>
                            <w:rPr>
                              <w:color w:val="06547F"/>
                              <w:sz w:val="16"/>
                              <w:szCs w:val="16"/>
                            </w:rPr>
                            <w:br/>
                          </w:r>
                          <w:r w:rsidRPr="00B13A00">
                            <w:rPr>
                              <w:color w:val="06547F"/>
                              <w:sz w:val="16"/>
                              <w:szCs w:val="16"/>
                            </w:rPr>
                            <w:t>Boston, MA 02116</w:t>
                          </w:r>
                          <w:r w:rsidRPr="00B13A00">
                            <w:rPr>
                              <w:color w:val="06547F"/>
                              <w:sz w:val="16"/>
                              <w:szCs w:val="16"/>
                            </w:rPr>
                            <w:br/>
                          </w:r>
                          <w:r w:rsidRPr="00B13A00">
                            <w:rPr>
                              <w:b/>
                              <w:color w:val="06547F"/>
                              <w:sz w:val="16"/>
                              <w:szCs w:val="16"/>
                            </w:rPr>
                            <w:t xml:space="preserve">T </w:t>
                          </w:r>
                          <w:proofErr w:type="gramStart"/>
                          <w:r w:rsidRPr="00B13A00">
                            <w:rPr>
                              <w:color w:val="06547F"/>
                              <w:sz w:val="16"/>
                              <w:szCs w:val="16"/>
                            </w:rPr>
                            <w:t xml:space="preserve">617.701.8271  </w:t>
                          </w:r>
                          <w:r w:rsidRPr="00B13A00">
                            <w:rPr>
                              <w:b/>
                              <w:color w:val="06547F"/>
                              <w:sz w:val="16"/>
                              <w:szCs w:val="16"/>
                            </w:rPr>
                            <w:t>F</w:t>
                          </w:r>
                          <w:proofErr w:type="gramEnd"/>
                          <w:r w:rsidRPr="00B13A00">
                            <w:rPr>
                              <w:color w:val="06547F"/>
                              <w:sz w:val="16"/>
                              <w:szCs w:val="16"/>
                            </w:rPr>
                            <w:t xml:space="preserve"> 617.889.7857</w:t>
                          </w:r>
                          <w:r w:rsidRPr="00B13A00">
                            <w:rPr>
                              <w:color w:val="06547F"/>
                              <w:sz w:val="16"/>
                              <w:szCs w:val="16"/>
                            </w:rPr>
                            <w:br/>
                          </w:r>
                          <w:r>
                            <w:rPr>
                              <w:b/>
                              <w:color w:val="06547F"/>
                              <w:sz w:val="16"/>
                              <w:szCs w:val="16"/>
                            </w:rPr>
                            <w:t>E</w:t>
                          </w:r>
                          <w:r w:rsidRPr="00B13A00">
                            <w:rPr>
                              <w:b/>
                              <w:color w:val="06547F"/>
                              <w:sz w:val="16"/>
                              <w:szCs w:val="16"/>
                            </w:rPr>
                            <w:t xml:space="preserve"> </w:t>
                          </w:r>
                          <w:hyperlink r:id="rId1" w:history="1">
                            <w:r w:rsidR="00F83D7D" w:rsidRPr="00F83D7D">
                              <w:rPr>
                                <w:rStyle w:val="Hyperlink"/>
                                <w:sz w:val="16"/>
                                <w:szCs w:val="16"/>
                              </w:rPr>
                              <w:t>betsylehmancenter@massmail.state.ma.us</w:t>
                            </w:r>
                          </w:hyperlink>
                          <w:r w:rsidR="009107F2">
                            <w:rPr>
                              <w:color w:val="06547F"/>
                              <w:sz w:val="16"/>
                              <w:szCs w:val="16"/>
                            </w:rPr>
                            <w:br/>
                          </w:r>
                          <w:hyperlink r:id="rId2" w:history="1">
                            <w:r w:rsidR="00F83D7D" w:rsidRPr="00E93401">
                              <w:rPr>
                                <w:rStyle w:val="Hyperlink"/>
                                <w:sz w:val="16"/>
                                <w:szCs w:val="16"/>
                              </w:rPr>
                              <w:t>www.BetsyLehmanCenterMA.gov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1.75pt;margin-top:17.25pt;width:165.75pt;height:62.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G1ZQIAALkEAAAOAAAAZHJzL2Uyb0RvYy54bWysVEtv2zAMvg/YfxB0T/yA0zZGnMJNkGFA&#10;0BZoh54VWY6N2aImKbW7Yf99lBwnWbfTsItMkZ/4/OjFbd825FVoU4PMaDQNKRGSQ1HLfUa/PG8m&#10;N5QYy2TBGpAio2/C0Nvlxw+LTqUihgqaQmiCTqRJO5XRylqVBoHhlWiZmYISEo0l6JZZvOp9UGjW&#10;ofe2CeIwvAo60IXSwIUxqF0PRrr0/stScPtQlkZY0mQUc7P+1P7cuTNYLli610xVNT+mwf4hi5bV&#10;EoOeXK2ZZeSg6z9ctTXXYKC0Uw5tAGVZc+FrwGqi8F01TxVTwteCzTHq1Cbz/9zy+9dHTeoiozEl&#10;krU4omfRW3IHPYlddzplUgQ9KYTZHtU4ZV+pUVvgXw1CggvM8MAg2nWjL3XrvlgnwYc4gLdT010U&#10;jso4CmdhPKOEo+16Pk+uZi5ucH6ttLGfBLTECRnVOFSfAXvdGjtAR4gLJmFTNw3qWdrI3xToc9AI&#10;z4zhNUsxExQd0uXkp/ZjNbuO8+vZfHKVz6JJEoU3kzwP48l6k4d5mGxW8+Tu5zHP8b3vw1C664jt&#10;dz1m4cQdFG/YPw0D/4zimxpr2TJjH5lGwmFncInsAx5lA11G4ShRUoH+/je9wyMP0EpJhwTOqPl2&#10;YFpQ0nyWyJB5lCSO8f6SYDl40ZeW3aVFHtoV4I5EuK6Ke9HhbTOKpYb2BXctd1HRxCTH2Bm1o7iy&#10;w1rhrnKR5x6EHFfMbuWT4iNt3KSe+xem1XGcFtt3DyPVWfpuqgN2GGN+sFDWfuTnrh75h/vhSXPc&#10;ZbeAl3ePOv9xlr8AAAD//wMAUEsDBBQABgAIAAAAIQCwAmac3QAAAAsBAAAPAAAAZHJzL2Rvd25y&#10;ZXYueG1sTI9NTsMwEIX3SNzBGiR21IaWgkKcCiFVIMSG0AO4sYmjxGMrtpPA6Zmu6Gr+nt58r9wt&#10;bmCTGWPnUcLtSgAz2HjdYSvh8LW/eQQWk0KtBo9Gwo+JsKsuL0pVaD/jp5nq1DIywVgoCTalUHAe&#10;G2uciisfDNLt249OJRrHlutRzWTuBn4nxJY71SF9sCqYF2uavs5Owj6/vrnpl+fwXjcz2tDnw0cv&#10;5fXV8vwELJkl/YvhhE/oUBHT0WfUkQ0SHsT6nqQS1huqJwEtKN2Ruq3YAK9Kfp6h+gMAAP//AwBQ&#10;SwECLQAUAAYACAAAACEAtoM4kv4AAADhAQAAEwAAAAAAAAAAAAAAAAAAAAAAW0NvbnRlbnRfVHlw&#10;ZXNdLnhtbFBLAQItABQABgAIAAAAIQA4/SH/1gAAAJQBAAALAAAAAAAAAAAAAAAAAC8BAABfcmVs&#10;cy8ucmVsc1BLAQItABQABgAIAAAAIQBjZOG1ZQIAALkEAAAOAAAAAAAAAAAAAAAAAC4CAABkcnMv&#10;ZTJvRG9jLnhtbFBLAQItABQABgAIAAAAIQCwAmac3QAAAAsBAAAPAAAAAAAAAAAAAAAAAL8EAABk&#10;cnMvZG93bnJldi54bWxQSwUGAAAAAAQABADzAAAAyQUAAAAA&#10;" filled="f" stroked="f">
              <v:path arrowok="t"/>
              <v:textbox>
                <w:txbxContent>
                  <w:p w:rsidR="00D230E4" w:rsidRPr="00E93401" w:rsidRDefault="00D230E4" w:rsidP="00561A57">
                    <w:pPr>
                      <w:rPr>
                        <w:rStyle w:val="Hyperlink"/>
                      </w:rPr>
                    </w:pPr>
                    <w:r w:rsidRPr="00B13A00">
                      <w:rPr>
                        <w:color w:val="06547F"/>
                        <w:sz w:val="16"/>
                        <w:szCs w:val="16"/>
                      </w:rPr>
                      <w:t>50</w:t>
                    </w:r>
                    <w:r>
                      <w:rPr>
                        <w:color w:val="06547F"/>
                        <w:sz w:val="16"/>
                        <w:szCs w:val="16"/>
                      </w:rPr>
                      <w:t>1</w:t>
                    </w:r>
                    <w:r w:rsidRPr="00B13A00">
                      <w:rPr>
                        <w:color w:val="06547F"/>
                        <w:sz w:val="16"/>
                        <w:szCs w:val="16"/>
                      </w:rPr>
                      <w:t xml:space="preserve"> Boylston Street, 5</w:t>
                    </w:r>
                    <w:r w:rsidRPr="00B13A00">
                      <w:rPr>
                        <w:color w:val="06547F"/>
                        <w:sz w:val="16"/>
                        <w:szCs w:val="16"/>
                        <w:vertAlign w:val="superscript"/>
                      </w:rPr>
                      <w:t>th</w:t>
                    </w:r>
                    <w:r>
                      <w:rPr>
                        <w:color w:val="06547F"/>
                        <w:sz w:val="16"/>
                        <w:szCs w:val="16"/>
                      </w:rPr>
                      <w:t xml:space="preserve"> Floor</w:t>
                    </w:r>
                    <w:r>
                      <w:rPr>
                        <w:color w:val="06547F"/>
                        <w:sz w:val="16"/>
                        <w:szCs w:val="16"/>
                      </w:rPr>
                      <w:br/>
                    </w:r>
                    <w:r w:rsidRPr="00B13A00">
                      <w:rPr>
                        <w:color w:val="06547F"/>
                        <w:sz w:val="16"/>
                        <w:szCs w:val="16"/>
                      </w:rPr>
                      <w:t>Boston, MA 02116</w:t>
                    </w:r>
                    <w:r w:rsidRPr="00B13A00">
                      <w:rPr>
                        <w:color w:val="06547F"/>
                        <w:sz w:val="16"/>
                        <w:szCs w:val="16"/>
                      </w:rPr>
                      <w:br/>
                    </w:r>
                    <w:r w:rsidRPr="00B13A00">
                      <w:rPr>
                        <w:b/>
                        <w:color w:val="06547F"/>
                        <w:sz w:val="16"/>
                        <w:szCs w:val="16"/>
                      </w:rPr>
                      <w:t xml:space="preserve">T </w:t>
                    </w:r>
                    <w:proofErr w:type="gramStart"/>
                    <w:r w:rsidRPr="00B13A00">
                      <w:rPr>
                        <w:color w:val="06547F"/>
                        <w:sz w:val="16"/>
                        <w:szCs w:val="16"/>
                      </w:rPr>
                      <w:t xml:space="preserve">617.701.8271  </w:t>
                    </w:r>
                    <w:r w:rsidRPr="00B13A00">
                      <w:rPr>
                        <w:b/>
                        <w:color w:val="06547F"/>
                        <w:sz w:val="16"/>
                        <w:szCs w:val="16"/>
                      </w:rPr>
                      <w:t>F</w:t>
                    </w:r>
                    <w:proofErr w:type="gramEnd"/>
                    <w:r w:rsidRPr="00B13A00">
                      <w:rPr>
                        <w:color w:val="06547F"/>
                        <w:sz w:val="16"/>
                        <w:szCs w:val="16"/>
                      </w:rPr>
                      <w:t xml:space="preserve"> 617.889.7857</w:t>
                    </w:r>
                    <w:r w:rsidRPr="00B13A00">
                      <w:rPr>
                        <w:color w:val="06547F"/>
                        <w:sz w:val="16"/>
                        <w:szCs w:val="16"/>
                      </w:rPr>
                      <w:br/>
                    </w:r>
                    <w:r>
                      <w:rPr>
                        <w:b/>
                        <w:color w:val="06547F"/>
                        <w:sz w:val="16"/>
                        <w:szCs w:val="16"/>
                      </w:rPr>
                      <w:t>E</w:t>
                    </w:r>
                    <w:r w:rsidRPr="00B13A00">
                      <w:rPr>
                        <w:b/>
                        <w:color w:val="06547F"/>
                        <w:sz w:val="16"/>
                        <w:szCs w:val="16"/>
                      </w:rPr>
                      <w:t xml:space="preserve"> </w:t>
                    </w:r>
                    <w:hyperlink r:id="rId3" w:history="1">
                      <w:r w:rsidR="00F83D7D" w:rsidRPr="00F83D7D">
                        <w:rPr>
                          <w:rStyle w:val="Hyperlink"/>
                          <w:sz w:val="16"/>
                          <w:szCs w:val="16"/>
                        </w:rPr>
                        <w:t>betsylehmancenter@massmail.state.ma.us</w:t>
                      </w:r>
                    </w:hyperlink>
                    <w:r w:rsidR="009107F2">
                      <w:rPr>
                        <w:color w:val="06547F"/>
                        <w:sz w:val="16"/>
                        <w:szCs w:val="16"/>
                      </w:rPr>
                      <w:br/>
                    </w:r>
                    <w:hyperlink r:id="rId4" w:history="1">
                      <w:r w:rsidR="00F83D7D" w:rsidRPr="00E93401">
                        <w:rPr>
                          <w:rStyle w:val="Hyperlink"/>
                          <w:sz w:val="16"/>
                          <w:szCs w:val="16"/>
                        </w:rPr>
                        <w:t>www.BetsyLehmanCenterMA.gov</w:t>
                      </w:r>
                    </w:hyperlink>
                  </w:p>
                </w:txbxContent>
              </v:textbox>
              <w10:wrap type="through"/>
            </v:shape>
          </w:pict>
        </mc:Fallback>
      </mc:AlternateContent>
    </w:r>
    <w:r w:rsidR="00217EB4">
      <w:rPr>
        <w:noProof/>
      </w:rPr>
      <mc:AlternateContent>
        <mc:Choice Requires="wpg">
          <w:drawing>
            <wp:anchor distT="0" distB="0" distL="114300" distR="114300" simplePos="0" relativeHeight="251696128" behindDoc="0" locked="0" layoutInCell="1" allowOverlap="1" wp14:anchorId="21BF7571" wp14:editId="4909422C">
              <wp:simplePos x="0" y="0"/>
              <wp:positionH relativeFrom="column">
                <wp:posOffset>-914400</wp:posOffset>
              </wp:positionH>
              <wp:positionV relativeFrom="paragraph">
                <wp:posOffset>1420495</wp:posOffset>
              </wp:positionV>
              <wp:extent cx="7767955" cy="8173085"/>
              <wp:effectExtent l="0" t="0" r="4445" b="5715"/>
              <wp:wrapThrough wrapText="bothSides">
                <wp:wrapPolygon edited="0">
                  <wp:start x="353" y="0"/>
                  <wp:lineTo x="212" y="17722"/>
                  <wp:lineTo x="353" y="21548"/>
                  <wp:lineTo x="4026" y="21548"/>
                  <wp:lineTo x="4026" y="19467"/>
                  <wp:lineTo x="21400" y="18460"/>
                  <wp:lineTo x="21542" y="17655"/>
                  <wp:lineTo x="4026" y="17319"/>
                  <wp:lineTo x="4026" y="0"/>
                  <wp:lineTo x="353" y="0"/>
                </wp:wrapPolygon>
              </wp:wrapThrough>
              <wp:docPr id="38" name="Group 38"/>
              <wp:cNvGraphicFramePr/>
              <a:graphic xmlns:a="http://schemas.openxmlformats.org/drawingml/2006/main">
                <a:graphicData uri="http://schemas.microsoft.com/office/word/2010/wordprocessingGroup">
                  <wpg:wgp>
                    <wpg:cNvGrpSpPr/>
                    <wpg:grpSpPr>
                      <a:xfrm>
                        <a:off x="0" y="0"/>
                        <a:ext cx="7767955" cy="8173085"/>
                        <a:chOff x="0" y="0"/>
                        <a:chExt cx="7768209" cy="8173085"/>
                      </a:xfrm>
                    </wpg:grpSpPr>
                    <wps:wsp>
                      <wps:cNvPr id="31" name="Rectangle 31"/>
                      <wps:cNvSpPr/>
                      <wps:spPr>
                        <a:xfrm>
                          <a:off x="94812" y="0"/>
                          <a:ext cx="1428115" cy="8173085"/>
                        </a:xfrm>
                        <a:prstGeom prst="rect">
                          <a:avLst/>
                        </a:prstGeom>
                        <a:no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0" y="6670040"/>
                          <a:ext cx="7768209" cy="361950"/>
                        </a:xfrm>
                        <a:prstGeom prst="rect">
                          <a:avLst/>
                        </a:prstGeom>
                        <a:no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8" o:spid="_x0000_s1026" style="position:absolute;margin-left:-1in;margin-top:111.85pt;width:611.65pt;height:643.55pt;z-index:251696128" coordsize="77682,8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jAAAMAAAsKAAAOAAAAZHJzL2Uyb0RvYy54bWzsVltr2zAUfh/sPwi9r7Zzj6lTQruWQWlL&#10;29FnVZZsM1nSJCVO9+t3JMdO1oTBOhgM+iLr8p3bp3OOdXq2qQVaM2MrJTOcnMQYMUlVXskiw18f&#10;Lz/NMLKOyJwIJVmGX5jFZ4uPH04bnbKBKpXImUGgRNq00RkundNpFFlasprYE6WZhEOuTE0cLE0R&#10;5YY0oL0W0SCOJ1GjTK6Nosxa2L1oD/Ei6OecUXfLuWUOiQyDby6MJozPfowWpyQtDNFlRbdukDd4&#10;UZNKgtFe1QVxBK1MdaCqrqhRVnF3QlUdKc4rykIMEE0Sv4rmyqiVDrEUaVPoniag9hVPb1ZLb9Z3&#10;BlV5hodwU5LUcEfBLII1kNPoIgXMldEP+s5sN4p25ePdcFP7L0SCNoHWl55WtnGIwuZ0OpnOx2OM&#10;KJzNkukwno1b4mkJt3MgR8vPO8nZIJ4fSEad4cj717vTaEgiu+PJ/h1PDyXRLNBvPQcdT0nH0z1k&#10;F5GFYGiYtFwFXE+UTS1wdoSl+WiWDDA6ZCoZDWZJcshUHy9JtbHuiqka+UmGDfgQEo+sr62D+wFo&#10;B/GWpbqshAhZLuQvGwD0O8Bg52eYuRfBPE7Ie8YhMeD+BsFAKEl2LgxaEyim/FuIOWgBpBfhYKkX&#10;So4JCdcJbbFejIUy7QXjY4I7az06WFTS9YJ1JZX5vTBv8V3Ubaw+7GeVv8D9GtU2CKvpZQX8XhPr&#10;7oiBjgC9A7qcu4WBC9VkWG1nGJXK/Di27/GQgHCKUQMdJsP2+4oYhpH4IiE158lo5FtSWIzG0wEs&#10;zP7J8/6JXNXnCniH7APvwtTjneim3Kj6CZrh0luFIyIp2M4wdaZbnLu280E7pWy5DDBoQ5q4a/mg&#10;qVfuWfX587h5IkZvk8xBJd+orhxI+irXWqyXlGq5copXIRF3vG75htL0DeVf1OjoSI2O/qhGgUGo&#10;z8lkGsdwS6GA9vrZrisNJ8l8HADvRdq3hPci/b+LNPxW4cURfifb15F/0uyvQ1Hv3nCLnwAAAP//&#10;AwBQSwMEFAAGAAgAAAAhAPEZ2TzlAAAADgEAAA8AAABkcnMvZG93bnJldi54bWxMj8FuwjAQRO+V&#10;+g/WVuoNHCdQII2DEGp7QpUKlSpuJl6SiHgdxSYJf19zam+zmtHsm2w9mob12LnakgQxjYAhFVbX&#10;VEr4PrxPlsCcV6RVYwkl3NDBOn98yFSq7UBf2O99yUIJuVRJqLxvU85dUaFRbmpbpOCdbWeUD2dX&#10;ct2pIZSbhsdR9MKNqil8qFSL2wqLy/5qJHwMatgk4q3fXc7b2/Ew//zZCZTy+WncvALzOPq/MNzx&#10;Azrkgelkr6QdayRMxGwWxngJcZwsgN0j0WKVADsFNRfREnie8f8z8l8AAAD//wMAUEsBAi0AFAAG&#10;AAgAAAAhALaDOJL+AAAA4QEAABMAAAAAAAAAAAAAAAAAAAAAAFtDb250ZW50X1R5cGVzXS54bWxQ&#10;SwECLQAUAAYACAAAACEAOP0h/9YAAACUAQAACwAAAAAAAAAAAAAAAAAvAQAAX3JlbHMvLnJlbHNQ&#10;SwECLQAUAAYACAAAACEAiR3YwAADAAALCgAADgAAAAAAAAAAAAAAAAAuAgAAZHJzL2Uyb0RvYy54&#10;bWxQSwECLQAUAAYACAAAACEA8RnZPOUAAAAOAQAADwAAAAAAAAAAAAAAAABaBQAAZHJzL2Rvd25y&#10;ZXYueG1sUEsFBgAAAAAEAAQA8wAAAGwGAAAAAA==&#10;">
              <v:rect id="Rectangle 31" o:spid="_x0000_s1027" style="position:absolute;left:948;width:14281;height:81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HLUcIA&#10;AADbAAAADwAAAGRycy9kb3ducmV2LnhtbESPQYvCMBSE74L/ITzBm6auItI1SpFV9KhdkL09m7dt&#10;1+alNLHWf28EYY/DzHzDLNedqURLjSstK5iMIxDEmdUl5wq+0+1oAcJ5ZI2VZVLwIAfrVb+3xFjb&#10;Ox+pPflcBAi7GBUU3texlC4ryKAb25o4eL+2MeiDbHKpG7wHuKnkRxTNpcGSw0KBNW0Kyq6nm1Hg&#10;Lu0hfdTJ+e/HZZfki006O+yUGg665BOEp87/h9/tvVYwncDrS/g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IctRwgAAANsAAAAPAAAAAAAAAAAAAAAAAJgCAABkcnMvZG93&#10;bnJldi54bWxQSwUGAAAAAAQABAD1AAAAhwMAAAAA&#10;" filled="f" stroked="f" strokeweight="2pt"/>
              <v:rect id="Rectangle 34" o:spid="_x0000_s1028" style="position:absolute;top:66700;width:77682;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oycMA&#10;AADbAAAADwAAAGRycy9kb3ducmV2LnhtbESPT4vCMBTE74LfITzBm6b+YZGuUYqo6HGtIHt7Nm/b&#10;rs1LaWKt394sLHgcZuY3zHLdmUq01LjSsoLJOAJBnFldcq7gnO5GCxDOI2usLJOCJzlYr/q9Jcba&#10;PviL2pPPRYCwi1FB4X0dS+myggy6sa2Jg/djG4M+yCaXusFHgJtKTqPoQxosOSwUWNOmoOx2uhsF&#10;7toe02edXH6/XXZNtmzS+XGv1HDQJZ8gPHX+Hf5vH7SC2Rz+vo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ZoycMAAADbAAAADwAAAAAAAAAAAAAAAACYAgAAZHJzL2Rv&#10;d25yZXYueG1sUEsFBgAAAAAEAAQA9QAAAIgDAAAAAA==&#10;" filled="f" stroked="f" strokeweight="2pt"/>
              <w10:wrap type="through"/>
            </v:group>
          </w:pict>
        </mc:Fallback>
      </mc:AlternateContent>
    </w:r>
    <w:r w:rsidR="006D1DA7">
      <w:rPr>
        <w:noProof/>
      </w:rPr>
      <w:drawing>
        <wp:anchor distT="0" distB="0" distL="114300" distR="114300" simplePos="0" relativeHeight="251694080" behindDoc="1" locked="0" layoutInCell="1" allowOverlap="1" wp14:anchorId="033C6ED3" wp14:editId="40744A27">
          <wp:simplePos x="0" y="0"/>
          <wp:positionH relativeFrom="column">
            <wp:posOffset>2353235</wp:posOffset>
          </wp:positionH>
          <wp:positionV relativeFrom="paragraph">
            <wp:posOffset>1460832</wp:posOffset>
          </wp:positionV>
          <wp:extent cx="7054925" cy="7229778"/>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C_logo_RGB_orange-01.png"/>
                  <pic:cNvPicPr/>
                </pic:nvPicPr>
                <pic:blipFill>
                  <a:blip r:embed="rId5">
                    <a:alphaModFix amt="15000"/>
                    <a:extLst>
                      <a:ext uri="{28A0092B-C50C-407E-A947-70E740481C1C}">
                        <a14:useLocalDpi xmlns:a14="http://schemas.microsoft.com/office/drawing/2010/main" val="0"/>
                      </a:ext>
                    </a:extLst>
                  </a:blip>
                  <a:stretch>
                    <a:fillRect/>
                  </a:stretch>
                </pic:blipFill>
                <pic:spPr>
                  <a:xfrm>
                    <a:off x="0" y="0"/>
                    <a:ext cx="7054925" cy="7229778"/>
                  </a:xfrm>
                  <a:prstGeom prst="rect">
                    <a:avLst/>
                  </a:prstGeom>
                </pic:spPr>
              </pic:pic>
            </a:graphicData>
          </a:graphic>
          <wp14:sizeRelH relativeFrom="page">
            <wp14:pctWidth>0</wp14:pctWidth>
          </wp14:sizeRelH>
          <wp14:sizeRelV relativeFrom="page">
            <wp14:pctHeight>0</wp14:pctHeight>
          </wp14:sizeRelV>
        </wp:anchor>
      </w:drawing>
    </w:r>
    <w:r w:rsidR="006D1DA7" w:rsidRPr="00561A57">
      <w:rPr>
        <w:noProof/>
      </w:rPr>
      <w:drawing>
        <wp:anchor distT="0" distB="0" distL="114300" distR="114300" simplePos="0" relativeHeight="251685888" behindDoc="0" locked="0" layoutInCell="1" allowOverlap="1" wp14:anchorId="484D882C" wp14:editId="616DCDD5">
          <wp:simplePos x="0" y="0"/>
          <wp:positionH relativeFrom="margin">
            <wp:posOffset>-290830</wp:posOffset>
          </wp:positionH>
          <wp:positionV relativeFrom="margin">
            <wp:posOffset>-247650</wp:posOffset>
          </wp:positionV>
          <wp:extent cx="2239010" cy="1409065"/>
          <wp:effectExtent l="0" t="0" r="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C_logo_RGB.png"/>
                  <pic:cNvPicPr/>
                </pic:nvPicPr>
                <pic:blipFill rotWithShape="1">
                  <a:blip r:embed="rId6">
                    <a:extLst>
                      <a:ext uri="{28A0092B-C50C-407E-A947-70E740481C1C}">
                        <a14:useLocalDpi xmlns:a14="http://schemas.microsoft.com/office/drawing/2010/main" val="0"/>
                      </a:ext>
                    </a:extLst>
                  </a:blip>
                  <a:srcRect t="-1" b="-32311"/>
                  <a:stretch/>
                </pic:blipFill>
                <pic:spPr bwMode="auto">
                  <a:xfrm>
                    <a:off x="0" y="0"/>
                    <a:ext cx="2239010" cy="1409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DBE" w:rsidRDefault="00814FF7" w:rsidP="00191F25">
    <w:pPr>
      <w:spacing w:after="0"/>
      <w:rPr>
        <w:b/>
      </w:rPr>
    </w:pPr>
    <w:r w:rsidRPr="007B2510">
      <w:rPr>
        <w:b/>
      </w:rPr>
      <w:t xml:space="preserve">Regulatory </w:t>
    </w:r>
    <w:r w:rsidRPr="007B2510">
      <w:rPr>
        <w:b/>
      </w:rPr>
      <w:t xml:space="preserve">Review Recommendations </w:t>
    </w:r>
    <w:r>
      <w:rPr>
        <w:b/>
      </w:rPr>
      <w:t xml:space="preserve">by the Betsy Lehman Center </w:t>
    </w:r>
    <w:r w:rsidRPr="007B2510">
      <w:rPr>
        <w:b/>
      </w:rPr>
      <w:t xml:space="preserve">to the Department of Public Health: </w:t>
    </w:r>
  </w:p>
  <w:p w:rsidR="00490DBE" w:rsidRPr="007B2510" w:rsidRDefault="00814FF7" w:rsidP="00F83EA6">
    <w:pPr>
      <w:rPr>
        <w:b/>
      </w:rPr>
    </w:pPr>
    <w:r w:rsidRPr="0034642A">
      <w:rPr>
        <w:b/>
      </w:rPr>
      <w:t>Clinic</w:t>
    </w:r>
    <w:r w:rsidRPr="007B2510">
      <w:rPr>
        <w:b/>
      </w:rPr>
      <w:t xml:space="preserve"> Reporting of SREs, Serious Incidents,</w:t>
    </w:r>
    <w:r>
      <w:rPr>
        <w:b/>
      </w:rPr>
      <w:t xml:space="preserve"> and </w:t>
    </w:r>
    <w:r w:rsidRPr="007B2510">
      <w:rPr>
        <w:b/>
      </w:rPr>
      <w:t>SADEs</w:t>
    </w:r>
    <w:r>
      <w:rPr>
        <w:b/>
      </w:rPr>
      <w:t xml:space="preserve"> [</w:t>
    </w:r>
    <w:r w:rsidRPr="00D51571">
      <w:rPr>
        <w:b/>
      </w:rPr>
      <w:t>140 CMR §§140.307-140.308</w:t>
    </w:r>
    <w:r w:rsidRPr="00640F14">
      <w:rPr>
        <w:b/>
      </w:rPr>
      <w:t>]</w:t>
    </w:r>
    <w:r w:rsidRPr="007B2510">
      <w:rPr>
        <w:b/>
      </w:rPr>
      <w:tab/>
    </w:r>
    <w:r w:rsidRPr="007B2510">
      <w:rPr>
        <w:b/>
      </w:rPr>
      <w:tab/>
    </w:r>
    <w:r>
      <w:rPr>
        <w:b/>
      </w:rPr>
      <w:tab/>
    </w:r>
    <w:r>
      <w:rPr>
        <w:b/>
      </w:rPr>
      <w:tab/>
    </w:r>
    <w:r>
      <w:rPr>
        <w:b/>
      </w:rPr>
      <w:tab/>
    </w:r>
    <w:r>
      <w:rPr>
        <w:b/>
      </w:rPr>
      <w:tab/>
    </w:r>
    <w:r>
      <w:rPr>
        <w:b/>
      </w:rPr>
      <w:tab/>
    </w:r>
    <w:r>
      <w:rPr>
        <w:b/>
      </w:rPr>
      <w:tab/>
    </w:r>
    <w:r>
      <w:rPr>
        <w:b/>
      </w:rPr>
      <w:tab/>
    </w:r>
    <w:r>
      <w:rPr>
        <w:b/>
      </w:rPr>
      <w:tab/>
    </w:r>
    <w:r>
      <w:rPr>
        <w:b/>
      </w:rPr>
      <w:tab/>
    </w:r>
    <w:r w:rsidRPr="007B2510">
      <w:rPr>
        <w:b/>
      </w:rPr>
      <w:t>10-28-16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539D"/>
    <w:multiLevelType w:val="hybridMultilevel"/>
    <w:tmpl w:val="D5FEEE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A132DB"/>
    <w:multiLevelType w:val="hybridMultilevel"/>
    <w:tmpl w:val="709A58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92C18"/>
    <w:multiLevelType w:val="hybridMultilevel"/>
    <w:tmpl w:val="248A2D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F2D"/>
    <w:multiLevelType w:val="hybridMultilevel"/>
    <w:tmpl w:val="75C45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831775"/>
    <w:multiLevelType w:val="hybridMultilevel"/>
    <w:tmpl w:val="D9005FEC"/>
    <w:lvl w:ilvl="0" w:tplc="7346E61E">
      <w:start w:val="1"/>
      <w:numFmt w:val="lowerLetter"/>
      <w:lvlText w:val="%1)"/>
      <w:lvlJc w:val="left"/>
      <w:pPr>
        <w:ind w:left="360" w:hanging="360"/>
      </w:pPr>
      <w:rPr>
        <w:rFonts w:hint="default"/>
        <w:b/>
        <w:color w:val="auto"/>
      </w:rPr>
    </w:lvl>
    <w:lvl w:ilvl="1" w:tplc="B63A76F6">
      <w:start w:val="1"/>
      <w:numFmt w:val="decimal"/>
      <w:lvlText w:val="%2)"/>
      <w:lvlJc w:val="left"/>
      <w:pPr>
        <w:ind w:left="1080" w:hanging="360"/>
      </w:pPr>
      <w:rPr>
        <w:rFonts w:hint="default"/>
      </w:rPr>
    </w:lvl>
    <w:lvl w:ilvl="2" w:tplc="507C1B20">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4894E75"/>
    <w:multiLevelType w:val="hybridMultilevel"/>
    <w:tmpl w:val="F02EA6C6"/>
    <w:lvl w:ilvl="0" w:tplc="7082AA0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DA2B50"/>
    <w:multiLevelType w:val="hybridMultilevel"/>
    <w:tmpl w:val="C71C0AA0"/>
    <w:lvl w:ilvl="0" w:tplc="16DA295C">
      <w:start w:val="1"/>
      <w:numFmt w:val="decimal"/>
      <w:lvlText w:val="%1)"/>
      <w:lvlJc w:val="left"/>
      <w:pPr>
        <w:ind w:left="720" w:hanging="360"/>
      </w:pPr>
      <w:rPr>
        <w:b/>
        <w:color w:val="33CC3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7D1722"/>
    <w:multiLevelType w:val="hybridMultilevel"/>
    <w:tmpl w:val="6228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9D4819"/>
    <w:multiLevelType w:val="hybridMultilevel"/>
    <w:tmpl w:val="289E9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7B1644"/>
    <w:multiLevelType w:val="hybridMultilevel"/>
    <w:tmpl w:val="25689170"/>
    <w:lvl w:ilvl="0" w:tplc="F07EA94E">
      <w:start w:val="3"/>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nsid w:val="73D865E2"/>
    <w:multiLevelType w:val="hybridMultilevel"/>
    <w:tmpl w:val="279CD268"/>
    <w:lvl w:ilvl="0" w:tplc="77AA390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E42BD7"/>
    <w:multiLevelType w:val="hybridMultilevel"/>
    <w:tmpl w:val="CB481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6"/>
  </w:num>
  <w:num w:numId="5">
    <w:abstractNumId w:val="4"/>
  </w:num>
  <w:num w:numId="6">
    <w:abstractNumId w:val="9"/>
  </w:num>
  <w:num w:numId="7">
    <w:abstractNumId w:val="11"/>
  </w:num>
  <w:num w:numId="8">
    <w:abstractNumId w:val="10"/>
  </w:num>
  <w:num w:numId="9">
    <w:abstractNumId w:val="0"/>
  </w:num>
  <w:num w:numId="10">
    <w:abstractNumId w:val="8"/>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72D"/>
    <w:rsid w:val="000115D8"/>
    <w:rsid w:val="00016E29"/>
    <w:rsid w:val="00025D93"/>
    <w:rsid w:val="0005298A"/>
    <w:rsid w:val="000639FD"/>
    <w:rsid w:val="000723A3"/>
    <w:rsid w:val="000727EA"/>
    <w:rsid w:val="000762FF"/>
    <w:rsid w:val="00082B96"/>
    <w:rsid w:val="000A21D8"/>
    <w:rsid w:val="000A3BC7"/>
    <w:rsid w:val="000B6180"/>
    <w:rsid w:val="000D119A"/>
    <w:rsid w:val="000D59A2"/>
    <w:rsid w:val="00102377"/>
    <w:rsid w:val="001107FD"/>
    <w:rsid w:val="001121D6"/>
    <w:rsid w:val="00117374"/>
    <w:rsid w:val="00120F79"/>
    <w:rsid w:val="00122259"/>
    <w:rsid w:val="001226C6"/>
    <w:rsid w:val="001334B5"/>
    <w:rsid w:val="00137B39"/>
    <w:rsid w:val="00145CC0"/>
    <w:rsid w:val="00150933"/>
    <w:rsid w:val="001635E8"/>
    <w:rsid w:val="00192835"/>
    <w:rsid w:val="001A12B7"/>
    <w:rsid w:val="001A25D7"/>
    <w:rsid w:val="001A62F0"/>
    <w:rsid w:val="001D0D1C"/>
    <w:rsid w:val="001D63E4"/>
    <w:rsid w:val="001D67DF"/>
    <w:rsid w:val="001E0A7E"/>
    <w:rsid w:val="001E0BF7"/>
    <w:rsid w:val="001E5D64"/>
    <w:rsid w:val="001F1EE1"/>
    <w:rsid w:val="001F21DA"/>
    <w:rsid w:val="001F3FA8"/>
    <w:rsid w:val="00216070"/>
    <w:rsid w:val="00217EB4"/>
    <w:rsid w:val="00223F32"/>
    <w:rsid w:val="00231052"/>
    <w:rsid w:val="0023445F"/>
    <w:rsid w:val="00242ADB"/>
    <w:rsid w:val="00254A5D"/>
    <w:rsid w:val="00262ACB"/>
    <w:rsid w:val="00281BE9"/>
    <w:rsid w:val="0028307C"/>
    <w:rsid w:val="002858B4"/>
    <w:rsid w:val="002A1864"/>
    <w:rsid w:val="002A24AE"/>
    <w:rsid w:val="002A278D"/>
    <w:rsid w:val="002A29E9"/>
    <w:rsid w:val="002B7D58"/>
    <w:rsid w:val="002D68B4"/>
    <w:rsid w:val="002F2523"/>
    <w:rsid w:val="002F3403"/>
    <w:rsid w:val="002F568B"/>
    <w:rsid w:val="002F6544"/>
    <w:rsid w:val="0033679B"/>
    <w:rsid w:val="00344CE6"/>
    <w:rsid w:val="003516BD"/>
    <w:rsid w:val="00356B40"/>
    <w:rsid w:val="0036012F"/>
    <w:rsid w:val="00373933"/>
    <w:rsid w:val="00375CB4"/>
    <w:rsid w:val="00375D4E"/>
    <w:rsid w:val="003770B6"/>
    <w:rsid w:val="003A2902"/>
    <w:rsid w:val="003A3F29"/>
    <w:rsid w:val="003A645C"/>
    <w:rsid w:val="003A7A54"/>
    <w:rsid w:val="003B1783"/>
    <w:rsid w:val="003B3F1A"/>
    <w:rsid w:val="003C6E6D"/>
    <w:rsid w:val="003D0D04"/>
    <w:rsid w:val="003D3EA2"/>
    <w:rsid w:val="003D4C6D"/>
    <w:rsid w:val="0040069C"/>
    <w:rsid w:val="0040419C"/>
    <w:rsid w:val="004140C0"/>
    <w:rsid w:val="00421D07"/>
    <w:rsid w:val="0042464B"/>
    <w:rsid w:val="00426BAB"/>
    <w:rsid w:val="00430619"/>
    <w:rsid w:val="00433AB0"/>
    <w:rsid w:val="00436ACD"/>
    <w:rsid w:val="0044706D"/>
    <w:rsid w:val="00452DB2"/>
    <w:rsid w:val="00453D3D"/>
    <w:rsid w:val="00464087"/>
    <w:rsid w:val="0046454D"/>
    <w:rsid w:val="00495D66"/>
    <w:rsid w:val="004C211B"/>
    <w:rsid w:val="004C44FC"/>
    <w:rsid w:val="004E051F"/>
    <w:rsid w:val="004E2701"/>
    <w:rsid w:val="004F0962"/>
    <w:rsid w:val="004F1720"/>
    <w:rsid w:val="005148ED"/>
    <w:rsid w:val="00515CE1"/>
    <w:rsid w:val="00522998"/>
    <w:rsid w:val="00530AD3"/>
    <w:rsid w:val="005319A9"/>
    <w:rsid w:val="0053220B"/>
    <w:rsid w:val="00543065"/>
    <w:rsid w:val="0054377E"/>
    <w:rsid w:val="00545A43"/>
    <w:rsid w:val="00554970"/>
    <w:rsid w:val="00561A57"/>
    <w:rsid w:val="00567B6D"/>
    <w:rsid w:val="005814F2"/>
    <w:rsid w:val="005869B9"/>
    <w:rsid w:val="005A08B0"/>
    <w:rsid w:val="005B101C"/>
    <w:rsid w:val="005B31AE"/>
    <w:rsid w:val="005B4ED0"/>
    <w:rsid w:val="005B5BEF"/>
    <w:rsid w:val="005C241F"/>
    <w:rsid w:val="005C4AA6"/>
    <w:rsid w:val="005C71CB"/>
    <w:rsid w:val="005D625F"/>
    <w:rsid w:val="005D6B29"/>
    <w:rsid w:val="0060619D"/>
    <w:rsid w:val="00615BF3"/>
    <w:rsid w:val="006318DF"/>
    <w:rsid w:val="00637AFE"/>
    <w:rsid w:val="00642B0F"/>
    <w:rsid w:val="00647802"/>
    <w:rsid w:val="0065196B"/>
    <w:rsid w:val="00676ABD"/>
    <w:rsid w:val="006B05E1"/>
    <w:rsid w:val="006D1DA7"/>
    <w:rsid w:val="006D5D04"/>
    <w:rsid w:val="006D7E4D"/>
    <w:rsid w:val="006E0834"/>
    <w:rsid w:val="00700E00"/>
    <w:rsid w:val="00705139"/>
    <w:rsid w:val="007077A3"/>
    <w:rsid w:val="00710080"/>
    <w:rsid w:val="00711A4A"/>
    <w:rsid w:val="00734EEB"/>
    <w:rsid w:val="007360D1"/>
    <w:rsid w:val="007419FE"/>
    <w:rsid w:val="00752A86"/>
    <w:rsid w:val="00752E2E"/>
    <w:rsid w:val="00774CD0"/>
    <w:rsid w:val="00775905"/>
    <w:rsid w:val="00775F1F"/>
    <w:rsid w:val="0079250A"/>
    <w:rsid w:val="007A5232"/>
    <w:rsid w:val="007B12AE"/>
    <w:rsid w:val="007C2F30"/>
    <w:rsid w:val="007C5202"/>
    <w:rsid w:val="007C60D2"/>
    <w:rsid w:val="007D6E1E"/>
    <w:rsid w:val="007E505F"/>
    <w:rsid w:val="00814FF7"/>
    <w:rsid w:val="00824193"/>
    <w:rsid w:val="008377B2"/>
    <w:rsid w:val="008406A8"/>
    <w:rsid w:val="00851180"/>
    <w:rsid w:val="00853AFB"/>
    <w:rsid w:val="008633C6"/>
    <w:rsid w:val="00863A32"/>
    <w:rsid w:val="0087172D"/>
    <w:rsid w:val="00874323"/>
    <w:rsid w:val="0088138B"/>
    <w:rsid w:val="0088162D"/>
    <w:rsid w:val="008A191B"/>
    <w:rsid w:val="008A3900"/>
    <w:rsid w:val="008A57F6"/>
    <w:rsid w:val="008B3E6B"/>
    <w:rsid w:val="008D2BE2"/>
    <w:rsid w:val="008D50E3"/>
    <w:rsid w:val="008E0F0D"/>
    <w:rsid w:val="008E5045"/>
    <w:rsid w:val="008F55D3"/>
    <w:rsid w:val="009107F2"/>
    <w:rsid w:val="00911034"/>
    <w:rsid w:val="0091187F"/>
    <w:rsid w:val="00926C1F"/>
    <w:rsid w:val="00936037"/>
    <w:rsid w:val="009365B0"/>
    <w:rsid w:val="0093693E"/>
    <w:rsid w:val="009452B4"/>
    <w:rsid w:val="009466AA"/>
    <w:rsid w:val="009472BA"/>
    <w:rsid w:val="00957B41"/>
    <w:rsid w:val="00960F72"/>
    <w:rsid w:val="009710E1"/>
    <w:rsid w:val="00980A8C"/>
    <w:rsid w:val="009A28A8"/>
    <w:rsid w:val="009B7778"/>
    <w:rsid w:val="009C260A"/>
    <w:rsid w:val="009E6B74"/>
    <w:rsid w:val="009F3B8C"/>
    <w:rsid w:val="009F77CB"/>
    <w:rsid w:val="00A165E5"/>
    <w:rsid w:val="00A24E05"/>
    <w:rsid w:val="00A25D69"/>
    <w:rsid w:val="00A4260D"/>
    <w:rsid w:val="00A53110"/>
    <w:rsid w:val="00A562CA"/>
    <w:rsid w:val="00A754D1"/>
    <w:rsid w:val="00A77C3A"/>
    <w:rsid w:val="00A8170B"/>
    <w:rsid w:val="00A87FBA"/>
    <w:rsid w:val="00A92E34"/>
    <w:rsid w:val="00A96E76"/>
    <w:rsid w:val="00AB737E"/>
    <w:rsid w:val="00B00FA2"/>
    <w:rsid w:val="00B13A00"/>
    <w:rsid w:val="00B151FC"/>
    <w:rsid w:val="00B171E8"/>
    <w:rsid w:val="00B611D3"/>
    <w:rsid w:val="00B65E2B"/>
    <w:rsid w:val="00B75E64"/>
    <w:rsid w:val="00B814E4"/>
    <w:rsid w:val="00B86891"/>
    <w:rsid w:val="00BC64AC"/>
    <w:rsid w:val="00BD385F"/>
    <w:rsid w:val="00BD475A"/>
    <w:rsid w:val="00BD6620"/>
    <w:rsid w:val="00BD7AED"/>
    <w:rsid w:val="00BF33F8"/>
    <w:rsid w:val="00C07CF9"/>
    <w:rsid w:val="00C34F61"/>
    <w:rsid w:val="00C35611"/>
    <w:rsid w:val="00C40312"/>
    <w:rsid w:val="00C555F3"/>
    <w:rsid w:val="00C57C11"/>
    <w:rsid w:val="00C61E60"/>
    <w:rsid w:val="00C662E3"/>
    <w:rsid w:val="00C701F1"/>
    <w:rsid w:val="00C74867"/>
    <w:rsid w:val="00CC04AA"/>
    <w:rsid w:val="00CC13C7"/>
    <w:rsid w:val="00CC2BB7"/>
    <w:rsid w:val="00CC6CA2"/>
    <w:rsid w:val="00CD0CDD"/>
    <w:rsid w:val="00CE4AB4"/>
    <w:rsid w:val="00D03607"/>
    <w:rsid w:val="00D10B2D"/>
    <w:rsid w:val="00D224B6"/>
    <w:rsid w:val="00D230E4"/>
    <w:rsid w:val="00D25AE5"/>
    <w:rsid w:val="00D30396"/>
    <w:rsid w:val="00D36F62"/>
    <w:rsid w:val="00D55AF2"/>
    <w:rsid w:val="00D60E50"/>
    <w:rsid w:val="00D630F9"/>
    <w:rsid w:val="00D72FA7"/>
    <w:rsid w:val="00DA3317"/>
    <w:rsid w:val="00DA3A4D"/>
    <w:rsid w:val="00DA781C"/>
    <w:rsid w:val="00DB012F"/>
    <w:rsid w:val="00DC67DA"/>
    <w:rsid w:val="00DD696F"/>
    <w:rsid w:val="00E21E98"/>
    <w:rsid w:val="00E267FD"/>
    <w:rsid w:val="00E37CCB"/>
    <w:rsid w:val="00E41034"/>
    <w:rsid w:val="00E82212"/>
    <w:rsid w:val="00E93401"/>
    <w:rsid w:val="00EA5941"/>
    <w:rsid w:val="00EC5A2E"/>
    <w:rsid w:val="00EC6399"/>
    <w:rsid w:val="00ED5F90"/>
    <w:rsid w:val="00ED6FCA"/>
    <w:rsid w:val="00EE7CA8"/>
    <w:rsid w:val="00EF1D85"/>
    <w:rsid w:val="00EF2468"/>
    <w:rsid w:val="00F23540"/>
    <w:rsid w:val="00F437FD"/>
    <w:rsid w:val="00F65179"/>
    <w:rsid w:val="00F65E67"/>
    <w:rsid w:val="00F676F1"/>
    <w:rsid w:val="00F77145"/>
    <w:rsid w:val="00F83D7D"/>
    <w:rsid w:val="00F970A4"/>
    <w:rsid w:val="00FB3D61"/>
    <w:rsid w:val="00FB58B1"/>
    <w:rsid w:val="00FC2426"/>
    <w:rsid w:val="00FD4471"/>
    <w:rsid w:val="00FE4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CD0"/>
    <w:pPr>
      <w:widowControl w:val="0"/>
      <w:spacing w:after="200" w:line="276" w:lineRule="auto"/>
    </w:pPr>
    <w:rPr>
      <w:rFonts w:ascii="Calibri" w:eastAsiaTheme="minorHAnsi" w:hAnsi="Calibri"/>
      <w:sz w:val="20"/>
      <w:szCs w:val="22"/>
      <w:lang w:eastAsia="en-US"/>
    </w:rPr>
  </w:style>
  <w:style w:type="paragraph" w:styleId="Heading1">
    <w:name w:val="heading 1"/>
    <w:basedOn w:val="Normal"/>
    <w:next w:val="Normal"/>
    <w:link w:val="Heading1Char"/>
    <w:autoRedefine/>
    <w:uiPriority w:val="9"/>
    <w:qFormat/>
    <w:rsid w:val="00BD6620"/>
    <w:pPr>
      <w:keepNext/>
      <w:keepLines/>
      <w:spacing w:before="480" w:after="0"/>
      <w:outlineLvl w:val="0"/>
    </w:pPr>
    <w:rPr>
      <w:rFonts w:eastAsiaTheme="majorEastAsia" w:cstheme="majorBidi"/>
      <w:b/>
      <w:bCs/>
      <w:color w:val="06547F"/>
      <w:sz w:val="80"/>
      <w:szCs w:val="56"/>
    </w:rPr>
  </w:style>
  <w:style w:type="paragraph" w:styleId="Heading2">
    <w:name w:val="heading 2"/>
    <w:basedOn w:val="Normal"/>
    <w:next w:val="Normal"/>
    <w:link w:val="Heading2Char"/>
    <w:autoRedefine/>
    <w:uiPriority w:val="9"/>
    <w:unhideWhenUsed/>
    <w:qFormat/>
    <w:rsid w:val="000B6180"/>
    <w:pPr>
      <w:keepNext/>
      <w:keepLines/>
      <w:spacing w:before="200" w:after="0"/>
      <w:outlineLvl w:val="1"/>
    </w:pPr>
    <w:rPr>
      <w:rFonts w:eastAsiaTheme="majorEastAsia" w:cstheme="majorBidi"/>
      <w:bCs/>
      <w:color w:val="06547F"/>
      <w:sz w:val="36"/>
      <w:szCs w:val="32"/>
    </w:rPr>
  </w:style>
  <w:style w:type="paragraph" w:styleId="Heading3">
    <w:name w:val="heading 3"/>
    <w:basedOn w:val="Normal"/>
    <w:next w:val="Normal"/>
    <w:link w:val="Heading3Char"/>
    <w:uiPriority w:val="9"/>
    <w:unhideWhenUsed/>
    <w:qFormat/>
    <w:rsid w:val="008E5045"/>
    <w:pPr>
      <w:keepNext/>
      <w:keepLines/>
      <w:spacing w:before="600" w:after="60"/>
      <w:outlineLvl w:val="2"/>
    </w:pPr>
    <w:rPr>
      <w:rFonts w:eastAsiaTheme="majorEastAsia" w:cstheme="majorBidi"/>
      <w:b/>
      <w:bCs/>
      <w:caps/>
      <w:color w:val="06547F"/>
      <w:sz w:val="32"/>
      <w:szCs w:val="32"/>
    </w:rPr>
  </w:style>
  <w:style w:type="paragraph" w:styleId="Heading4">
    <w:name w:val="heading 4"/>
    <w:basedOn w:val="Normal"/>
    <w:next w:val="Normal"/>
    <w:link w:val="Heading4Char"/>
    <w:autoRedefine/>
    <w:uiPriority w:val="9"/>
    <w:unhideWhenUsed/>
    <w:qFormat/>
    <w:rsid w:val="00960F72"/>
    <w:pPr>
      <w:keepNext/>
      <w:keepLines/>
      <w:spacing w:before="360" w:after="60"/>
      <w:outlineLvl w:val="3"/>
    </w:pPr>
    <w:rPr>
      <w:rFonts w:ascii="Franklin Gothic Medium" w:eastAsiaTheme="majorEastAsia" w:hAnsi="Franklin Gothic Medium" w:cstheme="majorBidi"/>
      <w:bCs/>
      <w:iCs/>
      <w:color w:val="06547F"/>
      <w:sz w:val="28"/>
    </w:rPr>
  </w:style>
  <w:style w:type="paragraph" w:styleId="Heading5">
    <w:name w:val="heading 5"/>
    <w:basedOn w:val="Normal"/>
    <w:next w:val="Normal"/>
    <w:link w:val="Heading5Char"/>
    <w:autoRedefine/>
    <w:qFormat/>
    <w:rsid w:val="002A278D"/>
    <w:pPr>
      <w:keepNext/>
      <w:spacing w:before="360" w:after="120"/>
      <w:outlineLvl w:val="4"/>
    </w:pPr>
    <w:rPr>
      <w:rFonts w:eastAsiaTheme="minorEastAsi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A278D"/>
    <w:rPr>
      <w:b/>
      <w:sz w:val="26"/>
    </w:rPr>
  </w:style>
  <w:style w:type="character" w:customStyle="1" w:styleId="Heading2Char">
    <w:name w:val="Heading 2 Char"/>
    <w:basedOn w:val="DefaultParagraphFont"/>
    <w:link w:val="Heading2"/>
    <w:uiPriority w:val="9"/>
    <w:rsid w:val="000B6180"/>
    <w:rPr>
      <w:rFonts w:ascii="Franklin Gothic Book" w:eastAsiaTheme="majorEastAsia" w:hAnsi="Franklin Gothic Book" w:cstheme="majorBidi"/>
      <w:bCs/>
      <w:color w:val="06547F"/>
      <w:sz w:val="36"/>
      <w:szCs w:val="32"/>
      <w:lang w:eastAsia="en-US"/>
    </w:rPr>
  </w:style>
  <w:style w:type="character" w:customStyle="1" w:styleId="Heading3Char">
    <w:name w:val="Heading 3 Char"/>
    <w:basedOn w:val="DefaultParagraphFont"/>
    <w:link w:val="Heading3"/>
    <w:uiPriority w:val="9"/>
    <w:rsid w:val="008E5045"/>
    <w:rPr>
      <w:rFonts w:ascii="Franklin Gothic Book" w:eastAsiaTheme="majorEastAsia" w:hAnsi="Franklin Gothic Book" w:cstheme="majorBidi"/>
      <w:b/>
      <w:bCs/>
      <w:caps/>
      <w:color w:val="06547F"/>
      <w:sz w:val="32"/>
      <w:szCs w:val="32"/>
      <w:lang w:eastAsia="en-US"/>
    </w:rPr>
  </w:style>
  <w:style w:type="paragraph" w:styleId="Header">
    <w:name w:val="header"/>
    <w:basedOn w:val="Normal"/>
    <w:link w:val="HeaderChar"/>
    <w:uiPriority w:val="99"/>
    <w:unhideWhenUsed/>
    <w:rsid w:val="00B611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11D3"/>
    <w:rPr>
      <w:rFonts w:eastAsiaTheme="minorHAnsi"/>
      <w:sz w:val="22"/>
      <w:szCs w:val="22"/>
      <w:lang w:eastAsia="en-US"/>
    </w:rPr>
  </w:style>
  <w:style w:type="paragraph" w:styleId="Footer">
    <w:name w:val="footer"/>
    <w:basedOn w:val="Normal"/>
    <w:link w:val="FooterChar"/>
    <w:uiPriority w:val="99"/>
    <w:unhideWhenUsed/>
    <w:rsid w:val="00B611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11D3"/>
    <w:rPr>
      <w:rFonts w:eastAsiaTheme="minorHAnsi"/>
      <w:sz w:val="22"/>
      <w:szCs w:val="22"/>
      <w:lang w:eastAsia="en-US"/>
    </w:rPr>
  </w:style>
  <w:style w:type="paragraph" w:styleId="ListParagraph">
    <w:name w:val="List Paragraph"/>
    <w:basedOn w:val="Normal"/>
    <w:uiPriority w:val="34"/>
    <w:qFormat/>
    <w:rsid w:val="00543065"/>
    <w:pPr>
      <w:ind w:left="720"/>
      <w:contextualSpacing/>
    </w:pPr>
  </w:style>
  <w:style w:type="character" w:customStyle="1" w:styleId="Heading1Char">
    <w:name w:val="Heading 1 Char"/>
    <w:basedOn w:val="DefaultParagraphFont"/>
    <w:link w:val="Heading1"/>
    <w:uiPriority w:val="9"/>
    <w:rsid w:val="00BD6620"/>
    <w:rPr>
      <w:rFonts w:ascii="Calibri" w:eastAsiaTheme="majorEastAsia" w:hAnsi="Calibri" w:cstheme="majorBidi"/>
      <w:b/>
      <w:bCs/>
      <w:color w:val="06547F"/>
      <w:sz w:val="80"/>
      <w:szCs w:val="56"/>
      <w:lang w:eastAsia="en-US"/>
    </w:rPr>
  </w:style>
  <w:style w:type="paragraph" w:styleId="Title">
    <w:name w:val="Title"/>
    <w:basedOn w:val="Normal"/>
    <w:next w:val="Normal"/>
    <w:link w:val="TitleChar"/>
    <w:autoRedefine/>
    <w:uiPriority w:val="10"/>
    <w:qFormat/>
    <w:rsid w:val="005B31AE"/>
    <w:pPr>
      <w:pBdr>
        <w:bottom w:val="single" w:sz="8" w:space="4" w:color="4F81BD" w:themeColor="accent1"/>
      </w:pBdr>
      <w:spacing w:after="300" w:line="240" w:lineRule="auto"/>
      <w:contextualSpacing/>
    </w:pPr>
    <w:rPr>
      <w:rFonts w:eastAsiaTheme="majorEastAsia" w:cstheme="majorBidi"/>
      <w:color w:val="06547F"/>
      <w:spacing w:val="5"/>
      <w:kern w:val="28"/>
      <w:sz w:val="72"/>
      <w:szCs w:val="52"/>
    </w:rPr>
  </w:style>
  <w:style w:type="character" w:customStyle="1" w:styleId="TitleChar">
    <w:name w:val="Title Char"/>
    <w:basedOn w:val="DefaultParagraphFont"/>
    <w:link w:val="Title"/>
    <w:uiPriority w:val="10"/>
    <w:rsid w:val="005B31AE"/>
    <w:rPr>
      <w:rFonts w:ascii="Franklin Gothic Book" w:eastAsiaTheme="majorEastAsia" w:hAnsi="Franklin Gothic Book" w:cstheme="majorBidi"/>
      <w:color w:val="06547F"/>
      <w:spacing w:val="5"/>
      <w:kern w:val="28"/>
      <w:sz w:val="72"/>
      <w:szCs w:val="52"/>
      <w:lang w:eastAsia="en-US"/>
    </w:rPr>
  </w:style>
  <w:style w:type="paragraph" w:styleId="FootnoteText">
    <w:name w:val="footnote text"/>
    <w:basedOn w:val="Normal"/>
    <w:link w:val="FootnoteTextChar"/>
    <w:autoRedefine/>
    <w:uiPriority w:val="99"/>
    <w:unhideWhenUsed/>
    <w:qFormat/>
    <w:rsid w:val="0044706D"/>
    <w:pPr>
      <w:tabs>
        <w:tab w:val="left" w:pos="7200"/>
        <w:tab w:val="left" w:pos="7380"/>
      </w:tabs>
      <w:spacing w:before="120" w:after="0" w:line="240" w:lineRule="auto"/>
      <w:contextualSpacing/>
    </w:pPr>
    <w:rPr>
      <w:color w:val="535353"/>
      <w:szCs w:val="24"/>
    </w:rPr>
  </w:style>
  <w:style w:type="character" w:customStyle="1" w:styleId="FootnoteTextChar">
    <w:name w:val="Footnote Text Char"/>
    <w:basedOn w:val="DefaultParagraphFont"/>
    <w:link w:val="FootnoteText"/>
    <w:uiPriority w:val="99"/>
    <w:rsid w:val="0044706D"/>
    <w:rPr>
      <w:rFonts w:ascii="Franklin Gothic Book" w:eastAsiaTheme="minorHAnsi" w:hAnsi="Franklin Gothic Book"/>
      <w:color w:val="535353"/>
      <w:sz w:val="20"/>
      <w:lang w:eastAsia="en-US"/>
    </w:rPr>
  </w:style>
  <w:style w:type="character" w:styleId="FootnoteReference">
    <w:name w:val="footnote reference"/>
    <w:basedOn w:val="DefaultParagraphFont"/>
    <w:uiPriority w:val="99"/>
    <w:unhideWhenUsed/>
    <w:rsid w:val="00082B96"/>
    <w:rPr>
      <w:vertAlign w:val="superscript"/>
    </w:rPr>
  </w:style>
  <w:style w:type="character" w:customStyle="1" w:styleId="Heading4Char">
    <w:name w:val="Heading 4 Char"/>
    <w:basedOn w:val="DefaultParagraphFont"/>
    <w:link w:val="Heading4"/>
    <w:uiPriority w:val="9"/>
    <w:rsid w:val="00960F72"/>
    <w:rPr>
      <w:rFonts w:ascii="Franklin Gothic Medium" w:eastAsiaTheme="majorEastAsia" w:hAnsi="Franklin Gothic Medium" w:cstheme="majorBidi"/>
      <w:bCs/>
      <w:iCs/>
      <w:color w:val="06547F"/>
      <w:sz w:val="28"/>
      <w:szCs w:val="22"/>
      <w:lang w:eastAsia="en-US"/>
    </w:rPr>
  </w:style>
  <w:style w:type="paragraph" w:styleId="BalloonText">
    <w:name w:val="Balloon Text"/>
    <w:basedOn w:val="Normal"/>
    <w:link w:val="BalloonTextChar"/>
    <w:uiPriority w:val="99"/>
    <w:semiHidden/>
    <w:unhideWhenUsed/>
    <w:rsid w:val="001F3FA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FA8"/>
    <w:rPr>
      <w:rFonts w:ascii="Lucida Grande" w:eastAsiaTheme="minorHAnsi" w:hAnsi="Lucida Grande" w:cs="Lucida Grande"/>
      <w:sz w:val="18"/>
      <w:szCs w:val="18"/>
      <w:lang w:eastAsia="en-US"/>
    </w:rPr>
  </w:style>
  <w:style w:type="character" w:styleId="Hyperlink">
    <w:name w:val="Hyperlink"/>
    <w:basedOn w:val="DefaultParagraphFont"/>
    <w:uiPriority w:val="99"/>
    <w:unhideWhenUsed/>
    <w:rsid w:val="006D5D04"/>
    <w:rPr>
      <w:color w:val="0000FF" w:themeColor="hyperlink"/>
      <w:u w:val="single"/>
    </w:rPr>
  </w:style>
  <w:style w:type="paragraph" w:styleId="Quote">
    <w:name w:val="Quote"/>
    <w:basedOn w:val="Normal"/>
    <w:next w:val="Normal"/>
    <w:link w:val="QuoteChar"/>
    <w:autoRedefine/>
    <w:uiPriority w:val="29"/>
    <w:qFormat/>
    <w:rsid w:val="008377B2"/>
    <w:pPr>
      <w:spacing w:before="360" w:after="240"/>
    </w:pPr>
    <w:rPr>
      <w:i/>
      <w:iCs/>
      <w:color w:val="06547F"/>
      <w:sz w:val="24"/>
    </w:rPr>
  </w:style>
  <w:style w:type="character" w:customStyle="1" w:styleId="QuoteChar">
    <w:name w:val="Quote Char"/>
    <w:basedOn w:val="DefaultParagraphFont"/>
    <w:link w:val="Quote"/>
    <w:uiPriority w:val="29"/>
    <w:rsid w:val="008377B2"/>
    <w:rPr>
      <w:rFonts w:ascii="Calibri" w:eastAsiaTheme="minorHAnsi" w:hAnsi="Calibri"/>
      <w:i/>
      <w:iCs/>
      <w:color w:val="06547F"/>
      <w:szCs w:val="22"/>
      <w:lang w:eastAsia="en-US"/>
    </w:rPr>
  </w:style>
  <w:style w:type="paragraph" w:styleId="IntenseQuote">
    <w:name w:val="Intense Quote"/>
    <w:basedOn w:val="Normal"/>
    <w:next w:val="Normal"/>
    <w:link w:val="IntenseQuoteChar"/>
    <w:autoRedefine/>
    <w:uiPriority w:val="30"/>
    <w:qFormat/>
    <w:rsid w:val="004F0962"/>
    <w:pPr>
      <w:pBdr>
        <w:bottom w:val="single" w:sz="4" w:space="4" w:color="4F81BD" w:themeColor="accent1"/>
      </w:pBdr>
      <w:spacing w:before="200" w:after="240" w:line="360" w:lineRule="auto"/>
      <w:ind w:left="936" w:right="936"/>
    </w:pPr>
    <w:rPr>
      <w:bCs/>
      <w:i/>
      <w:iCs/>
      <w:color w:val="06547F"/>
      <w:sz w:val="24"/>
    </w:rPr>
  </w:style>
  <w:style w:type="character" w:customStyle="1" w:styleId="IntenseQuoteChar">
    <w:name w:val="Intense Quote Char"/>
    <w:basedOn w:val="DefaultParagraphFont"/>
    <w:link w:val="IntenseQuote"/>
    <w:uiPriority w:val="30"/>
    <w:rsid w:val="004F0962"/>
    <w:rPr>
      <w:rFonts w:ascii="Calibri" w:eastAsiaTheme="minorHAnsi" w:hAnsi="Calibri"/>
      <w:bCs/>
      <w:i/>
      <w:iCs/>
      <w:color w:val="06547F"/>
      <w:szCs w:val="22"/>
      <w:lang w:eastAsia="en-US"/>
    </w:rPr>
  </w:style>
  <w:style w:type="character" w:styleId="PageNumber">
    <w:name w:val="page number"/>
    <w:basedOn w:val="DefaultParagraphFont"/>
    <w:uiPriority w:val="99"/>
    <w:semiHidden/>
    <w:unhideWhenUsed/>
    <w:rsid w:val="003516BD"/>
  </w:style>
  <w:style w:type="paragraph" w:styleId="NoSpacing">
    <w:name w:val="No Spacing"/>
    <w:uiPriority w:val="1"/>
    <w:qFormat/>
    <w:rsid w:val="00DD696F"/>
    <w:pPr>
      <w:widowControl w:val="0"/>
    </w:pPr>
    <w:rPr>
      <w:rFonts w:ascii="Calibri" w:eastAsiaTheme="minorHAnsi" w:hAnsi="Calibri"/>
      <w:sz w:val="20"/>
      <w:szCs w:val="22"/>
      <w:lang w:eastAsia="en-US"/>
    </w:rPr>
  </w:style>
  <w:style w:type="table" w:styleId="TableGrid">
    <w:name w:val="Table Grid"/>
    <w:basedOn w:val="TableNormal"/>
    <w:uiPriority w:val="59"/>
    <w:rsid w:val="00814FF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CD0"/>
    <w:pPr>
      <w:widowControl w:val="0"/>
      <w:spacing w:after="200" w:line="276" w:lineRule="auto"/>
    </w:pPr>
    <w:rPr>
      <w:rFonts w:ascii="Calibri" w:eastAsiaTheme="minorHAnsi" w:hAnsi="Calibri"/>
      <w:sz w:val="20"/>
      <w:szCs w:val="22"/>
      <w:lang w:eastAsia="en-US"/>
    </w:rPr>
  </w:style>
  <w:style w:type="paragraph" w:styleId="Heading1">
    <w:name w:val="heading 1"/>
    <w:basedOn w:val="Normal"/>
    <w:next w:val="Normal"/>
    <w:link w:val="Heading1Char"/>
    <w:autoRedefine/>
    <w:uiPriority w:val="9"/>
    <w:qFormat/>
    <w:rsid w:val="00BD6620"/>
    <w:pPr>
      <w:keepNext/>
      <w:keepLines/>
      <w:spacing w:before="480" w:after="0"/>
      <w:outlineLvl w:val="0"/>
    </w:pPr>
    <w:rPr>
      <w:rFonts w:eastAsiaTheme="majorEastAsia" w:cstheme="majorBidi"/>
      <w:b/>
      <w:bCs/>
      <w:color w:val="06547F"/>
      <w:sz w:val="80"/>
      <w:szCs w:val="56"/>
    </w:rPr>
  </w:style>
  <w:style w:type="paragraph" w:styleId="Heading2">
    <w:name w:val="heading 2"/>
    <w:basedOn w:val="Normal"/>
    <w:next w:val="Normal"/>
    <w:link w:val="Heading2Char"/>
    <w:autoRedefine/>
    <w:uiPriority w:val="9"/>
    <w:unhideWhenUsed/>
    <w:qFormat/>
    <w:rsid w:val="000B6180"/>
    <w:pPr>
      <w:keepNext/>
      <w:keepLines/>
      <w:spacing w:before="200" w:after="0"/>
      <w:outlineLvl w:val="1"/>
    </w:pPr>
    <w:rPr>
      <w:rFonts w:eastAsiaTheme="majorEastAsia" w:cstheme="majorBidi"/>
      <w:bCs/>
      <w:color w:val="06547F"/>
      <w:sz w:val="36"/>
      <w:szCs w:val="32"/>
    </w:rPr>
  </w:style>
  <w:style w:type="paragraph" w:styleId="Heading3">
    <w:name w:val="heading 3"/>
    <w:basedOn w:val="Normal"/>
    <w:next w:val="Normal"/>
    <w:link w:val="Heading3Char"/>
    <w:uiPriority w:val="9"/>
    <w:unhideWhenUsed/>
    <w:qFormat/>
    <w:rsid w:val="008E5045"/>
    <w:pPr>
      <w:keepNext/>
      <w:keepLines/>
      <w:spacing w:before="600" w:after="60"/>
      <w:outlineLvl w:val="2"/>
    </w:pPr>
    <w:rPr>
      <w:rFonts w:eastAsiaTheme="majorEastAsia" w:cstheme="majorBidi"/>
      <w:b/>
      <w:bCs/>
      <w:caps/>
      <w:color w:val="06547F"/>
      <w:sz w:val="32"/>
      <w:szCs w:val="32"/>
    </w:rPr>
  </w:style>
  <w:style w:type="paragraph" w:styleId="Heading4">
    <w:name w:val="heading 4"/>
    <w:basedOn w:val="Normal"/>
    <w:next w:val="Normal"/>
    <w:link w:val="Heading4Char"/>
    <w:autoRedefine/>
    <w:uiPriority w:val="9"/>
    <w:unhideWhenUsed/>
    <w:qFormat/>
    <w:rsid w:val="00960F72"/>
    <w:pPr>
      <w:keepNext/>
      <w:keepLines/>
      <w:spacing w:before="360" w:after="60"/>
      <w:outlineLvl w:val="3"/>
    </w:pPr>
    <w:rPr>
      <w:rFonts w:ascii="Franklin Gothic Medium" w:eastAsiaTheme="majorEastAsia" w:hAnsi="Franklin Gothic Medium" w:cstheme="majorBidi"/>
      <w:bCs/>
      <w:iCs/>
      <w:color w:val="06547F"/>
      <w:sz w:val="28"/>
    </w:rPr>
  </w:style>
  <w:style w:type="paragraph" w:styleId="Heading5">
    <w:name w:val="heading 5"/>
    <w:basedOn w:val="Normal"/>
    <w:next w:val="Normal"/>
    <w:link w:val="Heading5Char"/>
    <w:autoRedefine/>
    <w:qFormat/>
    <w:rsid w:val="002A278D"/>
    <w:pPr>
      <w:keepNext/>
      <w:spacing w:before="360" w:after="120"/>
      <w:outlineLvl w:val="4"/>
    </w:pPr>
    <w:rPr>
      <w:rFonts w:eastAsiaTheme="minorEastAsi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A278D"/>
    <w:rPr>
      <w:b/>
      <w:sz w:val="26"/>
    </w:rPr>
  </w:style>
  <w:style w:type="character" w:customStyle="1" w:styleId="Heading2Char">
    <w:name w:val="Heading 2 Char"/>
    <w:basedOn w:val="DefaultParagraphFont"/>
    <w:link w:val="Heading2"/>
    <w:uiPriority w:val="9"/>
    <w:rsid w:val="000B6180"/>
    <w:rPr>
      <w:rFonts w:ascii="Franklin Gothic Book" w:eastAsiaTheme="majorEastAsia" w:hAnsi="Franklin Gothic Book" w:cstheme="majorBidi"/>
      <w:bCs/>
      <w:color w:val="06547F"/>
      <w:sz w:val="36"/>
      <w:szCs w:val="32"/>
      <w:lang w:eastAsia="en-US"/>
    </w:rPr>
  </w:style>
  <w:style w:type="character" w:customStyle="1" w:styleId="Heading3Char">
    <w:name w:val="Heading 3 Char"/>
    <w:basedOn w:val="DefaultParagraphFont"/>
    <w:link w:val="Heading3"/>
    <w:uiPriority w:val="9"/>
    <w:rsid w:val="008E5045"/>
    <w:rPr>
      <w:rFonts w:ascii="Franklin Gothic Book" w:eastAsiaTheme="majorEastAsia" w:hAnsi="Franklin Gothic Book" w:cstheme="majorBidi"/>
      <w:b/>
      <w:bCs/>
      <w:caps/>
      <w:color w:val="06547F"/>
      <w:sz w:val="32"/>
      <w:szCs w:val="32"/>
      <w:lang w:eastAsia="en-US"/>
    </w:rPr>
  </w:style>
  <w:style w:type="paragraph" w:styleId="Header">
    <w:name w:val="header"/>
    <w:basedOn w:val="Normal"/>
    <w:link w:val="HeaderChar"/>
    <w:uiPriority w:val="99"/>
    <w:unhideWhenUsed/>
    <w:rsid w:val="00B611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611D3"/>
    <w:rPr>
      <w:rFonts w:eastAsiaTheme="minorHAnsi"/>
      <w:sz w:val="22"/>
      <w:szCs w:val="22"/>
      <w:lang w:eastAsia="en-US"/>
    </w:rPr>
  </w:style>
  <w:style w:type="paragraph" w:styleId="Footer">
    <w:name w:val="footer"/>
    <w:basedOn w:val="Normal"/>
    <w:link w:val="FooterChar"/>
    <w:uiPriority w:val="99"/>
    <w:unhideWhenUsed/>
    <w:rsid w:val="00B611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11D3"/>
    <w:rPr>
      <w:rFonts w:eastAsiaTheme="minorHAnsi"/>
      <w:sz w:val="22"/>
      <w:szCs w:val="22"/>
      <w:lang w:eastAsia="en-US"/>
    </w:rPr>
  </w:style>
  <w:style w:type="paragraph" w:styleId="ListParagraph">
    <w:name w:val="List Paragraph"/>
    <w:basedOn w:val="Normal"/>
    <w:uiPriority w:val="34"/>
    <w:qFormat/>
    <w:rsid w:val="00543065"/>
    <w:pPr>
      <w:ind w:left="720"/>
      <w:contextualSpacing/>
    </w:pPr>
  </w:style>
  <w:style w:type="character" w:customStyle="1" w:styleId="Heading1Char">
    <w:name w:val="Heading 1 Char"/>
    <w:basedOn w:val="DefaultParagraphFont"/>
    <w:link w:val="Heading1"/>
    <w:uiPriority w:val="9"/>
    <w:rsid w:val="00BD6620"/>
    <w:rPr>
      <w:rFonts w:ascii="Calibri" w:eastAsiaTheme="majorEastAsia" w:hAnsi="Calibri" w:cstheme="majorBidi"/>
      <w:b/>
      <w:bCs/>
      <w:color w:val="06547F"/>
      <w:sz w:val="80"/>
      <w:szCs w:val="56"/>
      <w:lang w:eastAsia="en-US"/>
    </w:rPr>
  </w:style>
  <w:style w:type="paragraph" w:styleId="Title">
    <w:name w:val="Title"/>
    <w:basedOn w:val="Normal"/>
    <w:next w:val="Normal"/>
    <w:link w:val="TitleChar"/>
    <w:autoRedefine/>
    <w:uiPriority w:val="10"/>
    <w:qFormat/>
    <w:rsid w:val="005B31AE"/>
    <w:pPr>
      <w:pBdr>
        <w:bottom w:val="single" w:sz="8" w:space="4" w:color="4F81BD" w:themeColor="accent1"/>
      </w:pBdr>
      <w:spacing w:after="300" w:line="240" w:lineRule="auto"/>
      <w:contextualSpacing/>
    </w:pPr>
    <w:rPr>
      <w:rFonts w:eastAsiaTheme="majorEastAsia" w:cstheme="majorBidi"/>
      <w:color w:val="06547F"/>
      <w:spacing w:val="5"/>
      <w:kern w:val="28"/>
      <w:sz w:val="72"/>
      <w:szCs w:val="52"/>
    </w:rPr>
  </w:style>
  <w:style w:type="character" w:customStyle="1" w:styleId="TitleChar">
    <w:name w:val="Title Char"/>
    <w:basedOn w:val="DefaultParagraphFont"/>
    <w:link w:val="Title"/>
    <w:uiPriority w:val="10"/>
    <w:rsid w:val="005B31AE"/>
    <w:rPr>
      <w:rFonts w:ascii="Franklin Gothic Book" w:eastAsiaTheme="majorEastAsia" w:hAnsi="Franklin Gothic Book" w:cstheme="majorBidi"/>
      <w:color w:val="06547F"/>
      <w:spacing w:val="5"/>
      <w:kern w:val="28"/>
      <w:sz w:val="72"/>
      <w:szCs w:val="52"/>
      <w:lang w:eastAsia="en-US"/>
    </w:rPr>
  </w:style>
  <w:style w:type="paragraph" w:styleId="FootnoteText">
    <w:name w:val="footnote text"/>
    <w:basedOn w:val="Normal"/>
    <w:link w:val="FootnoteTextChar"/>
    <w:autoRedefine/>
    <w:uiPriority w:val="99"/>
    <w:unhideWhenUsed/>
    <w:qFormat/>
    <w:rsid w:val="0044706D"/>
    <w:pPr>
      <w:tabs>
        <w:tab w:val="left" w:pos="7200"/>
        <w:tab w:val="left" w:pos="7380"/>
      </w:tabs>
      <w:spacing w:before="120" w:after="0" w:line="240" w:lineRule="auto"/>
      <w:contextualSpacing/>
    </w:pPr>
    <w:rPr>
      <w:color w:val="535353"/>
      <w:szCs w:val="24"/>
    </w:rPr>
  </w:style>
  <w:style w:type="character" w:customStyle="1" w:styleId="FootnoteTextChar">
    <w:name w:val="Footnote Text Char"/>
    <w:basedOn w:val="DefaultParagraphFont"/>
    <w:link w:val="FootnoteText"/>
    <w:uiPriority w:val="99"/>
    <w:rsid w:val="0044706D"/>
    <w:rPr>
      <w:rFonts w:ascii="Franklin Gothic Book" w:eastAsiaTheme="minorHAnsi" w:hAnsi="Franklin Gothic Book"/>
      <w:color w:val="535353"/>
      <w:sz w:val="20"/>
      <w:lang w:eastAsia="en-US"/>
    </w:rPr>
  </w:style>
  <w:style w:type="character" w:styleId="FootnoteReference">
    <w:name w:val="footnote reference"/>
    <w:basedOn w:val="DefaultParagraphFont"/>
    <w:uiPriority w:val="99"/>
    <w:unhideWhenUsed/>
    <w:rsid w:val="00082B96"/>
    <w:rPr>
      <w:vertAlign w:val="superscript"/>
    </w:rPr>
  </w:style>
  <w:style w:type="character" w:customStyle="1" w:styleId="Heading4Char">
    <w:name w:val="Heading 4 Char"/>
    <w:basedOn w:val="DefaultParagraphFont"/>
    <w:link w:val="Heading4"/>
    <w:uiPriority w:val="9"/>
    <w:rsid w:val="00960F72"/>
    <w:rPr>
      <w:rFonts w:ascii="Franklin Gothic Medium" w:eastAsiaTheme="majorEastAsia" w:hAnsi="Franklin Gothic Medium" w:cstheme="majorBidi"/>
      <w:bCs/>
      <w:iCs/>
      <w:color w:val="06547F"/>
      <w:sz w:val="28"/>
      <w:szCs w:val="22"/>
      <w:lang w:eastAsia="en-US"/>
    </w:rPr>
  </w:style>
  <w:style w:type="paragraph" w:styleId="BalloonText">
    <w:name w:val="Balloon Text"/>
    <w:basedOn w:val="Normal"/>
    <w:link w:val="BalloonTextChar"/>
    <w:uiPriority w:val="99"/>
    <w:semiHidden/>
    <w:unhideWhenUsed/>
    <w:rsid w:val="001F3FA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3FA8"/>
    <w:rPr>
      <w:rFonts w:ascii="Lucida Grande" w:eastAsiaTheme="minorHAnsi" w:hAnsi="Lucida Grande" w:cs="Lucida Grande"/>
      <w:sz w:val="18"/>
      <w:szCs w:val="18"/>
      <w:lang w:eastAsia="en-US"/>
    </w:rPr>
  </w:style>
  <w:style w:type="character" w:styleId="Hyperlink">
    <w:name w:val="Hyperlink"/>
    <w:basedOn w:val="DefaultParagraphFont"/>
    <w:uiPriority w:val="99"/>
    <w:unhideWhenUsed/>
    <w:rsid w:val="006D5D04"/>
    <w:rPr>
      <w:color w:val="0000FF" w:themeColor="hyperlink"/>
      <w:u w:val="single"/>
    </w:rPr>
  </w:style>
  <w:style w:type="paragraph" w:styleId="Quote">
    <w:name w:val="Quote"/>
    <w:basedOn w:val="Normal"/>
    <w:next w:val="Normal"/>
    <w:link w:val="QuoteChar"/>
    <w:autoRedefine/>
    <w:uiPriority w:val="29"/>
    <w:qFormat/>
    <w:rsid w:val="008377B2"/>
    <w:pPr>
      <w:spacing w:before="360" w:after="240"/>
    </w:pPr>
    <w:rPr>
      <w:i/>
      <w:iCs/>
      <w:color w:val="06547F"/>
      <w:sz w:val="24"/>
    </w:rPr>
  </w:style>
  <w:style w:type="character" w:customStyle="1" w:styleId="QuoteChar">
    <w:name w:val="Quote Char"/>
    <w:basedOn w:val="DefaultParagraphFont"/>
    <w:link w:val="Quote"/>
    <w:uiPriority w:val="29"/>
    <w:rsid w:val="008377B2"/>
    <w:rPr>
      <w:rFonts w:ascii="Calibri" w:eastAsiaTheme="minorHAnsi" w:hAnsi="Calibri"/>
      <w:i/>
      <w:iCs/>
      <w:color w:val="06547F"/>
      <w:szCs w:val="22"/>
      <w:lang w:eastAsia="en-US"/>
    </w:rPr>
  </w:style>
  <w:style w:type="paragraph" w:styleId="IntenseQuote">
    <w:name w:val="Intense Quote"/>
    <w:basedOn w:val="Normal"/>
    <w:next w:val="Normal"/>
    <w:link w:val="IntenseQuoteChar"/>
    <w:autoRedefine/>
    <w:uiPriority w:val="30"/>
    <w:qFormat/>
    <w:rsid w:val="004F0962"/>
    <w:pPr>
      <w:pBdr>
        <w:bottom w:val="single" w:sz="4" w:space="4" w:color="4F81BD" w:themeColor="accent1"/>
      </w:pBdr>
      <w:spacing w:before="200" w:after="240" w:line="360" w:lineRule="auto"/>
      <w:ind w:left="936" w:right="936"/>
    </w:pPr>
    <w:rPr>
      <w:bCs/>
      <w:i/>
      <w:iCs/>
      <w:color w:val="06547F"/>
      <w:sz w:val="24"/>
    </w:rPr>
  </w:style>
  <w:style w:type="character" w:customStyle="1" w:styleId="IntenseQuoteChar">
    <w:name w:val="Intense Quote Char"/>
    <w:basedOn w:val="DefaultParagraphFont"/>
    <w:link w:val="IntenseQuote"/>
    <w:uiPriority w:val="30"/>
    <w:rsid w:val="004F0962"/>
    <w:rPr>
      <w:rFonts w:ascii="Calibri" w:eastAsiaTheme="minorHAnsi" w:hAnsi="Calibri"/>
      <w:bCs/>
      <w:i/>
      <w:iCs/>
      <w:color w:val="06547F"/>
      <w:szCs w:val="22"/>
      <w:lang w:eastAsia="en-US"/>
    </w:rPr>
  </w:style>
  <w:style w:type="character" w:styleId="PageNumber">
    <w:name w:val="page number"/>
    <w:basedOn w:val="DefaultParagraphFont"/>
    <w:uiPriority w:val="99"/>
    <w:semiHidden/>
    <w:unhideWhenUsed/>
    <w:rsid w:val="003516BD"/>
  </w:style>
  <w:style w:type="paragraph" w:styleId="NoSpacing">
    <w:name w:val="No Spacing"/>
    <w:uiPriority w:val="1"/>
    <w:qFormat/>
    <w:rsid w:val="00DD696F"/>
    <w:pPr>
      <w:widowControl w:val="0"/>
    </w:pPr>
    <w:rPr>
      <w:rFonts w:ascii="Calibri" w:eastAsiaTheme="minorHAnsi" w:hAnsi="Calibri"/>
      <w:sz w:val="20"/>
      <w:szCs w:val="22"/>
      <w:lang w:eastAsia="en-US"/>
    </w:rPr>
  </w:style>
  <w:style w:type="table" w:styleId="TableGrid">
    <w:name w:val="Table Grid"/>
    <w:basedOn w:val="TableNormal"/>
    <w:uiPriority w:val="59"/>
    <w:rsid w:val="00814FF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24671">
      <w:bodyDiv w:val="1"/>
      <w:marLeft w:val="0"/>
      <w:marRight w:val="0"/>
      <w:marTop w:val="0"/>
      <w:marBottom w:val="0"/>
      <w:divBdr>
        <w:top w:val="none" w:sz="0" w:space="0" w:color="auto"/>
        <w:left w:val="none" w:sz="0" w:space="0" w:color="auto"/>
        <w:bottom w:val="none" w:sz="0" w:space="0" w:color="auto"/>
        <w:right w:val="none" w:sz="0" w:space="0" w:color="auto"/>
      </w:divBdr>
    </w:div>
    <w:div w:id="757214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hyperlink" TargetMode="External" Target="http://www.mass.gov/eohhs/docs/dph/quality/hcq-circular-letters/2012/dhcq-1209570.pdf"/>
  <Relationship Id="rId16" Type="http://schemas.openxmlformats.org/officeDocument/2006/relationships/hyperlink" TargetMode="External" Target="http://www.mass.gov/eohhs/docs/dph/regs/105cmr155.pdf"/>
  <Relationship Id="rId17" Type="http://schemas.openxmlformats.org/officeDocument/2006/relationships/header" Target="header3.xml"/>
  <Relationship Id="rId18" Type="http://schemas.openxmlformats.org/officeDocument/2006/relationships/footer" Target="footer4.xml"/>
  <Relationship Id="rId19" Type="http://schemas.openxmlformats.org/officeDocument/2006/relationships/fontTable" Target="fontTable.xml"/>
  <Relationship Id="rId2" Type="http://schemas.openxmlformats.org/officeDocument/2006/relationships/numbering" Target="numbering.xml"/>
  <Relationship Id="rId20"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emf"/>
</Relationships>

</file>

<file path=word/_rels/header1.xml.rels><?xml version="1.0" encoding="UTF-8"?>

<Relationships xmlns="http://schemas.openxmlformats.org/package/2006/relationships">
  <Relationship Id="rId1" Type="http://schemas.openxmlformats.org/officeDocument/2006/relationships/image" Target="media/image2.png"/>
</Relationships>

</file>

<file path=word/_rels/header2.xml.rels><?xml version="1.0" encoding="UTF-8"?>

<Relationships xmlns="http://schemas.openxmlformats.org/package/2006/relationships">
  <Relationship Id="rId1" Type="http://schemas.openxmlformats.org/officeDocument/2006/relationships/hyperlink" TargetMode="External" Target="mailto:betsylehmancenter@massmail.state.ma.us"/>
  <Relationship Id="rId2" Type="http://schemas.openxmlformats.org/officeDocument/2006/relationships/hyperlink" TargetMode="External" Target="http://www.BetsyLehmanCenterMA.gov"/>
  <Relationship Id="rId3" Type="http://schemas.openxmlformats.org/officeDocument/2006/relationships/hyperlink" TargetMode="External" Target="mailto:betsylehmancenter@massmail.state.ma.us"/>
  <Relationship Id="rId4" Type="http://schemas.openxmlformats.org/officeDocument/2006/relationships/hyperlink" TargetMode="External" Target="http://www.BetsyLehmanCenterMA.gov"/>
  <Relationship Id="rId5" Type="http://schemas.openxmlformats.org/officeDocument/2006/relationships/image" Target="media/image2.png"/>
  <Relationship Id="rId6"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28FC6-F72C-4CC4-9426-0914E73A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2016-10-28T19:59:00Z</dcterms:created>
  <dc:creator>Ji Lee</dc:creator>
  <lastModifiedBy/>
  <lastPrinted>2016-10-28T19:36:00Z</lastPrinted>
  <dcterms:modified xsi:type="dcterms:W3CDTF">2016-11-07T18:45:00Z</dcterms:modified>
  <revision>5</revision>
  <dc:title>Betsy Lehman Center</dc:title>
</coreProperties>
</file>