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43D7E1DF" w:rsidR="009654D7" w:rsidRPr="009D4FC2" w:rsidRDefault="009654D7" w:rsidP="00662194">
      <w:pPr>
        <w:pStyle w:val="Heading1"/>
        <w:numPr>
          <w:ilvl w:val="0"/>
          <w:numId w:val="0"/>
        </w:numPr>
        <w:ind w:left="360"/>
      </w:pPr>
      <w:r w:rsidRPr="00713520">
        <w:t>General Information</w:t>
      </w:r>
    </w:p>
    <w:tbl>
      <w:tblPr>
        <w:tblStyle w:val="TableGridLight"/>
        <w:tblW w:w="9560" w:type="dxa"/>
        <w:tblLook w:val="04A0" w:firstRow="1" w:lastRow="0" w:firstColumn="1" w:lastColumn="0" w:noHBand="0" w:noVBand="1"/>
      </w:tblPr>
      <w:tblGrid>
        <w:gridCol w:w="3400"/>
        <w:gridCol w:w="6160"/>
      </w:tblGrid>
      <w:tr w:rsidR="003B454C" w:rsidRPr="009D4FC2" w14:paraId="6254573B" w14:textId="77777777" w:rsidTr="00DF4F78">
        <w:trPr>
          <w:trHeight w:val="375"/>
        </w:trPr>
        <w:tc>
          <w:tcPr>
            <w:tcW w:w="3400" w:type="dxa"/>
            <w:hideMark/>
          </w:tcPr>
          <w:p w14:paraId="5E8527DB" w14:textId="77777777" w:rsidR="003B454C" w:rsidRPr="009D4FC2" w:rsidRDefault="003B454C" w:rsidP="00BA6DEC">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6160" w:type="dxa"/>
            <w:hideMark/>
          </w:tcPr>
          <w:p w14:paraId="3556E9CE" w14:textId="77777777" w:rsidR="003B454C" w:rsidRPr="009D4FC2" w:rsidRDefault="003B454C" w:rsidP="00BA6DEC">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Behavioral Health Partners of MetroWest (BHPMW)</w:t>
            </w:r>
          </w:p>
        </w:tc>
      </w:tr>
      <w:tr w:rsidR="003B454C" w:rsidRPr="009D4FC2" w14:paraId="60F6468A" w14:textId="77777777" w:rsidTr="00DF4F78">
        <w:trPr>
          <w:trHeight w:val="375"/>
        </w:trPr>
        <w:tc>
          <w:tcPr>
            <w:tcW w:w="3400" w:type="dxa"/>
            <w:hideMark/>
          </w:tcPr>
          <w:p w14:paraId="58A352A4" w14:textId="77777777" w:rsidR="003B454C" w:rsidRPr="009D4FC2" w:rsidRDefault="003B454C" w:rsidP="00BA6DEC">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6160" w:type="dxa"/>
            <w:hideMark/>
          </w:tcPr>
          <w:p w14:paraId="0CA6401D" w14:textId="77777777" w:rsidR="003B454C" w:rsidRPr="009D4FC2" w:rsidRDefault="003B454C" w:rsidP="00BA6DEC">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1881 Worcester Road, Framingham, MA 01701</w:t>
            </w:r>
          </w:p>
        </w:tc>
      </w:tr>
    </w:tbl>
    <w:p w14:paraId="4D346742" w14:textId="2BE9A21A"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2BAEA134" w14:textId="0EAC4DA0" w:rsidR="00BA6DEC" w:rsidRPr="003A5323" w:rsidRDefault="00BA6DEC" w:rsidP="00BA6DEC">
      <w:pPr>
        <w:autoSpaceDE w:val="0"/>
        <w:autoSpaceDN w:val="0"/>
        <w:adjustRightInd w:val="0"/>
        <w:spacing w:after="0" w:line="240" w:lineRule="auto"/>
        <w:rPr>
          <w:rFonts w:eastAsia="Times New Roman" w:cs="Times New Roman"/>
          <w:color w:val="000000" w:themeColor="text1"/>
          <w:sz w:val="24"/>
          <w:szCs w:val="24"/>
        </w:rPr>
      </w:pPr>
      <w:r w:rsidRPr="003A5323">
        <w:rPr>
          <w:rFonts w:eastAsia="Times New Roman" w:cs="Times New Roman"/>
          <w:color w:val="000000" w:themeColor="text1"/>
          <w:sz w:val="24"/>
          <w:szCs w:val="24"/>
        </w:rPr>
        <w:t>Behavioral Health Partners of MetroWest LLC (BHPMW) BHCP includes LLC members Advocates, South Middlesex Opportunity Council, Spectrum Health Systems, and Wayside Youth Family Support Network as Consortium Entities (CE) and an Affiliated Partner (AP), Family Continuity. These agencies, embedded in our BHCP Service Areas - Central and Northern Massachusetts - utilize their experience, locations, continuums of care, and community partnerships to provide BHCP supports to diverse populations enrolled in 1</w:t>
      </w:r>
      <w:r w:rsidR="00791038" w:rsidRPr="003A5323">
        <w:rPr>
          <w:rFonts w:eastAsia="Times New Roman" w:cs="Times New Roman"/>
          <w:color w:val="000000" w:themeColor="text1"/>
          <w:sz w:val="24"/>
          <w:szCs w:val="24"/>
        </w:rPr>
        <w:t>1</w:t>
      </w:r>
      <w:r w:rsidRPr="003A5323">
        <w:rPr>
          <w:rFonts w:eastAsia="Times New Roman" w:cs="Times New Roman"/>
          <w:color w:val="000000" w:themeColor="text1"/>
          <w:sz w:val="24"/>
          <w:szCs w:val="24"/>
        </w:rPr>
        <w:t xml:space="preserve"> ACO</w:t>
      </w:r>
      <w:r w:rsidR="00D9536B" w:rsidRPr="003A5323">
        <w:rPr>
          <w:rFonts w:eastAsia="Times New Roman" w:cs="Times New Roman"/>
          <w:color w:val="000000" w:themeColor="text1"/>
          <w:sz w:val="24"/>
          <w:szCs w:val="24"/>
        </w:rPr>
        <w:t>s</w:t>
      </w:r>
      <w:r w:rsidRPr="003A5323">
        <w:rPr>
          <w:rFonts w:eastAsia="Times New Roman" w:cs="Times New Roman"/>
          <w:color w:val="000000" w:themeColor="text1"/>
          <w:sz w:val="24"/>
          <w:szCs w:val="24"/>
        </w:rPr>
        <w:t xml:space="preserve"> and </w:t>
      </w:r>
      <w:r w:rsidR="00791038" w:rsidRPr="003A5323">
        <w:rPr>
          <w:rFonts w:eastAsia="Times New Roman" w:cs="Times New Roman"/>
          <w:color w:val="000000" w:themeColor="text1"/>
          <w:sz w:val="24"/>
          <w:szCs w:val="24"/>
        </w:rPr>
        <w:t xml:space="preserve">2 </w:t>
      </w:r>
      <w:r w:rsidRPr="003A5323">
        <w:rPr>
          <w:rFonts w:eastAsia="Times New Roman" w:cs="Times New Roman"/>
          <w:color w:val="000000" w:themeColor="text1"/>
          <w:sz w:val="24"/>
          <w:szCs w:val="24"/>
        </w:rPr>
        <w:t>MCOs.</w:t>
      </w:r>
    </w:p>
    <w:p w14:paraId="656B099A" w14:textId="77777777" w:rsidR="00BA6DEC" w:rsidRPr="003A5323" w:rsidRDefault="00BA6DEC" w:rsidP="00BA6DEC">
      <w:pPr>
        <w:spacing w:after="0" w:line="240" w:lineRule="auto"/>
        <w:rPr>
          <w:rFonts w:cs="Times New Roman"/>
          <w:b/>
          <w:i/>
          <w:color w:val="000000"/>
          <w:sz w:val="24"/>
          <w:szCs w:val="24"/>
        </w:rPr>
      </w:pPr>
    </w:p>
    <w:p w14:paraId="565C3E3F" w14:textId="77777777" w:rsidR="00BA6DEC" w:rsidRPr="003A5323" w:rsidRDefault="00BA6DEC" w:rsidP="00BA6DEC">
      <w:pPr>
        <w:spacing w:after="0" w:line="240" w:lineRule="auto"/>
        <w:rPr>
          <w:rFonts w:cs="Times New Roman"/>
          <w:b/>
          <w:i/>
          <w:color w:val="000000"/>
          <w:sz w:val="24"/>
          <w:szCs w:val="24"/>
        </w:rPr>
      </w:pPr>
      <w:r w:rsidRPr="003A5323">
        <w:rPr>
          <w:rFonts w:cs="Times New Roman"/>
          <w:b/>
          <w:i/>
          <w:color w:val="000000"/>
          <w:sz w:val="24"/>
          <w:szCs w:val="24"/>
        </w:rPr>
        <w:t>Use of DSRIP funds during Budget Period (BP) 3</w:t>
      </w:r>
    </w:p>
    <w:p w14:paraId="2BCCE6E8" w14:textId="6E2EB417" w:rsidR="00BA6DEC" w:rsidRPr="003A5323" w:rsidRDefault="00BA6DEC" w:rsidP="005D4B90">
      <w:pPr>
        <w:pBdr>
          <w:top w:val="single" w:sz="4" w:space="1" w:color="auto"/>
          <w:left w:val="single" w:sz="4" w:space="4" w:color="auto"/>
          <w:bottom w:val="single" w:sz="4" w:space="1" w:color="auto"/>
          <w:right w:val="single" w:sz="4" w:space="4" w:color="auto"/>
        </w:pBdr>
        <w:spacing w:after="0" w:line="240" w:lineRule="auto"/>
        <w:rPr>
          <w:rFonts w:cs="Times New Roman"/>
          <w:color w:val="000000"/>
          <w:sz w:val="20"/>
          <w:szCs w:val="20"/>
        </w:rPr>
      </w:pPr>
      <w:r w:rsidRPr="003A5323">
        <w:rPr>
          <w:rFonts w:cs="Times New Roman"/>
          <w:b/>
          <w:bCs/>
          <w:color w:val="000000"/>
          <w:sz w:val="20"/>
          <w:szCs w:val="20"/>
        </w:rPr>
        <w:t>Technology</w:t>
      </w:r>
      <w:r w:rsidRPr="003A5323">
        <w:rPr>
          <w:rFonts w:cs="Times New Roman"/>
          <w:color w:val="000000"/>
          <w:sz w:val="20"/>
          <w:szCs w:val="20"/>
        </w:rPr>
        <w:t>- IT Staffing</w:t>
      </w:r>
      <w:r w:rsidR="00FE385F" w:rsidRPr="003A5323">
        <w:rPr>
          <w:rFonts w:cs="Times New Roman"/>
          <w:color w:val="000000"/>
          <w:sz w:val="20"/>
          <w:szCs w:val="20"/>
        </w:rPr>
        <w:t>;</w:t>
      </w:r>
      <w:r w:rsidRPr="003A5323">
        <w:rPr>
          <w:rFonts w:cs="Times New Roman"/>
          <w:color w:val="000000"/>
          <w:sz w:val="20"/>
          <w:szCs w:val="20"/>
        </w:rPr>
        <w:t xml:space="preserve"> Care Management Software Development</w:t>
      </w:r>
      <w:r w:rsidR="00FE385F" w:rsidRPr="003A5323">
        <w:rPr>
          <w:rFonts w:cs="Times New Roman"/>
          <w:color w:val="000000"/>
          <w:sz w:val="20"/>
          <w:szCs w:val="20"/>
        </w:rPr>
        <w:t>;</w:t>
      </w:r>
      <w:r w:rsidRPr="003A5323">
        <w:rPr>
          <w:rFonts w:cs="Times New Roman"/>
          <w:color w:val="000000"/>
          <w:sz w:val="20"/>
          <w:szCs w:val="20"/>
        </w:rPr>
        <w:t xml:space="preserve"> Mobile Technologies for Staff</w:t>
      </w:r>
      <w:r w:rsidR="00FE385F" w:rsidRPr="003A5323">
        <w:rPr>
          <w:rFonts w:cs="Times New Roman"/>
          <w:color w:val="000000"/>
          <w:sz w:val="20"/>
          <w:szCs w:val="20"/>
        </w:rPr>
        <w:t>;</w:t>
      </w:r>
      <w:r w:rsidRPr="003A5323">
        <w:rPr>
          <w:rFonts w:cs="Times New Roman"/>
          <w:color w:val="000000"/>
          <w:sz w:val="20"/>
          <w:szCs w:val="20"/>
        </w:rPr>
        <w:t xml:space="preserve"> Other Technology Expenses</w:t>
      </w:r>
      <w:r w:rsidRPr="003A5323">
        <w:rPr>
          <w:rFonts w:cs="Times New Roman"/>
          <w:iCs/>
          <w:color w:val="000000"/>
          <w:sz w:val="20"/>
          <w:szCs w:val="20"/>
        </w:rPr>
        <w:t xml:space="preserve"> </w:t>
      </w:r>
    </w:p>
    <w:p w14:paraId="6EC31AF6" w14:textId="26DF886E" w:rsidR="00BA6DEC" w:rsidRPr="003A5323" w:rsidRDefault="00BA6DEC" w:rsidP="005D4B90">
      <w:pPr>
        <w:pBdr>
          <w:top w:val="single" w:sz="4" w:space="1" w:color="auto"/>
          <w:left w:val="single" w:sz="4" w:space="4" w:color="auto"/>
          <w:bottom w:val="single" w:sz="4" w:space="1" w:color="auto"/>
          <w:right w:val="single" w:sz="4" w:space="4" w:color="auto"/>
        </w:pBdr>
        <w:spacing w:after="0" w:line="240" w:lineRule="auto"/>
        <w:rPr>
          <w:rFonts w:cs="Times New Roman"/>
          <w:color w:val="000000"/>
          <w:sz w:val="20"/>
          <w:szCs w:val="20"/>
        </w:rPr>
      </w:pPr>
      <w:r w:rsidRPr="003A5323">
        <w:rPr>
          <w:rFonts w:cs="Times New Roman"/>
          <w:b/>
          <w:bCs/>
          <w:iCs/>
          <w:color w:val="000000"/>
          <w:sz w:val="20"/>
          <w:szCs w:val="20"/>
        </w:rPr>
        <w:t>Workforce Development</w:t>
      </w:r>
      <w:r w:rsidRPr="003A5323">
        <w:rPr>
          <w:rFonts w:cs="Times New Roman"/>
          <w:color w:val="000000"/>
          <w:sz w:val="20"/>
          <w:szCs w:val="20"/>
        </w:rPr>
        <w:t>- Workforce Development Staffing</w:t>
      </w:r>
      <w:r w:rsidR="00FE385F" w:rsidRPr="003A5323">
        <w:rPr>
          <w:rFonts w:cs="Times New Roman"/>
          <w:color w:val="000000"/>
          <w:sz w:val="20"/>
          <w:szCs w:val="20"/>
        </w:rPr>
        <w:t>;</w:t>
      </w:r>
      <w:r w:rsidRPr="003A5323">
        <w:rPr>
          <w:rFonts w:cs="Times New Roman"/>
          <w:color w:val="000000"/>
          <w:sz w:val="20"/>
          <w:szCs w:val="20"/>
        </w:rPr>
        <w:t xml:space="preserve"> Recruitment</w:t>
      </w:r>
      <w:r w:rsidR="00BF2B55" w:rsidRPr="003A5323">
        <w:rPr>
          <w:rFonts w:cs="Times New Roman"/>
          <w:color w:val="000000"/>
          <w:sz w:val="20"/>
          <w:szCs w:val="20"/>
        </w:rPr>
        <w:t>/T</w:t>
      </w:r>
      <w:r w:rsidRPr="003A5323">
        <w:rPr>
          <w:rFonts w:cs="Times New Roman"/>
          <w:color w:val="000000"/>
          <w:sz w:val="20"/>
          <w:szCs w:val="20"/>
        </w:rPr>
        <w:t>raining</w:t>
      </w:r>
      <w:r w:rsidR="00BF2B55" w:rsidRPr="003A5323">
        <w:rPr>
          <w:rFonts w:cs="Times New Roman"/>
          <w:color w:val="000000"/>
          <w:sz w:val="20"/>
          <w:szCs w:val="20"/>
        </w:rPr>
        <w:t>/</w:t>
      </w:r>
      <w:r w:rsidRPr="003A5323">
        <w:rPr>
          <w:rFonts w:cs="Times New Roman"/>
          <w:color w:val="000000"/>
          <w:sz w:val="20"/>
          <w:szCs w:val="20"/>
        </w:rPr>
        <w:t>Retention Expenses</w:t>
      </w:r>
    </w:p>
    <w:p w14:paraId="4DEE308C" w14:textId="1B353A8D" w:rsidR="00BA6DEC" w:rsidRPr="003A5323" w:rsidRDefault="00BA6DEC" w:rsidP="005D4B90">
      <w:pPr>
        <w:pBdr>
          <w:top w:val="single" w:sz="4" w:space="1" w:color="auto"/>
          <w:left w:val="single" w:sz="4" w:space="4" w:color="auto"/>
          <w:bottom w:val="single" w:sz="4" w:space="1" w:color="auto"/>
          <w:right w:val="single" w:sz="4" w:space="4" w:color="auto"/>
        </w:pBdr>
        <w:spacing w:after="0" w:line="240" w:lineRule="auto"/>
        <w:rPr>
          <w:rFonts w:cs="Times New Roman"/>
          <w:color w:val="000000"/>
          <w:sz w:val="20"/>
          <w:szCs w:val="20"/>
        </w:rPr>
      </w:pPr>
      <w:r w:rsidRPr="003A5323">
        <w:rPr>
          <w:rFonts w:cs="Times New Roman"/>
          <w:b/>
          <w:bCs/>
          <w:color w:val="000000"/>
          <w:sz w:val="20"/>
          <w:szCs w:val="20"/>
        </w:rPr>
        <w:t>Operational Infrastructure</w:t>
      </w:r>
      <w:r w:rsidRPr="003A5323">
        <w:rPr>
          <w:rFonts w:cs="Times New Roman"/>
          <w:color w:val="000000"/>
          <w:sz w:val="20"/>
          <w:szCs w:val="20"/>
        </w:rPr>
        <w:t>- Operational Staffing</w:t>
      </w:r>
      <w:r w:rsidR="00FE385F" w:rsidRPr="003A5323">
        <w:rPr>
          <w:rFonts w:cs="Times New Roman"/>
          <w:color w:val="000000"/>
          <w:sz w:val="20"/>
          <w:szCs w:val="20"/>
        </w:rPr>
        <w:t xml:space="preserve">; </w:t>
      </w:r>
      <w:r w:rsidRPr="003A5323">
        <w:rPr>
          <w:rFonts w:cs="Times New Roman"/>
          <w:color w:val="000000"/>
          <w:sz w:val="20"/>
          <w:szCs w:val="20"/>
        </w:rPr>
        <w:t>Other Operational Expenses- interpretation, translation, legal services</w:t>
      </w:r>
      <w:r w:rsidR="00D9536B" w:rsidRPr="003A5323">
        <w:rPr>
          <w:rFonts w:cs="Times New Roman"/>
          <w:color w:val="000000"/>
          <w:sz w:val="20"/>
          <w:szCs w:val="20"/>
        </w:rPr>
        <w:t xml:space="preserve">, </w:t>
      </w:r>
      <w:r w:rsidRPr="003A5323">
        <w:rPr>
          <w:rFonts w:cs="Times New Roman"/>
          <w:color w:val="000000"/>
          <w:sz w:val="20"/>
          <w:szCs w:val="20"/>
        </w:rPr>
        <w:t>marketing/member facing materials</w:t>
      </w:r>
      <w:r w:rsidR="00D9536B" w:rsidRPr="003A5323">
        <w:rPr>
          <w:rFonts w:cs="Times New Roman"/>
          <w:color w:val="000000"/>
          <w:sz w:val="20"/>
          <w:szCs w:val="20"/>
        </w:rPr>
        <w:t>, a</w:t>
      </w:r>
      <w:r w:rsidRPr="003A5323">
        <w:rPr>
          <w:rFonts w:cs="Times New Roman"/>
          <w:color w:val="000000"/>
          <w:sz w:val="20"/>
          <w:szCs w:val="20"/>
        </w:rPr>
        <w:t>udit and tax filing</w:t>
      </w:r>
      <w:r w:rsidR="00D9536B" w:rsidRPr="003A5323">
        <w:rPr>
          <w:rFonts w:cs="Times New Roman"/>
          <w:color w:val="000000"/>
          <w:sz w:val="20"/>
          <w:szCs w:val="20"/>
        </w:rPr>
        <w:t>, and</w:t>
      </w:r>
      <w:r w:rsidRPr="003A5323">
        <w:rPr>
          <w:rFonts w:cs="Times New Roman"/>
          <w:color w:val="000000"/>
          <w:sz w:val="20"/>
          <w:szCs w:val="20"/>
        </w:rPr>
        <w:t xml:space="preserve"> Consumer Advisory Board expenses</w:t>
      </w:r>
    </w:p>
    <w:p w14:paraId="45C95B54" w14:textId="77777777" w:rsidR="00BA6DEC" w:rsidRPr="003A5323" w:rsidRDefault="00BA6DEC" w:rsidP="00BA6DEC">
      <w:pPr>
        <w:autoSpaceDE w:val="0"/>
        <w:autoSpaceDN w:val="0"/>
        <w:adjustRightInd w:val="0"/>
        <w:spacing w:after="0" w:line="240" w:lineRule="auto"/>
        <w:rPr>
          <w:rFonts w:eastAsia="Times New Roman" w:cs="Times New Roman"/>
          <w:b/>
          <w:bCs/>
          <w:i/>
          <w:iCs/>
          <w:color w:val="000000" w:themeColor="text1"/>
          <w:sz w:val="24"/>
          <w:szCs w:val="24"/>
        </w:rPr>
      </w:pPr>
    </w:p>
    <w:p w14:paraId="58C171A4" w14:textId="77777777" w:rsidR="00BA6DEC" w:rsidRPr="003A5323" w:rsidRDefault="00BA6DEC" w:rsidP="00BA6DEC">
      <w:pPr>
        <w:autoSpaceDE w:val="0"/>
        <w:autoSpaceDN w:val="0"/>
        <w:adjustRightInd w:val="0"/>
        <w:spacing w:after="0" w:line="240" w:lineRule="auto"/>
        <w:rPr>
          <w:rFonts w:eastAsia="Times New Roman" w:cs="Times New Roman"/>
          <w:b/>
          <w:bCs/>
          <w:i/>
          <w:iCs/>
          <w:color w:val="000000" w:themeColor="text1"/>
          <w:sz w:val="24"/>
          <w:szCs w:val="24"/>
        </w:rPr>
      </w:pPr>
      <w:r w:rsidRPr="003A5323">
        <w:rPr>
          <w:rFonts w:eastAsia="Times New Roman" w:cs="Times New Roman"/>
          <w:b/>
          <w:bCs/>
          <w:i/>
          <w:iCs/>
          <w:color w:val="000000" w:themeColor="text1"/>
          <w:sz w:val="24"/>
          <w:szCs w:val="24"/>
        </w:rPr>
        <w:t>Successes during BP3</w:t>
      </w:r>
    </w:p>
    <w:p w14:paraId="3655C2F5" w14:textId="4CFCBC16" w:rsidR="00BA3DA9" w:rsidRPr="003A5323" w:rsidRDefault="003F58A6" w:rsidP="00BA3DA9">
      <w:pPr>
        <w:pStyle w:val="ListParagraph"/>
        <w:numPr>
          <w:ilvl w:val="0"/>
          <w:numId w:val="4"/>
        </w:numPr>
        <w:spacing w:after="0" w:line="240" w:lineRule="auto"/>
        <w:rPr>
          <w:rFonts w:cs="Times New Roman"/>
          <w:sz w:val="24"/>
          <w:szCs w:val="24"/>
        </w:rPr>
      </w:pPr>
      <w:r w:rsidRPr="003A5323">
        <w:rPr>
          <w:rFonts w:cs="Times New Roman"/>
          <w:sz w:val="24"/>
          <w:szCs w:val="24"/>
        </w:rPr>
        <w:t>BHPMW</w:t>
      </w:r>
      <w:r w:rsidR="00BA3DA9" w:rsidRPr="003A5323">
        <w:rPr>
          <w:rFonts w:cs="Times New Roman"/>
          <w:sz w:val="24"/>
          <w:szCs w:val="24"/>
        </w:rPr>
        <w:t xml:space="preserve"> BHCP staff played important roles in educating Enrollees about COVID-19 and their risk factors, help</w:t>
      </w:r>
      <w:r w:rsidRPr="003A5323">
        <w:rPr>
          <w:rFonts w:cs="Times New Roman"/>
          <w:sz w:val="24"/>
          <w:szCs w:val="24"/>
        </w:rPr>
        <w:t>ing</w:t>
      </w:r>
      <w:r w:rsidR="00BA3DA9" w:rsidRPr="003A5323">
        <w:rPr>
          <w:rFonts w:cs="Times New Roman"/>
          <w:sz w:val="24"/>
          <w:szCs w:val="24"/>
        </w:rPr>
        <w:t xml:space="preserve"> them access testing, and prepar</w:t>
      </w:r>
      <w:r w:rsidRPr="003A5323">
        <w:rPr>
          <w:rFonts w:cs="Times New Roman"/>
          <w:sz w:val="24"/>
          <w:szCs w:val="24"/>
        </w:rPr>
        <w:t>ing</w:t>
      </w:r>
      <w:r w:rsidR="00BA3DA9" w:rsidRPr="003A5323">
        <w:rPr>
          <w:rFonts w:cs="Times New Roman"/>
          <w:sz w:val="24"/>
          <w:szCs w:val="24"/>
        </w:rPr>
        <w:t xml:space="preserve"> them for the vaccine rollout.  We also assisted many Enrollees during the pandemic with health- related social needs including food and housing insecurity. Staff and Enrollees adapted quickly to telehealth.</w:t>
      </w:r>
    </w:p>
    <w:p w14:paraId="380EC321" w14:textId="50C46510" w:rsidR="005D4B90" w:rsidRPr="003A5323" w:rsidRDefault="005D4B90" w:rsidP="005D4B90">
      <w:pPr>
        <w:pStyle w:val="ListParagraph"/>
        <w:numPr>
          <w:ilvl w:val="0"/>
          <w:numId w:val="4"/>
        </w:numPr>
        <w:spacing w:after="0" w:line="240" w:lineRule="auto"/>
        <w:rPr>
          <w:rFonts w:cs="Times New Roman"/>
          <w:color w:val="000000"/>
          <w:sz w:val="24"/>
          <w:szCs w:val="24"/>
        </w:rPr>
      </w:pPr>
      <w:r w:rsidRPr="003A5323">
        <w:rPr>
          <w:rFonts w:cs="Times New Roman"/>
          <w:color w:val="000000"/>
          <w:sz w:val="24"/>
          <w:szCs w:val="24"/>
        </w:rPr>
        <w:t xml:space="preserve">We participated in 156 meetings with 13 ACO/MCOs. </w:t>
      </w:r>
      <w:r w:rsidRPr="003A5323">
        <w:rPr>
          <w:rFonts w:cs="Times New Roman"/>
          <w:color w:val="000000" w:themeColor="text1"/>
          <w:sz w:val="24"/>
          <w:szCs w:val="24"/>
        </w:rPr>
        <w:t xml:space="preserve">We engaged with seven ACO/MCOs in ongoing clinical conferences to discuss Enrollee care, sign </w:t>
      </w:r>
      <w:r w:rsidRPr="003A5323">
        <w:rPr>
          <w:rFonts w:cs="Times New Roman"/>
          <w:sz w:val="24"/>
          <w:szCs w:val="24"/>
        </w:rPr>
        <w:t>Person- Centered Treatment Plans (PCTP)</w:t>
      </w:r>
      <w:r w:rsidRPr="003A5323">
        <w:rPr>
          <w:rFonts w:cs="Times New Roman"/>
          <w:color w:val="000000" w:themeColor="text1"/>
          <w:sz w:val="24"/>
          <w:szCs w:val="24"/>
        </w:rPr>
        <w:t>, and collaborate with their care management teams</w:t>
      </w:r>
      <w:r w:rsidR="003F58A6" w:rsidRPr="003A5323">
        <w:rPr>
          <w:rFonts w:cs="Times New Roman"/>
          <w:color w:val="000000" w:themeColor="text1"/>
          <w:sz w:val="24"/>
          <w:szCs w:val="24"/>
        </w:rPr>
        <w:t xml:space="preserve"> and PCPs</w:t>
      </w:r>
      <w:r w:rsidRPr="003A5323">
        <w:rPr>
          <w:rFonts w:cs="Times New Roman"/>
          <w:color w:val="000000" w:themeColor="text1"/>
          <w:sz w:val="24"/>
          <w:szCs w:val="24"/>
        </w:rPr>
        <w:t>.</w:t>
      </w:r>
    </w:p>
    <w:p w14:paraId="10318F66" w14:textId="0D379DAD" w:rsidR="00BA6DEC" w:rsidRPr="003A5323" w:rsidRDefault="003F58A6" w:rsidP="00FD456D">
      <w:pPr>
        <w:pStyle w:val="ListParagraph"/>
        <w:numPr>
          <w:ilvl w:val="0"/>
          <w:numId w:val="4"/>
        </w:numPr>
        <w:spacing w:after="0" w:line="240" w:lineRule="auto"/>
        <w:rPr>
          <w:rFonts w:cs="Times New Roman"/>
          <w:sz w:val="24"/>
          <w:szCs w:val="24"/>
        </w:rPr>
      </w:pPr>
      <w:r w:rsidRPr="003A5323">
        <w:rPr>
          <w:rFonts w:cs="Times New Roman"/>
          <w:sz w:val="24"/>
          <w:szCs w:val="24"/>
        </w:rPr>
        <w:t>We</w:t>
      </w:r>
      <w:r w:rsidR="00BA6DEC" w:rsidRPr="003A5323">
        <w:rPr>
          <w:rFonts w:cs="Times New Roman"/>
          <w:sz w:val="24"/>
          <w:szCs w:val="24"/>
        </w:rPr>
        <w:t xml:space="preserve"> transitioned </w:t>
      </w:r>
      <w:r w:rsidR="00791038" w:rsidRPr="003A5323">
        <w:rPr>
          <w:rFonts w:cs="Times New Roman"/>
          <w:sz w:val="24"/>
          <w:szCs w:val="24"/>
        </w:rPr>
        <w:t xml:space="preserve">very </w:t>
      </w:r>
      <w:r w:rsidR="00BA6DEC" w:rsidRPr="003A5323">
        <w:rPr>
          <w:rFonts w:cs="Times New Roman"/>
          <w:sz w:val="24"/>
          <w:szCs w:val="24"/>
        </w:rPr>
        <w:t xml:space="preserve">well to </w:t>
      </w:r>
      <w:r w:rsidR="000C7AE5" w:rsidRPr="003A5323">
        <w:rPr>
          <w:rFonts w:cs="Times New Roman"/>
          <w:sz w:val="24"/>
          <w:szCs w:val="24"/>
        </w:rPr>
        <w:t xml:space="preserve">being assigned </w:t>
      </w:r>
      <w:r w:rsidR="00BA6DEC" w:rsidRPr="003A5323">
        <w:rPr>
          <w:rFonts w:cs="Times New Roman"/>
          <w:sz w:val="24"/>
          <w:szCs w:val="24"/>
        </w:rPr>
        <w:t>new Enrollee</w:t>
      </w:r>
      <w:r w:rsidR="000C7AE5" w:rsidRPr="003A5323">
        <w:rPr>
          <w:rFonts w:cs="Times New Roman"/>
          <w:sz w:val="24"/>
          <w:szCs w:val="24"/>
        </w:rPr>
        <w:t>s</w:t>
      </w:r>
      <w:r w:rsidR="00BA6DEC" w:rsidRPr="003A5323">
        <w:rPr>
          <w:rFonts w:cs="Times New Roman"/>
          <w:sz w:val="24"/>
          <w:szCs w:val="24"/>
        </w:rPr>
        <w:t xml:space="preserve"> directly </w:t>
      </w:r>
      <w:r w:rsidR="000C7AE5" w:rsidRPr="003A5323">
        <w:rPr>
          <w:rFonts w:cs="Times New Roman"/>
          <w:sz w:val="24"/>
          <w:szCs w:val="24"/>
        </w:rPr>
        <w:t>by</w:t>
      </w:r>
      <w:r w:rsidR="00BA6DEC" w:rsidRPr="003A5323">
        <w:rPr>
          <w:rFonts w:cs="Times New Roman"/>
          <w:sz w:val="24"/>
          <w:szCs w:val="24"/>
        </w:rPr>
        <w:t xml:space="preserve"> ACO/MCOs</w:t>
      </w:r>
      <w:r w:rsidRPr="003A5323">
        <w:rPr>
          <w:rFonts w:cs="Times New Roman"/>
          <w:sz w:val="24"/>
          <w:szCs w:val="24"/>
        </w:rPr>
        <w:t>, instead of MassHealth</w:t>
      </w:r>
      <w:r w:rsidR="000C7AE5" w:rsidRPr="003A5323">
        <w:rPr>
          <w:rFonts w:cs="Times New Roman"/>
          <w:sz w:val="24"/>
          <w:szCs w:val="24"/>
        </w:rPr>
        <w:t>,</w:t>
      </w:r>
      <w:r w:rsidR="00BA6DEC" w:rsidRPr="003A5323">
        <w:rPr>
          <w:rFonts w:cs="Times New Roman"/>
          <w:sz w:val="24"/>
          <w:szCs w:val="24"/>
        </w:rPr>
        <w:t xml:space="preserve"> receiving 3,399</w:t>
      </w:r>
      <w:r w:rsidR="000C7AE5" w:rsidRPr="003A5323">
        <w:rPr>
          <w:rFonts w:cs="Times New Roman"/>
          <w:sz w:val="24"/>
          <w:szCs w:val="24"/>
        </w:rPr>
        <w:t xml:space="preserve"> (</w:t>
      </w:r>
      <w:r w:rsidR="00BA6DEC" w:rsidRPr="003A5323">
        <w:rPr>
          <w:rFonts w:cs="Times New Roman"/>
          <w:sz w:val="24"/>
          <w:szCs w:val="24"/>
        </w:rPr>
        <w:t>66% increase over B2</w:t>
      </w:r>
      <w:r w:rsidR="000C7AE5" w:rsidRPr="003A5323">
        <w:rPr>
          <w:rFonts w:cs="Times New Roman"/>
          <w:sz w:val="24"/>
          <w:szCs w:val="24"/>
        </w:rPr>
        <w:t>)</w:t>
      </w:r>
      <w:r w:rsidR="00BA6DEC" w:rsidRPr="003A5323">
        <w:rPr>
          <w:rFonts w:cs="Times New Roman"/>
          <w:sz w:val="24"/>
          <w:szCs w:val="24"/>
        </w:rPr>
        <w:t xml:space="preserve">, plus </w:t>
      </w:r>
      <w:r w:rsidR="00320969" w:rsidRPr="003A5323">
        <w:rPr>
          <w:rFonts w:cs="Times New Roman"/>
          <w:sz w:val="24"/>
          <w:szCs w:val="24"/>
        </w:rPr>
        <w:t xml:space="preserve">ongoing </w:t>
      </w:r>
      <w:r w:rsidR="00BA6DEC" w:rsidRPr="003A5323">
        <w:rPr>
          <w:rFonts w:cs="Times New Roman"/>
          <w:sz w:val="24"/>
          <w:szCs w:val="24"/>
        </w:rPr>
        <w:t xml:space="preserve">ad hoc referrals. </w:t>
      </w:r>
    </w:p>
    <w:p w14:paraId="1DE77B46" w14:textId="077FD8A3" w:rsidR="00BA6DEC" w:rsidRPr="003A5323" w:rsidRDefault="00BA6DEC" w:rsidP="00FD456D">
      <w:pPr>
        <w:pStyle w:val="ListParagraph"/>
        <w:numPr>
          <w:ilvl w:val="0"/>
          <w:numId w:val="4"/>
        </w:numPr>
        <w:spacing w:after="0" w:line="240" w:lineRule="auto"/>
        <w:rPr>
          <w:rFonts w:cs="Times New Roman"/>
          <w:sz w:val="24"/>
          <w:szCs w:val="24"/>
        </w:rPr>
      </w:pPr>
      <w:r w:rsidRPr="003A5323">
        <w:rPr>
          <w:rFonts w:cs="Times New Roman"/>
          <w:sz w:val="24"/>
          <w:szCs w:val="24"/>
        </w:rPr>
        <w:t>At the end of BP3, we had 2,730 active Enrollees, an 11% increase over BP2.</w:t>
      </w:r>
    </w:p>
    <w:p w14:paraId="5470F077" w14:textId="131E0149" w:rsidR="00BA6DEC" w:rsidRPr="003A5323" w:rsidRDefault="00BA6DEC" w:rsidP="00FD456D">
      <w:pPr>
        <w:pStyle w:val="ListParagraph"/>
        <w:numPr>
          <w:ilvl w:val="0"/>
          <w:numId w:val="4"/>
        </w:numPr>
        <w:spacing w:after="0" w:line="240" w:lineRule="auto"/>
        <w:rPr>
          <w:rFonts w:cs="Times New Roman"/>
          <w:sz w:val="24"/>
          <w:szCs w:val="24"/>
        </w:rPr>
      </w:pPr>
      <w:r w:rsidRPr="003A5323">
        <w:rPr>
          <w:rFonts w:cs="Times New Roman"/>
          <w:sz w:val="24"/>
          <w:szCs w:val="24"/>
        </w:rPr>
        <w:t xml:space="preserve">Of </w:t>
      </w:r>
      <w:r w:rsidR="003A5323" w:rsidRPr="003A5323">
        <w:rPr>
          <w:rFonts w:cs="Times New Roman"/>
          <w:sz w:val="24"/>
          <w:szCs w:val="24"/>
        </w:rPr>
        <w:t xml:space="preserve">the </w:t>
      </w:r>
      <w:r w:rsidR="007205D6" w:rsidRPr="003A5323">
        <w:rPr>
          <w:rFonts w:cs="Times New Roman"/>
          <w:sz w:val="24"/>
          <w:szCs w:val="24"/>
        </w:rPr>
        <w:t>2,730</w:t>
      </w:r>
      <w:r w:rsidRPr="003A5323">
        <w:rPr>
          <w:rFonts w:cs="Times New Roman"/>
          <w:sz w:val="24"/>
          <w:szCs w:val="24"/>
        </w:rPr>
        <w:t xml:space="preserve"> active Enrollees</w:t>
      </w:r>
      <w:r w:rsidR="003A5323" w:rsidRPr="003A5323">
        <w:rPr>
          <w:rFonts w:cs="Times New Roman"/>
          <w:sz w:val="24"/>
          <w:szCs w:val="24"/>
        </w:rPr>
        <w:t>-</w:t>
      </w:r>
      <w:r w:rsidRPr="003A5323">
        <w:rPr>
          <w:rFonts w:cs="Times New Roman"/>
          <w:sz w:val="24"/>
          <w:szCs w:val="24"/>
        </w:rPr>
        <w:t xml:space="preserve"> 1,702 (62%) had signed Participation Forms (4%increase); 1,437 (53%) were engaged with PCP-signed PCTP</w:t>
      </w:r>
      <w:r w:rsidR="00BA3DA9" w:rsidRPr="003A5323">
        <w:rPr>
          <w:rFonts w:cs="Times New Roman"/>
          <w:sz w:val="24"/>
          <w:szCs w:val="24"/>
        </w:rPr>
        <w:t>s</w:t>
      </w:r>
      <w:r w:rsidRPr="003A5323">
        <w:rPr>
          <w:rFonts w:cs="Times New Roman"/>
          <w:sz w:val="24"/>
          <w:szCs w:val="24"/>
        </w:rPr>
        <w:t xml:space="preserve"> </w:t>
      </w:r>
      <w:r w:rsidR="00320969" w:rsidRPr="003A5323">
        <w:rPr>
          <w:rFonts w:cs="Times New Roman"/>
          <w:sz w:val="24"/>
          <w:szCs w:val="24"/>
        </w:rPr>
        <w:t>(</w:t>
      </w:r>
      <w:r w:rsidRPr="003A5323">
        <w:rPr>
          <w:rFonts w:cs="Times New Roman"/>
          <w:sz w:val="24"/>
          <w:szCs w:val="24"/>
        </w:rPr>
        <w:t>10% increase). The 1,437 engaged Enrollees represent 84% of those with signed Participation Forms (11% increase).</w:t>
      </w:r>
    </w:p>
    <w:p w14:paraId="18D9D940" w14:textId="338A3AFC" w:rsidR="00FE385F" w:rsidRDefault="00FE385F" w:rsidP="00FE385F">
      <w:pPr>
        <w:numPr>
          <w:ilvl w:val="0"/>
          <w:numId w:val="4"/>
        </w:numPr>
        <w:spacing w:after="0" w:line="240" w:lineRule="auto"/>
        <w:rPr>
          <w:rFonts w:cs="Times New Roman"/>
          <w:sz w:val="24"/>
          <w:szCs w:val="24"/>
        </w:rPr>
      </w:pPr>
      <w:r w:rsidRPr="003A5323">
        <w:rPr>
          <w:rFonts w:cs="Times New Roman"/>
          <w:sz w:val="24"/>
          <w:szCs w:val="24"/>
        </w:rPr>
        <w:t>We exceeded our BP3 program revenue projections by almost 30%.</w:t>
      </w:r>
    </w:p>
    <w:p w14:paraId="46A842DB" w14:textId="77777777" w:rsidR="008E4E47" w:rsidRDefault="008E4E47" w:rsidP="008E4E47">
      <w:pPr>
        <w:pStyle w:val="ListParagraph"/>
        <w:numPr>
          <w:ilvl w:val="0"/>
          <w:numId w:val="4"/>
        </w:numPr>
        <w:spacing w:after="0" w:line="240" w:lineRule="auto"/>
        <w:rPr>
          <w:rFonts w:cs="Times New Roman"/>
          <w:color w:val="000000"/>
          <w:sz w:val="24"/>
          <w:szCs w:val="24"/>
        </w:rPr>
      </w:pPr>
      <w:r w:rsidRPr="003A5323">
        <w:rPr>
          <w:rFonts w:cs="Times New Roman"/>
          <w:color w:val="000000"/>
          <w:sz w:val="24"/>
          <w:szCs w:val="24"/>
        </w:rPr>
        <w:t>We earned back 100% of BP2 withheld infrastructure funding through a successful audit.</w:t>
      </w:r>
    </w:p>
    <w:p w14:paraId="1D2DF795" w14:textId="5DE6FE20" w:rsidR="00BA6DEC" w:rsidRPr="003A5323" w:rsidRDefault="00BA6DEC" w:rsidP="00FD456D">
      <w:pPr>
        <w:pStyle w:val="ListParagraph"/>
        <w:numPr>
          <w:ilvl w:val="0"/>
          <w:numId w:val="4"/>
        </w:numPr>
        <w:spacing w:after="0" w:line="240" w:lineRule="auto"/>
        <w:rPr>
          <w:rFonts w:cs="Times New Roman"/>
          <w:sz w:val="24"/>
          <w:szCs w:val="24"/>
        </w:rPr>
      </w:pPr>
      <w:r w:rsidRPr="003A5323">
        <w:rPr>
          <w:rFonts w:cs="Times New Roman"/>
          <w:sz w:val="24"/>
          <w:szCs w:val="24"/>
        </w:rPr>
        <w:lastRenderedPageBreak/>
        <w:t xml:space="preserve">Our average contacts per Enrollee increased compared to BP2. We averaged 4.5 Outreach </w:t>
      </w:r>
      <w:r w:rsidR="00791038" w:rsidRPr="003A5323">
        <w:rPr>
          <w:rFonts w:cs="Times New Roman"/>
          <w:sz w:val="24"/>
          <w:szCs w:val="24"/>
        </w:rPr>
        <w:t>Qualifying Activities (</w:t>
      </w:r>
      <w:r w:rsidRPr="003A5323">
        <w:rPr>
          <w:rFonts w:cs="Times New Roman"/>
          <w:sz w:val="24"/>
          <w:szCs w:val="24"/>
        </w:rPr>
        <w:t>QAs</w:t>
      </w:r>
      <w:r w:rsidR="00791038" w:rsidRPr="003A5323">
        <w:rPr>
          <w:rFonts w:cs="Times New Roman"/>
          <w:sz w:val="24"/>
          <w:szCs w:val="24"/>
        </w:rPr>
        <w:t>) (22</w:t>
      </w:r>
      <w:r w:rsidRPr="003A5323">
        <w:rPr>
          <w:rFonts w:cs="Times New Roman"/>
          <w:sz w:val="24"/>
          <w:szCs w:val="24"/>
        </w:rPr>
        <w:t>% increase</w:t>
      </w:r>
      <w:r w:rsidR="00791038" w:rsidRPr="003A5323">
        <w:rPr>
          <w:rFonts w:cs="Times New Roman"/>
          <w:sz w:val="24"/>
          <w:szCs w:val="24"/>
        </w:rPr>
        <w:t>), 1</w:t>
      </w:r>
      <w:r w:rsidRPr="003A5323">
        <w:rPr>
          <w:rFonts w:cs="Times New Roman"/>
          <w:sz w:val="24"/>
          <w:szCs w:val="24"/>
        </w:rPr>
        <w:t>1.85 Care Coordination QAs</w:t>
      </w:r>
      <w:r w:rsidR="00791038" w:rsidRPr="003A5323">
        <w:rPr>
          <w:rFonts w:cs="Times New Roman"/>
          <w:sz w:val="24"/>
          <w:szCs w:val="24"/>
        </w:rPr>
        <w:t xml:space="preserve"> (32</w:t>
      </w:r>
      <w:r w:rsidRPr="003A5323">
        <w:rPr>
          <w:rFonts w:cs="Times New Roman"/>
          <w:sz w:val="24"/>
          <w:szCs w:val="24"/>
        </w:rPr>
        <w:t>% increase</w:t>
      </w:r>
      <w:r w:rsidR="00791038" w:rsidRPr="003A5323">
        <w:rPr>
          <w:rFonts w:cs="Times New Roman"/>
          <w:sz w:val="24"/>
          <w:szCs w:val="24"/>
        </w:rPr>
        <w:t>)</w:t>
      </w:r>
      <w:r w:rsidRPr="003A5323">
        <w:rPr>
          <w:rFonts w:cs="Times New Roman"/>
          <w:sz w:val="24"/>
          <w:szCs w:val="24"/>
        </w:rPr>
        <w:t xml:space="preserve">, </w:t>
      </w:r>
      <w:r w:rsidR="00791038" w:rsidRPr="003A5323">
        <w:rPr>
          <w:rFonts w:cs="Times New Roman"/>
          <w:sz w:val="24"/>
          <w:szCs w:val="24"/>
        </w:rPr>
        <w:t xml:space="preserve">and </w:t>
      </w:r>
      <w:r w:rsidR="003F58A6" w:rsidRPr="003A5323">
        <w:rPr>
          <w:rFonts w:cs="Times New Roman"/>
          <w:sz w:val="24"/>
          <w:szCs w:val="24"/>
        </w:rPr>
        <w:t>combined</w:t>
      </w:r>
      <w:r w:rsidRPr="003A5323">
        <w:rPr>
          <w:rFonts w:cs="Times New Roman"/>
          <w:sz w:val="24"/>
          <w:szCs w:val="24"/>
        </w:rPr>
        <w:t xml:space="preserve"> average of 16.35 Outreach</w:t>
      </w:r>
      <w:r w:rsidR="00791038" w:rsidRPr="003A5323">
        <w:rPr>
          <w:rFonts w:cs="Times New Roman"/>
          <w:sz w:val="24"/>
          <w:szCs w:val="24"/>
        </w:rPr>
        <w:t>/</w:t>
      </w:r>
      <w:r w:rsidRPr="003A5323">
        <w:rPr>
          <w:rFonts w:cs="Times New Roman"/>
          <w:sz w:val="24"/>
          <w:szCs w:val="24"/>
        </w:rPr>
        <w:t>Care Coordination QAs</w:t>
      </w:r>
      <w:r w:rsidR="00791038" w:rsidRPr="003A5323">
        <w:rPr>
          <w:rFonts w:cs="Times New Roman"/>
          <w:sz w:val="24"/>
          <w:szCs w:val="24"/>
        </w:rPr>
        <w:t xml:space="preserve"> (29</w:t>
      </w:r>
      <w:r w:rsidRPr="003A5323">
        <w:rPr>
          <w:rFonts w:cs="Times New Roman"/>
          <w:sz w:val="24"/>
          <w:szCs w:val="24"/>
        </w:rPr>
        <w:t>% increase</w:t>
      </w:r>
      <w:r w:rsidR="00791038" w:rsidRPr="003A5323">
        <w:rPr>
          <w:rFonts w:cs="Times New Roman"/>
          <w:sz w:val="24"/>
          <w:szCs w:val="24"/>
        </w:rPr>
        <w:t>)</w:t>
      </w:r>
      <w:r w:rsidRPr="003A5323">
        <w:rPr>
          <w:rFonts w:cs="Times New Roman"/>
          <w:sz w:val="24"/>
          <w:szCs w:val="24"/>
        </w:rPr>
        <w:t xml:space="preserve">. </w:t>
      </w:r>
    </w:p>
    <w:p w14:paraId="32BDEA51" w14:textId="75AF0161" w:rsidR="00791038" w:rsidRPr="003A5323" w:rsidRDefault="003F58A6" w:rsidP="00FD456D">
      <w:pPr>
        <w:pStyle w:val="ListParagraph"/>
        <w:numPr>
          <w:ilvl w:val="0"/>
          <w:numId w:val="4"/>
        </w:numPr>
        <w:spacing w:after="0" w:line="240" w:lineRule="auto"/>
        <w:rPr>
          <w:rFonts w:cs="Times New Roman"/>
          <w:sz w:val="24"/>
          <w:szCs w:val="24"/>
        </w:rPr>
      </w:pPr>
      <w:r w:rsidRPr="003A5323">
        <w:rPr>
          <w:rFonts w:cs="Times New Roman"/>
          <w:sz w:val="24"/>
          <w:szCs w:val="24"/>
        </w:rPr>
        <w:t>We</w:t>
      </w:r>
      <w:r w:rsidR="00F43966" w:rsidRPr="003A5323">
        <w:rPr>
          <w:rFonts w:cs="Times New Roman"/>
          <w:sz w:val="24"/>
          <w:szCs w:val="24"/>
        </w:rPr>
        <w:t xml:space="preserve"> made successful contact with 82% of all Enrollees assigned since the</w:t>
      </w:r>
      <w:r w:rsidR="009B7FC0" w:rsidRPr="003A5323">
        <w:rPr>
          <w:rFonts w:cs="Times New Roman"/>
          <w:sz w:val="24"/>
          <w:szCs w:val="24"/>
        </w:rPr>
        <w:t xml:space="preserve"> </w:t>
      </w:r>
      <w:r w:rsidR="00F43966" w:rsidRPr="003A5323">
        <w:rPr>
          <w:rFonts w:cs="Times New Roman"/>
          <w:sz w:val="24"/>
          <w:szCs w:val="24"/>
        </w:rPr>
        <w:t xml:space="preserve">inception of the </w:t>
      </w:r>
      <w:r w:rsidRPr="003A5323">
        <w:rPr>
          <w:rFonts w:cs="Times New Roman"/>
          <w:sz w:val="24"/>
          <w:szCs w:val="24"/>
        </w:rPr>
        <w:t xml:space="preserve">CP </w:t>
      </w:r>
      <w:r w:rsidR="00F43966" w:rsidRPr="003A5323">
        <w:rPr>
          <w:rFonts w:cs="Times New Roman"/>
          <w:sz w:val="24"/>
          <w:szCs w:val="24"/>
        </w:rPr>
        <w:t>program as compared to 72% across all BHCPs statewide.</w:t>
      </w:r>
      <w:r w:rsidR="009B7FC0" w:rsidRPr="003A5323">
        <w:rPr>
          <w:rFonts w:cs="Times New Roman"/>
          <w:sz w:val="24"/>
          <w:szCs w:val="24"/>
        </w:rPr>
        <w:t xml:space="preserve"> We make successful contact in 39 days vs. 48 across all BHCPs and first face to face contact in 53 days vs. 73 </w:t>
      </w:r>
      <w:r w:rsidRPr="003A5323">
        <w:rPr>
          <w:rFonts w:cs="Times New Roman"/>
          <w:sz w:val="24"/>
          <w:szCs w:val="24"/>
        </w:rPr>
        <w:t>across all BHCPs</w:t>
      </w:r>
      <w:r w:rsidR="009B7FC0" w:rsidRPr="003A5323">
        <w:rPr>
          <w:rFonts w:cs="Times New Roman"/>
          <w:sz w:val="24"/>
          <w:szCs w:val="24"/>
        </w:rPr>
        <w:t>. We send care plans to PCPs in 173 days vs. 195 days across all BHCPs.</w:t>
      </w:r>
    </w:p>
    <w:p w14:paraId="3DFD3CBC" w14:textId="77777777" w:rsidR="009B7FC0" w:rsidRPr="003A5323" w:rsidRDefault="009B7FC0" w:rsidP="009B7FC0">
      <w:pPr>
        <w:pStyle w:val="ListParagraph"/>
        <w:numPr>
          <w:ilvl w:val="0"/>
          <w:numId w:val="4"/>
        </w:numPr>
        <w:spacing w:after="0" w:line="240" w:lineRule="auto"/>
        <w:rPr>
          <w:rFonts w:cs="Times New Roman"/>
          <w:sz w:val="24"/>
          <w:szCs w:val="24"/>
        </w:rPr>
      </w:pPr>
      <w:r w:rsidRPr="003A5323">
        <w:rPr>
          <w:rFonts w:cs="Times New Roman"/>
          <w:sz w:val="24"/>
          <w:szCs w:val="24"/>
        </w:rPr>
        <w:t>We send care plans to PCPs in 173 days vs. 195 days across all BHCPs. We have</w:t>
      </w:r>
      <w:r w:rsidRPr="003A5323">
        <w:rPr>
          <w:sz w:val="24"/>
          <w:szCs w:val="24"/>
        </w:rPr>
        <w:t xml:space="preserve"> lower average days to care plan complete (e.g., engagement) than all BHCPs (194 vs. 216).</w:t>
      </w:r>
    </w:p>
    <w:p w14:paraId="1C903381" w14:textId="2602A2B5" w:rsidR="00320969" w:rsidRPr="003A5323" w:rsidRDefault="003F58A6" w:rsidP="00320969">
      <w:pPr>
        <w:pStyle w:val="ListParagraph"/>
        <w:numPr>
          <w:ilvl w:val="0"/>
          <w:numId w:val="4"/>
        </w:numPr>
        <w:spacing w:after="0" w:line="240" w:lineRule="auto"/>
        <w:rPr>
          <w:rFonts w:cs="Times New Roman"/>
          <w:sz w:val="24"/>
          <w:szCs w:val="24"/>
        </w:rPr>
      </w:pPr>
      <w:r w:rsidRPr="003A5323">
        <w:rPr>
          <w:rFonts w:eastAsiaTheme="minorEastAsia" w:cs="Times New Roman"/>
          <w:color w:val="000000" w:themeColor="text1"/>
          <w:kern w:val="24"/>
          <w:sz w:val="24"/>
          <w:szCs w:val="24"/>
        </w:rPr>
        <w:t>We</w:t>
      </w:r>
      <w:r w:rsidR="00320969" w:rsidRPr="003A5323">
        <w:rPr>
          <w:rFonts w:eastAsiaTheme="minorEastAsia" w:cs="Times New Roman"/>
          <w:color w:val="000000" w:themeColor="text1"/>
          <w:kern w:val="24"/>
          <w:sz w:val="24"/>
          <w:szCs w:val="24"/>
        </w:rPr>
        <w:t xml:space="preserve"> consistently ha</w:t>
      </w:r>
      <w:r w:rsidRPr="003A5323">
        <w:rPr>
          <w:rFonts w:eastAsiaTheme="minorEastAsia" w:cs="Times New Roman"/>
          <w:color w:val="000000" w:themeColor="text1"/>
          <w:kern w:val="24"/>
          <w:sz w:val="24"/>
          <w:szCs w:val="24"/>
        </w:rPr>
        <w:t>d</w:t>
      </w:r>
      <w:r w:rsidR="00320969" w:rsidRPr="003A5323">
        <w:rPr>
          <w:rFonts w:eastAsiaTheme="minorEastAsia" w:cs="Times New Roman"/>
          <w:color w:val="000000" w:themeColor="text1"/>
          <w:kern w:val="24"/>
          <w:sz w:val="24"/>
          <w:szCs w:val="24"/>
        </w:rPr>
        <w:t xml:space="preserve"> fewer ED visits per 1,000 Member Months than other BHCPs.</w:t>
      </w:r>
    </w:p>
    <w:p w14:paraId="6314939C" w14:textId="1F3F7AA6" w:rsidR="00320969" w:rsidRPr="003A5323" w:rsidRDefault="00320969" w:rsidP="00320969">
      <w:pPr>
        <w:numPr>
          <w:ilvl w:val="0"/>
          <w:numId w:val="4"/>
        </w:numPr>
        <w:spacing w:after="0" w:line="240" w:lineRule="auto"/>
        <w:rPr>
          <w:rFonts w:cs="Times New Roman"/>
          <w:sz w:val="24"/>
          <w:szCs w:val="24"/>
        </w:rPr>
      </w:pPr>
      <w:r w:rsidRPr="003A5323">
        <w:rPr>
          <w:rFonts w:cs="Times New Roman"/>
          <w:sz w:val="24"/>
          <w:szCs w:val="24"/>
        </w:rPr>
        <w:t xml:space="preserve">For each BP, BHPMW has had a lower Total Cost of Care. Of 18 BHCP programs, </w:t>
      </w:r>
      <w:r w:rsidR="003F58A6" w:rsidRPr="003A5323">
        <w:rPr>
          <w:rFonts w:cs="Times New Roman"/>
          <w:sz w:val="24"/>
          <w:szCs w:val="24"/>
        </w:rPr>
        <w:t xml:space="preserve">we </w:t>
      </w:r>
      <w:r w:rsidRPr="003A5323">
        <w:rPr>
          <w:rFonts w:cs="Times New Roman"/>
          <w:sz w:val="24"/>
          <w:szCs w:val="24"/>
        </w:rPr>
        <w:t>had the third lowest Total Cost of Care ($1519 vs. $2009) in 2019 (</w:t>
      </w:r>
      <w:r w:rsidR="003A5323" w:rsidRPr="003A5323">
        <w:rPr>
          <w:rFonts w:cs="Times New Roman"/>
          <w:sz w:val="24"/>
          <w:szCs w:val="24"/>
        </w:rPr>
        <w:t>2020</w:t>
      </w:r>
      <w:r w:rsidRPr="003A5323">
        <w:rPr>
          <w:rFonts w:cs="Times New Roman"/>
          <w:sz w:val="24"/>
          <w:szCs w:val="24"/>
        </w:rPr>
        <w:t xml:space="preserve"> data unavailable</w:t>
      </w:r>
      <w:r w:rsidR="003A5323" w:rsidRPr="003A5323">
        <w:rPr>
          <w:rFonts w:cs="Times New Roman"/>
          <w:sz w:val="24"/>
          <w:szCs w:val="24"/>
        </w:rPr>
        <w:t>)</w:t>
      </w:r>
      <w:r w:rsidRPr="003A5323">
        <w:rPr>
          <w:rFonts w:cs="Times New Roman"/>
          <w:sz w:val="24"/>
          <w:szCs w:val="24"/>
        </w:rPr>
        <w:t>.</w:t>
      </w:r>
    </w:p>
    <w:p w14:paraId="020F92B1" w14:textId="74D8D8A5" w:rsidR="003A5323" w:rsidRPr="003A5323" w:rsidRDefault="003A5323" w:rsidP="003A5323">
      <w:pPr>
        <w:pStyle w:val="ListParagraph"/>
        <w:numPr>
          <w:ilvl w:val="0"/>
          <w:numId w:val="4"/>
        </w:numPr>
        <w:spacing w:after="0" w:line="240" w:lineRule="auto"/>
        <w:rPr>
          <w:rFonts w:cs="Times New Roman"/>
          <w:i/>
          <w:color w:val="000000" w:themeColor="text1"/>
          <w:sz w:val="24"/>
          <w:szCs w:val="24"/>
        </w:rPr>
      </w:pPr>
      <w:r w:rsidRPr="003A5323">
        <w:rPr>
          <w:rFonts w:cs="Times New Roman"/>
          <w:color w:val="000000" w:themeColor="text1"/>
          <w:sz w:val="24"/>
          <w:szCs w:val="24"/>
        </w:rPr>
        <w:t xml:space="preserve">For the third consecutive BP, Dr. Janis </w:t>
      </w:r>
      <w:proofErr w:type="spellStart"/>
      <w:r w:rsidRPr="003A5323">
        <w:rPr>
          <w:rFonts w:cs="Times New Roman"/>
          <w:color w:val="000000" w:themeColor="text1"/>
          <w:sz w:val="24"/>
          <w:szCs w:val="24"/>
        </w:rPr>
        <w:t>Tondora</w:t>
      </w:r>
      <w:proofErr w:type="spellEnd"/>
      <w:r w:rsidRPr="003A5323">
        <w:rPr>
          <w:rFonts w:cs="Times New Roman"/>
          <w:color w:val="000000" w:themeColor="text1"/>
          <w:sz w:val="24"/>
          <w:szCs w:val="24"/>
        </w:rPr>
        <w:t>, a nationally recognized expert on person- centered care from the Yale University School of Medicine, trained staff across our BHCP.</w:t>
      </w:r>
    </w:p>
    <w:p w14:paraId="69C8CEBE" w14:textId="27FDCAFA" w:rsidR="00E9666B" w:rsidRDefault="003A5323" w:rsidP="00554E5A">
      <w:pPr>
        <w:pStyle w:val="ListParagraph"/>
        <w:numPr>
          <w:ilvl w:val="0"/>
          <w:numId w:val="4"/>
        </w:numPr>
        <w:spacing w:after="0" w:line="240" w:lineRule="auto"/>
      </w:pPr>
      <w:r>
        <w:rPr>
          <w:rFonts w:cs="Times New Roman"/>
          <w:color w:val="000000"/>
          <w:sz w:val="24"/>
          <w:szCs w:val="24"/>
        </w:rPr>
        <w:t xml:space="preserve">We </w:t>
      </w:r>
      <w:r w:rsidR="008E4E47">
        <w:rPr>
          <w:rFonts w:cs="Times New Roman"/>
          <w:color w:val="000000"/>
          <w:sz w:val="24"/>
          <w:szCs w:val="24"/>
        </w:rPr>
        <w:t>created</w:t>
      </w:r>
      <w:r>
        <w:rPr>
          <w:rFonts w:cs="Times New Roman"/>
          <w:color w:val="000000"/>
          <w:sz w:val="24"/>
          <w:szCs w:val="24"/>
        </w:rPr>
        <w:t xml:space="preserve"> an Organized Health Care Organization </w:t>
      </w:r>
      <w:r w:rsidR="008E4E47">
        <w:rPr>
          <w:rFonts w:cs="Times New Roman"/>
          <w:color w:val="000000"/>
          <w:sz w:val="24"/>
          <w:szCs w:val="24"/>
        </w:rPr>
        <w:t>t</w:t>
      </w:r>
      <w:r>
        <w:rPr>
          <w:rFonts w:cs="Times New Roman"/>
          <w:color w:val="000000"/>
          <w:sz w:val="24"/>
          <w:szCs w:val="24"/>
        </w:rPr>
        <w:t xml:space="preserve">o </w:t>
      </w:r>
      <w:r w:rsidR="008E4E47">
        <w:rPr>
          <w:rFonts w:cs="Times New Roman"/>
          <w:color w:val="000000"/>
          <w:sz w:val="24"/>
          <w:szCs w:val="24"/>
        </w:rPr>
        <w:t xml:space="preserve">better </w:t>
      </w:r>
      <w:r>
        <w:rPr>
          <w:rFonts w:cs="Times New Roman"/>
          <w:color w:val="000000"/>
          <w:sz w:val="24"/>
          <w:szCs w:val="24"/>
        </w:rPr>
        <w:t xml:space="preserve">communication across </w:t>
      </w:r>
      <w:r w:rsidR="008E4E47">
        <w:rPr>
          <w:rFonts w:cs="Times New Roman"/>
          <w:color w:val="000000"/>
          <w:sz w:val="24"/>
          <w:szCs w:val="24"/>
        </w:rPr>
        <w:t>CE/APs.</w:t>
      </w:r>
    </w:p>
    <w:sectPr w:rsidR="00E966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CE537" w14:textId="77777777" w:rsidR="001B5F55" w:rsidRDefault="001B5F55" w:rsidP="00542FA0">
      <w:pPr>
        <w:spacing w:after="0" w:line="240" w:lineRule="auto"/>
      </w:pPr>
      <w:r>
        <w:separator/>
      </w:r>
    </w:p>
  </w:endnote>
  <w:endnote w:type="continuationSeparator" w:id="0">
    <w:p w14:paraId="36211E1A" w14:textId="77777777" w:rsidR="001B5F55" w:rsidRDefault="001B5F55" w:rsidP="0054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016235"/>
      <w:docPartObj>
        <w:docPartGallery w:val="Page Numbers (Bottom of Page)"/>
        <w:docPartUnique/>
      </w:docPartObj>
    </w:sdtPr>
    <w:sdtEndPr>
      <w:rPr>
        <w:noProof/>
      </w:rPr>
    </w:sdtEndPr>
    <w:sdtContent>
      <w:p w14:paraId="1280113B" w14:textId="684863EA" w:rsidR="00542FA0" w:rsidRDefault="00542F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74951" w14:textId="77777777" w:rsidR="00542FA0" w:rsidRDefault="0054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95F30" w14:textId="77777777" w:rsidR="001B5F55" w:rsidRDefault="001B5F55" w:rsidP="00542FA0">
      <w:pPr>
        <w:spacing w:after="0" w:line="240" w:lineRule="auto"/>
      </w:pPr>
      <w:r>
        <w:separator/>
      </w:r>
    </w:p>
  </w:footnote>
  <w:footnote w:type="continuationSeparator" w:id="0">
    <w:p w14:paraId="254F31EB" w14:textId="77777777" w:rsidR="001B5F55" w:rsidRDefault="001B5F55" w:rsidP="00542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92D"/>
    <w:multiLevelType w:val="hybridMultilevel"/>
    <w:tmpl w:val="FA9E4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52EAB"/>
    <w:multiLevelType w:val="hybridMultilevel"/>
    <w:tmpl w:val="469C481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0D31FD4"/>
    <w:multiLevelType w:val="hybridMultilevel"/>
    <w:tmpl w:val="A490B0F6"/>
    <w:lvl w:ilvl="0" w:tplc="6EE8266C">
      <w:start w:val="1"/>
      <w:numFmt w:val="bullet"/>
      <w:lvlText w:val=""/>
      <w:lvlJc w:val="left"/>
      <w:pPr>
        <w:tabs>
          <w:tab w:val="num" w:pos="720"/>
        </w:tabs>
        <w:ind w:left="720" w:hanging="360"/>
      </w:pPr>
      <w:rPr>
        <w:rFonts w:ascii="Wingdings" w:hAnsi="Wingdings" w:hint="default"/>
      </w:rPr>
    </w:lvl>
    <w:lvl w:ilvl="1" w:tplc="80C8116A" w:tentative="1">
      <w:start w:val="1"/>
      <w:numFmt w:val="bullet"/>
      <w:lvlText w:val=""/>
      <w:lvlJc w:val="left"/>
      <w:pPr>
        <w:tabs>
          <w:tab w:val="num" w:pos="1440"/>
        </w:tabs>
        <w:ind w:left="1440" w:hanging="360"/>
      </w:pPr>
      <w:rPr>
        <w:rFonts w:ascii="Wingdings" w:hAnsi="Wingdings" w:hint="default"/>
      </w:rPr>
    </w:lvl>
    <w:lvl w:ilvl="2" w:tplc="86F6199A" w:tentative="1">
      <w:start w:val="1"/>
      <w:numFmt w:val="bullet"/>
      <w:lvlText w:val=""/>
      <w:lvlJc w:val="left"/>
      <w:pPr>
        <w:tabs>
          <w:tab w:val="num" w:pos="2160"/>
        </w:tabs>
        <w:ind w:left="2160" w:hanging="360"/>
      </w:pPr>
      <w:rPr>
        <w:rFonts w:ascii="Wingdings" w:hAnsi="Wingdings" w:hint="default"/>
      </w:rPr>
    </w:lvl>
    <w:lvl w:ilvl="3" w:tplc="932A3DB0" w:tentative="1">
      <w:start w:val="1"/>
      <w:numFmt w:val="bullet"/>
      <w:lvlText w:val=""/>
      <w:lvlJc w:val="left"/>
      <w:pPr>
        <w:tabs>
          <w:tab w:val="num" w:pos="2880"/>
        </w:tabs>
        <w:ind w:left="2880" w:hanging="360"/>
      </w:pPr>
      <w:rPr>
        <w:rFonts w:ascii="Wingdings" w:hAnsi="Wingdings" w:hint="default"/>
      </w:rPr>
    </w:lvl>
    <w:lvl w:ilvl="4" w:tplc="D83E4D02" w:tentative="1">
      <w:start w:val="1"/>
      <w:numFmt w:val="bullet"/>
      <w:lvlText w:val=""/>
      <w:lvlJc w:val="left"/>
      <w:pPr>
        <w:tabs>
          <w:tab w:val="num" w:pos="3600"/>
        </w:tabs>
        <w:ind w:left="3600" w:hanging="360"/>
      </w:pPr>
      <w:rPr>
        <w:rFonts w:ascii="Wingdings" w:hAnsi="Wingdings" w:hint="default"/>
      </w:rPr>
    </w:lvl>
    <w:lvl w:ilvl="5" w:tplc="D4543236" w:tentative="1">
      <w:start w:val="1"/>
      <w:numFmt w:val="bullet"/>
      <w:lvlText w:val=""/>
      <w:lvlJc w:val="left"/>
      <w:pPr>
        <w:tabs>
          <w:tab w:val="num" w:pos="4320"/>
        </w:tabs>
        <w:ind w:left="4320" w:hanging="360"/>
      </w:pPr>
      <w:rPr>
        <w:rFonts w:ascii="Wingdings" w:hAnsi="Wingdings" w:hint="default"/>
      </w:rPr>
    </w:lvl>
    <w:lvl w:ilvl="6" w:tplc="91FC1AC0" w:tentative="1">
      <w:start w:val="1"/>
      <w:numFmt w:val="bullet"/>
      <w:lvlText w:val=""/>
      <w:lvlJc w:val="left"/>
      <w:pPr>
        <w:tabs>
          <w:tab w:val="num" w:pos="5040"/>
        </w:tabs>
        <w:ind w:left="5040" w:hanging="360"/>
      </w:pPr>
      <w:rPr>
        <w:rFonts w:ascii="Wingdings" w:hAnsi="Wingdings" w:hint="default"/>
      </w:rPr>
    </w:lvl>
    <w:lvl w:ilvl="7" w:tplc="B718AF5E" w:tentative="1">
      <w:start w:val="1"/>
      <w:numFmt w:val="bullet"/>
      <w:lvlText w:val=""/>
      <w:lvlJc w:val="left"/>
      <w:pPr>
        <w:tabs>
          <w:tab w:val="num" w:pos="5760"/>
        </w:tabs>
        <w:ind w:left="5760" w:hanging="360"/>
      </w:pPr>
      <w:rPr>
        <w:rFonts w:ascii="Wingdings" w:hAnsi="Wingdings" w:hint="default"/>
      </w:rPr>
    </w:lvl>
    <w:lvl w:ilvl="8" w:tplc="5BB6AD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10C27"/>
    <w:multiLevelType w:val="hybridMultilevel"/>
    <w:tmpl w:val="E1A28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125322EF"/>
    <w:multiLevelType w:val="hybridMultilevel"/>
    <w:tmpl w:val="A84C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81CEA"/>
    <w:multiLevelType w:val="hybridMultilevel"/>
    <w:tmpl w:val="76CA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7DC5D93"/>
    <w:multiLevelType w:val="hybridMultilevel"/>
    <w:tmpl w:val="211E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57AF8"/>
    <w:multiLevelType w:val="hybridMultilevel"/>
    <w:tmpl w:val="57F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56057"/>
    <w:multiLevelType w:val="hybridMultilevel"/>
    <w:tmpl w:val="6F8C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21934"/>
    <w:multiLevelType w:val="hybridMultilevel"/>
    <w:tmpl w:val="776A7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66A82"/>
    <w:multiLevelType w:val="hybridMultilevel"/>
    <w:tmpl w:val="B2D64CE2"/>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371EC3"/>
    <w:multiLevelType w:val="hybridMultilevel"/>
    <w:tmpl w:val="C5DC1CE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7C53D5A"/>
    <w:multiLevelType w:val="hybridMultilevel"/>
    <w:tmpl w:val="B7B2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D0CB5"/>
    <w:multiLevelType w:val="hybridMultilevel"/>
    <w:tmpl w:val="B720C0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4B6441"/>
    <w:multiLevelType w:val="hybridMultilevel"/>
    <w:tmpl w:val="A7A2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813D0"/>
    <w:multiLevelType w:val="hybridMultilevel"/>
    <w:tmpl w:val="BC90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74DE4"/>
    <w:multiLevelType w:val="hybridMultilevel"/>
    <w:tmpl w:val="B8C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AA713C"/>
    <w:multiLevelType w:val="hybridMultilevel"/>
    <w:tmpl w:val="9C807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345AE"/>
    <w:multiLevelType w:val="hybridMultilevel"/>
    <w:tmpl w:val="DB6C4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6100D"/>
    <w:multiLevelType w:val="hybridMultilevel"/>
    <w:tmpl w:val="26FC1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2376B5"/>
    <w:multiLevelType w:val="hybridMultilevel"/>
    <w:tmpl w:val="9F68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2D2AD8"/>
    <w:multiLevelType w:val="hybridMultilevel"/>
    <w:tmpl w:val="4A5C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C00EBE"/>
    <w:multiLevelType w:val="hybridMultilevel"/>
    <w:tmpl w:val="9A9A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AB2D14"/>
    <w:multiLevelType w:val="hybridMultilevel"/>
    <w:tmpl w:val="492C865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C76816"/>
    <w:multiLevelType w:val="hybridMultilevel"/>
    <w:tmpl w:val="E5C4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FD0C39"/>
    <w:multiLevelType w:val="hybridMultilevel"/>
    <w:tmpl w:val="D9EA8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792C57"/>
    <w:multiLevelType w:val="hybridMultilevel"/>
    <w:tmpl w:val="9ECA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7"/>
  </w:num>
  <w:num w:numId="4">
    <w:abstractNumId w:val="3"/>
  </w:num>
  <w:num w:numId="5">
    <w:abstractNumId w:val="8"/>
  </w:num>
  <w:num w:numId="6">
    <w:abstractNumId w:val="18"/>
  </w:num>
  <w:num w:numId="7">
    <w:abstractNumId w:val="9"/>
  </w:num>
  <w:num w:numId="8">
    <w:abstractNumId w:val="0"/>
  </w:num>
  <w:num w:numId="9">
    <w:abstractNumId w:val="7"/>
  </w:num>
  <w:num w:numId="10">
    <w:abstractNumId w:val="17"/>
  </w:num>
  <w:num w:numId="11">
    <w:abstractNumId w:val="10"/>
  </w:num>
  <w:num w:numId="12">
    <w:abstractNumId w:val="5"/>
  </w:num>
  <w:num w:numId="13">
    <w:abstractNumId w:val="28"/>
  </w:num>
  <w:num w:numId="14">
    <w:abstractNumId w:val="4"/>
  </w:num>
  <w:num w:numId="15">
    <w:abstractNumId w:val="15"/>
  </w:num>
  <w:num w:numId="16">
    <w:abstractNumId w:val="21"/>
  </w:num>
  <w:num w:numId="17">
    <w:abstractNumId w:val="24"/>
  </w:num>
  <w:num w:numId="18">
    <w:abstractNumId w:val="22"/>
  </w:num>
  <w:num w:numId="19">
    <w:abstractNumId w:val="14"/>
  </w:num>
  <w:num w:numId="20">
    <w:abstractNumId w:val="12"/>
  </w:num>
  <w:num w:numId="21">
    <w:abstractNumId w:val="19"/>
  </w:num>
  <w:num w:numId="22">
    <w:abstractNumId w:val="1"/>
  </w:num>
  <w:num w:numId="23">
    <w:abstractNumId w:val="16"/>
  </w:num>
  <w:num w:numId="24">
    <w:abstractNumId w:val="11"/>
  </w:num>
  <w:num w:numId="25">
    <w:abstractNumId w:val="13"/>
  </w:num>
  <w:num w:numId="26">
    <w:abstractNumId w:val="23"/>
  </w:num>
  <w:num w:numId="27">
    <w:abstractNumId w:val="25"/>
  </w:num>
  <w:num w:numId="28">
    <w:abstractNumId w:val="26"/>
  </w:num>
  <w:num w:numId="2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7EF8"/>
    <w:rsid w:val="0002722F"/>
    <w:rsid w:val="00063C73"/>
    <w:rsid w:val="000822CF"/>
    <w:rsid w:val="000839C1"/>
    <w:rsid w:val="0009566E"/>
    <w:rsid w:val="000B54F1"/>
    <w:rsid w:val="000C7AE5"/>
    <w:rsid w:val="000E5F21"/>
    <w:rsid w:val="000E7920"/>
    <w:rsid w:val="000F6239"/>
    <w:rsid w:val="00121A34"/>
    <w:rsid w:val="001A2B2E"/>
    <w:rsid w:val="001A4875"/>
    <w:rsid w:val="001B5F55"/>
    <w:rsid w:val="001E6009"/>
    <w:rsid w:val="0020441C"/>
    <w:rsid w:val="002055CF"/>
    <w:rsid w:val="00212054"/>
    <w:rsid w:val="00226D41"/>
    <w:rsid w:val="00240D97"/>
    <w:rsid w:val="002462D4"/>
    <w:rsid w:val="00253773"/>
    <w:rsid w:val="00275549"/>
    <w:rsid w:val="00276DFD"/>
    <w:rsid w:val="0029710B"/>
    <w:rsid w:val="002B1508"/>
    <w:rsid w:val="002B7E92"/>
    <w:rsid w:val="002C14E3"/>
    <w:rsid w:val="002C271C"/>
    <w:rsid w:val="002C551F"/>
    <w:rsid w:val="002E3564"/>
    <w:rsid w:val="002E7401"/>
    <w:rsid w:val="002F670B"/>
    <w:rsid w:val="00300C35"/>
    <w:rsid w:val="00320969"/>
    <w:rsid w:val="00320F58"/>
    <w:rsid w:val="00335DE2"/>
    <w:rsid w:val="00340A12"/>
    <w:rsid w:val="00343DE0"/>
    <w:rsid w:val="003660C7"/>
    <w:rsid w:val="00394DF6"/>
    <w:rsid w:val="0039585C"/>
    <w:rsid w:val="00397E27"/>
    <w:rsid w:val="003A5323"/>
    <w:rsid w:val="003A582B"/>
    <w:rsid w:val="003B0780"/>
    <w:rsid w:val="003B454C"/>
    <w:rsid w:val="003C4EE6"/>
    <w:rsid w:val="003D0ECD"/>
    <w:rsid w:val="003D2D28"/>
    <w:rsid w:val="003E381E"/>
    <w:rsid w:val="003F145A"/>
    <w:rsid w:val="003F58A6"/>
    <w:rsid w:val="003F6D51"/>
    <w:rsid w:val="00417928"/>
    <w:rsid w:val="00417A0B"/>
    <w:rsid w:val="00427CA9"/>
    <w:rsid w:val="0044466E"/>
    <w:rsid w:val="00452260"/>
    <w:rsid w:val="00461D55"/>
    <w:rsid w:val="004659A7"/>
    <w:rsid w:val="0047487E"/>
    <w:rsid w:val="00492564"/>
    <w:rsid w:val="00497F61"/>
    <w:rsid w:val="004A3EE9"/>
    <w:rsid w:val="004B595B"/>
    <w:rsid w:val="004C5E57"/>
    <w:rsid w:val="004C741A"/>
    <w:rsid w:val="004E0296"/>
    <w:rsid w:val="0050587F"/>
    <w:rsid w:val="00506262"/>
    <w:rsid w:val="00514EE1"/>
    <w:rsid w:val="00514FC0"/>
    <w:rsid w:val="00516F51"/>
    <w:rsid w:val="00522EEE"/>
    <w:rsid w:val="00535ADB"/>
    <w:rsid w:val="005375CA"/>
    <w:rsid w:val="00542FA0"/>
    <w:rsid w:val="00554E5A"/>
    <w:rsid w:val="005951E7"/>
    <w:rsid w:val="00595BD4"/>
    <w:rsid w:val="005A1337"/>
    <w:rsid w:val="005B31E0"/>
    <w:rsid w:val="005C2496"/>
    <w:rsid w:val="005C46F5"/>
    <w:rsid w:val="005D4B90"/>
    <w:rsid w:val="0061548A"/>
    <w:rsid w:val="00615BBA"/>
    <w:rsid w:val="00621A5F"/>
    <w:rsid w:val="00625169"/>
    <w:rsid w:val="00645474"/>
    <w:rsid w:val="00662194"/>
    <w:rsid w:val="00676D3D"/>
    <w:rsid w:val="006775A9"/>
    <w:rsid w:val="00691F3B"/>
    <w:rsid w:val="006A2543"/>
    <w:rsid w:val="006B6EC7"/>
    <w:rsid w:val="006D2F33"/>
    <w:rsid w:val="006D5E74"/>
    <w:rsid w:val="00703FF2"/>
    <w:rsid w:val="00713520"/>
    <w:rsid w:val="00713656"/>
    <w:rsid w:val="007152BC"/>
    <w:rsid w:val="007205D6"/>
    <w:rsid w:val="00725A4C"/>
    <w:rsid w:val="00727D4C"/>
    <w:rsid w:val="0074199F"/>
    <w:rsid w:val="00742BB7"/>
    <w:rsid w:val="00766846"/>
    <w:rsid w:val="00774F57"/>
    <w:rsid w:val="0078735E"/>
    <w:rsid w:val="00791038"/>
    <w:rsid w:val="00791224"/>
    <w:rsid w:val="007923D1"/>
    <w:rsid w:val="007B2797"/>
    <w:rsid w:val="007C1606"/>
    <w:rsid w:val="007C2F88"/>
    <w:rsid w:val="007D6D8A"/>
    <w:rsid w:val="00801050"/>
    <w:rsid w:val="0083507E"/>
    <w:rsid w:val="00874617"/>
    <w:rsid w:val="00893927"/>
    <w:rsid w:val="008A4ED9"/>
    <w:rsid w:val="008B0889"/>
    <w:rsid w:val="008B26A1"/>
    <w:rsid w:val="008B3EBB"/>
    <w:rsid w:val="008B7243"/>
    <w:rsid w:val="008C1D78"/>
    <w:rsid w:val="008D3C15"/>
    <w:rsid w:val="008E4E47"/>
    <w:rsid w:val="008E527B"/>
    <w:rsid w:val="008F1FE6"/>
    <w:rsid w:val="008F3F4F"/>
    <w:rsid w:val="009017F0"/>
    <w:rsid w:val="00922598"/>
    <w:rsid w:val="00925B2D"/>
    <w:rsid w:val="009633E3"/>
    <w:rsid w:val="009654D7"/>
    <w:rsid w:val="0099478D"/>
    <w:rsid w:val="009A1FB7"/>
    <w:rsid w:val="009B7FC0"/>
    <w:rsid w:val="009D3717"/>
    <w:rsid w:val="00A17561"/>
    <w:rsid w:val="00A262B2"/>
    <w:rsid w:val="00A40EA6"/>
    <w:rsid w:val="00A415B8"/>
    <w:rsid w:val="00A5158B"/>
    <w:rsid w:val="00A60542"/>
    <w:rsid w:val="00A905C4"/>
    <w:rsid w:val="00AA3039"/>
    <w:rsid w:val="00AB16C3"/>
    <w:rsid w:val="00AD330B"/>
    <w:rsid w:val="00B04BBC"/>
    <w:rsid w:val="00B22768"/>
    <w:rsid w:val="00B36478"/>
    <w:rsid w:val="00B377AF"/>
    <w:rsid w:val="00B51CE6"/>
    <w:rsid w:val="00B577DD"/>
    <w:rsid w:val="00B66513"/>
    <w:rsid w:val="00B66CFD"/>
    <w:rsid w:val="00B70116"/>
    <w:rsid w:val="00BA3DA9"/>
    <w:rsid w:val="00BA5A17"/>
    <w:rsid w:val="00BA6DEC"/>
    <w:rsid w:val="00BC0125"/>
    <w:rsid w:val="00BC3017"/>
    <w:rsid w:val="00BD434D"/>
    <w:rsid w:val="00BF2B55"/>
    <w:rsid w:val="00C04A74"/>
    <w:rsid w:val="00C14C85"/>
    <w:rsid w:val="00C36193"/>
    <w:rsid w:val="00C7469C"/>
    <w:rsid w:val="00C75F19"/>
    <w:rsid w:val="00C769BF"/>
    <w:rsid w:val="00C872B1"/>
    <w:rsid w:val="00CB2D19"/>
    <w:rsid w:val="00CE0DE4"/>
    <w:rsid w:val="00CE4397"/>
    <w:rsid w:val="00D05A5E"/>
    <w:rsid w:val="00D204A7"/>
    <w:rsid w:val="00D43A06"/>
    <w:rsid w:val="00D46D22"/>
    <w:rsid w:val="00D777DA"/>
    <w:rsid w:val="00D801E2"/>
    <w:rsid w:val="00D9536B"/>
    <w:rsid w:val="00DA0752"/>
    <w:rsid w:val="00DC5475"/>
    <w:rsid w:val="00DF4F78"/>
    <w:rsid w:val="00E00835"/>
    <w:rsid w:val="00E07424"/>
    <w:rsid w:val="00E1159A"/>
    <w:rsid w:val="00E12516"/>
    <w:rsid w:val="00E16780"/>
    <w:rsid w:val="00E3162D"/>
    <w:rsid w:val="00E46A0B"/>
    <w:rsid w:val="00E62CAF"/>
    <w:rsid w:val="00E7203F"/>
    <w:rsid w:val="00E82AEB"/>
    <w:rsid w:val="00E87236"/>
    <w:rsid w:val="00E917B7"/>
    <w:rsid w:val="00E9666B"/>
    <w:rsid w:val="00EA42C3"/>
    <w:rsid w:val="00EB4A8C"/>
    <w:rsid w:val="00EC5272"/>
    <w:rsid w:val="00EC74D1"/>
    <w:rsid w:val="00ED1CB3"/>
    <w:rsid w:val="00EE0292"/>
    <w:rsid w:val="00EE0F97"/>
    <w:rsid w:val="00EE3956"/>
    <w:rsid w:val="00EF501B"/>
    <w:rsid w:val="00EF5C33"/>
    <w:rsid w:val="00F11BFE"/>
    <w:rsid w:val="00F21088"/>
    <w:rsid w:val="00F243A4"/>
    <w:rsid w:val="00F3727B"/>
    <w:rsid w:val="00F4300A"/>
    <w:rsid w:val="00F43966"/>
    <w:rsid w:val="00F5193A"/>
    <w:rsid w:val="00F635E2"/>
    <w:rsid w:val="00F7764A"/>
    <w:rsid w:val="00F932A4"/>
    <w:rsid w:val="00FA54A4"/>
    <w:rsid w:val="00FB65F8"/>
    <w:rsid w:val="00FC1A45"/>
    <w:rsid w:val="00FD456D"/>
    <w:rsid w:val="00FE385F"/>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1"/>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1"/>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xmsonormal">
    <w:name w:val="x_msonormal"/>
    <w:basedOn w:val="Normal"/>
    <w:rsid w:val="00A262B2"/>
    <w:pPr>
      <w:spacing w:after="0" w:line="240" w:lineRule="auto"/>
    </w:pPr>
    <w:rPr>
      <w:rFonts w:ascii="Calibri" w:hAnsi="Calibri" w:cs="Calibri"/>
    </w:rPr>
  </w:style>
  <w:style w:type="paragraph" w:styleId="BodyText">
    <w:name w:val="Body Text"/>
    <w:basedOn w:val="Normal"/>
    <w:link w:val="BodyTextChar"/>
    <w:uiPriority w:val="1"/>
    <w:qFormat/>
    <w:rsid w:val="008D3C15"/>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8D3C15"/>
    <w:rPr>
      <w:rFonts w:ascii="Calibri" w:eastAsia="Calibri" w:hAnsi="Calibri" w:cs="Calibri"/>
      <w:lang w:bidi="en-US"/>
    </w:rPr>
  </w:style>
  <w:style w:type="paragraph" w:styleId="Header">
    <w:name w:val="header"/>
    <w:basedOn w:val="Normal"/>
    <w:link w:val="HeaderChar"/>
    <w:uiPriority w:val="99"/>
    <w:unhideWhenUsed/>
    <w:rsid w:val="00542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FA0"/>
    <w:rPr>
      <w:rFonts w:ascii="Times New Roman" w:hAnsi="Times New Roman"/>
    </w:rPr>
  </w:style>
  <w:style w:type="paragraph" w:styleId="Footer">
    <w:name w:val="footer"/>
    <w:basedOn w:val="Normal"/>
    <w:link w:val="FooterChar"/>
    <w:uiPriority w:val="99"/>
    <w:unhideWhenUsed/>
    <w:rsid w:val="00542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FA0"/>
    <w:rPr>
      <w:rFonts w:ascii="Times New Roman" w:hAnsi="Times New Roman"/>
    </w:rPr>
  </w:style>
  <w:style w:type="table" w:styleId="TableGridLight">
    <w:name w:val="Grid Table Light"/>
    <w:basedOn w:val="TableNormal"/>
    <w:uiPriority w:val="40"/>
    <w:rsid w:val="00DF4F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A642-CCE2-40D9-A550-B7C6AEADE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2022-09-28T20:57:00Z</dcterms:created>
  <dcterms:modified xsi:type="dcterms:W3CDTF">2022-09-28T20:57:00Z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