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28D141BC" w:rsidR="009654D7" w:rsidRPr="003F145A" w:rsidRDefault="009654D7" w:rsidP="003F145A">
      <w:pPr>
        <w:rPr>
          <w:rFonts w:asciiTheme="majorHAnsi" w:hAnsiTheme="majorHAnsi"/>
          <w:b/>
          <w:sz w:val="32"/>
          <w:szCs w:val="32"/>
        </w:rPr>
      </w:pP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54267A">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75EB7DC1" w:rsidR="009654D7" w:rsidRPr="009D4FC2" w:rsidRDefault="00C813DC" w:rsidP="00EA42C3">
            <w:pPr>
              <w:spacing w:after="0"/>
              <w:contextualSpacing/>
              <w:rPr>
                <w:rFonts w:eastAsia="Times New Roman" w:cs="Times New Roman"/>
                <w:color w:val="000000"/>
              </w:rPr>
            </w:pPr>
            <w:r>
              <w:rPr>
                <w:rFonts w:eastAsia="Times New Roman" w:cs="Times New Roman"/>
                <w:color w:val="000000"/>
              </w:rPr>
              <w:t>Behavioral Health Partners of MetroWest (BHPMW)</w:t>
            </w:r>
          </w:p>
        </w:tc>
      </w:tr>
      <w:tr w:rsidR="009654D7" w:rsidRPr="009D4FC2" w14:paraId="3C0DDF07" w14:textId="77777777" w:rsidTr="0054267A">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66087C11" w:rsidR="009654D7" w:rsidRPr="009D4FC2" w:rsidRDefault="00C813DC" w:rsidP="00EA42C3">
            <w:pPr>
              <w:spacing w:after="0"/>
              <w:contextualSpacing/>
              <w:rPr>
                <w:rFonts w:eastAsia="Times New Roman" w:cs="Times New Roman"/>
                <w:color w:val="000000"/>
              </w:rPr>
            </w:pPr>
            <w:r>
              <w:rPr>
                <w:rFonts w:eastAsia="Times New Roman" w:cs="Times New Roman"/>
                <w:color w:val="000000"/>
              </w:rPr>
              <w:t>1881 Worcester Road, Framingham, MA 01701</w:t>
            </w:r>
          </w:p>
        </w:tc>
      </w:tr>
    </w:tbl>
    <w:p w14:paraId="4D346742" w14:textId="011B2254" w:rsid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5C28E240" w14:textId="77777777" w:rsidR="00771EA3" w:rsidRPr="001F7CC1" w:rsidRDefault="00771EA3" w:rsidP="00771EA3">
      <w:pPr>
        <w:autoSpaceDE w:val="0"/>
        <w:autoSpaceDN w:val="0"/>
        <w:adjustRightInd w:val="0"/>
        <w:spacing w:after="0" w:line="240" w:lineRule="auto"/>
        <w:rPr>
          <w:rFonts w:eastAsia="Times New Roman" w:cs="Times New Roman"/>
          <w:color w:val="000000" w:themeColor="text1"/>
        </w:rPr>
      </w:pPr>
      <w:r w:rsidRPr="001F7CC1">
        <w:rPr>
          <w:rFonts w:eastAsia="Times New Roman" w:cs="Times New Roman"/>
          <w:color w:val="000000" w:themeColor="text1"/>
        </w:rPr>
        <w:t>Behavioral Health Partners of MetroWest LLC (BHPMW) Behavioral Health Community Partner (BHCP) includes LLC members Advocates, South Middlesex Opportunity Council, Spectrum Health Systems, and Wayside Youth and Family Support Network as Consortium Entities (CE) and an Affiliated Partner (AP), Family Continuity. These agencies, embedded in our BHCP Service Area - Central and Northern Massachusetts - use their experience, geographic locations, mental health/substance use/social service continuums of care and community partnerships to provide BHCP supports to diverse populations enrolled in 10 Accountable Care Organizations (ACO) and 2 Managed Care Organizations (MCO).</w:t>
      </w:r>
    </w:p>
    <w:p w14:paraId="277C9222" w14:textId="77777777" w:rsidR="00771EA3" w:rsidRPr="001F7CC1" w:rsidRDefault="00771EA3" w:rsidP="00771EA3">
      <w:pPr>
        <w:spacing w:after="0" w:line="240" w:lineRule="auto"/>
        <w:rPr>
          <w:rFonts w:cs="Times New Roman"/>
          <w:b/>
          <w:i/>
          <w:color w:val="000000"/>
        </w:rPr>
      </w:pPr>
      <w:r w:rsidRPr="001F7CC1">
        <w:rPr>
          <w:rFonts w:cs="Times New Roman"/>
          <w:b/>
          <w:i/>
          <w:color w:val="000000"/>
        </w:rPr>
        <w:t>Use of DSRIP funds during Budget Period (BP) 4</w:t>
      </w:r>
    </w:p>
    <w:p w14:paraId="70FEF6DE" w14:textId="77777777" w:rsidR="00771EA3" w:rsidRPr="001F7CC1" w:rsidRDefault="00771EA3" w:rsidP="002D2EF7">
      <w:pPr>
        <w:pStyle w:val="ListParagraph"/>
        <w:numPr>
          <w:ilvl w:val="0"/>
          <w:numId w:val="4"/>
        </w:numPr>
        <w:spacing w:after="0" w:line="240" w:lineRule="auto"/>
        <w:rPr>
          <w:rFonts w:cs="Times New Roman"/>
          <w:color w:val="000000"/>
        </w:rPr>
      </w:pPr>
      <w:r w:rsidRPr="001F7CC1">
        <w:rPr>
          <w:rFonts w:cs="Times New Roman"/>
          <w:color w:val="000000"/>
        </w:rPr>
        <w:t xml:space="preserve">Technology- IT staffing, care management software development, and </w:t>
      </w:r>
      <w:r w:rsidRPr="001F7CC1">
        <w:rPr>
          <w:rFonts w:cs="Times New Roman"/>
          <w:iCs/>
          <w:color w:val="000000"/>
        </w:rPr>
        <w:t>data export/exchange</w:t>
      </w:r>
    </w:p>
    <w:p w14:paraId="00519EA9" w14:textId="77777777" w:rsidR="00771EA3" w:rsidRPr="001F7CC1" w:rsidRDefault="00771EA3" w:rsidP="002D2EF7">
      <w:pPr>
        <w:pStyle w:val="ListParagraph"/>
        <w:numPr>
          <w:ilvl w:val="0"/>
          <w:numId w:val="4"/>
        </w:numPr>
        <w:spacing w:after="0" w:line="240" w:lineRule="auto"/>
        <w:rPr>
          <w:rFonts w:cs="Times New Roman"/>
          <w:color w:val="000000"/>
        </w:rPr>
      </w:pPr>
      <w:r w:rsidRPr="001F7CC1">
        <w:rPr>
          <w:rFonts w:cs="Times New Roman"/>
          <w:iCs/>
          <w:color w:val="000000"/>
        </w:rPr>
        <w:t>Workforce Development</w:t>
      </w:r>
      <w:r w:rsidRPr="001F7CC1">
        <w:rPr>
          <w:rFonts w:cs="Times New Roman"/>
          <w:color w:val="000000"/>
        </w:rPr>
        <w:t>- Training and retention expenses</w:t>
      </w:r>
    </w:p>
    <w:p w14:paraId="56405E2F" w14:textId="77777777" w:rsidR="00771EA3" w:rsidRPr="001F7CC1" w:rsidRDefault="00771EA3" w:rsidP="002D2EF7">
      <w:pPr>
        <w:pStyle w:val="ListParagraph"/>
        <w:numPr>
          <w:ilvl w:val="0"/>
          <w:numId w:val="4"/>
        </w:numPr>
        <w:spacing w:after="0" w:line="240" w:lineRule="auto"/>
        <w:rPr>
          <w:rFonts w:cs="Times New Roman"/>
          <w:color w:val="000000"/>
        </w:rPr>
      </w:pPr>
      <w:r w:rsidRPr="001F7CC1">
        <w:rPr>
          <w:rFonts w:cs="Times New Roman"/>
          <w:color w:val="000000"/>
        </w:rPr>
        <w:t>Operational Infrastructure- Operational staffing and expenses for interpretation, legal services, Consumer Advisory Board expenses, audit/tax filing</w:t>
      </w:r>
    </w:p>
    <w:p w14:paraId="7E6A1208" w14:textId="3D1940E8" w:rsidR="00771EA3" w:rsidRPr="001F7CC1" w:rsidRDefault="00771EA3" w:rsidP="00771EA3">
      <w:pPr>
        <w:autoSpaceDE w:val="0"/>
        <w:autoSpaceDN w:val="0"/>
        <w:adjustRightInd w:val="0"/>
        <w:spacing w:after="0" w:line="240" w:lineRule="auto"/>
        <w:rPr>
          <w:rFonts w:eastAsia="Times New Roman" w:cs="Times New Roman"/>
          <w:b/>
          <w:bCs/>
          <w:i/>
          <w:iCs/>
          <w:color w:val="000000" w:themeColor="text1"/>
        </w:rPr>
      </w:pPr>
      <w:r w:rsidRPr="001F7CC1">
        <w:rPr>
          <w:rFonts w:eastAsia="Times New Roman" w:cs="Times New Roman"/>
          <w:b/>
          <w:bCs/>
          <w:i/>
          <w:iCs/>
          <w:color w:val="000000" w:themeColor="text1"/>
        </w:rPr>
        <w:t>Successes during BP4</w:t>
      </w:r>
    </w:p>
    <w:p w14:paraId="2ABEA305" w14:textId="77777777" w:rsidR="000702E2" w:rsidRPr="001F7CC1" w:rsidRDefault="000702E2" w:rsidP="000702E2">
      <w:pPr>
        <w:pStyle w:val="ListParagraph"/>
        <w:numPr>
          <w:ilvl w:val="0"/>
          <w:numId w:val="3"/>
        </w:numPr>
        <w:spacing w:after="0" w:line="240" w:lineRule="auto"/>
        <w:rPr>
          <w:rFonts w:eastAsia="Times New Roman" w:cs="Times New Roman"/>
          <w:color w:val="000000" w:themeColor="text1"/>
        </w:rPr>
      </w:pPr>
      <w:r w:rsidRPr="001F7CC1">
        <w:rPr>
          <w:rFonts w:eastAsia="Times New Roman" w:cs="Times New Roman"/>
          <w:color w:val="000000" w:themeColor="text1"/>
        </w:rPr>
        <w:t>We adapted to the trajectory of the pandemic, creatively and proactively keeping Enrollees active and engaged, providing as many services in person as possible, pulling back to telehealth when warranted.</w:t>
      </w:r>
    </w:p>
    <w:p w14:paraId="6E80CC3B" w14:textId="013708F4" w:rsidR="000702E2" w:rsidRPr="001F7CC1" w:rsidRDefault="000702E2" w:rsidP="000702E2">
      <w:pPr>
        <w:pStyle w:val="ListParagraph"/>
        <w:spacing w:after="0" w:line="240" w:lineRule="auto"/>
        <w:ind w:left="360"/>
        <w:rPr>
          <w:rFonts w:cs="Times New Roman"/>
        </w:rPr>
      </w:pPr>
      <w:r w:rsidRPr="001F7CC1">
        <w:rPr>
          <w:rFonts w:eastAsia="Times New Roman" w:cs="Times New Roman"/>
          <w:color w:val="000000" w:themeColor="text1"/>
        </w:rPr>
        <w:t xml:space="preserve">Our staff continued to educate Enrollees and help them access the broad range of resources they needed including testing, vaccinations, and supports to address health related social needs. </w:t>
      </w:r>
    </w:p>
    <w:p w14:paraId="15AD1241" w14:textId="77777777" w:rsidR="00F40E87" w:rsidRPr="001F7CC1" w:rsidRDefault="00F40E87" w:rsidP="00F40E87">
      <w:pPr>
        <w:pStyle w:val="ListParagraph"/>
        <w:numPr>
          <w:ilvl w:val="0"/>
          <w:numId w:val="26"/>
        </w:numPr>
        <w:spacing w:after="0" w:line="240" w:lineRule="auto"/>
        <w:rPr>
          <w:rFonts w:cs="Times New Roman"/>
          <w:color w:val="000000" w:themeColor="text1"/>
        </w:rPr>
      </w:pPr>
      <w:r w:rsidRPr="001F7CC1">
        <w:rPr>
          <w:rFonts w:cs="Times New Roman"/>
          <w:color w:val="000000" w:themeColor="text1"/>
        </w:rPr>
        <w:t>BHPMW and CE/APs continued to be successful in hiring and retaining diverse staff; about one third of our staff speak 10 languages other than English, aligned with the needs of our Enrollees.</w:t>
      </w:r>
    </w:p>
    <w:p w14:paraId="22B94184" w14:textId="0EE6527F" w:rsidR="00967C7E" w:rsidRPr="001F7CC1" w:rsidRDefault="00F40E87" w:rsidP="00967C7E">
      <w:pPr>
        <w:pStyle w:val="ListParagraph"/>
        <w:numPr>
          <w:ilvl w:val="0"/>
          <w:numId w:val="3"/>
        </w:numPr>
        <w:spacing w:after="0" w:line="240" w:lineRule="auto"/>
        <w:rPr>
          <w:rFonts w:cs="Times New Roman"/>
        </w:rPr>
      </w:pPr>
      <w:r w:rsidRPr="001F7CC1">
        <w:rPr>
          <w:rFonts w:eastAsia="Times New Roman" w:cs="Times New Roman"/>
          <w:color w:val="000000" w:themeColor="text1"/>
        </w:rPr>
        <w:t xml:space="preserve">We spent almost $400,000 of BP3 </w:t>
      </w:r>
      <w:r w:rsidR="007E4713" w:rsidRPr="001F7CC1">
        <w:rPr>
          <w:rFonts w:eastAsia="Times New Roman" w:cs="Times New Roman"/>
          <w:color w:val="000000" w:themeColor="text1"/>
        </w:rPr>
        <w:t>at- risk</w:t>
      </w:r>
      <w:r w:rsidRPr="001F7CC1">
        <w:rPr>
          <w:rFonts w:eastAsia="Times New Roman" w:cs="Times New Roman"/>
          <w:color w:val="000000" w:themeColor="text1"/>
        </w:rPr>
        <w:t xml:space="preserve"> infrastructure funding that we earned back to support staff recruitment and retention including bonuses, student loan forgiveness, and continuing education.</w:t>
      </w:r>
    </w:p>
    <w:p w14:paraId="3998F2CA" w14:textId="44C57717" w:rsidR="000702E2" w:rsidRPr="001F7CC1" w:rsidRDefault="000702E2" w:rsidP="00967C7E">
      <w:pPr>
        <w:pStyle w:val="ListParagraph"/>
        <w:numPr>
          <w:ilvl w:val="0"/>
          <w:numId w:val="3"/>
        </w:numPr>
        <w:spacing w:after="0" w:line="240" w:lineRule="auto"/>
        <w:rPr>
          <w:rFonts w:cs="Times New Roman"/>
        </w:rPr>
      </w:pPr>
      <w:r w:rsidRPr="001F7CC1">
        <w:rPr>
          <w:rFonts w:cs="Times New Roman"/>
        </w:rPr>
        <w:t>BHPMW continued to do very well with receiving new Enrollee assignments from ACO/MCOs</w:t>
      </w:r>
      <w:r w:rsidR="00967C7E" w:rsidRPr="001F7CC1">
        <w:rPr>
          <w:rFonts w:cs="Times New Roman"/>
        </w:rPr>
        <w:t xml:space="preserve">, increasing by at least 7% in BP4.  </w:t>
      </w:r>
      <w:r w:rsidRPr="001F7CC1">
        <w:rPr>
          <w:rFonts w:cs="Times New Roman"/>
        </w:rPr>
        <w:t>We continue to have a higher average share of BHCP Enrollees statewide when compared with all BHCPs. In BP4, our monthly average or share was 1</w:t>
      </w:r>
      <w:r w:rsidR="00967C7E" w:rsidRPr="001F7CC1">
        <w:rPr>
          <w:rFonts w:cs="Times New Roman"/>
        </w:rPr>
        <w:t>1</w:t>
      </w:r>
      <w:r w:rsidRPr="001F7CC1">
        <w:rPr>
          <w:rFonts w:cs="Times New Roman"/>
        </w:rPr>
        <w:t>% of all Enrollees statewide as compared to all BHCPs that averaged 9% of BHCP Enrollees statewide.</w:t>
      </w:r>
    </w:p>
    <w:p w14:paraId="3BA706F9" w14:textId="77777777" w:rsidR="000702E2" w:rsidRPr="001F7CC1" w:rsidRDefault="000702E2" w:rsidP="000702E2">
      <w:pPr>
        <w:pStyle w:val="ListParagraph"/>
        <w:numPr>
          <w:ilvl w:val="0"/>
          <w:numId w:val="3"/>
        </w:numPr>
        <w:spacing w:after="0" w:line="240" w:lineRule="auto"/>
        <w:rPr>
          <w:rFonts w:cs="Times New Roman"/>
        </w:rPr>
      </w:pPr>
      <w:r w:rsidRPr="001F7CC1">
        <w:rPr>
          <w:rFonts w:eastAsia="Times New Roman" w:cs="Times New Roman"/>
        </w:rPr>
        <w:t>We made successful contact with 83% of all Enrollees assigned since the inception of the CP program compared to 72% across all BHCPs statewide.  We made successful contact in 36 days vs. 47 across all BHCPs and first face to face contact in 65 days vs. 83 days statewide.</w:t>
      </w:r>
    </w:p>
    <w:p w14:paraId="11C36543" w14:textId="5A03F997" w:rsidR="000702E2" w:rsidRPr="001F7CC1" w:rsidRDefault="000702E2" w:rsidP="000702E2">
      <w:pPr>
        <w:pStyle w:val="ListParagraph"/>
        <w:numPr>
          <w:ilvl w:val="0"/>
          <w:numId w:val="3"/>
        </w:numPr>
        <w:spacing w:after="0" w:line="240" w:lineRule="auto"/>
        <w:rPr>
          <w:rFonts w:cs="Times New Roman"/>
        </w:rPr>
      </w:pPr>
      <w:r w:rsidRPr="001F7CC1">
        <w:rPr>
          <w:rFonts w:cs="Times New Roman"/>
        </w:rPr>
        <w:t>At the end of BP4, we had 2,801 Active Enrollees (3% increase over BP3)</w:t>
      </w:r>
      <w:r w:rsidR="00967C7E" w:rsidRPr="001F7CC1">
        <w:rPr>
          <w:rFonts w:cs="Times New Roman"/>
        </w:rPr>
        <w:t xml:space="preserve">- </w:t>
      </w:r>
      <w:r w:rsidRPr="001F7CC1">
        <w:rPr>
          <w:rFonts w:cs="Times New Roman"/>
        </w:rPr>
        <w:t xml:space="preserve">1,984 (71%) had signed Participation Forms (14%increase); 1,882 (67%) had CHAs (16% increase); 1,776 (63%) had PCTPs </w:t>
      </w:r>
      <w:r w:rsidRPr="001F7CC1">
        <w:rPr>
          <w:rFonts w:cs="Times New Roman"/>
        </w:rPr>
        <w:lastRenderedPageBreak/>
        <w:t>sent to PCP (15% increase); and 1,631 (58%) were engaged with PCP-signed PCTPs (12% increase). The 1,631 Engaged Enrollees represents 82% of those with signed Participation Forms.</w:t>
      </w:r>
    </w:p>
    <w:p w14:paraId="3CF094F1" w14:textId="77777777" w:rsidR="000702E2" w:rsidRPr="001F7CC1" w:rsidRDefault="000702E2" w:rsidP="000702E2">
      <w:pPr>
        <w:pStyle w:val="ListParagraph"/>
        <w:numPr>
          <w:ilvl w:val="0"/>
          <w:numId w:val="3"/>
        </w:numPr>
        <w:spacing w:after="0" w:line="240" w:lineRule="auto"/>
        <w:rPr>
          <w:rFonts w:cs="Times New Roman"/>
        </w:rPr>
      </w:pPr>
      <w:r w:rsidRPr="001F7CC1">
        <w:rPr>
          <w:rFonts w:cs="Times New Roman"/>
        </w:rPr>
        <w:t xml:space="preserve">Our average contacts per Enrollee increased compared to BP3. We averaged 6 Outreach Qualifying Activities (QAs) (26% increase) and 16 Care Coordination QAs (26% increase). </w:t>
      </w:r>
    </w:p>
    <w:p w14:paraId="748EC4E7" w14:textId="77777777" w:rsidR="000702E2" w:rsidRPr="001F7CC1" w:rsidRDefault="000702E2" w:rsidP="000702E2">
      <w:pPr>
        <w:pStyle w:val="ListParagraph"/>
        <w:numPr>
          <w:ilvl w:val="0"/>
          <w:numId w:val="3"/>
        </w:numPr>
        <w:spacing w:after="0" w:line="240" w:lineRule="auto"/>
        <w:rPr>
          <w:rFonts w:cs="Times New Roman"/>
        </w:rPr>
      </w:pPr>
      <w:r w:rsidRPr="001F7CC1">
        <w:rPr>
          <w:rFonts w:eastAsia="Times New Roman" w:cs="Times New Roman"/>
        </w:rPr>
        <w:t>We send PCTPs to PCPs faster than all BHCPs (148 vs 176 days).   We have lower average days to care plan complete with PCP approval (e.g., engagement) than all BHCPs (175 vs. 192). At the end of BP4, our rate of PCTP complete in 122 days was better than the statewide average (27% vs. 20%).</w:t>
      </w:r>
    </w:p>
    <w:p w14:paraId="2424CC94" w14:textId="77777777" w:rsidR="000702E2" w:rsidRPr="001F7CC1" w:rsidRDefault="000702E2" w:rsidP="000702E2">
      <w:pPr>
        <w:pStyle w:val="ListParagraph"/>
        <w:numPr>
          <w:ilvl w:val="0"/>
          <w:numId w:val="3"/>
        </w:numPr>
        <w:spacing w:after="0" w:line="240" w:lineRule="auto"/>
        <w:rPr>
          <w:rFonts w:cs="Times New Roman"/>
          <w:i/>
          <w:color w:val="000000" w:themeColor="text1"/>
        </w:rPr>
      </w:pPr>
      <w:r w:rsidRPr="001F7CC1">
        <w:rPr>
          <w:rFonts w:cs="Times New Roman"/>
          <w:color w:val="000000" w:themeColor="text1"/>
        </w:rPr>
        <w:t xml:space="preserve">We received approximately 66,000 event notifications from Patient Ping and CMT/Pre-Manage ED via the </w:t>
      </w:r>
      <w:proofErr w:type="spellStart"/>
      <w:r w:rsidRPr="001F7CC1">
        <w:rPr>
          <w:rFonts w:cs="Times New Roman"/>
          <w:color w:val="000000" w:themeColor="text1"/>
        </w:rPr>
        <w:t>eHana</w:t>
      </w:r>
      <w:proofErr w:type="spellEnd"/>
      <w:r w:rsidRPr="001F7CC1">
        <w:rPr>
          <w:rFonts w:cs="Times New Roman"/>
          <w:color w:val="000000" w:themeColor="text1"/>
        </w:rPr>
        <w:t xml:space="preserve"> platform. This contributed to increased TOC, FUD, and medication reconciliation QAs.</w:t>
      </w:r>
    </w:p>
    <w:p w14:paraId="32C90A94" w14:textId="1E0FDA5E" w:rsidR="000702E2" w:rsidRPr="001F7CC1" w:rsidRDefault="000702E2" w:rsidP="000702E2">
      <w:pPr>
        <w:numPr>
          <w:ilvl w:val="0"/>
          <w:numId w:val="3"/>
        </w:numPr>
        <w:spacing w:after="0" w:line="240" w:lineRule="auto"/>
        <w:rPr>
          <w:rFonts w:cs="Times New Roman"/>
        </w:rPr>
      </w:pPr>
      <w:r w:rsidRPr="001F7CC1">
        <w:rPr>
          <w:rFonts w:cs="Times New Roman"/>
        </w:rPr>
        <w:t xml:space="preserve">For every quarter since 2018 Q3, data show that we had fewer ED visits </w:t>
      </w:r>
      <w:r w:rsidR="00967C7E" w:rsidRPr="001F7CC1">
        <w:rPr>
          <w:rFonts w:cs="Times New Roman"/>
        </w:rPr>
        <w:t xml:space="preserve">per 1000 member months </w:t>
      </w:r>
      <w:r w:rsidRPr="001F7CC1">
        <w:rPr>
          <w:rFonts w:cs="Times New Roman"/>
        </w:rPr>
        <w:t xml:space="preserve">compared to all BHCPs.  </w:t>
      </w:r>
      <w:r w:rsidR="00967C7E" w:rsidRPr="001F7CC1">
        <w:rPr>
          <w:rFonts w:cs="Times New Roman"/>
        </w:rPr>
        <w:t>I</w:t>
      </w:r>
      <w:r w:rsidRPr="001F7CC1">
        <w:rPr>
          <w:rFonts w:cs="Times New Roman"/>
        </w:rPr>
        <w:t>n BP4 Q1, BHPMW had 162 ED visits compared to 20</w:t>
      </w:r>
      <w:r w:rsidR="00967C7E" w:rsidRPr="001F7CC1">
        <w:rPr>
          <w:rFonts w:cs="Times New Roman"/>
        </w:rPr>
        <w:t>4 statewide</w:t>
      </w:r>
      <w:r w:rsidRPr="001F7CC1">
        <w:rPr>
          <w:rFonts w:cs="Times New Roman"/>
        </w:rPr>
        <w:t xml:space="preserve">. </w:t>
      </w:r>
    </w:p>
    <w:p w14:paraId="65A7AE2C" w14:textId="2F2C6950" w:rsidR="000702E2" w:rsidRPr="001F7CC1" w:rsidRDefault="00967C7E" w:rsidP="000702E2">
      <w:pPr>
        <w:numPr>
          <w:ilvl w:val="0"/>
          <w:numId w:val="3"/>
        </w:numPr>
        <w:spacing w:after="0" w:line="240" w:lineRule="auto"/>
        <w:rPr>
          <w:rFonts w:cs="Times New Roman"/>
        </w:rPr>
      </w:pPr>
      <w:r w:rsidRPr="001F7CC1">
        <w:rPr>
          <w:rFonts w:cs="Times New Roman"/>
        </w:rPr>
        <w:t xml:space="preserve">Our </w:t>
      </w:r>
      <w:r w:rsidR="000702E2" w:rsidRPr="001F7CC1">
        <w:rPr>
          <w:rFonts w:cs="Times New Roman"/>
        </w:rPr>
        <w:t xml:space="preserve">total cost of care </w:t>
      </w:r>
      <w:r w:rsidRPr="001F7CC1">
        <w:rPr>
          <w:rFonts w:cs="Times New Roman"/>
        </w:rPr>
        <w:t>is l</w:t>
      </w:r>
      <w:r w:rsidR="005F3EB5" w:rsidRPr="001F7CC1">
        <w:rPr>
          <w:rFonts w:cs="Times New Roman"/>
        </w:rPr>
        <w:t>ess</w:t>
      </w:r>
      <w:r w:rsidRPr="001F7CC1">
        <w:rPr>
          <w:rFonts w:cs="Times New Roman"/>
        </w:rPr>
        <w:t xml:space="preserve"> than</w:t>
      </w:r>
      <w:r w:rsidR="000702E2" w:rsidRPr="001F7CC1">
        <w:rPr>
          <w:rFonts w:cs="Times New Roman"/>
        </w:rPr>
        <w:t xml:space="preserve"> all BHCPs</w:t>
      </w:r>
      <w:r w:rsidRPr="001F7CC1">
        <w:rPr>
          <w:rFonts w:cs="Times New Roman"/>
        </w:rPr>
        <w:t xml:space="preserve"> combined</w:t>
      </w:r>
      <w:r w:rsidR="000702E2" w:rsidRPr="001F7CC1">
        <w:rPr>
          <w:rFonts w:cs="Times New Roman"/>
        </w:rPr>
        <w:t xml:space="preserve"> (BP3</w:t>
      </w:r>
      <w:r w:rsidR="005760BB" w:rsidRPr="001F7CC1">
        <w:rPr>
          <w:rFonts w:cs="Times New Roman"/>
        </w:rPr>
        <w:t>:</w:t>
      </w:r>
      <w:r w:rsidR="000702E2" w:rsidRPr="001F7CC1">
        <w:rPr>
          <w:rFonts w:cs="Times New Roman"/>
        </w:rPr>
        <w:t xml:space="preserve"> $1999 vs $2275; BP4</w:t>
      </w:r>
      <w:r w:rsidR="005760BB" w:rsidRPr="001F7CC1">
        <w:rPr>
          <w:rFonts w:cs="Times New Roman"/>
        </w:rPr>
        <w:t>:</w:t>
      </w:r>
      <w:r w:rsidR="000702E2" w:rsidRPr="001F7CC1">
        <w:rPr>
          <w:rFonts w:cs="Times New Roman"/>
        </w:rPr>
        <w:t xml:space="preserve"> $1952 vs $2242).</w:t>
      </w:r>
    </w:p>
    <w:p w14:paraId="6CD1C917" w14:textId="77777777" w:rsidR="000702E2" w:rsidRPr="001F7CC1" w:rsidRDefault="000702E2" w:rsidP="000702E2">
      <w:pPr>
        <w:numPr>
          <w:ilvl w:val="0"/>
          <w:numId w:val="3"/>
        </w:numPr>
        <w:spacing w:after="0" w:line="240" w:lineRule="auto"/>
        <w:rPr>
          <w:rFonts w:cs="Times New Roman"/>
        </w:rPr>
      </w:pPr>
      <w:r w:rsidRPr="001F7CC1">
        <w:rPr>
          <w:rFonts w:cs="Times New Roman"/>
        </w:rPr>
        <w:t>Our program revenue increased by $1.9m in BP4 vs. BP3, a 32% increase.</w:t>
      </w:r>
    </w:p>
    <w:p w14:paraId="60813C9C" w14:textId="4053DBFE" w:rsidR="00967C7E" w:rsidRPr="001F7CC1" w:rsidRDefault="000702E2" w:rsidP="00D11CC5">
      <w:pPr>
        <w:pStyle w:val="ListParagraph"/>
        <w:numPr>
          <w:ilvl w:val="0"/>
          <w:numId w:val="3"/>
        </w:numPr>
        <w:spacing w:after="0" w:line="240" w:lineRule="auto"/>
        <w:rPr>
          <w:rFonts w:cs="Times New Roman"/>
          <w:color w:val="000000"/>
        </w:rPr>
      </w:pPr>
      <w:r w:rsidRPr="001F7CC1">
        <w:rPr>
          <w:rFonts w:cs="Times New Roman"/>
          <w:color w:val="000000" w:themeColor="text1"/>
        </w:rPr>
        <w:t xml:space="preserve">We continued to provide expert training on person- centered care with Dr. Janis </w:t>
      </w:r>
      <w:proofErr w:type="spellStart"/>
      <w:r w:rsidRPr="001F7CC1">
        <w:rPr>
          <w:rFonts w:cs="Times New Roman"/>
          <w:color w:val="000000" w:themeColor="text1"/>
        </w:rPr>
        <w:t>Tondora</w:t>
      </w:r>
      <w:proofErr w:type="spellEnd"/>
      <w:r w:rsidRPr="001F7CC1">
        <w:rPr>
          <w:rFonts w:cs="Times New Roman"/>
          <w:color w:val="000000" w:themeColor="text1"/>
        </w:rPr>
        <w:t>,</w:t>
      </w:r>
      <w:r w:rsidR="00967C7E" w:rsidRPr="001F7CC1">
        <w:rPr>
          <w:rFonts w:cs="Times New Roman"/>
          <w:color w:val="000000" w:themeColor="text1"/>
        </w:rPr>
        <w:t xml:space="preserve"> Yale</w:t>
      </w:r>
      <w:r w:rsidRPr="001F7CC1">
        <w:rPr>
          <w:rFonts w:cs="Times New Roman"/>
          <w:color w:val="000000" w:themeColor="text1"/>
        </w:rPr>
        <w:t xml:space="preserve"> University School of Medicine and </w:t>
      </w:r>
      <w:r w:rsidRPr="001F7CC1">
        <w:rPr>
          <w:rFonts w:cs="Times New Roman"/>
        </w:rPr>
        <w:t>Dr. Laura Leone</w:t>
      </w:r>
      <w:r w:rsidR="005760BB" w:rsidRPr="001F7CC1">
        <w:rPr>
          <w:rFonts w:cs="Times New Roman"/>
        </w:rPr>
        <w:t xml:space="preserve">, </w:t>
      </w:r>
      <w:r w:rsidRPr="001F7CC1">
        <w:rPr>
          <w:rFonts w:cs="Times New Roman"/>
        </w:rPr>
        <w:t>National Council for Mental Wellbeing.</w:t>
      </w:r>
    </w:p>
    <w:p w14:paraId="0F8A3744" w14:textId="34A2D79A" w:rsidR="00B468C7" w:rsidRPr="00F40E87" w:rsidRDefault="00771EA3" w:rsidP="0054267A">
      <w:pPr>
        <w:pStyle w:val="ListParagraph"/>
        <w:numPr>
          <w:ilvl w:val="0"/>
          <w:numId w:val="3"/>
        </w:numPr>
        <w:spacing w:after="0" w:line="240" w:lineRule="auto"/>
        <w:rPr>
          <w:rFonts w:eastAsia="Times New Roman" w:cs="Times New Roman"/>
          <w:color w:val="000000" w:themeColor="text1"/>
        </w:rPr>
      </w:pPr>
      <w:r w:rsidRPr="001F7CC1">
        <w:rPr>
          <w:rFonts w:cs="Times New Roman"/>
          <w:color w:val="000000" w:themeColor="text1"/>
        </w:rPr>
        <w:t>Best practices with ACO/MCOs include monthly collaborative case conferences; real- time event notifications when Enrollees present at their ED or inpatient units; and accessibility and flexibility in accommodating Enrollees’ needs for PCP appointments and obtaining PCP approval of PCTPs.</w:t>
      </w:r>
    </w:p>
    <w:sectPr w:rsidR="00B468C7" w:rsidRPr="00F40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92D"/>
    <w:multiLevelType w:val="hybridMultilevel"/>
    <w:tmpl w:val="FA9E4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52EAB"/>
    <w:multiLevelType w:val="hybridMultilevel"/>
    <w:tmpl w:val="469C481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1410C27"/>
    <w:multiLevelType w:val="hybridMultilevel"/>
    <w:tmpl w:val="E1A281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1A781CEA"/>
    <w:multiLevelType w:val="hybridMultilevel"/>
    <w:tmpl w:val="76CA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7DC5D93"/>
    <w:multiLevelType w:val="hybridMultilevel"/>
    <w:tmpl w:val="211E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7AF8"/>
    <w:multiLevelType w:val="hybridMultilevel"/>
    <w:tmpl w:val="57FE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21934"/>
    <w:multiLevelType w:val="hybridMultilevel"/>
    <w:tmpl w:val="776A7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66A82"/>
    <w:multiLevelType w:val="hybridMultilevel"/>
    <w:tmpl w:val="B2D64CE2"/>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A532A9"/>
    <w:multiLevelType w:val="hybridMultilevel"/>
    <w:tmpl w:val="8DF0B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15:restartNumberingAfterBreak="0">
    <w:nsid w:val="36371EC3"/>
    <w:multiLevelType w:val="hybridMultilevel"/>
    <w:tmpl w:val="C5DC1CE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80D0CB5"/>
    <w:multiLevelType w:val="hybridMultilevel"/>
    <w:tmpl w:val="B720C0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4B6441"/>
    <w:multiLevelType w:val="hybridMultilevel"/>
    <w:tmpl w:val="A7A2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813D0"/>
    <w:multiLevelType w:val="hybridMultilevel"/>
    <w:tmpl w:val="BC90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74DE4"/>
    <w:multiLevelType w:val="hybridMultilevel"/>
    <w:tmpl w:val="910C23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AA713C"/>
    <w:multiLevelType w:val="hybridMultilevel"/>
    <w:tmpl w:val="12688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170" w:hanging="360"/>
      </w:pPr>
      <w:rPr>
        <w:rFonts w:ascii="Courier New" w:hAnsi="Courier New" w:cs="Courier New" w:hint="default"/>
      </w:rPr>
    </w:lvl>
    <w:lvl w:ilvl="3" w:tplc="04090001">
      <w:start w:val="1"/>
      <w:numFmt w:val="bullet"/>
      <w:lvlText w:val=""/>
      <w:lvlJc w:val="left"/>
      <w:pPr>
        <w:ind w:left="63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FB1885"/>
    <w:multiLevelType w:val="hybridMultilevel"/>
    <w:tmpl w:val="931AC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10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6100D"/>
    <w:multiLevelType w:val="hybridMultilevel"/>
    <w:tmpl w:val="26FC1E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701051"/>
    <w:multiLevelType w:val="hybridMultilevel"/>
    <w:tmpl w:val="49C22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63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376B5"/>
    <w:multiLevelType w:val="hybridMultilevel"/>
    <w:tmpl w:val="9F68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2D2AD8"/>
    <w:multiLevelType w:val="hybridMultilevel"/>
    <w:tmpl w:val="4A5C2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0F2F7B"/>
    <w:multiLevelType w:val="hybridMultilevel"/>
    <w:tmpl w:val="59DE3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C00EBE"/>
    <w:multiLevelType w:val="hybridMultilevel"/>
    <w:tmpl w:val="9A9A8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FD0C39"/>
    <w:multiLevelType w:val="hybridMultilevel"/>
    <w:tmpl w:val="D9EA8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792C57"/>
    <w:multiLevelType w:val="hybridMultilevel"/>
    <w:tmpl w:val="9ECA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D7097"/>
    <w:multiLevelType w:val="hybridMultilevel"/>
    <w:tmpl w:val="5AAE3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9701787">
    <w:abstractNumId w:val="4"/>
  </w:num>
  <w:num w:numId="2" w16cid:durableId="519854264">
    <w:abstractNumId w:val="16"/>
  </w:num>
  <w:num w:numId="3" w16cid:durableId="1393308206">
    <w:abstractNumId w:val="2"/>
  </w:num>
  <w:num w:numId="4" w16cid:durableId="1319307407">
    <w:abstractNumId w:val="20"/>
  </w:num>
  <w:num w:numId="5" w16cid:durableId="2025208577">
    <w:abstractNumId w:val="6"/>
  </w:num>
  <w:num w:numId="6" w16cid:durableId="131335088">
    <w:abstractNumId w:val="15"/>
  </w:num>
  <w:num w:numId="7" w16cid:durableId="1627615875">
    <w:abstractNumId w:val="0"/>
  </w:num>
  <w:num w:numId="8" w16cid:durableId="146673313">
    <w:abstractNumId w:val="5"/>
  </w:num>
  <w:num w:numId="9" w16cid:durableId="679893985">
    <w:abstractNumId w:val="14"/>
  </w:num>
  <w:num w:numId="10" w16cid:durableId="1471628849">
    <w:abstractNumId w:val="17"/>
  </w:num>
  <w:num w:numId="11" w16cid:durableId="840581808">
    <w:abstractNumId w:val="19"/>
  </w:num>
  <w:num w:numId="12" w16cid:durableId="368647921">
    <w:abstractNumId w:val="7"/>
  </w:num>
  <w:num w:numId="13" w16cid:durableId="615064666">
    <w:abstractNumId w:val="1"/>
  </w:num>
  <w:num w:numId="14" w16cid:durableId="1432816674">
    <w:abstractNumId w:val="13"/>
  </w:num>
  <w:num w:numId="15" w16cid:durableId="1098604496">
    <w:abstractNumId w:val="8"/>
  </w:num>
  <w:num w:numId="16" w16cid:durableId="359211733">
    <w:abstractNumId w:val="21"/>
  </w:num>
  <w:num w:numId="17" w16cid:durableId="1777477637">
    <w:abstractNumId w:val="22"/>
  </w:num>
  <w:num w:numId="18" w16cid:durableId="164173194">
    <w:abstractNumId w:val="24"/>
  </w:num>
  <w:num w:numId="19" w16cid:durableId="655115050">
    <w:abstractNumId w:val="3"/>
  </w:num>
  <w:num w:numId="20" w16cid:durableId="726952139">
    <w:abstractNumId w:val="25"/>
  </w:num>
  <w:num w:numId="21" w16cid:durableId="677776276">
    <w:abstractNumId w:val="26"/>
  </w:num>
  <w:num w:numId="22" w16cid:durableId="416248921">
    <w:abstractNumId w:val="18"/>
  </w:num>
  <w:num w:numId="23" w16cid:durableId="2139759269">
    <w:abstractNumId w:val="23"/>
  </w:num>
  <w:num w:numId="24" w16cid:durableId="2041935724">
    <w:abstractNumId w:val="12"/>
  </w:num>
  <w:num w:numId="25" w16cid:durableId="1802579257">
    <w:abstractNumId w:val="11"/>
  </w:num>
  <w:num w:numId="26" w16cid:durableId="48843385">
    <w:abstractNumId w:val="10"/>
  </w:num>
  <w:num w:numId="27" w16cid:durableId="111085615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702E2"/>
    <w:rsid w:val="000822CF"/>
    <w:rsid w:val="000839C1"/>
    <w:rsid w:val="0009566E"/>
    <w:rsid w:val="000B54F1"/>
    <w:rsid w:val="000E5F21"/>
    <w:rsid w:val="000E7920"/>
    <w:rsid w:val="00121A34"/>
    <w:rsid w:val="001A2B2E"/>
    <w:rsid w:val="001A4875"/>
    <w:rsid w:val="001E6009"/>
    <w:rsid w:val="001F2084"/>
    <w:rsid w:val="001F7CC1"/>
    <w:rsid w:val="002055CF"/>
    <w:rsid w:val="00226D41"/>
    <w:rsid w:val="00240D97"/>
    <w:rsid w:val="00275549"/>
    <w:rsid w:val="00276DFD"/>
    <w:rsid w:val="00282CA5"/>
    <w:rsid w:val="0029710B"/>
    <w:rsid w:val="002B7E92"/>
    <w:rsid w:val="002C14E3"/>
    <w:rsid w:val="002C271C"/>
    <w:rsid w:val="002C551F"/>
    <w:rsid w:val="002D2EF7"/>
    <w:rsid w:val="002E3564"/>
    <w:rsid w:val="002E7401"/>
    <w:rsid w:val="00300C35"/>
    <w:rsid w:val="00335DE2"/>
    <w:rsid w:val="00340BA3"/>
    <w:rsid w:val="00343DE0"/>
    <w:rsid w:val="00394DF6"/>
    <w:rsid w:val="0039585C"/>
    <w:rsid w:val="003A582B"/>
    <w:rsid w:val="003B0780"/>
    <w:rsid w:val="003C4EE6"/>
    <w:rsid w:val="003D2D28"/>
    <w:rsid w:val="003E381E"/>
    <w:rsid w:val="003F145A"/>
    <w:rsid w:val="00417A0B"/>
    <w:rsid w:val="00427CA9"/>
    <w:rsid w:val="004339D7"/>
    <w:rsid w:val="0044466E"/>
    <w:rsid w:val="00444F6F"/>
    <w:rsid w:val="00461D55"/>
    <w:rsid w:val="004659A7"/>
    <w:rsid w:val="0047487E"/>
    <w:rsid w:val="00497F61"/>
    <w:rsid w:val="004B595B"/>
    <w:rsid w:val="004C741A"/>
    <w:rsid w:val="004E0296"/>
    <w:rsid w:val="00506262"/>
    <w:rsid w:val="00514EE1"/>
    <w:rsid w:val="00522EEE"/>
    <w:rsid w:val="00534D89"/>
    <w:rsid w:val="00535ADB"/>
    <w:rsid w:val="0054267A"/>
    <w:rsid w:val="005760BB"/>
    <w:rsid w:val="005951E7"/>
    <w:rsid w:val="00595BD4"/>
    <w:rsid w:val="005A1337"/>
    <w:rsid w:val="005B31E0"/>
    <w:rsid w:val="005F3EB5"/>
    <w:rsid w:val="00615BBA"/>
    <w:rsid w:val="00645474"/>
    <w:rsid w:val="00662194"/>
    <w:rsid w:val="00676D3D"/>
    <w:rsid w:val="00691F3B"/>
    <w:rsid w:val="006A2543"/>
    <w:rsid w:val="006B6EC7"/>
    <w:rsid w:val="006D2F33"/>
    <w:rsid w:val="006D5E74"/>
    <w:rsid w:val="00703FF2"/>
    <w:rsid w:val="00727D4C"/>
    <w:rsid w:val="00766846"/>
    <w:rsid w:val="00771EA3"/>
    <w:rsid w:val="00774F57"/>
    <w:rsid w:val="007923D1"/>
    <w:rsid w:val="007964C9"/>
    <w:rsid w:val="007B2797"/>
    <w:rsid w:val="007C1606"/>
    <w:rsid w:val="007C2F88"/>
    <w:rsid w:val="007D6D8A"/>
    <w:rsid w:val="007E4713"/>
    <w:rsid w:val="00801050"/>
    <w:rsid w:val="0083507E"/>
    <w:rsid w:val="008A4ED9"/>
    <w:rsid w:val="008B26A1"/>
    <w:rsid w:val="008C1D78"/>
    <w:rsid w:val="008E3E53"/>
    <w:rsid w:val="008E527B"/>
    <w:rsid w:val="009017F0"/>
    <w:rsid w:val="00922598"/>
    <w:rsid w:val="00925B2D"/>
    <w:rsid w:val="009633E3"/>
    <w:rsid w:val="009654D7"/>
    <w:rsid w:val="00967C7E"/>
    <w:rsid w:val="00986D6F"/>
    <w:rsid w:val="009A1FB7"/>
    <w:rsid w:val="009C743A"/>
    <w:rsid w:val="009D3717"/>
    <w:rsid w:val="00A415B8"/>
    <w:rsid w:val="00A905C4"/>
    <w:rsid w:val="00AA3039"/>
    <w:rsid w:val="00AA71A2"/>
    <w:rsid w:val="00AD330B"/>
    <w:rsid w:val="00AF0F91"/>
    <w:rsid w:val="00B22768"/>
    <w:rsid w:val="00B33F3F"/>
    <w:rsid w:val="00B36478"/>
    <w:rsid w:val="00B377AF"/>
    <w:rsid w:val="00B456C3"/>
    <w:rsid w:val="00B468C7"/>
    <w:rsid w:val="00B66CFD"/>
    <w:rsid w:val="00B70116"/>
    <w:rsid w:val="00BC0125"/>
    <w:rsid w:val="00BD434D"/>
    <w:rsid w:val="00BF0DC2"/>
    <w:rsid w:val="00C00E94"/>
    <w:rsid w:val="00C14C85"/>
    <w:rsid w:val="00C36193"/>
    <w:rsid w:val="00C7469C"/>
    <w:rsid w:val="00C75F19"/>
    <w:rsid w:val="00C813DC"/>
    <w:rsid w:val="00CB2D19"/>
    <w:rsid w:val="00CE4397"/>
    <w:rsid w:val="00D12C1E"/>
    <w:rsid w:val="00D204A7"/>
    <w:rsid w:val="00D43A06"/>
    <w:rsid w:val="00D46D22"/>
    <w:rsid w:val="00D777DA"/>
    <w:rsid w:val="00D801E2"/>
    <w:rsid w:val="00DA0752"/>
    <w:rsid w:val="00DC5475"/>
    <w:rsid w:val="00E1159A"/>
    <w:rsid w:val="00E12516"/>
    <w:rsid w:val="00E16780"/>
    <w:rsid w:val="00E3162D"/>
    <w:rsid w:val="00E46A0B"/>
    <w:rsid w:val="00E4764E"/>
    <w:rsid w:val="00E62CAF"/>
    <w:rsid w:val="00E82AEB"/>
    <w:rsid w:val="00E917B7"/>
    <w:rsid w:val="00EA42C3"/>
    <w:rsid w:val="00EB4A8C"/>
    <w:rsid w:val="00EC5272"/>
    <w:rsid w:val="00ED1CB3"/>
    <w:rsid w:val="00EE0292"/>
    <w:rsid w:val="00EF501B"/>
    <w:rsid w:val="00EF5C33"/>
    <w:rsid w:val="00F11BFE"/>
    <w:rsid w:val="00F21088"/>
    <w:rsid w:val="00F243A4"/>
    <w:rsid w:val="00F40E87"/>
    <w:rsid w:val="00F4300A"/>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1"/>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1"/>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character" w:customStyle="1" w:styleId="normaltextrun">
    <w:name w:val="normaltextrun"/>
    <w:basedOn w:val="DefaultParagraphFont"/>
    <w:rsid w:val="00AF0F91"/>
  </w:style>
  <w:style w:type="table" w:styleId="TableGridLight">
    <w:name w:val="Grid Table Light"/>
    <w:basedOn w:val="TableNormal"/>
    <w:uiPriority w:val="40"/>
    <w:rsid w:val="005426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4.xml><?xml version="1.0" encoding="utf-8"?>
<ds:datastoreItem xmlns:ds="http://schemas.openxmlformats.org/officeDocument/2006/customXml" ds:itemID="{E5EAB03C-ECA9-4F1D-A464-09BF622C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2022-10-05T21:50:00Z</dcterms:created>
  <dcterms:modified xsi:type="dcterms:W3CDTF">2022-10-05T21:51:00Z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