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1A627" w14:textId="35830DF8" w:rsidR="00AA2C6C" w:rsidRPr="00F8161C" w:rsidRDefault="00AA2C6C" w:rsidP="003F75F3">
      <w:pPr>
        <w:ind w:left="-720" w:right="-360"/>
        <w:rPr>
          <w:b/>
        </w:rPr>
      </w:pPr>
      <w:r w:rsidRPr="00F8161C">
        <w:rPr>
          <w:b/>
        </w:rPr>
        <w:t>Performance and Implementation Evaluation of the Abbott BinaxNOW Rapid Antigen Test in a High-throughput Drive-through Community Testing Site in Massachusetts</w:t>
      </w:r>
      <w:r w:rsidR="006D2C4C">
        <w:rPr>
          <w:b/>
        </w:rPr>
        <w:t xml:space="preserve"> </w:t>
      </w:r>
      <w:r w:rsidR="006D2C4C" w:rsidRPr="006D2C4C">
        <w:rPr>
          <w:b/>
          <w:highlight w:val="yellow"/>
        </w:rPr>
        <w:t>(updated November 26, 2020)</w:t>
      </w:r>
    </w:p>
    <w:p w14:paraId="691FFEF5" w14:textId="77777777" w:rsidR="00AA2C6C" w:rsidRPr="00F8161C" w:rsidRDefault="00AA2C6C" w:rsidP="003F75F3">
      <w:pPr>
        <w:ind w:left="-720" w:right="-360"/>
      </w:pPr>
    </w:p>
    <w:p w14:paraId="37A19878" w14:textId="77777777" w:rsidR="00D46238" w:rsidRPr="00D46238" w:rsidRDefault="00D46238" w:rsidP="00D46238">
      <w:pPr>
        <w:ind w:left="-720" w:right="-360"/>
        <w:rPr>
          <w:sz w:val="16"/>
          <w:szCs w:val="16"/>
        </w:rPr>
      </w:pPr>
      <w:r w:rsidRPr="00D46238">
        <w:rPr>
          <w:sz w:val="16"/>
          <w:szCs w:val="16"/>
        </w:rPr>
        <w:t>Nira R. Pollock, MD, PhD</w:t>
      </w:r>
      <w:r w:rsidRPr="00D46238">
        <w:rPr>
          <w:sz w:val="16"/>
          <w:szCs w:val="16"/>
          <w:vertAlign w:val="superscript"/>
        </w:rPr>
        <w:t>1</w:t>
      </w:r>
      <w:r w:rsidRPr="00D46238">
        <w:rPr>
          <w:sz w:val="16"/>
          <w:szCs w:val="16"/>
        </w:rPr>
        <w:t>; Jesica R. Jacobs, PhD</w:t>
      </w:r>
      <w:r w:rsidRPr="00D46238">
        <w:rPr>
          <w:sz w:val="16"/>
          <w:szCs w:val="16"/>
          <w:vertAlign w:val="superscript"/>
        </w:rPr>
        <w:t>2,3</w:t>
      </w:r>
      <w:r w:rsidRPr="00D46238">
        <w:rPr>
          <w:sz w:val="16"/>
          <w:szCs w:val="16"/>
        </w:rPr>
        <w:t>; Kristine Tran, MS</w:t>
      </w:r>
      <w:r w:rsidRPr="00D46238">
        <w:rPr>
          <w:sz w:val="16"/>
          <w:szCs w:val="16"/>
          <w:vertAlign w:val="superscript"/>
        </w:rPr>
        <w:t>2</w:t>
      </w:r>
      <w:r w:rsidRPr="00D46238">
        <w:rPr>
          <w:sz w:val="16"/>
          <w:szCs w:val="16"/>
        </w:rPr>
        <w:t>; Amber Cranston</w:t>
      </w:r>
      <w:r w:rsidRPr="00D46238">
        <w:rPr>
          <w:sz w:val="16"/>
          <w:szCs w:val="16"/>
          <w:vertAlign w:val="superscript"/>
        </w:rPr>
        <w:t>2</w:t>
      </w:r>
      <w:r w:rsidRPr="00D46238">
        <w:rPr>
          <w:sz w:val="16"/>
          <w:szCs w:val="16"/>
        </w:rPr>
        <w:t>; Sita Smith</w:t>
      </w:r>
      <w:r w:rsidRPr="00D46238">
        <w:rPr>
          <w:sz w:val="16"/>
          <w:szCs w:val="16"/>
          <w:vertAlign w:val="superscript"/>
        </w:rPr>
        <w:t>2</w:t>
      </w:r>
      <w:r w:rsidRPr="00D46238">
        <w:rPr>
          <w:sz w:val="16"/>
          <w:szCs w:val="16"/>
        </w:rPr>
        <w:t>; Claire O’Kane</w:t>
      </w:r>
      <w:r w:rsidRPr="00D46238">
        <w:rPr>
          <w:sz w:val="16"/>
          <w:szCs w:val="16"/>
          <w:vertAlign w:val="superscript"/>
        </w:rPr>
        <w:t>2</w:t>
      </w:r>
      <w:r w:rsidRPr="00D46238">
        <w:rPr>
          <w:sz w:val="16"/>
          <w:szCs w:val="16"/>
        </w:rPr>
        <w:t>; Tyler Roady</w:t>
      </w:r>
      <w:r w:rsidRPr="00D46238">
        <w:rPr>
          <w:sz w:val="16"/>
          <w:szCs w:val="16"/>
          <w:vertAlign w:val="superscript"/>
        </w:rPr>
        <w:t>2</w:t>
      </w:r>
      <w:r w:rsidRPr="00D46238">
        <w:rPr>
          <w:sz w:val="16"/>
          <w:szCs w:val="16"/>
        </w:rPr>
        <w:t>; Anne Moran, MD</w:t>
      </w:r>
      <w:r w:rsidRPr="00D46238">
        <w:rPr>
          <w:sz w:val="16"/>
          <w:szCs w:val="16"/>
          <w:vertAlign w:val="superscript"/>
        </w:rPr>
        <w:t>4</w:t>
      </w:r>
      <w:r w:rsidRPr="00D46238">
        <w:rPr>
          <w:sz w:val="16"/>
          <w:szCs w:val="16"/>
        </w:rPr>
        <w:t>; Alison Scarry</w:t>
      </w:r>
      <w:r w:rsidRPr="00D46238">
        <w:rPr>
          <w:sz w:val="16"/>
          <w:szCs w:val="16"/>
          <w:vertAlign w:val="superscript"/>
        </w:rPr>
        <w:t>4</w:t>
      </w:r>
      <w:r w:rsidRPr="00D46238">
        <w:rPr>
          <w:sz w:val="16"/>
          <w:szCs w:val="16"/>
        </w:rPr>
        <w:t>; Melissa Carroll</w:t>
      </w:r>
      <w:r w:rsidRPr="00D46238">
        <w:rPr>
          <w:sz w:val="16"/>
          <w:szCs w:val="16"/>
          <w:vertAlign w:val="superscript"/>
        </w:rPr>
        <w:t>4</w:t>
      </w:r>
      <w:r w:rsidRPr="00D46238">
        <w:rPr>
          <w:sz w:val="16"/>
          <w:szCs w:val="16"/>
        </w:rPr>
        <w:t>; Leila Volinsky</w:t>
      </w:r>
      <w:r w:rsidRPr="00D46238">
        <w:rPr>
          <w:sz w:val="16"/>
          <w:szCs w:val="16"/>
          <w:vertAlign w:val="superscript"/>
        </w:rPr>
        <w:t>4</w:t>
      </w:r>
      <w:r w:rsidRPr="00D46238">
        <w:rPr>
          <w:sz w:val="16"/>
          <w:szCs w:val="16"/>
        </w:rPr>
        <w:t>; Gloria Perez</w:t>
      </w:r>
      <w:r w:rsidRPr="00D46238">
        <w:rPr>
          <w:sz w:val="16"/>
          <w:szCs w:val="16"/>
          <w:vertAlign w:val="superscript"/>
        </w:rPr>
        <w:t>4</w:t>
      </w:r>
      <w:r w:rsidRPr="00D46238">
        <w:rPr>
          <w:sz w:val="16"/>
          <w:szCs w:val="16"/>
        </w:rPr>
        <w:t>; Pinal Patel</w:t>
      </w:r>
      <w:r w:rsidRPr="00D46238">
        <w:rPr>
          <w:sz w:val="16"/>
          <w:szCs w:val="16"/>
          <w:vertAlign w:val="superscript"/>
        </w:rPr>
        <w:t>2</w:t>
      </w:r>
      <w:r w:rsidRPr="00D46238">
        <w:rPr>
          <w:sz w:val="16"/>
          <w:szCs w:val="16"/>
        </w:rPr>
        <w:t>, Stacey Gabriel, PhD</w:t>
      </w:r>
      <w:r w:rsidRPr="00D46238">
        <w:rPr>
          <w:sz w:val="16"/>
          <w:szCs w:val="16"/>
          <w:vertAlign w:val="superscript"/>
        </w:rPr>
        <w:t>5</w:t>
      </w:r>
      <w:r w:rsidRPr="00D46238">
        <w:rPr>
          <w:sz w:val="16"/>
          <w:szCs w:val="16"/>
        </w:rPr>
        <w:t>; Niall J. Lennon, PhD</w:t>
      </w:r>
      <w:r w:rsidRPr="00D46238">
        <w:rPr>
          <w:sz w:val="16"/>
          <w:szCs w:val="16"/>
          <w:vertAlign w:val="superscript"/>
        </w:rPr>
        <w:t>5</w:t>
      </w:r>
      <w:r w:rsidRPr="00D46238">
        <w:rPr>
          <w:sz w:val="16"/>
          <w:szCs w:val="16"/>
        </w:rPr>
        <w:t>; Larry Madoff, MD</w:t>
      </w:r>
      <w:r w:rsidRPr="00D46238">
        <w:rPr>
          <w:sz w:val="16"/>
          <w:szCs w:val="16"/>
          <w:vertAlign w:val="superscript"/>
        </w:rPr>
        <w:t>2,6</w:t>
      </w:r>
      <w:r w:rsidRPr="00D46238">
        <w:rPr>
          <w:sz w:val="16"/>
          <w:szCs w:val="16"/>
        </w:rPr>
        <w:t>; Catherine Brown, DVM, MSc, MPH</w:t>
      </w:r>
      <w:r w:rsidRPr="00D46238">
        <w:rPr>
          <w:sz w:val="16"/>
          <w:szCs w:val="16"/>
          <w:vertAlign w:val="superscript"/>
        </w:rPr>
        <w:t>2</w:t>
      </w:r>
      <w:r w:rsidRPr="00D46238">
        <w:rPr>
          <w:sz w:val="16"/>
          <w:szCs w:val="16"/>
        </w:rPr>
        <w:t>;</w:t>
      </w:r>
      <w:r w:rsidRPr="00D46238">
        <w:rPr>
          <w:sz w:val="16"/>
          <w:szCs w:val="16"/>
          <w:vertAlign w:val="superscript"/>
        </w:rPr>
        <w:t xml:space="preserve"> </w:t>
      </w:r>
      <w:r w:rsidRPr="00D46238">
        <w:rPr>
          <w:sz w:val="16"/>
          <w:szCs w:val="16"/>
        </w:rPr>
        <w:t>Sandra C. Smole, PhD</w:t>
      </w:r>
      <w:r w:rsidRPr="00D46238">
        <w:rPr>
          <w:sz w:val="16"/>
          <w:szCs w:val="16"/>
          <w:vertAlign w:val="superscript"/>
        </w:rPr>
        <w:t>2</w:t>
      </w:r>
    </w:p>
    <w:p w14:paraId="4D630198" w14:textId="77777777" w:rsidR="00D46238" w:rsidRPr="00D46238" w:rsidRDefault="00D46238" w:rsidP="00D46238">
      <w:pPr>
        <w:ind w:left="-720" w:right="-360"/>
        <w:rPr>
          <w:sz w:val="16"/>
          <w:szCs w:val="16"/>
        </w:rPr>
      </w:pPr>
    </w:p>
    <w:p w14:paraId="6A41016D" w14:textId="77777777" w:rsidR="00D46238" w:rsidRPr="00D46238" w:rsidRDefault="00D46238" w:rsidP="00D46238">
      <w:pPr>
        <w:ind w:left="-720" w:right="-360"/>
        <w:rPr>
          <w:sz w:val="16"/>
          <w:szCs w:val="16"/>
        </w:rPr>
      </w:pPr>
      <w:r w:rsidRPr="00D46238">
        <w:rPr>
          <w:sz w:val="16"/>
          <w:szCs w:val="16"/>
        </w:rPr>
        <w:t xml:space="preserve">1) Department of Laboratory Medicine, Boston Children’s Hospital, Boston, MA, USA </w:t>
      </w:r>
    </w:p>
    <w:p w14:paraId="5AE0B14D" w14:textId="77777777" w:rsidR="00D46238" w:rsidRPr="00D46238" w:rsidRDefault="00D46238" w:rsidP="00D46238">
      <w:pPr>
        <w:ind w:left="-720" w:right="-360"/>
        <w:rPr>
          <w:sz w:val="16"/>
          <w:szCs w:val="16"/>
        </w:rPr>
      </w:pPr>
      <w:r w:rsidRPr="00D46238">
        <w:rPr>
          <w:sz w:val="16"/>
          <w:szCs w:val="16"/>
        </w:rPr>
        <w:t>2) Massachusetts Department of Public Health, Jamaica Plain, MA, USA</w:t>
      </w:r>
      <w:bookmarkStart w:id="0" w:name="_GoBack"/>
      <w:bookmarkEnd w:id="0"/>
    </w:p>
    <w:p w14:paraId="78FEB6BA" w14:textId="50E22D3D" w:rsidR="00D46238" w:rsidRPr="00D46238" w:rsidRDefault="00D46238" w:rsidP="00D46238">
      <w:pPr>
        <w:ind w:left="-720" w:right="-360"/>
        <w:rPr>
          <w:sz w:val="16"/>
          <w:szCs w:val="16"/>
        </w:rPr>
      </w:pPr>
      <w:r w:rsidRPr="00D46238">
        <w:rPr>
          <w:sz w:val="16"/>
          <w:szCs w:val="16"/>
        </w:rPr>
        <w:t>3)</w:t>
      </w:r>
      <w:r w:rsidR="0017576A">
        <w:rPr>
          <w:sz w:val="16"/>
          <w:szCs w:val="16"/>
        </w:rPr>
        <w:t xml:space="preserve"> </w:t>
      </w:r>
      <w:r w:rsidRPr="00D46238">
        <w:rPr>
          <w:sz w:val="16"/>
          <w:szCs w:val="16"/>
        </w:rPr>
        <w:t>Laboratory Leadership Service</w:t>
      </w:r>
      <w:r w:rsidR="005E680C">
        <w:rPr>
          <w:sz w:val="16"/>
          <w:szCs w:val="16"/>
        </w:rPr>
        <w:t>,</w:t>
      </w:r>
      <w:r w:rsidR="005E680C" w:rsidRPr="005E680C">
        <w:rPr>
          <w:sz w:val="16"/>
          <w:szCs w:val="16"/>
        </w:rPr>
        <w:t xml:space="preserve"> </w:t>
      </w:r>
      <w:r w:rsidR="005E680C" w:rsidRPr="00D46238">
        <w:rPr>
          <w:sz w:val="16"/>
          <w:szCs w:val="16"/>
        </w:rPr>
        <w:t>Centers for Disease Control and Prevention</w:t>
      </w:r>
    </w:p>
    <w:p w14:paraId="5EB50304" w14:textId="77777777" w:rsidR="00D46238" w:rsidRPr="00D46238" w:rsidRDefault="00D46238" w:rsidP="00D46238">
      <w:pPr>
        <w:ind w:left="-720" w:right="-360"/>
        <w:rPr>
          <w:sz w:val="16"/>
          <w:szCs w:val="16"/>
        </w:rPr>
      </w:pPr>
      <w:r w:rsidRPr="00D46238">
        <w:rPr>
          <w:sz w:val="16"/>
          <w:szCs w:val="16"/>
        </w:rPr>
        <w:t>4) Lawrence General Hospital, Lawrence, MA, USA</w:t>
      </w:r>
    </w:p>
    <w:p w14:paraId="61419D9F" w14:textId="77777777" w:rsidR="00D46238" w:rsidRPr="00D46238" w:rsidRDefault="00D46238" w:rsidP="00D46238">
      <w:pPr>
        <w:ind w:left="-720" w:right="-360"/>
        <w:rPr>
          <w:sz w:val="16"/>
          <w:szCs w:val="16"/>
        </w:rPr>
      </w:pPr>
      <w:r w:rsidRPr="00D46238">
        <w:rPr>
          <w:sz w:val="16"/>
          <w:szCs w:val="16"/>
        </w:rPr>
        <w:t>5) Broad Institute of MIT and Harvard, Cambridge, MA, USA</w:t>
      </w:r>
    </w:p>
    <w:p w14:paraId="2D48CF8E" w14:textId="77777777" w:rsidR="00D46238" w:rsidRPr="00D46238" w:rsidRDefault="00D46238" w:rsidP="00D46238">
      <w:pPr>
        <w:ind w:left="-720" w:right="-360"/>
        <w:rPr>
          <w:sz w:val="16"/>
          <w:szCs w:val="16"/>
        </w:rPr>
      </w:pPr>
      <w:r w:rsidRPr="00D46238">
        <w:rPr>
          <w:sz w:val="16"/>
          <w:szCs w:val="16"/>
        </w:rPr>
        <w:t>6) Division of Infectious Disease and Immunology, Department of Medicine, University of Massachusetts Medical Center</w:t>
      </w:r>
    </w:p>
    <w:p w14:paraId="74C9E482" w14:textId="77777777" w:rsidR="00B43045" w:rsidRPr="00B43045" w:rsidRDefault="00B43045" w:rsidP="003F75F3">
      <w:pPr>
        <w:ind w:left="-720" w:right="-360"/>
        <w:rPr>
          <w:sz w:val="16"/>
          <w:szCs w:val="16"/>
        </w:rPr>
      </w:pPr>
    </w:p>
    <w:p w14:paraId="00505700" w14:textId="6D225042" w:rsidR="00AA2C6C" w:rsidRDefault="00AA2C6C" w:rsidP="003F75F3">
      <w:pPr>
        <w:ind w:left="-720" w:right="-360"/>
      </w:pPr>
      <w:r w:rsidRPr="00F8161C">
        <w:rPr>
          <w:b/>
          <w:bCs/>
        </w:rPr>
        <w:t>Background:</w:t>
      </w:r>
      <w:r w:rsidRPr="00F8161C">
        <w:t xml:space="preserve"> Rapid antigen tests (RDTs) for SARS-CoV-2 antigens (Ag) that can be performed at point-of-care (POC) can supplement molecular testing and help mitigate the COVID-19 pandemic.  Deployment of an Ag RDT requires an understanding of its operational and performance characteristics under real-world conditions and in relevant subpopulations.  We evaluated the Abbott BinaxNOW in a high-throughput, drive-through, free community testing site in Massachusetts </w:t>
      </w:r>
      <w:r w:rsidR="003841D8">
        <w:t xml:space="preserve">(MA) </w:t>
      </w:r>
      <w:r w:rsidRPr="00F8161C">
        <w:t xml:space="preserve">using anterior nasal (AN) swab PCR for clinical testing. </w:t>
      </w:r>
    </w:p>
    <w:p w14:paraId="25265393" w14:textId="77777777" w:rsidR="003C4BCE" w:rsidRPr="00F8161C" w:rsidRDefault="003C4BCE" w:rsidP="003F75F3">
      <w:pPr>
        <w:ind w:left="-720" w:right="-360"/>
      </w:pPr>
    </w:p>
    <w:p w14:paraId="4A60E733" w14:textId="5442E3D0" w:rsidR="00AA2C6C" w:rsidRDefault="00AA2C6C" w:rsidP="003F75F3">
      <w:pPr>
        <w:ind w:left="-720" w:right="-360"/>
      </w:pPr>
      <w:r w:rsidRPr="00F8161C">
        <w:rPr>
          <w:b/>
          <w:bCs/>
        </w:rPr>
        <w:t>Methods:</w:t>
      </w:r>
      <w:r w:rsidR="003F75F3">
        <w:t xml:space="preserve"> </w:t>
      </w:r>
      <w:r w:rsidRPr="00F8161C">
        <w:t xml:space="preserve">All patients presenting for testing in two of seven lanes were offered the opportunity to also receive BinaxNOW testing. Dual </w:t>
      </w:r>
      <w:proofErr w:type="gramStart"/>
      <w:r w:rsidRPr="00F8161C">
        <w:t>AN</w:t>
      </w:r>
      <w:proofErr w:type="gramEnd"/>
      <w:r w:rsidRPr="00F8161C">
        <w:t xml:space="preserve"> swabs were collected from symptomatic and asymptomatic children (</w:t>
      </w:r>
      <w:r w:rsidRPr="00F8161C">
        <w:rPr>
          <w:u w:val="single"/>
        </w:rPr>
        <w:t>&lt;</w:t>
      </w:r>
      <w:r w:rsidRPr="00F8161C">
        <w:t xml:space="preserve"> 18 years)</w:t>
      </w:r>
      <w:r w:rsidR="002368C1">
        <w:t xml:space="preserve"> and adults</w:t>
      </w:r>
      <w:r w:rsidRPr="00F8161C">
        <w:t xml:space="preserve">.  BinaxNOW testing was performed in a testing pod </w:t>
      </w:r>
      <w:r w:rsidR="003F75F3">
        <w:t xml:space="preserve">with </w:t>
      </w:r>
      <w:r w:rsidRPr="00F8161C">
        <w:t>temperature/</w:t>
      </w:r>
      <w:r w:rsidR="003F75F3">
        <w:t xml:space="preserve"> </w:t>
      </w:r>
      <w:r w:rsidRPr="00F8161C">
        <w:t xml:space="preserve">humidity monitoring. One individual performed testing and official result reporting for each test, but the majority of tests had a second independent reading to assess inter-operator agreement. Positive BinaxNOW results were scored as faint, medium, or strong.  Positive BinaxNOW results were reported to patients by phone and they were instructed to isolate pending PCR results.  The paired PCR result was the reference for sensitivity and specificity calculations.  </w:t>
      </w:r>
    </w:p>
    <w:p w14:paraId="02926B9E" w14:textId="77777777" w:rsidR="003C4BCE" w:rsidRPr="00F8161C" w:rsidRDefault="003C4BCE" w:rsidP="003F75F3">
      <w:pPr>
        <w:ind w:left="-720" w:right="-360"/>
      </w:pPr>
    </w:p>
    <w:p w14:paraId="463748F1" w14:textId="22904F6A" w:rsidR="00AA2C6C" w:rsidRDefault="00AA2C6C" w:rsidP="003F75F3">
      <w:pPr>
        <w:ind w:left="-720" w:right="-360"/>
      </w:pPr>
      <w:r w:rsidRPr="00F8161C">
        <w:rPr>
          <w:b/>
          <w:bCs/>
        </w:rPr>
        <w:t>Results:</w:t>
      </w:r>
      <w:r w:rsidR="003F75F3">
        <w:t xml:space="preserve"> </w:t>
      </w:r>
      <w:r w:rsidRPr="00F8161C">
        <w:t xml:space="preserve">Of </w:t>
      </w:r>
      <w:r w:rsidR="00540CC0" w:rsidRPr="005607D2">
        <w:rPr>
          <w:highlight w:val="yellow"/>
        </w:rPr>
        <w:t>1764</w:t>
      </w:r>
      <w:r w:rsidR="00540CC0" w:rsidRPr="00F8161C">
        <w:t xml:space="preserve"> </w:t>
      </w:r>
      <w:r w:rsidRPr="00F8161C">
        <w:t xml:space="preserve">participants, </w:t>
      </w:r>
      <w:r w:rsidR="00193170" w:rsidRPr="00193170">
        <w:rPr>
          <w:highlight w:val="yellow"/>
        </w:rPr>
        <w:t>1380</w:t>
      </w:r>
      <w:r w:rsidR="00193170" w:rsidRPr="00F8161C">
        <w:t xml:space="preserve"> </w:t>
      </w:r>
      <w:r w:rsidRPr="00F8161C">
        <w:t>adults and 23</w:t>
      </w:r>
      <w:r w:rsidR="00E26B18">
        <w:t>3</w:t>
      </w:r>
      <w:r w:rsidRPr="00F8161C">
        <w:t xml:space="preserve"> children had paired PCR/BinaxNOW results and complete symptom data. 974/</w:t>
      </w:r>
      <w:r w:rsidRPr="007A04E2">
        <w:rPr>
          <w:highlight w:val="yellow"/>
        </w:rPr>
        <w:t>138</w:t>
      </w:r>
      <w:r w:rsidR="007A04E2" w:rsidRPr="007A04E2">
        <w:rPr>
          <w:highlight w:val="yellow"/>
        </w:rPr>
        <w:t>0</w:t>
      </w:r>
      <w:r w:rsidRPr="00F8161C">
        <w:t xml:space="preserve"> (71%) adults and 167/23</w:t>
      </w:r>
      <w:r w:rsidR="00546CC7">
        <w:t>3</w:t>
      </w:r>
      <w:r w:rsidRPr="00F8161C">
        <w:t xml:space="preserve"> (7</w:t>
      </w:r>
      <w:r w:rsidR="00546CC7">
        <w:t>2</w:t>
      </w:r>
      <w:r w:rsidRPr="00F8161C">
        <w:t>%) children were asymptomatic.  The test had 96.5% (</w:t>
      </w:r>
      <w:r w:rsidRPr="00F8161C">
        <w:rPr>
          <w:rFonts w:eastAsiaTheme="minorEastAsia"/>
          <w:color w:val="000000"/>
          <w:kern w:val="24"/>
          <w:lang w:val="it-IT"/>
        </w:rPr>
        <w:t xml:space="preserve">95% CI </w:t>
      </w:r>
      <w:r w:rsidRPr="00F8161C">
        <w:rPr>
          <w:lang w:val="it-IT"/>
        </w:rPr>
        <w:t>90</w:t>
      </w:r>
      <w:r w:rsidRPr="002F485F">
        <w:rPr>
          <w:highlight w:val="yellow"/>
          <w:lang w:val="it-IT"/>
        </w:rPr>
        <w:t>.</w:t>
      </w:r>
      <w:r w:rsidR="002F485F" w:rsidRPr="002F485F">
        <w:rPr>
          <w:highlight w:val="yellow"/>
          <w:lang w:val="it-IT"/>
        </w:rPr>
        <w:t>0</w:t>
      </w:r>
      <w:r w:rsidRPr="00F8161C">
        <w:rPr>
          <w:lang w:val="it-IT"/>
        </w:rPr>
        <w:t xml:space="preserve">- 99.3) sensitivity and 100% (98.6-100.0) specificity in adults within 7 days of symptoms, and </w:t>
      </w:r>
      <w:r w:rsidR="00172E7F">
        <w:t>77.8</w:t>
      </w:r>
      <w:r w:rsidRPr="00F8161C">
        <w:t>% (</w:t>
      </w:r>
      <w:r w:rsidRPr="00F8161C">
        <w:rPr>
          <w:lang w:val="it-IT"/>
        </w:rPr>
        <w:t>5</w:t>
      </w:r>
      <w:r w:rsidR="00546CC7">
        <w:rPr>
          <w:lang w:val="it-IT"/>
        </w:rPr>
        <w:t>2.4</w:t>
      </w:r>
      <w:r w:rsidRPr="00F8161C">
        <w:rPr>
          <w:lang w:val="it-IT"/>
        </w:rPr>
        <w:t>-9</w:t>
      </w:r>
      <w:r w:rsidR="00546CC7">
        <w:rPr>
          <w:lang w:val="it-IT"/>
        </w:rPr>
        <w:t>3.6</w:t>
      </w:r>
      <w:r w:rsidRPr="00F8161C">
        <w:rPr>
          <w:lang w:val="it-IT"/>
        </w:rPr>
        <w:t>)</w:t>
      </w:r>
      <w:r w:rsidRPr="00F8161C">
        <w:t xml:space="preserve"> sensitivity and 100% (92.0-100.0) </w:t>
      </w:r>
      <w:r w:rsidR="001F11C7" w:rsidRPr="001F11C7">
        <w:t xml:space="preserve">specificity </w:t>
      </w:r>
      <w:r w:rsidRPr="00F8161C">
        <w:t>in children within 7 days of symptoms.  Sensitivity and specificity in asymptomatic adults were 70.2% (</w:t>
      </w:r>
      <w:r w:rsidRPr="00F8161C">
        <w:rPr>
          <w:lang w:val="it-IT"/>
        </w:rPr>
        <w:t>56.6-81.6)</w:t>
      </w:r>
      <w:r w:rsidRPr="00F8161C">
        <w:t xml:space="preserve"> and 99.6% (</w:t>
      </w:r>
      <w:r w:rsidRPr="00F8161C">
        <w:rPr>
          <w:lang w:val="it-IT"/>
        </w:rPr>
        <w:t>98.9-99.9)</w:t>
      </w:r>
      <w:r w:rsidRPr="00F8161C">
        <w:t>, respectively, and in asymptomatic children were 63.6% (</w:t>
      </w:r>
      <w:r w:rsidRPr="00F8161C">
        <w:rPr>
          <w:lang w:val="it-IT"/>
        </w:rPr>
        <w:t>30.8%-89.1)</w:t>
      </w:r>
      <w:r w:rsidRPr="00F8161C">
        <w:t xml:space="preserve"> and </w:t>
      </w:r>
      <w:r w:rsidR="00546CC7">
        <w:t>99.4</w:t>
      </w:r>
      <w:r w:rsidRPr="00F8161C">
        <w:t>% (</w:t>
      </w:r>
      <w:r w:rsidRPr="00F8161C">
        <w:rPr>
          <w:lang w:val="it-IT"/>
        </w:rPr>
        <w:t>9</w:t>
      </w:r>
      <w:r w:rsidR="00546CC7">
        <w:rPr>
          <w:lang w:val="it-IT"/>
        </w:rPr>
        <w:t>6.5</w:t>
      </w:r>
      <w:r w:rsidRPr="00F8161C">
        <w:rPr>
          <w:lang w:val="it-IT"/>
        </w:rPr>
        <w:t>-100.0)</w:t>
      </w:r>
      <w:r w:rsidRPr="00F8161C">
        <w:t>, respectively.  By Ct value threshold, sensitivity in all subgroups combined (n=</w:t>
      </w:r>
      <w:r w:rsidRPr="0017576A">
        <w:rPr>
          <w:highlight w:val="yellow"/>
        </w:rPr>
        <w:t>18</w:t>
      </w:r>
      <w:r w:rsidR="005D402A" w:rsidRPr="0017576A">
        <w:rPr>
          <w:highlight w:val="yellow"/>
        </w:rPr>
        <w:t>7</w:t>
      </w:r>
      <w:r w:rsidRPr="00F8161C">
        <w:t xml:space="preserve"> PCR-positive individuals) was 100% with Ct </w:t>
      </w:r>
      <w:r w:rsidRPr="00F8161C">
        <w:rPr>
          <w:u w:val="single"/>
        </w:rPr>
        <w:t>&lt;</w:t>
      </w:r>
      <w:r w:rsidRPr="00F8161C">
        <w:t xml:space="preserve">25, 98.6% with </w:t>
      </w:r>
      <w:r w:rsidRPr="00F8161C">
        <w:rPr>
          <w:u w:val="single"/>
        </w:rPr>
        <w:t>&lt;</w:t>
      </w:r>
      <w:r w:rsidRPr="00F8161C">
        <w:t xml:space="preserve">30, and </w:t>
      </w:r>
      <w:r w:rsidR="00225451" w:rsidRPr="0017576A">
        <w:rPr>
          <w:highlight w:val="yellow"/>
        </w:rPr>
        <w:t>85</w:t>
      </w:r>
      <w:r w:rsidRPr="0017576A">
        <w:rPr>
          <w:highlight w:val="yellow"/>
        </w:rPr>
        <w:t xml:space="preserve">.6% with </w:t>
      </w:r>
      <w:r w:rsidRPr="0017576A">
        <w:rPr>
          <w:highlight w:val="yellow"/>
          <w:u w:val="single"/>
        </w:rPr>
        <w:t>&lt;</w:t>
      </w:r>
      <w:r w:rsidRPr="0017576A">
        <w:rPr>
          <w:highlight w:val="yellow"/>
        </w:rPr>
        <w:t>35</w:t>
      </w:r>
      <w:r w:rsidRPr="00F8161C">
        <w:t xml:space="preserve">.  </w:t>
      </w:r>
      <w:r w:rsidR="00546CC7">
        <w:t>Six</w:t>
      </w:r>
      <w:r w:rsidRPr="00F8161C">
        <w:t xml:space="preserve"> false positive BinaxNOW results (out of 161</w:t>
      </w:r>
      <w:r w:rsidR="005607D2" w:rsidRPr="0017576A">
        <w:t>3</w:t>
      </w:r>
      <w:r w:rsidRPr="00F8161C">
        <w:t xml:space="preserve"> tests) were observed; in all </w:t>
      </w:r>
      <w:r w:rsidR="00546CC7">
        <w:t>six</w:t>
      </w:r>
      <w:r w:rsidRPr="00F8161C">
        <w:t xml:space="preserve">, test bands were faint but otherwise normal, and were noted by both readers.  Inter-operator agreement </w:t>
      </w:r>
      <w:r w:rsidR="00B3026B">
        <w:t xml:space="preserve">(positive versus negative BinaxNOW result) </w:t>
      </w:r>
      <w:r w:rsidRPr="00F8161C">
        <w:t xml:space="preserve">was </w:t>
      </w:r>
      <w:r w:rsidR="009D3CF5">
        <w:t>100</w:t>
      </w:r>
      <w:r w:rsidRPr="00F8161C">
        <w:t xml:space="preserve">% (n = </w:t>
      </w:r>
      <w:r w:rsidR="001066AA" w:rsidRPr="005607D2">
        <w:rPr>
          <w:highlight w:val="yellow"/>
        </w:rPr>
        <w:t>1535/1535</w:t>
      </w:r>
      <w:r w:rsidRPr="00F8161C">
        <w:t xml:space="preserve"> double reads).  Each operator was able to process 20 RDTs per hour. In a separate set of 30 specimens (from individuals with symptoms </w:t>
      </w:r>
      <w:r w:rsidRPr="00F8161C">
        <w:rPr>
          <w:u w:val="single"/>
        </w:rPr>
        <w:t>&lt;</w:t>
      </w:r>
      <w:r w:rsidRPr="00F8161C">
        <w:t>7D) run at low temperature (46-58.5</w:t>
      </w:r>
      <w:r w:rsidRPr="00F8161C">
        <w:sym w:font="Symbol" w:char="F0B0"/>
      </w:r>
      <w:r w:rsidRPr="00F8161C">
        <w:t>F), sensitivity was 66.7% and specificity 95.2%.</w:t>
      </w:r>
    </w:p>
    <w:p w14:paraId="51F61666" w14:textId="77777777" w:rsidR="003C4BCE" w:rsidRPr="00F8161C" w:rsidRDefault="003C4BCE" w:rsidP="003F75F3">
      <w:pPr>
        <w:ind w:left="-720" w:right="-360"/>
      </w:pPr>
    </w:p>
    <w:p w14:paraId="174CDBCF" w14:textId="13A04BD4" w:rsidR="00AA2C6C" w:rsidRPr="00F8161C" w:rsidRDefault="00AA2C6C" w:rsidP="00D46238">
      <w:pPr>
        <w:ind w:left="-720" w:right="-360"/>
      </w:pPr>
      <w:r w:rsidRPr="00F8161C">
        <w:rPr>
          <w:b/>
          <w:bCs/>
        </w:rPr>
        <w:t>Conclusions:</w:t>
      </w:r>
      <w:r w:rsidR="003F75F3">
        <w:t xml:space="preserve"> </w:t>
      </w:r>
      <w:r w:rsidRPr="00F8161C">
        <w:t xml:space="preserve">Performance findings and recommendations for use:  The BinaxNOW had very high specificity in both adults and children and very high sensitivity in newly symptomatic adults.  Overall, 98.6% sensitivity was observed with Ct </w:t>
      </w:r>
      <w:r w:rsidRPr="00F8161C">
        <w:rPr>
          <w:u w:val="single"/>
        </w:rPr>
        <w:t xml:space="preserve">&lt; </w:t>
      </w:r>
      <w:r w:rsidRPr="00F8161C">
        <w:t xml:space="preserve">30.  These data support public health recommendations for use of the BinaxNOW test in adults with symptoms for </w:t>
      </w:r>
      <w:r w:rsidRPr="00F8161C">
        <w:rPr>
          <w:u w:val="single"/>
        </w:rPr>
        <w:t>&lt;</w:t>
      </w:r>
      <w:r w:rsidRPr="00F8161C">
        <w:t>7 days without PCR confirmation.  Positive results in asymptomatic individuals do not need confirmation</w:t>
      </w:r>
      <w:r w:rsidR="00EF4BCF">
        <w:t xml:space="preserve"> </w:t>
      </w:r>
      <w:r w:rsidR="00401014">
        <w:t xml:space="preserve">under current rates of community transmission in MA; </w:t>
      </w:r>
      <w:r w:rsidR="00EF4BCF">
        <w:t xml:space="preserve">with lower prevalence, confirmation </w:t>
      </w:r>
      <w:r w:rsidR="009D3CF5">
        <w:t>(</w:t>
      </w:r>
      <w:r w:rsidR="00EF4BCF">
        <w:t>by PCR or an orthogonal RDT</w:t>
      </w:r>
      <w:r w:rsidR="009D3CF5">
        <w:t>)</w:t>
      </w:r>
      <w:r w:rsidR="00EF4BCF">
        <w:t xml:space="preserve"> could be considered. </w:t>
      </w:r>
      <w:r w:rsidRPr="00F8161C">
        <w:t xml:space="preserve"> </w:t>
      </w:r>
      <w:r w:rsidR="00EF4BCF">
        <w:t xml:space="preserve">The test </w:t>
      </w:r>
      <w:r w:rsidR="009D3CF5">
        <w:t>is not recommended for use in</w:t>
      </w:r>
      <w:r w:rsidR="00EF4BCF">
        <w:t xml:space="preserve"> individuals with </w:t>
      </w:r>
      <w:r w:rsidRPr="00F8161C">
        <w:t>symptoms &gt; 7 days.</w:t>
      </w:r>
      <w:r w:rsidR="00CE17B7">
        <w:t xml:space="preserve"> </w:t>
      </w:r>
      <w:r w:rsidR="00276A59" w:rsidRPr="00276A59">
        <w:t xml:space="preserve">Operational findings:  </w:t>
      </w:r>
      <w:r w:rsidR="00276A59">
        <w:t xml:space="preserve">Excellent inter-operator agreement indicates that an individual can perform and read the BinaxNOW test alone.  A skilled laboratorian can perform and read 20 tests per hour.  </w:t>
      </w:r>
      <w:r w:rsidR="00577C29">
        <w:t>C</w:t>
      </w:r>
      <w:r w:rsidR="00276A59">
        <w:t xml:space="preserve">areful attention to temperature is critical.  </w:t>
      </w:r>
    </w:p>
    <w:sectPr w:rsidR="00AA2C6C" w:rsidRPr="00F8161C" w:rsidSect="00B21A37">
      <w:pgSz w:w="12240" w:h="15840"/>
      <w:pgMar w:top="994" w:right="994" w:bottom="994"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B80404" w15:done="0"/>
  <w15:commentEx w15:paraId="1543696E" w15:done="0"/>
  <w15:commentEx w15:paraId="44255B35" w15:done="0"/>
  <w15:commentEx w15:paraId="4B9C46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4424" w16cex:dateUtc="2020-11-27T14:23:00Z"/>
  <w16cex:commentExtensible w16cex:durableId="236B541F" w16cex:dateUtc="2020-11-27T15:31:00Z"/>
  <w16cex:commentExtensible w16cex:durableId="236B49F8" w16cex:dateUtc="2020-11-27T14:48:00Z"/>
  <w16cex:commentExtensible w16cex:durableId="236B5B4D" w16cex:dateUtc="2020-11-27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B80404" w16cid:durableId="236B4424"/>
  <w16cid:commentId w16cid:paraId="1543696E" w16cid:durableId="236B541F"/>
  <w16cid:commentId w16cid:paraId="44255B35" w16cid:durableId="236B49F8"/>
  <w16cid:commentId w16cid:paraId="4B9C46CA" w16cid:durableId="236B5B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4A405" w14:textId="77777777" w:rsidR="000A0BDC" w:rsidRDefault="000A0BDC" w:rsidP="00CE17B7">
      <w:r>
        <w:separator/>
      </w:r>
    </w:p>
  </w:endnote>
  <w:endnote w:type="continuationSeparator" w:id="0">
    <w:p w14:paraId="62F9ACB5" w14:textId="77777777" w:rsidR="000A0BDC" w:rsidRDefault="000A0BDC" w:rsidP="00CE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E0683" w14:textId="77777777" w:rsidR="000A0BDC" w:rsidRDefault="000A0BDC" w:rsidP="00CE17B7">
      <w:r>
        <w:separator/>
      </w:r>
    </w:p>
  </w:footnote>
  <w:footnote w:type="continuationSeparator" w:id="0">
    <w:p w14:paraId="29A7AB56" w14:textId="77777777" w:rsidR="000A0BDC" w:rsidRDefault="000A0BDC" w:rsidP="00CE17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ra Pollock">
    <w15:presenceInfo w15:providerId="AD" w15:userId="S::ch112938@bostonchildrens3.onmicrosoft.com::e5e40c83-9dc3-46f5-af73-5343e1bc0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6C"/>
    <w:rsid w:val="00010C28"/>
    <w:rsid w:val="0005569B"/>
    <w:rsid w:val="00092D5D"/>
    <w:rsid w:val="000A0BDC"/>
    <w:rsid w:val="000A237E"/>
    <w:rsid w:val="000E60F7"/>
    <w:rsid w:val="000E6598"/>
    <w:rsid w:val="001066AA"/>
    <w:rsid w:val="00172E7F"/>
    <w:rsid w:val="0017576A"/>
    <w:rsid w:val="00193170"/>
    <w:rsid w:val="001F11C7"/>
    <w:rsid w:val="0020637D"/>
    <w:rsid w:val="00225451"/>
    <w:rsid w:val="002368C1"/>
    <w:rsid w:val="00276A59"/>
    <w:rsid w:val="002D7A3B"/>
    <w:rsid w:val="002F485F"/>
    <w:rsid w:val="00304DA7"/>
    <w:rsid w:val="003310DA"/>
    <w:rsid w:val="003841D8"/>
    <w:rsid w:val="003C4BCE"/>
    <w:rsid w:val="003D1330"/>
    <w:rsid w:val="003D150F"/>
    <w:rsid w:val="003F75F3"/>
    <w:rsid w:val="00401014"/>
    <w:rsid w:val="004767F3"/>
    <w:rsid w:val="005071A1"/>
    <w:rsid w:val="00540CC0"/>
    <w:rsid w:val="00546CC7"/>
    <w:rsid w:val="0055706E"/>
    <w:rsid w:val="005607D2"/>
    <w:rsid w:val="00575AB1"/>
    <w:rsid w:val="00577C29"/>
    <w:rsid w:val="005C6A27"/>
    <w:rsid w:val="005D402A"/>
    <w:rsid w:val="005E680C"/>
    <w:rsid w:val="00603BD1"/>
    <w:rsid w:val="0062515E"/>
    <w:rsid w:val="00643497"/>
    <w:rsid w:val="006B77C1"/>
    <w:rsid w:val="006D2C4C"/>
    <w:rsid w:val="006D3B97"/>
    <w:rsid w:val="007A04E2"/>
    <w:rsid w:val="00826530"/>
    <w:rsid w:val="008361FF"/>
    <w:rsid w:val="008C0241"/>
    <w:rsid w:val="009619F1"/>
    <w:rsid w:val="009A6767"/>
    <w:rsid w:val="009C6AEA"/>
    <w:rsid w:val="009D3CF5"/>
    <w:rsid w:val="00A207E2"/>
    <w:rsid w:val="00A52F14"/>
    <w:rsid w:val="00A93892"/>
    <w:rsid w:val="00AA2C6C"/>
    <w:rsid w:val="00AC513F"/>
    <w:rsid w:val="00B21A37"/>
    <w:rsid w:val="00B3026B"/>
    <w:rsid w:val="00B34268"/>
    <w:rsid w:val="00B43045"/>
    <w:rsid w:val="00BF6445"/>
    <w:rsid w:val="00C4436C"/>
    <w:rsid w:val="00CC4689"/>
    <w:rsid w:val="00CE17B7"/>
    <w:rsid w:val="00CE1F6D"/>
    <w:rsid w:val="00D46238"/>
    <w:rsid w:val="00DC01A4"/>
    <w:rsid w:val="00DF31A8"/>
    <w:rsid w:val="00DF4E6B"/>
    <w:rsid w:val="00E26B18"/>
    <w:rsid w:val="00E71854"/>
    <w:rsid w:val="00EE1203"/>
    <w:rsid w:val="00EF4BCF"/>
    <w:rsid w:val="00F8161C"/>
    <w:rsid w:val="00FC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2C6C"/>
    <w:rPr>
      <w:sz w:val="16"/>
      <w:szCs w:val="16"/>
    </w:rPr>
  </w:style>
  <w:style w:type="paragraph" w:styleId="CommentText">
    <w:name w:val="annotation text"/>
    <w:basedOn w:val="Normal"/>
    <w:link w:val="CommentTextChar"/>
    <w:uiPriority w:val="99"/>
    <w:semiHidden/>
    <w:unhideWhenUsed/>
    <w:rsid w:val="00AA2C6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A2C6C"/>
    <w:rPr>
      <w:sz w:val="20"/>
      <w:szCs w:val="20"/>
    </w:rPr>
  </w:style>
  <w:style w:type="character" w:styleId="Hyperlink">
    <w:name w:val="Hyperlink"/>
    <w:basedOn w:val="DefaultParagraphFont"/>
    <w:uiPriority w:val="99"/>
    <w:unhideWhenUsed/>
    <w:rsid w:val="00AA2C6C"/>
    <w:rPr>
      <w:color w:val="0000FF" w:themeColor="hyperlink"/>
      <w:u w:val="single"/>
    </w:rPr>
  </w:style>
  <w:style w:type="paragraph" w:styleId="BalloonText">
    <w:name w:val="Balloon Text"/>
    <w:basedOn w:val="Normal"/>
    <w:link w:val="BalloonTextChar"/>
    <w:uiPriority w:val="99"/>
    <w:semiHidden/>
    <w:unhideWhenUsed/>
    <w:rsid w:val="00AA2C6C"/>
    <w:rPr>
      <w:rFonts w:ascii="Tahoma" w:hAnsi="Tahoma" w:cs="Tahoma"/>
      <w:sz w:val="16"/>
      <w:szCs w:val="16"/>
    </w:rPr>
  </w:style>
  <w:style w:type="character" w:customStyle="1" w:styleId="BalloonTextChar">
    <w:name w:val="Balloon Text Char"/>
    <w:basedOn w:val="DefaultParagraphFont"/>
    <w:link w:val="BalloonText"/>
    <w:uiPriority w:val="99"/>
    <w:semiHidden/>
    <w:rsid w:val="00AA2C6C"/>
    <w:rPr>
      <w:rFonts w:ascii="Tahoma" w:eastAsia="Times New Roman" w:hAnsi="Tahoma" w:cs="Tahoma"/>
      <w:sz w:val="16"/>
      <w:szCs w:val="16"/>
    </w:rPr>
  </w:style>
  <w:style w:type="paragraph" w:styleId="Header">
    <w:name w:val="header"/>
    <w:basedOn w:val="Normal"/>
    <w:link w:val="HeaderChar"/>
    <w:uiPriority w:val="99"/>
    <w:unhideWhenUsed/>
    <w:rsid w:val="00CE17B7"/>
    <w:pPr>
      <w:tabs>
        <w:tab w:val="center" w:pos="4680"/>
        <w:tab w:val="right" w:pos="9360"/>
      </w:tabs>
    </w:pPr>
  </w:style>
  <w:style w:type="character" w:customStyle="1" w:styleId="HeaderChar">
    <w:name w:val="Header Char"/>
    <w:basedOn w:val="DefaultParagraphFont"/>
    <w:link w:val="Header"/>
    <w:uiPriority w:val="99"/>
    <w:rsid w:val="00CE17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17B7"/>
    <w:pPr>
      <w:tabs>
        <w:tab w:val="center" w:pos="4680"/>
        <w:tab w:val="right" w:pos="9360"/>
      </w:tabs>
    </w:pPr>
  </w:style>
  <w:style w:type="character" w:customStyle="1" w:styleId="FooterChar">
    <w:name w:val="Footer Char"/>
    <w:basedOn w:val="DefaultParagraphFont"/>
    <w:link w:val="Footer"/>
    <w:uiPriority w:val="99"/>
    <w:rsid w:val="00CE17B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E6598"/>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E659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2C6C"/>
    <w:rPr>
      <w:sz w:val="16"/>
      <w:szCs w:val="16"/>
    </w:rPr>
  </w:style>
  <w:style w:type="paragraph" w:styleId="CommentText">
    <w:name w:val="annotation text"/>
    <w:basedOn w:val="Normal"/>
    <w:link w:val="CommentTextChar"/>
    <w:uiPriority w:val="99"/>
    <w:semiHidden/>
    <w:unhideWhenUsed/>
    <w:rsid w:val="00AA2C6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A2C6C"/>
    <w:rPr>
      <w:sz w:val="20"/>
      <w:szCs w:val="20"/>
    </w:rPr>
  </w:style>
  <w:style w:type="character" w:styleId="Hyperlink">
    <w:name w:val="Hyperlink"/>
    <w:basedOn w:val="DefaultParagraphFont"/>
    <w:uiPriority w:val="99"/>
    <w:unhideWhenUsed/>
    <w:rsid w:val="00AA2C6C"/>
    <w:rPr>
      <w:color w:val="0000FF" w:themeColor="hyperlink"/>
      <w:u w:val="single"/>
    </w:rPr>
  </w:style>
  <w:style w:type="paragraph" w:styleId="BalloonText">
    <w:name w:val="Balloon Text"/>
    <w:basedOn w:val="Normal"/>
    <w:link w:val="BalloonTextChar"/>
    <w:uiPriority w:val="99"/>
    <w:semiHidden/>
    <w:unhideWhenUsed/>
    <w:rsid w:val="00AA2C6C"/>
    <w:rPr>
      <w:rFonts w:ascii="Tahoma" w:hAnsi="Tahoma" w:cs="Tahoma"/>
      <w:sz w:val="16"/>
      <w:szCs w:val="16"/>
    </w:rPr>
  </w:style>
  <w:style w:type="character" w:customStyle="1" w:styleId="BalloonTextChar">
    <w:name w:val="Balloon Text Char"/>
    <w:basedOn w:val="DefaultParagraphFont"/>
    <w:link w:val="BalloonText"/>
    <w:uiPriority w:val="99"/>
    <w:semiHidden/>
    <w:rsid w:val="00AA2C6C"/>
    <w:rPr>
      <w:rFonts w:ascii="Tahoma" w:eastAsia="Times New Roman" w:hAnsi="Tahoma" w:cs="Tahoma"/>
      <w:sz w:val="16"/>
      <w:szCs w:val="16"/>
    </w:rPr>
  </w:style>
  <w:style w:type="paragraph" w:styleId="Header">
    <w:name w:val="header"/>
    <w:basedOn w:val="Normal"/>
    <w:link w:val="HeaderChar"/>
    <w:uiPriority w:val="99"/>
    <w:unhideWhenUsed/>
    <w:rsid w:val="00CE17B7"/>
    <w:pPr>
      <w:tabs>
        <w:tab w:val="center" w:pos="4680"/>
        <w:tab w:val="right" w:pos="9360"/>
      </w:tabs>
    </w:pPr>
  </w:style>
  <w:style w:type="character" w:customStyle="1" w:styleId="HeaderChar">
    <w:name w:val="Header Char"/>
    <w:basedOn w:val="DefaultParagraphFont"/>
    <w:link w:val="Header"/>
    <w:uiPriority w:val="99"/>
    <w:rsid w:val="00CE17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17B7"/>
    <w:pPr>
      <w:tabs>
        <w:tab w:val="center" w:pos="4680"/>
        <w:tab w:val="right" w:pos="9360"/>
      </w:tabs>
    </w:pPr>
  </w:style>
  <w:style w:type="character" w:customStyle="1" w:styleId="FooterChar">
    <w:name w:val="Footer Char"/>
    <w:basedOn w:val="DefaultParagraphFont"/>
    <w:link w:val="Footer"/>
    <w:uiPriority w:val="99"/>
    <w:rsid w:val="00CE17B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E6598"/>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E65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Smole, Sandra (DPH)</dc:creator>
  <cp:lastModifiedBy> </cp:lastModifiedBy>
  <cp:revision>2</cp:revision>
  <dcterms:created xsi:type="dcterms:W3CDTF">2020-11-27T18:13:00Z</dcterms:created>
  <dcterms:modified xsi:type="dcterms:W3CDTF">2020-11-27T18:13:00Z</dcterms:modified>
</cp:coreProperties>
</file>