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BCF8" w14:textId="77777777" w:rsidR="00D2729A" w:rsidRDefault="00AE7F39">
      <w:pPr>
        <w:pStyle w:val="BodyA"/>
        <w:rPr>
          <w:rFonts w:ascii="Calibri" w:hAnsi="Calibri"/>
        </w:rPr>
      </w:pPr>
      <w:r>
        <w:rPr>
          <w:rStyle w:val="NoneA"/>
          <w:noProof/>
        </w:rPr>
        <w:drawing>
          <wp:anchor distT="0" distB="0" distL="114300" distR="114300" simplePos="0" relativeHeight="251662336" behindDoc="0" locked="0" layoutInCell="1" allowOverlap="1" wp14:anchorId="6F011CD3" wp14:editId="18BBB7C0">
            <wp:simplePos x="0" y="0"/>
            <wp:positionH relativeFrom="column">
              <wp:posOffset>-428625</wp:posOffset>
            </wp:positionH>
            <wp:positionV relativeFrom="paragraph">
              <wp:posOffset>0</wp:posOffset>
            </wp:positionV>
            <wp:extent cx="1038225" cy="1358900"/>
            <wp:effectExtent l="0" t="0" r="9525" b="0"/>
            <wp:wrapSquare wrapText="bothSides"/>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225" cy="1358900"/>
                    </a:xfrm>
                    <a:prstGeom prst="rect">
                      <a:avLst/>
                    </a:prstGeom>
                    <a:ln w="12700" cap="flat">
                      <a:noFill/>
                      <a:miter lim="400000"/>
                    </a:ln>
                    <a:effectLst/>
                  </pic:spPr>
                </pic:pic>
              </a:graphicData>
            </a:graphic>
          </wp:anchor>
        </w:drawing>
      </w:r>
    </w:p>
    <w:p w14:paraId="64106BBB" w14:textId="77777777" w:rsidR="00521983" w:rsidRDefault="00521983">
      <w:pPr>
        <w:pStyle w:val="BodyA"/>
      </w:pPr>
    </w:p>
    <w:p w14:paraId="6501C5AA" w14:textId="77777777" w:rsidR="00D2729A" w:rsidRDefault="00AE7F39">
      <w:pPr>
        <w:pStyle w:val="BodyA"/>
      </w:pPr>
      <w:r>
        <w:rPr>
          <w:rFonts w:ascii="Calibri" w:hAnsi="Calibri"/>
          <w:noProof/>
        </w:rPr>
        <mc:AlternateContent>
          <mc:Choice Requires="wps">
            <w:drawing>
              <wp:anchor distT="152400" distB="152400" distL="152400" distR="152400" simplePos="0" relativeHeight="251659264" behindDoc="0" locked="0" layoutInCell="1" allowOverlap="1" wp14:anchorId="74850635" wp14:editId="2E4C07B5">
                <wp:simplePos x="0" y="0"/>
                <wp:positionH relativeFrom="page">
                  <wp:posOffset>1824989</wp:posOffset>
                </wp:positionH>
                <wp:positionV relativeFrom="page">
                  <wp:posOffset>451484</wp:posOffset>
                </wp:positionV>
                <wp:extent cx="4398010" cy="1073684"/>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wps:spPr>
                        <a:xfrm>
                          <a:off x="0" y="0"/>
                          <a:ext cx="4398010" cy="1073684"/>
                        </a:xfrm>
                        <a:prstGeom prst="rect">
                          <a:avLst/>
                        </a:prstGeom>
                        <a:solidFill>
                          <a:srgbClr val="000000">
                            <a:alpha val="0"/>
                          </a:srgbClr>
                        </a:solidFill>
                        <a:ln w="12700" cap="flat">
                          <a:noFill/>
                          <a:miter lim="400000"/>
                        </a:ln>
                        <a:effectLst/>
                      </wps:spPr>
                      <wps:txbx>
                        <w:txbxContent>
                          <w:p w14:paraId="609D3544" w14:textId="77777777" w:rsidR="00D2729A" w:rsidRDefault="00AE7F39">
                            <w:pPr>
                              <w:pStyle w:val="BodyA"/>
                              <w:jc w:val="center"/>
                              <w:rPr>
                                <w:rFonts w:ascii="Arial" w:eastAsia="Arial" w:hAnsi="Arial" w:cs="Arial"/>
                                <w:sz w:val="36"/>
                                <w:szCs w:val="36"/>
                              </w:rPr>
                            </w:pPr>
                            <w:r>
                              <w:rPr>
                                <w:rFonts w:ascii="Arial" w:hAnsi="Arial"/>
                                <w:sz w:val="36"/>
                                <w:szCs w:val="36"/>
                              </w:rPr>
                              <w:t>The Commonwealth of Massachusetts</w:t>
                            </w:r>
                          </w:p>
                          <w:p w14:paraId="0A11495F" w14:textId="77777777" w:rsidR="00D2729A" w:rsidRDefault="00AE7F39">
                            <w:pPr>
                              <w:pStyle w:val="ExecOffice"/>
                            </w:pPr>
                            <w:r>
                              <w:rPr>
                                <w:rStyle w:val="NoneA"/>
                              </w:rPr>
                              <w:t>Executive Office of Health and Human Services</w:t>
                            </w:r>
                          </w:p>
                          <w:p w14:paraId="543888EB" w14:textId="77777777" w:rsidR="00D2729A" w:rsidRDefault="00AE7F39">
                            <w:pPr>
                              <w:pStyle w:val="ExecOffice"/>
                            </w:pPr>
                            <w:r>
                              <w:rPr>
                                <w:rStyle w:val="NoneA"/>
                              </w:rPr>
                              <w:t>Department of Public Health</w:t>
                            </w:r>
                          </w:p>
                          <w:p w14:paraId="17E97D2F" w14:textId="77777777" w:rsidR="00D2729A" w:rsidRDefault="00AE7F39">
                            <w:pPr>
                              <w:pStyle w:val="ExecOffice"/>
                            </w:pPr>
                            <w:r>
                              <w:rPr>
                                <w:rStyle w:val="NoneA"/>
                              </w:rPr>
                              <w:t>Bureau of Infectious Disease and Laboratory Sciences</w:t>
                            </w:r>
                          </w:p>
                          <w:p w14:paraId="7374376F" w14:textId="77777777" w:rsidR="00D2729A" w:rsidRDefault="00AE7F39">
                            <w:pPr>
                              <w:pStyle w:val="ExecOffice"/>
                            </w:pPr>
                            <w:r>
                              <w:rPr>
                                <w:rStyle w:val="NoneA"/>
                              </w:rPr>
                              <w:t>305 South Street, Jamaica Plain, MA 02130</w:t>
                            </w:r>
                          </w:p>
                        </w:txbxContent>
                      </wps:txbx>
                      <wps:bodyPr wrap="square" lIns="0" tIns="0" rIns="0" bIns="0" numCol="1" anchor="ctr">
                        <a:noAutofit/>
                      </wps:bodyPr>
                    </wps:wsp>
                  </a:graphicData>
                </a:graphic>
              </wp:anchor>
            </w:drawing>
          </mc:Choice>
          <mc:Fallback>
            <w:pict>
              <v:rect w14:anchorId="74850635" id="officeArt object" o:spid="_x0000_s1026" alt="officeArt object" style="position:absolute;margin-left:143.7pt;margin-top:35.55pt;width:346.3pt;height:84.5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" fillcolor="black" stroked="f" strokeweight="1pt">
                <v:fill opacity="0"/>
                <v:stroke miterlimit="4"/>
                <v:textbox inset="0,0,0,0">
                  <w:txbxContent>
                    <w:p w14:paraId="609D3544" w14:textId="77777777" w:rsidR="00D2729A" w:rsidRDefault="00AE7F39">
                      <w:pPr>
                        <w:pStyle w:val="BodyA"/>
                        <w:jc w:val="center"/>
                        <w:rPr>
                          <w:rFonts w:ascii="Arial" w:eastAsia="Arial" w:hAnsi="Arial" w:cs="Arial"/>
                          <w:sz w:val="36"/>
                          <w:szCs w:val="36"/>
                        </w:rPr>
                      </w:pPr>
                      <w:r>
                        <w:rPr>
                          <w:rFonts w:ascii="Arial" w:hAnsi="Arial"/>
                          <w:sz w:val="36"/>
                          <w:szCs w:val="36"/>
                        </w:rPr>
                        <w:t>The Commonwealth of Massachusetts</w:t>
                      </w:r>
                    </w:p>
                    <w:p w14:paraId="0A11495F" w14:textId="77777777" w:rsidR="00D2729A" w:rsidRDefault="00AE7F39">
                      <w:pPr>
                        <w:pStyle w:val="ExecOffice"/>
                      </w:pPr>
                      <w:r>
                        <w:rPr>
                          <w:rStyle w:val="NoneA"/>
                        </w:rPr>
                        <w:t>Executive Office of Health and Human Services</w:t>
                      </w:r>
                    </w:p>
                    <w:p w14:paraId="543888EB" w14:textId="77777777" w:rsidR="00D2729A" w:rsidRDefault="00AE7F39">
                      <w:pPr>
                        <w:pStyle w:val="ExecOffice"/>
                      </w:pPr>
                      <w:r>
                        <w:rPr>
                          <w:rStyle w:val="NoneA"/>
                        </w:rPr>
                        <w:t>Department of Public Health</w:t>
                      </w:r>
                    </w:p>
                    <w:p w14:paraId="17E97D2F" w14:textId="77777777" w:rsidR="00D2729A" w:rsidRDefault="00AE7F39">
                      <w:pPr>
                        <w:pStyle w:val="ExecOffice"/>
                      </w:pPr>
                      <w:r>
                        <w:rPr>
                          <w:rStyle w:val="NoneA"/>
                        </w:rPr>
                        <w:t>Bureau of Infectious Disease and Laboratory Sciences</w:t>
                      </w:r>
                    </w:p>
                    <w:p w14:paraId="7374376F" w14:textId="77777777" w:rsidR="00D2729A" w:rsidRDefault="00AE7F39">
                      <w:pPr>
                        <w:pStyle w:val="ExecOffice"/>
                      </w:pPr>
                      <w:r>
                        <w:rPr>
                          <w:rStyle w:val="NoneA"/>
                        </w:rPr>
                        <w:t>305 South Street, Jamaica Plain, MA 02130</w:t>
                      </w:r>
                    </w:p>
                  </w:txbxContent>
                </v:textbox>
                <w10:wrap type="topAndBottom" anchorx="page" anchory="page"/>
              </v:rect>
            </w:pict>
          </mc:Fallback>
        </mc:AlternateContent>
      </w:r>
      <w:r>
        <w:rPr>
          <w:rStyle w:val="NoneA"/>
          <w:noProof/>
        </w:rPr>
        <mc:AlternateContent>
          <mc:Choice Requires="wps">
            <w:drawing>
              <wp:anchor distT="0" distB="0" distL="0" distR="0" simplePos="0" relativeHeight="251660288" behindDoc="0" locked="0" layoutInCell="1" allowOverlap="1" wp14:anchorId="35D06653" wp14:editId="16F24124">
                <wp:simplePos x="0" y="0"/>
                <wp:positionH relativeFrom="column">
                  <wp:posOffset>-1409700</wp:posOffset>
                </wp:positionH>
                <wp:positionV relativeFrom="line">
                  <wp:posOffset>280033</wp:posOffset>
                </wp:positionV>
                <wp:extent cx="3419475" cy="624841"/>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3419475" cy="624841"/>
                        </a:xfrm>
                        <a:prstGeom prst="rect">
                          <a:avLst/>
                        </a:prstGeom>
                        <a:solidFill>
                          <a:srgbClr val="FFFFFF"/>
                        </a:solidFill>
                        <a:ln w="12700" cap="flat">
                          <a:noFill/>
                          <a:miter lim="400000"/>
                        </a:ln>
                        <a:effectLst/>
                      </wps:spPr>
                      <wps:txbx>
                        <w:txbxContent>
                          <w:p w14:paraId="52BD648D" w14:textId="77777777" w:rsidR="00D2729A" w:rsidRDefault="00AE7F39">
                            <w:pPr>
                              <w:pStyle w:val="Governor"/>
                              <w:spacing w:after="0"/>
                              <w:rPr>
                                <w:sz w:val="16"/>
                                <w:szCs w:val="16"/>
                              </w:rPr>
                            </w:pPr>
                            <w:r>
                              <w:rPr>
                                <w:sz w:val="16"/>
                                <w:szCs w:val="16"/>
                              </w:rPr>
                              <w:t>CHARLES D. BAKER</w:t>
                            </w:r>
                          </w:p>
                          <w:p w14:paraId="46C75415" w14:textId="77777777" w:rsidR="00D2729A" w:rsidRDefault="00AE7F39">
                            <w:pPr>
                              <w:pStyle w:val="Governor"/>
                            </w:pPr>
                            <w:r>
                              <w:rPr>
                                <w:rStyle w:val="NoneA"/>
                              </w:rPr>
                              <w:t>Governor</w:t>
                            </w:r>
                          </w:p>
                          <w:p w14:paraId="67F181D1" w14:textId="77777777" w:rsidR="00D2729A" w:rsidRDefault="00AE7F39">
                            <w:pPr>
                              <w:pStyle w:val="Governor"/>
                              <w:spacing w:after="0"/>
                              <w:rPr>
                                <w:sz w:val="16"/>
                                <w:szCs w:val="16"/>
                              </w:rPr>
                            </w:pPr>
                            <w:r>
                              <w:rPr>
                                <w:sz w:val="16"/>
                                <w:szCs w:val="16"/>
                              </w:rPr>
                              <w:t>KARYN E. POLITO</w:t>
                            </w:r>
                          </w:p>
                          <w:p w14:paraId="370E271D" w14:textId="77777777" w:rsidR="00D2729A" w:rsidRDefault="00AE7F39">
                            <w:pPr>
                              <w:pStyle w:val="Governor"/>
                            </w:pPr>
                            <w:r>
                              <w:rPr>
                                <w:rStyle w:val="NoneA"/>
                              </w:rPr>
                              <w:t>Lieutenant Governor</w:t>
                            </w:r>
                          </w:p>
                        </w:txbxContent>
                      </wps:txbx>
                      <wps:bodyPr wrap="square" lIns="45718" tIns="45718" rIns="45718" bIns="45718" numCol="1" anchor="t">
                        <a:noAutofit/>
                      </wps:bodyPr>
                    </wps:wsp>
                  </a:graphicData>
                </a:graphic>
              </wp:anchor>
            </w:drawing>
          </mc:Choice>
          <mc:Fallback>
            <w:pict>
              <v:shapetype w14:anchorId="35D06653" id="_x0000_t202" coordsize="21600,21600" o:spt="202" path="m,l,21600r21600,l21600,xe">
                <v:stroke joinstyle="miter"/>
                <v:path gradientshapeok="t" o:connecttype="rect"/>
              </v:shapetype>
              <v:shape id="_x0000_s1027" type="#_x0000_t202" alt="Text Box 2" style="position:absolute;margin-left:-111pt;margin-top:22.05pt;width:269.25pt;height:49.2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" stroked="f" strokeweight="1pt">
                <v:stroke miterlimit="4"/>
                <v:textbox inset="1.2699mm,1.2699mm,1.2699mm,1.2699mm">
                  <w:txbxContent>
                    <w:p w14:paraId="52BD648D" w14:textId="77777777" w:rsidR="00D2729A" w:rsidRDefault="00AE7F39">
                      <w:pPr>
                        <w:pStyle w:val="Governor"/>
                        <w:spacing w:after="0"/>
                        <w:rPr>
                          <w:sz w:val="16"/>
                          <w:szCs w:val="16"/>
                        </w:rPr>
                      </w:pPr>
                      <w:r>
                        <w:rPr>
                          <w:sz w:val="16"/>
                          <w:szCs w:val="16"/>
                        </w:rPr>
                        <w:t>CHARLES D. BAKER</w:t>
                      </w:r>
                    </w:p>
                    <w:p w14:paraId="46C75415" w14:textId="77777777" w:rsidR="00D2729A" w:rsidRDefault="00AE7F39">
                      <w:pPr>
                        <w:pStyle w:val="Governor"/>
                      </w:pPr>
                      <w:r>
                        <w:rPr>
                          <w:rStyle w:val="NoneA"/>
                        </w:rPr>
                        <w:t>Governor</w:t>
                      </w:r>
                    </w:p>
                    <w:p w14:paraId="67F181D1" w14:textId="77777777" w:rsidR="00D2729A" w:rsidRDefault="00AE7F39">
                      <w:pPr>
                        <w:pStyle w:val="Governor"/>
                        <w:spacing w:after="0"/>
                        <w:rPr>
                          <w:sz w:val="16"/>
                          <w:szCs w:val="16"/>
                        </w:rPr>
                      </w:pPr>
                      <w:r>
                        <w:rPr>
                          <w:sz w:val="16"/>
                          <w:szCs w:val="16"/>
                        </w:rPr>
                        <w:t>KARYN E. POLITO</w:t>
                      </w:r>
                    </w:p>
                    <w:p w14:paraId="370E271D" w14:textId="77777777" w:rsidR="00D2729A" w:rsidRDefault="00AE7F39">
                      <w:pPr>
                        <w:pStyle w:val="Governor"/>
                      </w:pPr>
                      <w:r>
                        <w:rPr>
                          <w:rStyle w:val="NoneA"/>
                        </w:rPr>
                        <w:t>Lieutenant Governor</w:t>
                      </w:r>
                    </w:p>
                  </w:txbxContent>
                </v:textbox>
                <w10:wrap anchory="line"/>
              </v:shape>
            </w:pict>
          </mc:Fallback>
        </mc:AlternateContent>
      </w:r>
    </w:p>
    <w:p w14:paraId="1008F7B5" w14:textId="77777777" w:rsidR="00D2729A" w:rsidRDefault="00AE7F39">
      <w:pPr>
        <w:pStyle w:val="BodyA"/>
      </w:pPr>
      <w:r>
        <w:rPr>
          <w:rStyle w:val="NoneA"/>
          <w:noProof/>
        </w:rPr>
        <mc:AlternateContent>
          <mc:Choice Requires="wps">
            <w:drawing>
              <wp:anchor distT="57150" distB="57150" distL="57150" distR="57150" simplePos="0" relativeHeight="251661312" behindDoc="0" locked="0" layoutInCell="1" allowOverlap="1" wp14:anchorId="66B9C463" wp14:editId="7FB000A6">
                <wp:simplePos x="0" y="0"/>
                <wp:positionH relativeFrom="column">
                  <wp:posOffset>4919976</wp:posOffset>
                </wp:positionH>
                <wp:positionV relativeFrom="line">
                  <wp:posOffset>123190</wp:posOffset>
                </wp:positionV>
                <wp:extent cx="1814195" cy="990232"/>
                <wp:effectExtent l="0" t="0" r="0" b="0"/>
                <wp:wrapSquare wrapText="bothSides" distT="57150" distB="57150" distL="57150" distR="57150"/>
                <wp:docPr id="1073741828" name="officeArt object" descr="Text Box 2"/>
                <wp:cNvGraphicFramePr/>
                <a:graphic xmlns:a="http://schemas.openxmlformats.org/drawingml/2006/main">
                  <a:graphicData uri="http://schemas.microsoft.com/office/word/2010/wordprocessingShape">
                    <wps:wsp>
                      <wps:cNvSpPr txBox="1"/>
                      <wps:spPr>
                        <a:xfrm>
                          <a:off x="0" y="0"/>
                          <a:ext cx="1814195" cy="990232"/>
                        </a:xfrm>
                        <a:prstGeom prst="rect">
                          <a:avLst/>
                        </a:prstGeom>
                        <a:solidFill>
                          <a:srgbClr val="FFFFFF"/>
                        </a:solidFill>
                        <a:ln w="12700" cap="flat">
                          <a:noFill/>
                          <a:miter lim="400000"/>
                        </a:ln>
                        <a:effectLst/>
                      </wps:spPr>
                      <wps:txbx>
                        <w:txbxContent>
                          <w:p w14:paraId="3FF3A87C" w14:textId="77777777" w:rsidR="00D2729A" w:rsidRDefault="00AE7F39">
                            <w:pPr>
                              <w:pStyle w:val="Weld"/>
                            </w:pPr>
                            <w:r>
                              <w:rPr>
                                <w:rStyle w:val="NoneA"/>
                              </w:rPr>
                              <w:t>MARYLOU SUDDERS</w:t>
                            </w:r>
                          </w:p>
                          <w:p w14:paraId="0193698E" w14:textId="77777777" w:rsidR="00D2729A" w:rsidRDefault="00AE7F39">
                            <w:pPr>
                              <w:pStyle w:val="Governor"/>
                            </w:pPr>
                            <w:r>
                              <w:rPr>
                                <w:rStyle w:val="NoneA"/>
                              </w:rPr>
                              <w:t>Secretary</w:t>
                            </w:r>
                          </w:p>
                          <w:p w14:paraId="6B684413" w14:textId="77777777" w:rsidR="00922DA6" w:rsidRDefault="00922DA6">
                            <w:pPr>
                              <w:pStyle w:val="BodyA"/>
                              <w:jc w:val="center"/>
                              <w:rPr>
                                <w:rFonts w:ascii="Arial Rounded MT Bold" w:hAnsi="Arial Rounded MT Bold"/>
                                <w:sz w:val="16"/>
                                <w:szCs w:val="16"/>
                              </w:rPr>
                            </w:pPr>
                            <w:r>
                              <w:rPr>
                                <w:rFonts w:ascii="Arial Rounded MT Bold" w:hAnsi="Arial Rounded MT Bold"/>
                                <w:sz w:val="16"/>
                                <w:szCs w:val="16"/>
                              </w:rPr>
                              <w:t>MARGRET COOKE</w:t>
                            </w:r>
                          </w:p>
                          <w:p w14:paraId="0F450B29" w14:textId="5691A320" w:rsidR="00D2729A" w:rsidRDefault="00922DA6">
                            <w:pPr>
                              <w:pStyle w:val="BodyA"/>
                              <w:jc w:val="center"/>
                              <w:rPr>
                                <w:rFonts w:ascii="Arial Rounded MT Bold" w:eastAsia="Arial Rounded MT Bold" w:hAnsi="Arial Rounded MT Bold" w:cs="Arial Rounded MT Bold"/>
                                <w:sz w:val="14"/>
                                <w:szCs w:val="14"/>
                              </w:rPr>
                            </w:pPr>
                            <w:r>
                              <w:rPr>
                                <w:rFonts w:ascii="Arial Rounded MT Bold" w:hAnsi="Arial Rounded MT Bold"/>
                                <w:sz w:val="16"/>
                                <w:szCs w:val="16"/>
                              </w:rPr>
                              <w:t xml:space="preserve"> </w:t>
                            </w:r>
                            <w:r w:rsidR="00AE7F39">
                              <w:rPr>
                                <w:rFonts w:ascii="Arial Rounded MT Bold" w:hAnsi="Arial Rounded MT Bold"/>
                                <w:sz w:val="14"/>
                                <w:szCs w:val="14"/>
                                <w:lang w:val="it-IT"/>
                              </w:rPr>
                              <w:t>Commissioner</w:t>
                            </w:r>
                          </w:p>
                          <w:p w14:paraId="66C9DB91" w14:textId="77777777" w:rsidR="00D2729A" w:rsidRDefault="00D2729A">
                            <w:pPr>
                              <w:pStyle w:val="BodyA"/>
                              <w:jc w:val="center"/>
                              <w:rPr>
                                <w:rFonts w:ascii="Arial Rounded MT Bold" w:eastAsia="Arial Rounded MT Bold" w:hAnsi="Arial Rounded MT Bold" w:cs="Arial Rounded MT Bold"/>
                                <w:sz w:val="14"/>
                                <w:szCs w:val="14"/>
                              </w:rPr>
                            </w:pPr>
                          </w:p>
                          <w:p w14:paraId="68F92D71" w14:textId="77777777" w:rsidR="00D2729A" w:rsidRDefault="00AE7F39">
                            <w:pPr>
                              <w:pStyle w:val="BodyA"/>
                              <w:jc w:val="center"/>
                              <w:rPr>
                                <w:rFonts w:ascii="Arial" w:eastAsia="Arial" w:hAnsi="Arial" w:cs="Arial"/>
                                <w:b/>
                                <w:bCs/>
                                <w:sz w:val="14"/>
                                <w:szCs w:val="14"/>
                                <w:lang w:val="nl-NL"/>
                              </w:rPr>
                            </w:pPr>
                            <w:r>
                              <w:rPr>
                                <w:rFonts w:ascii="Arial" w:hAnsi="Arial"/>
                                <w:b/>
                                <w:bCs/>
                                <w:sz w:val="14"/>
                                <w:szCs w:val="14"/>
                                <w:lang w:val="nl-NL"/>
                              </w:rPr>
                              <w:t>Tel: 617-624-6000</w:t>
                            </w:r>
                          </w:p>
                          <w:p w14:paraId="3A512F74" w14:textId="77777777" w:rsidR="00D2729A" w:rsidRDefault="00AE7F39">
                            <w:pPr>
                              <w:pStyle w:val="BodyA"/>
                              <w:jc w:val="center"/>
                            </w:pPr>
                            <w:r>
                              <w:rPr>
                                <w:rFonts w:ascii="Arial" w:hAnsi="Arial"/>
                                <w:b/>
                                <w:bCs/>
                                <w:sz w:val="14"/>
                                <w:szCs w:val="14"/>
                                <w:lang w:val="fr-FR"/>
                              </w:rPr>
                              <w:t>www.mass.gov/dph</w:t>
                            </w:r>
                          </w:p>
                        </w:txbxContent>
                      </wps:txbx>
                      <wps:bodyPr wrap="square" lIns="45718" tIns="45718" rIns="45718" bIns="45718" numCol="1" anchor="t">
                        <a:noAutofit/>
                      </wps:bodyPr>
                    </wps:wsp>
                  </a:graphicData>
                </a:graphic>
              </wp:anchor>
            </w:drawing>
          </mc:Choice>
          <mc:Fallback>
            <w:pict>
              <v:shapetype w14:anchorId="66B9C463" id="_x0000_t202" coordsize="21600,21600" o:spt="202" path="m,l,21600r21600,l21600,xe">
                <v:stroke joinstyle="miter"/>
                <v:path gradientshapeok="t" o:connecttype="rect"/>
              </v:shapetype>
              <v:shape id="_x0000_s1028" type="#_x0000_t202" alt="Text Box 2" style="position:absolute;margin-left:387.4pt;margin-top:9.7pt;width:142.85pt;height:77.95pt;z-index:25166131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" stroked="f" strokeweight="1pt">
                <v:stroke miterlimit="4"/>
                <v:textbox inset="1.2699mm,1.2699mm,1.2699mm,1.2699mm">
                  <w:txbxContent>
                    <w:p w14:paraId="3FF3A87C" w14:textId="77777777" w:rsidR="00D2729A" w:rsidRDefault="00AE7F39">
                      <w:pPr>
                        <w:pStyle w:val="Weld"/>
                      </w:pPr>
                      <w:r>
                        <w:rPr>
                          <w:rStyle w:val="NoneA"/>
                        </w:rPr>
                        <w:t>MARYLOU SUDDERS</w:t>
                      </w:r>
                    </w:p>
                    <w:p w14:paraId="0193698E" w14:textId="77777777" w:rsidR="00D2729A" w:rsidRDefault="00AE7F39">
                      <w:pPr>
                        <w:pStyle w:val="Governor"/>
                      </w:pPr>
                      <w:r>
                        <w:rPr>
                          <w:rStyle w:val="NoneA"/>
                        </w:rPr>
                        <w:t>Secretary</w:t>
                      </w:r>
                    </w:p>
                    <w:p w14:paraId="6B684413" w14:textId="77777777" w:rsidR="00922DA6" w:rsidRDefault="00922DA6">
                      <w:pPr>
                        <w:pStyle w:val="BodyA"/>
                        <w:jc w:val="center"/>
                        <w:rPr>
                          <w:rFonts w:ascii="Arial Rounded MT Bold" w:hAnsi="Arial Rounded MT Bold"/>
                          <w:sz w:val="16"/>
                          <w:szCs w:val="16"/>
                        </w:rPr>
                      </w:pPr>
                      <w:r>
                        <w:rPr>
                          <w:rFonts w:ascii="Arial Rounded MT Bold" w:hAnsi="Arial Rounded MT Bold"/>
                          <w:sz w:val="16"/>
                          <w:szCs w:val="16"/>
                        </w:rPr>
                        <w:t>MARGRET COOKE</w:t>
                      </w:r>
                    </w:p>
                    <w:p w14:paraId="0F450B29" w14:textId="5691A320" w:rsidR="00D2729A" w:rsidRDefault="00922DA6">
                      <w:pPr>
                        <w:pStyle w:val="BodyA"/>
                        <w:jc w:val="center"/>
                        <w:rPr>
                          <w:rFonts w:ascii="Arial Rounded MT Bold" w:eastAsia="Arial Rounded MT Bold" w:hAnsi="Arial Rounded MT Bold" w:cs="Arial Rounded MT Bold"/>
                          <w:sz w:val="14"/>
                          <w:szCs w:val="14"/>
                        </w:rPr>
                      </w:pPr>
                      <w:r>
                        <w:rPr>
                          <w:rFonts w:ascii="Arial Rounded MT Bold" w:hAnsi="Arial Rounded MT Bold"/>
                          <w:sz w:val="16"/>
                          <w:szCs w:val="16"/>
                        </w:rPr>
                        <w:t xml:space="preserve"> </w:t>
                      </w:r>
                      <w:r w:rsidR="00AE7F39">
                        <w:rPr>
                          <w:rFonts w:ascii="Arial Rounded MT Bold" w:hAnsi="Arial Rounded MT Bold"/>
                          <w:sz w:val="14"/>
                          <w:szCs w:val="14"/>
                          <w:lang w:val="it-IT"/>
                        </w:rPr>
                        <w:t>Commissioner</w:t>
                      </w:r>
                    </w:p>
                    <w:p w14:paraId="66C9DB91" w14:textId="77777777" w:rsidR="00D2729A" w:rsidRDefault="00D2729A">
                      <w:pPr>
                        <w:pStyle w:val="BodyA"/>
                        <w:jc w:val="center"/>
                        <w:rPr>
                          <w:rFonts w:ascii="Arial Rounded MT Bold" w:eastAsia="Arial Rounded MT Bold" w:hAnsi="Arial Rounded MT Bold" w:cs="Arial Rounded MT Bold"/>
                          <w:sz w:val="14"/>
                          <w:szCs w:val="14"/>
                        </w:rPr>
                      </w:pPr>
                    </w:p>
                    <w:p w14:paraId="68F92D71" w14:textId="77777777" w:rsidR="00D2729A" w:rsidRDefault="00AE7F39">
                      <w:pPr>
                        <w:pStyle w:val="BodyA"/>
                        <w:jc w:val="center"/>
                        <w:rPr>
                          <w:rFonts w:ascii="Arial" w:eastAsia="Arial" w:hAnsi="Arial" w:cs="Arial"/>
                          <w:b/>
                          <w:bCs/>
                          <w:sz w:val="14"/>
                          <w:szCs w:val="14"/>
                          <w:lang w:val="nl-NL"/>
                        </w:rPr>
                      </w:pPr>
                      <w:r>
                        <w:rPr>
                          <w:rFonts w:ascii="Arial" w:hAnsi="Arial"/>
                          <w:b/>
                          <w:bCs/>
                          <w:sz w:val="14"/>
                          <w:szCs w:val="14"/>
                          <w:lang w:val="nl-NL"/>
                        </w:rPr>
                        <w:t>Tel: 617-624-6000</w:t>
                      </w:r>
                    </w:p>
                    <w:p w14:paraId="3A512F74" w14:textId="77777777" w:rsidR="00D2729A" w:rsidRDefault="00AE7F39">
                      <w:pPr>
                        <w:pStyle w:val="BodyA"/>
                        <w:jc w:val="center"/>
                      </w:pPr>
                      <w:r>
                        <w:rPr>
                          <w:rFonts w:ascii="Arial" w:hAnsi="Arial"/>
                          <w:b/>
                          <w:bCs/>
                          <w:sz w:val="14"/>
                          <w:szCs w:val="14"/>
                          <w:lang w:val="fr-FR"/>
                        </w:rPr>
                        <w:t>www.mass.gov/dph</w:t>
                      </w:r>
                    </w:p>
                  </w:txbxContent>
                </v:textbox>
                <w10:wrap type="square" anchory="line"/>
              </v:shape>
            </w:pict>
          </mc:Fallback>
        </mc:AlternateContent>
      </w:r>
    </w:p>
    <w:p w14:paraId="43139247" w14:textId="77777777" w:rsidR="00D2729A" w:rsidRDefault="00D2729A">
      <w:pPr>
        <w:pStyle w:val="BodyA"/>
      </w:pPr>
    </w:p>
    <w:p w14:paraId="60DF781F" w14:textId="77777777" w:rsidR="00D2729A" w:rsidRDefault="00D2729A">
      <w:pPr>
        <w:pStyle w:val="BodyA"/>
      </w:pPr>
    </w:p>
    <w:p w14:paraId="78101E4A" w14:textId="77777777" w:rsidR="00D2729A" w:rsidRDefault="00D2729A">
      <w:pPr>
        <w:pStyle w:val="BodyA"/>
      </w:pPr>
    </w:p>
    <w:p w14:paraId="1D6705B4" w14:textId="77777777" w:rsidR="00D2729A" w:rsidRDefault="00D2729A">
      <w:pPr>
        <w:pStyle w:val="BodyA"/>
      </w:pPr>
    </w:p>
    <w:p w14:paraId="145297F2" w14:textId="77777777" w:rsidR="00D2729A" w:rsidRDefault="00D2729A">
      <w:pPr>
        <w:pStyle w:val="BodyA"/>
      </w:pPr>
    </w:p>
    <w:p w14:paraId="3F9BD251" w14:textId="77777777" w:rsidR="00D2729A" w:rsidRDefault="00D2729A">
      <w:pPr>
        <w:pStyle w:val="BodyA"/>
      </w:pPr>
    </w:p>
    <w:p w14:paraId="57E03821" w14:textId="77777777" w:rsidR="00D2729A" w:rsidRDefault="00AE7F39">
      <w:pPr>
        <w:pStyle w:val="BodyA"/>
        <w:jc w:val="center"/>
      </w:pPr>
      <w:r>
        <w:rPr>
          <w:b/>
          <w:bCs/>
        </w:rPr>
        <w:t>Memorandum</w:t>
      </w:r>
    </w:p>
    <w:p w14:paraId="4FD62780" w14:textId="77777777" w:rsidR="00D2729A" w:rsidRDefault="00D2729A">
      <w:pPr>
        <w:pStyle w:val="BodyA"/>
      </w:pPr>
    </w:p>
    <w:p w14:paraId="65B62759" w14:textId="2BFA5A13" w:rsidR="00D2729A" w:rsidRDefault="00AE7F39">
      <w:pPr>
        <w:pStyle w:val="BodyA"/>
        <w:rPr>
          <w:b/>
          <w:bCs/>
        </w:rPr>
      </w:pPr>
      <w:r>
        <w:rPr>
          <w:b/>
          <w:bCs/>
          <w:lang w:val="da-DK"/>
        </w:rPr>
        <w:t>TO:</w:t>
      </w:r>
      <w:r>
        <w:tab/>
      </w:r>
      <w:r>
        <w:tab/>
        <w:t>Community Health Center</w:t>
      </w:r>
      <w:r w:rsidR="00922DA6">
        <w:t>, Non-acute</w:t>
      </w:r>
      <w:r>
        <w:t xml:space="preserve"> and Community Hospital Administrators</w:t>
      </w:r>
    </w:p>
    <w:p w14:paraId="181076F9" w14:textId="77777777" w:rsidR="00D2729A" w:rsidRDefault="00D2729A">
      <w:pPr>
        <w:pStyle w:val="BodyA"/>
        <w:rPr>
          <w:b/>
          <w:bCs/>
        </w:rPr>
      </w:pPr>
    </w:p>
    <w:p w14:paraId="4AB0E8AD" w14:textId="77777777" w:rsidR="00D2729A" w:rsidRDefault="00AE7F39">
      <w:pPr>
        <w:pStyle w:val="BodyA"/>
        <w:rPr>
          <w:sz w:val="22"/>
          <w:szCs w:val="22"/>
        </w:rPr>
      </w:pPr>
      <w:r>
        <w:rPr>
          <w:b/>
          <w:bCs/>
        </w:rPr>
        <w:t>FROM:</w:t>
      </w:r>
      <w:r>
        <w:rPr>
          <w:rStyle w:val="NoneA"/>
        </w:rPr>
        <w:t xml:space="preserve">          </w:t>
      </w:r>
      <w:r>
        <w:rPr>
          <w:sz w:val="22"/>
          <w:szCs w:val="22"/>
        </w:rPr>
        <w:t>Catherine M. Brown, DVM, MSc, MPH, State Epidemiologist</w:t>
      </w:r>
    </w:p>
    <w:p w14:paraId="7FDB13DA" w14:textId="77777777" w:rsidR="00D2729A" w:rsidRDefault="00AE7F39">
      <w:pPr>
        <w:pStyle w:val="BodyA"/>
        <w:rPr>
          <w:sz w:val="22"/>
          <w:szCs w:val="22"/>
        </w:rPr>
      </w:pPr>
      <w:r>
        <w:rPr>
          <w:sz w:val="22"/>
          <w:szCs w:val="22"/>
        </w:rPr>
        <w:t xml:space="preserve">           </w:t>
      </w:r>
      <w:r>
        <w:rPr>
          <w:sz w:val="22"/>
          <w:szCs w:val="22"/>
        </w:rPr>
        <w:tab/>
        <w:t xml:space="preserve">             Larry Madoff, MD, Medical Director, BIDLS</w:t>
      </w:r>
    </w:p>
    <w:p w14:paraId="12959EB0" w14:textId="77777777" w:rsidR="00D2729A" w:rsidRDefault="00AE7F39">
      <w:pPr>
        <w:pStyle w:val="BodyA"/>
      </w:pPr>
      <w:r>
        <w:rPr>
          <w:rStyle w:val="NoneA"/>
        </w:rPr>
        <w:tab/>
      </w:r>
      <w:r>
        <w:rPr>
          <w:rStyle w:val="NoneA"/>
        </w:rPr>
        <w:tab/>
      </w:r>
      <w:r>
        <w:rPr>
          <w:rStyle w:val="NoneA"/>
        </w:rPr>
        <w:tab/>
      </w:r>
    </w:p>
    <w:p w14:paraId="10F58F98" w14:textId="546B8951" w:rsidR="00D2729A" w:rsidRDefault="00AE7F39">
      <w:pPr>
        <w:pStyle w:val="BodyA"/>
        <w:tabs>
          <w:tab w:val="left" w:pos="1440"/>
        </w:tabs>
        <w:ind w:left="1440" w:hanging="1440"/>
      </w:pPr>
      <w:r>
        <w:rPr>
          <w:b/>
          <w:bCs/>
        </w:rPr>
        <w:t>SUBJECT:</w:t>
      </w:r>
      <w:r>
        <w:rPr>
          <w:rStyle w:val="NoneA"/>
        </w:rPr>
        <w:t xml:space="preserve">   </w:t>
      </w:r>
      <w:r>
        <w:rPr>
          <w:rStyle w:val="NoneA"/>
        </w:rPr>
        <w:tab/>
        <w:t>BinaxNOW Rapid Point of Care COVID-19 Testing for Community Health Center</w:t>
      </w:r>
      <w:r w:rsidR="00521983">
        <w:rPr>
          <w:rStyle w:val="NoneA"/>
        </w:rPr>
        <w:t>s</w:t>
      </w:r>
      <w:r>
        <w:rPr>
          <w:rStyle w:val="NoneA"/>
        </w:rPr>
        <w:t xml:space="preserve"> and</w:t>
      </w:r>
      <w:r w:rsidR="00DC0BB4">
        <w:rPr>
          <w:rStyle w:val="NoneA"/>
        </w:rPr>
        <w:t xml:space="preserve"> Non-acute and</w:t>
      </w:r>
      <w:r>
        <w:rPr>
          <w:rStyle w:val="NoneA"/>
        </w:rPr>
        <w:t xml:space="preserve"> Community Hospitals </w:t>
      </w:r>
    </w:p>
    <w:p w14:paraId="379282E6" w14:textId="77777777" w:rsidR="00D2729A" w:rsidRDefault="00D2729A">
      <w:pPr>
        <w:pStyle w:val="BodyA"/>
        <w:rPr>
          <w:b/>
          <w:bCs/>
        </w:rPr>
      </w:pPr>
    </w:p>
    <w:p w14:paraId="0AB492BE" w14:textId="4D4EA55B" w:rsidR="00D2729A" w:rsidRDefault="00AE7F39">
      <w:pPr>
        <w:pStyle w:val="BodyA"/>
      </w:pPr>
      <w:r>
        <w:rPr>
          <w:b/>
          <w:bCs/>
        </w:rPr>
        <w:t>DATE:</w:t>
      </w:r>
      <w:r>
        <w:rPr>
          <w:b/>
          <w:bCs/>
        </w:rPr>
        <w:tab/>
      </w:r>
      <w:r w:rsidR="00D271F6">
        <w:rPr>
          <w:rStyle w:val="NoneA"/>
        </w:rPr>
        <w:t>May 12</w:t>
      </w:r>
      <w:r w:rsidR="00541FF9">
        <w:rPr>
          <w:rStyle w:val="NoneA"/>
        </w:rPr>
        <w:t>, 2022</w:t>
      </w:r>
    </w:p>
    <w:p w14:paraId="4C6E26B0" w14:textId="77777777" w:rsidR="00D2729A" w:rsidRDefault="00AE7F39">
      <w:pPr>
        <w:pStyle w:val="Heading"/>
        <w:rPr>
          <w:rFonts w:ascii="Times New Roman" w:eastAsia="Times New Roman" w:hAnsi="Times New Roman" w:cs="Times New Roman"/>
          <w:b/>
          <w:bCs/>
          <w:color w:val="000000"/>
          <w:sz w:val="24"/>
          <w:szCs w:val="24"/>
          <w:u w:val="single" w:color="000000"/>
        </w:rPr>
      </w:pPr>
      <w:r>
        <w:rPr>
          <w:rFonts w:ascii="Times New Roman" w:hAnsi="Times New Roman"/>
          <w:b/>
          <w:bCs/>
          <w:color w:val="000000"/>
          <w:sz w:val="24"/>
          <w:szCs w:val="24"/>
          <w:u w:val="single" w:color="000000"/>
        </w:rPr>
        <w:t>Background</w:t>
      </w:r>
    </w:p>
    <w:p w14:paraId="38CF1976" w14:textId="77777777" w:rsidR="00D2729A" w:rsidRDefault="00D2729A">
      <w:pPr>
        <w:pStyle w:val="BodyA"/>
      </w:pPr>
    </w:p>
    <w:p w14:paraId="7C109071" w14:textId="77777777" w:rsidR="00D2729A" w:rsidRDefault="00AE7F39">
      <w:pPr>
        <w:pStyle w:val="BodyA"/>
      </w:pPr>
      <w:r>
        <w:t xml:space="preserve">The Abbott BinaxNOW test received Emergency Use Authorization (EUA) from the Food and Drug Administration (FDA) in late August. The test is performed on a nasal swab and delivers results in just 15 minutes with no instrumentation, using lateral flow technology with observed sensitivity of 97.1% and specificity of 98.5% in a clinical study. The test was approved for detection of SARS-CoV2 in symptomatic individuals within 7 days of onset of illness but may be used </w:t>
      </w:r>
      <w:r>
        <w:rPr>
          <w:rFonts w:ascii="Arial Unicode MS" w:hAnsi="Arial Unicode MS"/>
          <w:rtl/>
          <w:lang w:val="ar-SA"/>
        </w:rPr>
        <w:t>“</w:t>
      </w:r>
      <w:r>
        <w:t xml:space="preserve">off label” in asymptomatic individuals (discussed below). The EUA allows for use in point-of-care settings that are qualified to have the test performed and are operating under a CLIA (Clinical Laboratory Improvement Amendments) Certificate of Waiver, Certificate of Compliance, or Certificate of Accreditation. Within these settings, the test can be performed by a variety of trained professionals, including nurses. </w:t>
      </w:r>
    </w:p>
    <w:p w14:paraId="22823152" w14:textId="77777777" w:rsidR="00D2729A" w:rsidRDefault="00D2729A">
      <w:pPr>
        <w:pStyle w:val="BodyA"/>
      </w:pPr>
    </w:p>
    <w:p w14:paraId="251DC0F3" w14:textId="4344DA02" w:rsidR="00DC0BB4" w:rsidRPr="00DC0BB4" w:rsidRDefault="00AE7F39" w:rsidP="00DC0BB4">
      <w:pPr>
        <w:rPr>
          <w:rFonts w:eastAsia="Times New Roman"/>
          <w:bdr w:val="none" w:sz="0" w:space="0" w:color="auto"/>
        </w:rPr>
      </w:pPr>
      <w:r>
        <w:t>The Commonwealth conducted a validation study of the performance of the Abbott BinaxN</w:t>
      </w:r>
      <w:r w:rsidR="00BE2242">
        <w:t>OW</w:t>
      </w:r>
      <w:r>
        <w:t xml:space="preserve"> test in both symptomatic and asymptomatic individuals at a high throughput, drive-through, free community testing site in Massachusetts. A paired PCR result was the reference for sensitivity and specificity calculations. The BinaxNOW was found to have a very high sensitivity in adults with high viral loads, especially those who were newly symptomatic, and a very high specificity overall.  Overall, 98.6% sensitivity was observed in those with high viral levels (Ct </w:t>
      </w:r>
      <w:r>
        <w:rPr>
          <w:u w:val="single"/>
        </w:rPr>
        <w:t xml:space="preserve">&lt; </w:t>
      </w:r>
      <w:r>
        <w:t xml:space="preserve">30) and </w:t>
      </w:r>
      <w:r>
        <w:lastRenderedPageBreak/>
        <w:t xml:space="preserve">99%+ specificity was observed across all groups. Further details about the study can be found here: </w:t>
      </w:r>
      <w:r w:rsidR="00541FF9" w:rsidRPr="00541FF9">
        <w:rPr>
          <w:color w:val="0000FF"/>
          <w:u w:val="single" w:color="0000FF"/>
          <w:lang w:val="de-DE"/>
        </w:rPr>
        <w:t xml:space="preserve"> </w:t>
      </w:r>
      <w:hyperlink r:id="rId11" w:history="1">
        <w:r w:rsidR="00541FF9" w:rsidRPr="00357F29">
          <w:rPr>
            <w:rStyle w:val="Hyperlink"/>
            <w:lang w:val="de-DE"/>
          </w:rPr>
          <w:t>BinaxNOW Antigen Test General Study</w:t>
        </w:r>
      </w:hyperlink>
    </w:p>
    <w:p w14:paraId="77AACA69" w14:textId="0FB5DD81" w:rsidR="00D2729A" w:rsidRDefault="00D2729A">
      <w:pPr>
        <w:pStyle w:val="BodyA"/>
      </w:pPr>
    </w:p>
    <w:p w14:paraId="6E24241D" w14:textId="77777777" w:rsidR="00D2729A" w:rsidRDefault="00D2729A">
      <w:pPr>
        <w:pStyle w:val="BodyA"/>
      </w:pPr>
    </w:p>
    <w:p w14:paraId="072CEF6A" w14:textId="52E7E2D6" w:rsidR="00D2729A" w:rsidRDefault="00AE7F39">
      <w:pPr>
        <w:pStyle w:val="BodyA"/>
      </w:pPr>
      <w:r>
        <w:rPr>
          <w:rStyle w:val="NoneA"/>
        </w:rPr>
        <w:t xml:space="preserve">The Massachusetts Department of Public Health (DPH) is </w:t>
      </w:r>
      <w:r w:rsidR="00521983">
        <w:rPr>
          <w:rStyle w:val="NoneA"/>
        </w:rPr>
        <w:t xml:space="preserve">extending the time frame </w:t>
      </w:r>
      <w:r w:rsidR="007D0E63">
        <w:rPr>
          <w:rStyle w:val="NoneA"/>
        </w:rPr>
        <w:t>during which</w:t>
      </w:r>
      <w:r w:rsidR="00521983">
        <w:rPr>
          <w:rStyle w:val="NoneA"/>
        </w:rPr>
        <w:t xml:space="preserve"> </w:t>
      </w:r>
      <w:r>
        <w:rPr>
          <w:rStyle w:val="NoneA"/>
        </w:rPr>
        <w:t xml:space="preserve">BinaxNOW test kits </w:t>
      </w:r>
      <w:r w:rsidR="007D0E63">
        <w:rPr>
          <w:rStyle w:val="NoneA"/>
        </w:rPr>
        <w:t xml:space="preserve">are being made </w:t>
      </w:r>
      <w:r>
        <w:rPr>
          <w:rStyle w:val="NoneA"/>
        </w:rPr>
        <w:t xml:space="preserve">available for use at Community Health Centers and </w:t>
      </w:r>
      <w:r w:rsidR="00DC0BB4">
        <w:rPr>
          <w:rStyle w:val="NoneA"/>
        </w:rPr>
        <w:t xml:space="preserve">Non-acute and </w:t>
      </w:r>
      <w:r>
        <w:rPr>
          <w:rStyle w:val="NoneA"/>
        </w:rPr>
        <w:t xml:space="preserve">Community Hospitals to respond to the </w:t>
      </w:r>
      <w:r w:rsidR="00521983">
        <w:rPr>
          <w:rStyle w:val="NoneA"/>
        </w:rPr>
        <w:t xml:space="preserve">ongoing </w:t>
      </w:r>
      <w:r>
        <w:rPr>
          <w:rStyle w:val="NoneA"/>
        </w:rPr>
        <w:t xml:space="preserve">demand for rapid testing. </w:t>
      </w:r>
      <w:bookmarkStart w:id="0" w:name="_Hlk64554018"/>
      <w:r>
        <w:rPr>
          <w:rStyle w:val="NoneA"/>
        </w:rPr>
        <w:t>BinaxNOW tests should be utilized to provide testing to asymptomatic and/or symptomatic community members and patients</w:t>
      </w:r>
      <w:bookmarkEnd w:id="0"/>
      <w:r>
        <w:rPr>
          <w:rStyle w:val="NoneA"/>
        </w:rPr>
        <w:t xml:space="preserve"> at no cost to them for the period </w:t>
      </w:r>
      <w:r w:rsidR="007D0E63">
        <w:rPr>
          <w:rStyle w:val="NoneA"/>
        </w:rPr>
        <w:t xml:space="preserve">through </w:t>
      </w:r>
      <w:r w:rsidR="00541FF9">
        <w:rPr>
          <w:rStyle w:val="NoneA"/>
        </w:rPr>
        <w:t>June 30, 2022</w:t>
      </w:r>
      <w:r>
        <w:rPr>
          <w:rStyle w:val="NoneA"/>
        </w:rPr>
        <w:t xml:space="preserve">. Administration of the BinaxNOW tests may be billed to insurance, </w:t>
      </w:r>
      <w:proofErr w:type="gramStart"/>
      <w:r>
        <w:rPr>
          <w:rStyle w:val="NoneA"/>
        </w:rPr>
        <w:t>similar to</w:t>
      </w:r>
      <w:proofErr w:type="gramEnd"/>
      <w:r>
        <w:rPr>
          <w:rStyle w:val="NoneA"/>
        </w:rPr>
        <w:t xml:space="preserve"> other point-of-care rapid antigen tests.</w:t>
      </w:r>
    </w:p>
    <w:p w14:paraId="61E95AE5" w14:textId="77777777" w:rsidR="00D2729A" w:rsidRDefault="00D2729A">
      <w:pPr>
        <w:pStyle w:val="BodyA"/>
      </w:pPr>
    </w:p>
    <w:p w14:paraId="5050F588" w14:textId="769B6FEA" w:rsidR="00D2729A" w:rsidRDefault="00AE7F39">
      <w:pPr>
        <w:pStyle w:val="BodyA"/>
      </w:pPr>
      <w:r>
        <w:rPr>
          <w:rStyle w:val="NoneA"/>
        </w:rPr>
        <w:t>The guidance below provides information to Community Health Centers</w:t>
      </w:r>
      <w:r w:rsidR="00AF641D">
        <w:rPr>
          <w:rStyle w:val="NoneA"/>
        </w:rPr>
        <w:t>, Non-acute</w:t>
      </w:r>
      <w:r>
        <w:rPr>
          <w:rStyle w:val="NoneA"/>
        </w:rPr>
        <w:t xml:space="preserve"> and Community Hospitals on how to request BinaxNOW test kits from DPH, the situations in which kits requested from DPH may be used, and what documentation and protocols must be in place prior to a Community Health Center</w:t>
      </w:r>
      <w:r w:rsidR="00AF641D">
        <w:rPr>
          <w:rStyle w:val="NoneA"/>
        </w:rPr>
        <w:t>, Non-acute</w:t>
      </w:r>
      <w:r>
        <w:rPr>
          <w:rStyle w:val="NoneA"/>
        </w:rPr>
        <w:t xml:space="preserve"> or Community Hospital requesting test kits.</w:t>
      </w:r>
      <w:r w:rsidR="00C265DB">
        <w:rPr>
          <w:rStyle w:val="NoneA"/>
        </w:rPr>
        <w:t xml:space="preserve">  This guidance also clarifies that only antigen tests that are positive need to be reported to DPH’s State Laboratory.  </w:t>
      </w:r>
    </w:p>
    <w:p w14:paraId="4CE8434A" w14:textId="5A3B7AEE" w:rsidR="00D2729A" w:rsidRDefault="00AE7F39">
      <w:pPr>
        <w:pStyle w:val="Heading"/>
        <w:rPr>
          <w:rStyle w:val="None"/>
          <w:rFonts w:ascii="Times New Roman" w:eastAsia="Times New Roman" w:hAnsi="Times New Roman" w:cs="Times New Roman"/>
          <w:b/>
          <w:bCs/>
          <w:color w:val="000000"/>
          <w:sz w:val="24"/>
          <w:szCs w:val="24"/>
          <w:u w:val="single" w:color="000000"/>
        </w:rPr>
      </w:pPr>
      <w:r>
        <w:rPr>
          <w:rStyle w:val="None"/>
          <w:rFonts w:ascii="Times New Roman" w:hAnsi="Times New Roman"/>
          <w:b/>
          <w:bCs/>
          <w:color w:val="000000"/>
          <w:sz w:val="24"/>
          <w:szCs w:val="24"/>
          <w:u w:val="single" w:color="000000"/>
        </w:rPr>
        <w:t xml:space="preserve">Use of BinaxNOW test kits </w:t>
      </w:r>
      <w:r w:rsidR="0007309A">
        <w:rPr>
          <w:rStyle w:val="None"/>
          <w:rFonts w:ascii="Times New Roman" w:hAnsi="Times New Roman"/>
          <w:b/>
          <w:bCs/>
          <w:color w:val="000000"/>
          <w:sz w:val="24"/>
          <w:szCs w:val="24"/>
          <w:u w:val="single" w:color="000000"/>
        </w:rPr>
        <w:t xml:space="preserve">by </w:t>
      </w:r>
      <w:r>
        <w:rPr>
          <w:rStyle w:val="None"/>
          <w:rFonts w:ascii="Times New Roman" w:hAnsi="Times New Roman"/>
          <w:b/>
          <w:bCs/>
          <w:color w:val="000000"/>
          <w:sz w:val="24"/>
          <w:szCs w:val="24"/>
          <w:u w:val="single" w:color="000000"/>
        </w:rPr>
        <w:t>Massachusetts Community Health Centers and Community Hospitals:</w:t>
      </w:r>
    </w:p>
    <w:p w14:paraId="17BA13E5" w14:textId="77777777" w:rsidR="00D2729A" w:rsidRDefault="00D2729A">
      <w:pPr>
        <w:pStyle w:val="BodyA"/>
      </w:pPr>
    </w:p>
    <w:p w14:paraId="272EFC31" w14:textId="37E4A141" w:rsidR="0007309A" w:rsidRDefault="0007309A">
      <w:pPr>
        <w:pStyle w:val="BodyA"/>
      </w:pPr>
      <w:r>
        <w:rPr>
          <w:rStyle w:val="NoneA"/>
        </w:rPr>
        <w:t xml:space="preserve">BinaxNOW tests can be utilized to provide testing to asymptomatic and/or symptomatic community members and patients. </w:t>
      </w:r>
      <w:r w:rsidR="00AE7F39">
        <w:rPr>
          <w:rStyle w:val="NoneA"/>
        </w:rPr>
        <w:t xml:space="preserve">BinaxNOW test kits are </w:t>
      </w:r>
      <w:r w:rsidR="00AE7F39">
        <w:rPr>
          <w:rStyle w:val="None"/>
          <w:b/>
          <w:bCs/>
        </w:rPr>
        <w:t>not</w:t>
      </w:r>
      <w:r w:rsidR="00AE7F39">
        <w:rPr>
          <w:rStyle w:val="NoneA"/>
        </w:rPr>
        <w:t xml:space="preserve"> appropriate for broad scale asymptomatic testing of employees, other staff, or for external organizations. However, these tests may be used for </w:t>
      </w:r>
      <w:r>
        <w:rPr>
          <w:rStyle w:val="NoneA"/>
        </w:rPr>
        <w:t xml:space="preserve">testing of </w:t>
      </w:r>
      <w:r w:rsidR="00AE7F39">
        <w:rPr>
          <w:rStyle w:val="NoneA"/>
        </w:rPr>
        <w:t xml:space="preserve">symptomatic employees and </w:t>
      </w:r>
      <w:proofErr w:type="gramStart"/>
      <w:r w:rsidR="00AE7F39">
        <w:rPr>
          <w:rStyle w:val="NoneA"/>
        </w:rPr>
        <w:t>staff</w:t>
      </w:r>
      <w:proofErr w:type="gramEnd"/>
      <w:r w:rsidR="007D0E63">
        <w:rPr>
          <w:rStyle w:val="NoneA"/>
        </w:rPr>
        <w:t xml:space="preserve"> </w:t>
      </w:r>
      <w:r>
        <w:rPr>
          <w:rStyle w:val="NoneA"/>
        </w:rPr>
        <w:t xml:space="preserve">or asymptomatic employees and staff </w:t>
      </w:r>
      <w:r w:rsidR="007D0E63">
        <w:rPr>
          <w:rStyle w:val="NoneA"/>
        </w:rPr>
        <w:t>identified as close contacts</w:t>
      </w:r>
      <w:r w:rsidR="00AE7F39">
        <w:rPr>
          <w:rStyle w:val="NoneA"/>
        </w:rPr>
        <w:t xml:space="preserve">. </w:t>
      </w:r>
      <w:r>
        <w:rPr>
          <w:rStyle w:val="NoneA"/>
        </w:rPr>
        <w:t xml:space="preserve"> BinaxNOW tests should not be used for pre- or post-travel screening.</w:t>
      </w:r>
    </w:p>
    <w:p w14:paraId="23F89089" w14:textId="77777777" w:rsidR="00D2729A" w:rsidRDefault="00D2729A">
      <w:pPr>
        <w:pStyle w:val="BodyA"/>
      </w:pPr>
    </w:p>
    <w:p w14:paraId="11CDA8EC" w14:textId="234CD129" w:rsidR="00D2729A" w:rsidRDefault="00AE7F39">
      <w:pPr>
        <w:pStyle w:val="ListParagraph"/>
        <w:ind w:left="0"/>
        <w:rPr>
          <w:rStyle w:val="None"/>
          <w:rFonts w:ascii="Times New Roman" w:eastAsia="Times New Roman" w:hAnsi="Times New Roman" w:cs="Times New Roman"/>
          <w:sz w:val="24"/>
          <w:szCs w:val="24"/>
        </w:rPr>
      </w:pPr>
      <w:r>
        <w:rPr>
          <w:rStyle w:val="None"/>
          <w:rFonts w:ascii="Times New Roman" w:hAnsi="Times New Roman"/>
          <w:sz w:val="24"/>
          <w:szCs w:val="24"/>
        </w:rPr>
        <w:t>Situations in which BinaxNOW test kits requested from DPH may be used are described below:</w:t>
      </w:r>
    </w:p>
    <w:p w14:paraId="19D60E59" w14:textId="77777777" w:rsidR="00D2729A" w:rsidRDefault="00D2729A">
      <w:pPr>
        <w:pStyle w:val="BodyA"/>
        <w:ind w:left="720"/>
      </w:pPr>
    </w:p>
    <w:p w14:paraId="43F1310B" w14:textId="77777777" w:rsidR="00D2729A" w:rsidRDefault="00AE7F39">
      <w:pPr>
        <w:pStyle w:val="BodyA"/>
        <w:ind w:left="360"/>
      </w:pPr>
      <w:r>
        <w:rPr>
          <w:rStyle w:val="None"/>
          <w:i/>
          <w:iCs/>
        </w:rPr>
        <w:t xml:space="preserve">Asymptomatic community members and patients seeking testing: </w:t>
      </w:r>
    </w:p>
    <w:p w14:paraId="16F33C21" w14:textId="77777777" w:rsidR="00D2729A" w:rsidRDefault="00D2729A">
      <w:pPr>
        <w:pStyle w:val="ListParagraph"/>
        <w:ind w:left="1500"/>
        <w:rPr>
          <w:rStyle w:val="None"/>
          <w:rFonts w:ascii="Times New Roman" w:eastAsia="Times New Roman" w:hAnsi="Times New Roman" w:cs="Times New Roman"/>
          <w:sz w:val="24"/>
          <w:szCs w:val="24"/>
        </w:rPr>
      </w:pPr>
    </w:p>
    <w:p w14:paraId="0C567C42" w14:textId="5500D122" w:rsidR="00D2729A" w:rsidRDefault="00AE7F39">
      <w:pPr>
        <w:pStyle w:val="ListParagraph"/>
        <w:numPr>
          <w:ilvl w:val="0"/>
          <w:numId w:val="2"/>
        </w:numPr>
        <w:rPr>
          <w:rFonts w:ascii="Times New Roman" w:hAnsi="Times New Roman"/>
          <w:sz w:val="24"/>
          <w:szCs w:val="24"/>
        </w:rPr>
      </w:pPr>
      <w:r>
        <w:rPr>
          <w:rStyle w:val="NoneA"/>
          <w:rFonts w:ascii="Times New Roman" w:hAnsi="Times New Roman"/>
          <w:sz w:val="24"/>
          <w:szCs w:val="24"/>
        </w:rPr>
        <w:t xml:space="preserve">Those who test positive should be treated as a positive COVID-19 case; these individuals should be instructed to isolate </w:t>
      </w:r>
      <w:r w:rsidR="00802952">
        <w:rPr>
          <w:rStyle w:val="NoneA"/>
          <w:rFonts w:ascii="Times New Roman" w:hAnsi="Times New Roman"/>
          <w:sz w:val="24"/>
          <w:szCs w:val="24"/>
        </w:rPr>
        <w:t>and managed accordingly.</w:t>
      </w:r>
    </w:p>
    <w:p w14:paraId="6CE9A147" w14:textId="407D7E4A" w:rsidR="00D2729A" w:rsidRDefault="00AE7F39">
      <w:pPr>
        <w:pStyle w:val="ListParagraph"/>
        <w:numPr>
          <w:ilvl w:val="0"/>
          <w:numId w:val="2"/>
        </w:numPr>
        <w:rPr>
          <w:rFonts w:ascii="Times New Roman" w:hAnsi="Times New Roman"/>
          <w:sz w:val="24"/>
          <w:szCs w:val="24"/>
        </w:rPr>
      </w:pPr>
      <w:r>
        <w:rPr>
          <w:rStyle w:val="NoneA"/>
          <w:rFonts w:ascii="Times New Roman" w:hAnsi="Times New Roman"/>
          <w:sz w:val="24"/>
          <w:szCs w:val="24"/>
        </w:rPr>
        <w:t>Those who test negative should be informed of their test result. Negative tests in asymptomatic individuals do not need to be confirmed by a PCR</w:t>
      </w:r>
      <w:r w:rsidR="00DD6F55">
        <w:rPr>
          <w:rStyle w:val="NoneA"/>
          <w:rFonts w:ascii="Times New Roman" w:hAnsi="Times New Roman"/>
          <w:sz w:val="24"/>
          <w:szCs w:val="24"/>
        </w:rPr>
        <w:t xml:space="preserve"> (or other nucleic acid amplification)</w:t>
      </w:r>
      <w:r>
        <w:rPr>
          <w:rStyle w:val="NoneA"/>
          <w:rFonts w:ascii="Times New Roman" w:hAnsi="Times New Roman"/>
          <w:sz w:val="24"/>
          <w:szCs w:val="24"/>
        </w:rPr>
        <w:t xml:space="preserve"> test. However, individuals should be counseled that if they develop </w:t>
      </w:r>
      <w:r>
        <w:rPr>
          <w:rStyle w:val="None"/>
          <w:rFonts w:ascii="Times New Roman" w:hAnsi="Times New Roman"/>
          <w:b/>
          <w:bCs/>
          <w:sz w:val="24"/>
          <w:szCs w:val="24"/>
        </w:rPr>
        <w:t>any</w:t>
      </w:r>
      <w:r>
        <w:rPr>
          <w:rStyle w:val="NoneA"/>
          <w:rFonts w:ascii="Times New Roman" w:hAnsi="Times New Roman"/>
          <w:sz w:val="24"/>
          <w:szCs w:val="24"/>
        </w:rPr>
        <w:t xml:space="preserve"> symptoms of COVID-19 within several days, </w:t>
      </w:r>
      <w:r w:rsidR="00802952">
        <w:rPr>
          <w:rStyle w:val="NoneA"/>
          <w:rFonts w:ascii="Times New Roman" w:hAnsi="Times New Roman"/>
          <w:sz w:val="24"/>
          <w:szCs w:val="24"/>
        </w:rPr>
        <w:t>retesting should be considered</w:t>
      </w:r>
      <w:r>
        <w:rPr>
          <w:rStyle w:val="NoneA"/>
          <w:rFonts w:ascii="Times New Roman" w:hAnsi="Times New Roman"/>
          <w:sz w:val="24"/>
          <w:szCs w:val="24"/>
        </w:rPr>
        <w:t>.</w:t>
      </w:r>
    </w:p>
    <w:p w14:paraId="59DD0E90" w14:textId="77777777" w:rsidR="00D2729A" w:rsidRDefault="00D2729A">
      <w:pPr>
        <w:pStyle w:val="BodyA"/>
        <w:tabs>
          <w:tab w:val="left" w:pos="1380"/>
        </w:tabs>
      </w:pPr>
    </w:p>
    <w:p w14:paraId="10848833" w14:textId="77777777" w:rsidR="00D2729A" w:rsidRDefault="00AE7F39">
      <w:pPr>
        <w:pStyle w:val="BodyA"/>
        <w:ind w:left="360"/>
      </w:pPr>
      <w:r>
        <w:rPr>
          <w:rStyle w:val="None"/>
          <w:i/>
          <w:iCs/>
        </w:rPr>
        <w:t xml:space="preserve">Community members, patients, and CHC and Community Hospital staff seeking testing with symptoms: </w:t>
      </w:r>
      <w:r>
        <w:rPr>
          <w:rStyle w:val="NoneA"/>
        </w:rPr>
        <w:t>community members, patients, and staff members who have symptoms of an illness consistent with COVID-19 may be tested using the BinaxNOW test:</w:t>
      </w:r>
    </w:p>
    <w:p w14:paraId="4769D6DB" w14:textId="77777777" w:rsidR="00D2729A" w:rsidRDefault="00D2729A">
      <w:pPr>
        <w:pStyle w:val="BodyA"/>
        <w:ind w:left="360" w:firstLine="360"/>
      </w:pPr>
    </w:p>
    <w:tbl>
      <w:tblPr>
        <w:tblW w:w="9468"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468"/>
      </w:tblGrid>
      <w:tr w:rsidR="00D2729A" w14:paraId="22403350" w14:textId="77777777">
        <w:trPr>
          <w:trHeight w:val="271"/>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47097" w14:textId="77777777" w:rsidR="00D2729A" w:rsidRDefault="00AE7F39">
            <w:pPr>
              <w:pStyle w:val="BodyA"/>
              <w:keepNext/>
              <w:widowControl w:val="0"/>
              <w:spacing w:before="80" w:after="40"/>
              <w:jc w:val="center"/>
              <w:outlineLvl w:val="7"/>
            </w:pPr>
            <w:r>
              <w:rPr>
                <w:rStyle w:val="None"/>
                <w:b/>
                <w:bCs/>
                <w:sz w:val="22"/>
                <w:szCs w:val="22"/>
                <w:u w:val="single"/>
              </w:rPr>
              <w:lastRenderedPageBreak/>
              <w:t>Symptoms consistent with COVID-19</w:t>
            </w:r>
          </w:p>
        </w:tc>
      </w:tr>
      <w:tr w:rsidR="00D2729A" w14:paraId="5840C0BA" w14:textId="77777777">
        <w:trPr>
          <w:trHeight w:val="4317"/>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5177"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Fever (100.0° Fahrenheit or higher), chills, or shaking chills</w:t>
            </w:r>
          </w:p>
          <w:p w14:paraId="782B0E0E"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Cough (not due to other known cause, such as chronic cough)</w:t>
            </w:r>
          </w:p>
          <w:p w14:paraId="26C72866"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Difficulty breathing or shortness of breath</w:t>
            </w:r>
          </w:p>
          <w:p w14:paraId="41658787"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New loss of taste or smell</w:t>
            </w:r>
          </w:p>
          <w:p w14:paraId="6F0D21E7"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Sore throat</w:t>
            </w:r>
          </w:p>
          <w:p w14:paraId="65DA8F48"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Headache</w:t>
            </w:r>
          </w:p>
          <w:p w14:paraId="0CB79A72"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Muscle aches or body aches</w:t>
            </w:r>
          </w:p>
          <w:p w14:paraId="7AACC05B"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Nausea, vomiting, or diarrhea</w:t>
            </w:r>
          </w:p>
          <w:p w14:paraId="505C650F"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Fatigue</w:t>
            </w:r>
          </w:p>
          <w:p w14:paraId="039DCFFD" w14:textId="77777777" w:rsidR="00D2729A" w:rsidRDefault="00AE7F39">
            <w:pPr>
              <w:pStyle w:val="BodyA"/>
              <w:widowControl w:val="0"/>
              <w:numPr>
                <w:ilvl w:val="0"/>
                <w:numId w:val="3"/>
              </w:numPr>
              <w:spacing w:before="20" w:after="200" w:line="276" w:lineRule="auto"/>
              <w:rPr>
                <w:sz w:val="20"/>
                <w:szCs w:val="20"/>
              </w:rPr>
            </w:pPr>
            <w:r>
              <w:rPr>
                <w:rStyle w:val="None"/>
                <w:sz w:val="20"/>
                <w:szCs w:val="20"/>
              </w:rPr>
              <w:t xml:space="preserve">Nasal congestion or runny nose </w:t>
            </w:r>
          </w:p>
        </w:tc>
      </w:tr>
    </w:tbl>
    <w:p w14:paraId="472E72AA" w14:textId="77777777" w:rsidR="00D2729A" w:rsidRDefault="00D2729A">
      <w:pPr>
        <w:pStyle w:val="BodyA"/>
        <w:widowControl w:val="0"/>
        <w:ind w:left="432" w:hanging="432"/>
      </w:pPr>
    </w:p>
    <w:p w14:paraId="5532F536" w14:textId="77777777" w:rsidR="00D2729A" w:rsidRDefault="00D2729A">
      <w:pPr>
        <w:pStyle w:val="BodyA"/>
      </w:pPr>
    </w:p>
    <w:p w14:paraId="1EF5F1A2" w14:textId="77777777" w:rsidR="00D2729A" w:rsidRDefault="00AE7F39">
      <w:pPr>
        <w:pStyle w:val="ListParagraph"/>
        <w:numPr>
          <w:ilvl w:val="0"/>
          <w:numId w:val="2"/>
        </w:numPr>
        <w:rPr>
          <w:rFonts w:ascii="Times New Roman" w:hAnsi="Times New Roman"/>
          <w:sz w:val="24"/>
          <w:szCs w:val="24"/>
        </w:rPr>
      </w:pPr>
      <w:r>
        <w:rPr>
          <w:rStyle w:val="NoneA"/>
          <w:rFonts w:ascii="Times New Roman" w:hAnsi="Times New Roman"/>
          <w:sz w:val="24"/>
          <w:szCs w:val="24"/>
        </w:rPr>
        <w:t xml:space="preserve">Those who test positive should be treated as a positive COVID-19 </w:t>
      </w:r>
      <w:proofErr w:type="gramStart"/>
      <w:r>
        <w:rPr>
          <w:rStyle w:val="NoneA"/>
          <w:rFonts w:ascii="Times New Roman" w:hAnsi="Times New Roman"/>
          <w:sz w:val="24"/>
          <w:szCs w:val="24"/>
        </w:rPr>
        <w:t>case;</w:t>
      </w:r>
      <w:proofErr w:type="gramEnd"/>
      <w:r>
        <w:rPr>
          <w:rStyle w:val="NoneA"/>
          <w:rFonts w:ascii="Times New Roman" w:hAnsi="Times New Roman"/>
          <w:sz w:val="24"/>
          <w:szCs w:val="24"/>
        </w:rPr>
        <w:t xml:space="preserve">  </w:t>
      </w:r>
    </w:p>
    <w:p w14:paraId="2D77FC6D" w14:textId="4A82606A" w:rsidR="00802952" w:rsidRPr="00DB0ADA" w:rsidRDefault="00802952" w:rsidP="0080295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color w:val="000000"/>
        </w:rPr>
      </w:pPr>
      <w:r w:rsidRPr="00DB0ADA">
        <w:rPr>
          <w:color w:val="000000"/>
        </w:rPr>
        <w:t xml:space="preserve">Those who test negative should be informed that the negative test is </w:t>
      </w:r>
      <w:proofErr w:type="gramStart"/>
      <w:r w:rsidRPr="00DB0ADA">
        <w:rPr>
          <w:color w:val="000000"/>
        </w:rPr>
        <w:t>presumptive</w:t>
      </w:r>
      <w:proofErr w:type="gramEnd"/>
      <w:r w:rsidRPr="00DB0ADA">
        <w:rPr>
          <w:color w:val="000000"/>
        </w:rPr>
        <w:t xml:space="preserve"> and the </w:t>
      </w:r>
      <w:r>
        <w:rPr>
          <w:color w:val="000000"/>
        </w:rPr>
        <w:t>provider</w:t>
      </w:r>
      <w:r w:rsidRPr="00DB0ADA">
        <w:rPr>
          <w:color w:val="000000"/>
        </w:rPr>
        <w:t xml:space="preserve"> should follow up with the individual’s provider and order a </w:t>
      </w:r>
      <w:r>
        <w:rPr>
          <w:color w:val="000000"/>
        </w:rPr>
        <w:t xml:space="preserve">repeat </w:t>
      </w:r>
      <w:r w:rsidRPr="00DB0ADA">
        <w:rPr>
          <w:color w:val="000000"/>
        </w:rPr>
        <w:t>test for COVID-19</w:t>
      </w:r>
      <w:r>
        <w:rPr>
          <w:rStyle w:val="FootnoteReference"/>
          <w:color w:val="000000"/>
        </w:rPr>
        <w:footnoteReference w:id="1"/>
      </w:r>
      <w:r w:rsidRPr="00DB0ADA">
        <w:rPr>
          <w:color w:val="000000"/>
        </w:rPr>
        <w:t xml:space="preserve">. </w:t>
      </w:r>
    </w:p>
    <w:p w14:paraId="5C43A599" w14:textId="121B6127" w:rsidR="00D2729A" w:rsidRDefault="00AE7F39">
      <w:pPr>
        <w:pStyle w:val="ListParagraph"/>
        <w:numPr>
          <w:ilvl w:val="0"/>
          <w:numId w:val="2"/>
        </w:numPr>
        <w:rPr>
          <w:rFonts w:ascii="Times New Roman" w:hAnsi="Times New Roman"/>
          <w:sz w:val="24"/>
          <w:szCs w:val="24"/>
        </w:rPr>
      </w:pPr>
      <w:r>
        <w:rPr>
          <w:rStyle w:val="NoneA"/>
          <w:rFonts w:ascii="Times New Roman" w:hAnsi="Times New Roman"/>
          <w:sz w:val="24"/>
          <w:szCs w:val="24"/>
        </w:rPr>
        <w:t>);</w:t>
      </w:r>
    </w:p>
    <w:p w14:paraId="13E31229" w14:textId="636A0B08" w:rsidR="00D2729A" w:rsidRDefault="00AE7F39">
      <w:pPr>
        <w:pStyle w:val="BodyA"/>
        <w:ind w:left="720"/>
        <w:rPr>
          <w:rStyle w:val="None"/>
        </w:rPr>
      </w:pPr>
      <w:r>
        <w:rPr>
          <w:rStyle w:val="None"/>
          <w:i/>
          <w:iCs/>
        </w:rPr>
        <w:t xml:space="preserve">PCR test confirmation for patients, community members, and CHC or Community Hospital staff:  </w:t>
      </w:r>
      <w:r>
        <w:rPr>
          <w:rStyle w:val="None"/>
        </w:rPr>
        <w:t xml:space="preserve">When a PCR test is indicated for confirmation, the result of a PCR test taken within 2 days of an antigen test will </w:t>
      </w:r>
      <w:r>
        <w:rPr>
          <w:rStyle w:val="None"/>
          <w:rFonts w:ascii="Arial Unicode MS" w:hAnsi="Arial Unicode MS"/>
          <w:rtl/>
          <w:lang w:val="ar-SA"/>
        </w:rPr>
        <w:t>“</w:t>
      </w:r>
      <w:r>
        <w:rPr>
          <w:rStyle w:val="None"/>
        </w:rPr>
        <w:t>override” the result of the antigen test in situations where the test results are different. Antigen positive individuals should not routinely try to get a PCR test in the hope of testing negative.</w:t>
      </w:r>
    </w:p>
    <w:p w14:paraId="268DB650" w14:textId="551BFC66" w:rsidR="0007309A" w:rsidRDefault="0007309A" w:rsidP="0007309A">
      <w:pPr>
        <w:pStyle w:val="BodyA"/>
      </w:pPr>
    </w:p>
    <w:p w14:paraId="2DAEC5C0" w14:textId="7CF3C37C" w:rsidR="0007309A" w:rsidRDefault="0007309A" w:rsidP="00562DCE">
      <w:pPr>
        <w:pStyle w:val="BodyA"/>
      </w:pPr>
      <w:r>
        <w:t>Consideration should be given to testing for other respiratory virus infections</w:t>
      </w:r>
      <w:r w:rsidR="00014422">
        <w:t>, especially influenza,</w:t>
      </w:r>
      <w:r>
        <w:t xml:space="preserve"> </w:t>
      </w:r>
      <w:r w:rsidR="00014422">
        <w:t>in symptomatic people who test negative for COVID-19.</w:t>
      </w:r>
    </w:p>
    <w:p w14:paraId="093C775B" w14:textId="1B2E85C5" w:rsidR="00D2729A" w:rsidRDefault="00AE7F39">
      <w:pPr>
        <w:pStyle w:val="Heading"/>
        <w:rPr>
          <w:rStyle w:val="None"/>
          <w:rFonts w:ascii="Times New Roman" w:eastAsia="Times New Roman" w:hAnsi="Times New Roman" w:cs="Times New Roman"/>
          <w:b/>
          <w:bCs/>
          <w:color w:val="000000"/>
          <w:sz w:val="24"/>
          <w:szCs w:val="24"/>
          <w:u w:val="single" w:color="000000"/>
        </w:rPr>
      </w:pPr>
      <w:r>
        <w:rPr>
          <w:rStyle w:val="None"/>
          <w:rFonts w:ascii="Times New Roman" w:hAnsi="Times New Roman"/>
          <w:b/>
          <w:bCs/>
          <w:color w:val="000000"/>
          <w:sz w:val="24"/>
          <w:szCs w:val="24"/>
          <w:u w:val="single" w:color="000000"/>
        </w:rPr>
        <w:t>Temperature Controls for Binax</w:t>
      </w:r>
      <w:r w:rsidR="00BE2242">
        <w:rPr>
          <w:rStyle w:val="None"/>
          <w:rFonts w:ascii="Times New Roman" w:hAnsi="Times New Roman"/>
          <w:b/>
          <w:bCs/>
          <w:color w:val="000000"/>
          <w:sz w:val="24"/>
          <w:szCs w:val="24"/>
          <w:u w:val="single" w:color="000000"/>
        </w:rPr>
        <w:t>NOW</w:t>
      </w:r>
      <w:r>
        <w:rPr>
          <w:rStyle w:val="None"/>
          <w:rFonts w:ascii="Times New Roman" w:hAnsi="Times New Roman"/>
          <w:b/>
          <w:bCs/>
          <w:color w:val="000000"/>
          <w:sz w:val="24"/>
          <w:szCs w:val="24"/>
          <w:u w:val="single" w:color="000000"/>
        </w:rPr>
        <w:t xml:space="preserve"> test kits</w:t>
      </w:r>
    </w:p>
    <w:p w14:paraId="6FBB83F8" w14:textId="77777777" w:rsidR="00D2729A" w:rsidRDefault="00D2729A">
      <w:pPr>
        <w:pStyle w:val="BodyA"/>
      </w:pPr>
    </w:p>
    <w:p w14:paraId="07C2BDDA" w14:textId="77777777" w:rsidR="00D2729A" w:rsidRDefault="00AE7F39">
      <w:pPr>
        <w:pStyle w:val="BodyA"/>
        <w:tabs>
          <w:tab w:val="left" w:pos="1380"/>
        </w:tabs>
      </w:pPr>
      <w:r>
        <w:rPr>
          <w:rStyle w:val="None"/>
        </w:rPr>
        <w:t>In accordance with the BinaxNOW COVID-19 Ag Card test</w:t>
      </w:r>
      <w:r>
        <w:rPr>
          <w:rStyle w:val="None"/>
          <w:rFonts w:ascii="Arial Unicode MS" w:hAnsi="Arial Unicode MS"/>
          <w:rtl/>
          <w:lang w:val="ar-SA"/>
        </w:rPr>
        <w:t>’</w:t>
      </w:r>
      <w:r>
        <w:rPr>
          <w:rStyle w:val="None"/>
        </w:rPr>
        <w:t>s instructions for use (IFU), test kits must be stored at temperatures between 2 and 30</w:t>
      </w:r>
      <w:r>
        <w:rPr>
          <w:rStyle w:val="None"/>
          <w:lang w:val="it-IT"/>
        </w:rPr>
        <w:t>°</w:t>
      </w:r>
      <w:r>
        <w:rPr>
          <w:rStyle w:val="None"/>
        </w:rPr>
        <w:t>C (35.6 - 86</w:t>
      </w:r>
      <w:r>
        <w:rPr>
          <w:rStyle w:val="None"/>
          <w:lang w:val="it-IT"/>
        </w:rPr>
        <w:t>°</w:t>
      </w:r>
      <w:r>
        <w:rPr>
          <w:rStyle w:val="None"/>
        </w:rPr>
        <w:t>F). The IFU states to ensure that the test components (Antigen card and buffer) are at room temperature (59 and 86</w:t>
      </w:r>
      <w:r>
        <w:rPr>
          <w:rStyle w:val="None"/>
          <w:lang w:val="it-IT"/>
        </w:rPr>
        <w:t>°</w:t>
      </w:r>
      <w:r>
        <w:rPr>
          <w:rStyle w:val="None"/>
        </w:rPr>
        <w:t>F) during per</w:t>
      </w:r>
      <w:r>
        <w:rPr>
          <w:rStyle w:val="None"/>
        </w:rPr>
        <w:lastRenderedPageBreak/>
        <w:t>formance of the test.  DPH requires the room temperature to be recorded upon test administration. Data obtained by DPH indicates that the test</w:t>
      </w:r>
      <w:r>
        <w:rPr>
          <w:rStyle w:val="None"/>
          <w:rFonts w:ascii="Arial Unicode MS" w:hAnsi="Arial Unicode MS"/>
          <w:rtl/>
          <w:lang w:val="ar-SA"/>
        </w:rPr>
        <w:t>’</w:t>
      </w:r>
      <w:r>
        <w:rPr>
          <w:rStyle w:val="None"/>
        </w:rPr>
        <w:t>s accuracy is significantly reduced when used outside of this temperature range.</w:t>
      </w:r>
    </w:p>
    <w:p w14:paraId="54FA184E" w14:textId="77777777" w:rsidR="00D2729A" w:rsidRDefault="00AE7F39">
      <w:pPr>
        <w:pStyle w:val="Heading"/>
        <w:rPr>
          <w:rStyle w:val="None"/>
          <w:rFonts w:ascii="Times New Roman" w:eastAsia="Times New Roman" w:hAnsi="Times New Roman" w:cs="Times New Roman"/>
          <w:b/>
          <w:bCs/>
          <w:color w:val="000000"/>
          <w:sz w:val="24"/>
          <w:szCs w:val="24"/>
          <w:u w:val="single" w:color="000000"/>
        </w:rPr>
      </w:pPr>
      <w:r>
        <w:rPr>
          <w:rStyle w:val="None"/>
          <w:rFonts w:ascii="Times New Roman" w:hAnsi="Times New Roman"/>
          <w:b/>
          <w:bCs/>
          <w:color w:val="000000"/>
          <w:sz w:val="24"/>
          <w:szCs w:val="24"/>
          <w:u w:val="single" w:color="000000"/>
        </w:rPr>
        <w:t>Requirements for providers requesting BinaxNOW test kits:</w:t>
      </w:r>
    </w:p>
    <w:p w14:paraId="19834673" w14:textId="72E670B8" w:rsidR="00D2729A" w:rsidRDefault="00AE7F39">
      <w:pPr>
        <w:pStyle w:val="BodyA"/>
      </w:pPr>
      <w:r>
        <w:rPr>
          <w:rStyle w:val="NoneA"/>
        </w:rPr>
        <w:t>Community Health Centers</w:t>
      </w:r>
      <w:r w:rsidR="00AF641D">
        <w:rPr>
          <w:rStyle w:val="NoneA"/>
        </w:rPr>
        <w:t>, Non-acute</w:t>
      </w:r>
      <w:r>
        <w:rPr>
          <w:rStyle w:val="NoneA"/>
        </w:rPr>
        <w:t xml:space="preserve"> and Community Hospitals must meet the four following requirements </w:t>
      </w:r>
      <w:proofErr w:type="gramStart"/>
      <w:r>
        <w:rPr>
          <w:rStyle w:val="NoneA"/>
        </w:rPr>
        <w:t>in order to</w:t>
      </w:r>
      <w:proofErr w:type="gramEnd"/>
      <w:r>
        <w:rPr>
          <w:rStyle w:val="NoneA"/>
        </w:rPr>
        <w:t xml:space="preserve"> request Abbott BinaxNOW test kits from DPH:</w:t>
      </w:r>
    </w:p>
    <w:p w14:paraId="5C3262A6" w14:textId="77777777" w:rsidR="00D2729A" w:rsidRDefault="00D2729A">
      <w:pPr>
        <w:pStyle w:val="BodyA"/>
      </w:pPr>
    </w:p>
    <w:p w14:paraId="13FF4EFA" w14:textId="77777777" w:rsidR="00D2729A" w:rsidRDefault="00AE7F39">
      <w:pPr>
        <w:pStyle w:val="ListParagraph"/>
        <w:numPr>
          <w:ilvl w:val="0"/>
          <w:numId w:val="5"/>
        </w:numPr>
        <w:shd w:val="clear" w:color="auto" w:fill="FFFFFF"/>
        <w:rPr>
          <w:rFonts w:ascii="Times New Roman" w:hAnsi="Times New Roman"/>
          <w:sz w:val="24"/>
          <w:szCs w:val="24"/>
        </w:rPr>
      </w:pPr>
      <w:r>
        <w:rPr>
          <w:rStyle w:val="NoneA"/>
          <w:rFonts w:ascii="Times New Roman" w:hAnsi="Times New Roman"/>
          <w:sz w:val="24"/>
          <w:szCs w:val="24"/>
        </w:rPr>
        <w:t xml:space="preserve">Have an approved CLIA certificate of </w:t>
      </w:r>
      <w:proofErr w:type="gramStart"/>
      <w:r>
        <w:rPr>
          <w:rStyle w:val="NoneA"/>
          <w:rFonts w:ascii="Times New Roman" w:hAnsi="Times New Roman"/>
          <w:sz w:val="24"/>
          <w:szCs w:val="24"/>
        </w:rPr>
        <w:t>waiver;</w:t>
      </w:r>
      <w:proofErr w:type="gramEnd"/>
    </w:p>
    <w:p w14:paraId="44858A09" w14:textId="77777777" w:rsidR="00D2729A" w:rsidRDefault="00AE7F39">
      <w:pPr>
        <w:pStyle w:val="ListParagraph"/>
        <w:numPr>
          <w:ilvl w:val="0"/>
          <w:numId w:val="5"/>
        </w:numPr>
        <w:shd w:val="clear" w:color="auto" w:fill="FFFFFF"/>
        <w:rPr>
          <w:rFonts w:ascii="Times New Roman" w:hAnsi="Times New Roman"/>
          <w:sz w:val="24"/>
          <w:szCs w:val="24"/>
        </w:rPr>
      </w:pPr>
      <w:r>
        <w:rPr>
          <w:rStyle w:val="NoneA"/>
          <w:rFonts w:ascii="Times New Roman" w:hAnsi="Times New Roman"/>
          <w:sz w:val="24"/>
          <w:szCs w:val="24"/>
        </w:rPr>
        <w:t xml:space="preserve">Maintain an adequate supply of </w:t>
      </w:r>
      <w:proofErr w:type="gramStart"/>
      <w:r>
        <w:rPr>
          <w:rStyle w:val="NoneA"/>
          <w:rFonts w:ascii="Times New Roman" w:hAnsi="Times New Roman"/>
          <w:sz w:val="24"/>
          <w:szCs w:val="24"/>
        </w:rPr>
        <w:t>PPE;</w:t>
      </w:r>
      <w:proofErr w:type="gramEnd"/>
    </w:p>
    <w:p w14:paraId="520D6478" w14:textId="77777777" w:rsidR="00D2729A" w:rsidRDefault="00AE7F39">
      <w:pPr>
        <w:pStyle w:val="ListParagraph"/>
        <w:numPr>
          <w:ilvl w:val="0"/>
          <w:numId w:val="5"/>
        </w:numPr>
        <w:shd w:val="clear" w:color="auto" w:fill="FFFFFF"/>
        <w:rPr>
          <w:rFonts w:ascii="Times New Roman" w:hAnsi="Times New Roman"/>
          <w:sz w:val="24"/>
          <w:szCs w:val="24"/>
        </w:rPr>
      </w:pPr>
      <w:r>
        <w:rPr>
          <w:rStyle w:val="NoneA"/>
          <w:rFonts w:ascii="Times New Roman" w:hAnsi="Times New Roman"/>
          <w:sz w:val="24"/>
          <w:szCs w:val="24"/>
        </w:rPr>
        <w:t>Ensure all staff performing testing meet training requirements; and</w:t>
      </w:r>
    </w:p>
    <w:p w14:paraId="66D42A54" w14:textId="53338140" w:rsidR="00D2729A" w:rsidRDefault="00AE7F39">
      <w:pPr>
        <w:pStyle w:val="ListParagraph"/>
        <w:numPr>
          <w:ilvl w:val="0"/>
          <w:numId w:val="5"/>
        </w:numPr>
        <w:shd w:val="clear" w:color="auto" w:fill="FFFFFF"/>
        <w:rPr>
          <w:rFonts w:ascii="Times New Roman" w:hAnsi="Times New Roman"/>
          <w:sz w:val="24"/>
          <w:szCs w:val="24"/>
        </w:rPr>
      </w:pPr>
      <w:r>
        <w:rPr>
          <w:rStyle w:val="NoneA"/>
          <w:rFonts w:ascii="Times New Roman" w:hAnsi="Times New Roman"/>
          <w:sz w:val="24"/>
          <w:szCs w:val="24"/>
        </w:rPr>
        <w:t xml:space="preserve">Report </w:t>
      </w:r>
      <w:r w:rsidR="00C265DB">
        <w:rPr>
          <w:rStyle w:val="NoneA"/>
          <w:rFonts w:ascii="Times New Roman" w:hAnsi="Times New Roman"/>
          <w:sz w:val="24"/>
          <w:szCs w:val="24"/>
        </w:rPr>
        <w:t xml:space="preserve">positive </w:t>
      </w:r>
      <w:r>
        <w:rPr>
          <w:rStyle w:val="NoneA"/>
          <w:rFonts w:ascii="Times New Roman" w:hAnsi="Times New Roman"/>
          <w:sz w:val="24"/>
          <w:szCs w:val="24"/>
        </w:rPr>
        <w:t>test results to DPH.</w:t>
      </w:r>
    </w:p>
    <w:p w14:paraId="7468D771" w14:textId="77777777" w:rsidR="00D2729A" w:rsidRDefault="00D2729A">
      <w:pPr>
        <w:pStyle w:val="BodyA"/>
      </w:pPr>
    </w:p>
    <w:p w14:paraId="751DFEB6" w14:textId="18962DF5" w:rsidR="00D2729A" w:rsidRDefault="00AE7F39">
      <w:pPr>
        <w:pStyle w:val="BodyA"/>
      </w:pPr>
      <w:r>
        <w:rPr>
          <w:rStyle w:val="NoneA"/>
        </w:rPr>
        <w:t xml:space="preserve">Additional information about each requirement and how that requirement may be met is provided below in </w:t>
      </w:r>
      <w:hyperlink w:anchor="bookmark" w:history="1">
        <w:r>
          <w:rPr>
            <w:rStyle w:val="Hyperlink2"/>
          </w:rPr>
          <w:t>Appendix A: Requirements for Community</w:t>
        </w:r>
      </w:hyperlink>
      <w:r>
        <w:rPr>
          <w:rStyle w:val="Hyperlink2"/>
        </w:rPr>
        <w:t xml:space="preserve"> Health Centers</w:t>
      </w:r>
      <w:r w:rsidR="00AF641D">
        <w:rPr>
          <w:rStyle w:val="Hyperlink2"/>
        </w:rPr>
        <w:t>, Non-acute</w:t>
      </w:r>
      <w:r>
        <w:rPr>
          <w:rStyle w:val="Hyperlink2"/>
        </w:rPr>
        <w:t xml:space="preserve"> and Community Hospitals.</w:t>
      </w:r>
    </w:p>
    <w:p w14:paraId="1AC18547" w14:textId="77777777" w:rsidR="00D2729A" w:rsidRDefault="00AE7F39">
      <w:pPr>
        <w:pStyle w:val="Heading"/>
        <w:rPr>
          <w:rStyle w:val="None"/>
          <w:rFonts w:ascii="Times New Roman" w:eastAsia="Times New Roman" w:hAnsi="Times New Roman" w:cs="Times New Roman"/>
          <w:b/>
          <w:bCs/>
          <w:color w:val="000000"/>
          <w:sz w:val="24"/>
          <w:szCs w:val="24"/>
          <w:u w:val="single" w:color="000000"/>
        </w:rPr>
      </w:pPr>
      <w:r>
        <w:rPr>
          <w:rStyle w:val="None"/>
          <w:rFonts w:ascii="Times New Roman" w:hAnsi="Times New Roman"/>
          <w:b/>
          <w:bCs/>
          <w:color w:val="000000"/>
          <w:sz w:val="24"/>
          <w:szCs w:val="24"/>
          <w:u w:val="single" w:color="000000"/>
        </w:rPr>
        <w:t>Requesting BinaxNOW test kits</w:t>
      </w:r>
    </w:p>
    <w:p w14:paraId="0D22C3B2" w14:textId="77777777" w:rsidR="00D2729A" w:rsidRDefault="00D2729A">
      <w:pPr>
        <w:pStyle w:val="BodyA"/>
      </w:pPr>
    </w:p>
    <w:p w14:paraId="09BA4169" w14:textId="0DCAD9D2" w:rsidR="00D2729A" w:rsidRDefault="00AE7F39">
      <w:pPr>
        <w:pStyle w:val="BodyA"/>
      </w:pPr>
      <w:r>
        <w:rPr>
          <w:rStyle w:val="NoneA"/>
        </w:rPr>
        <w:t>Community Health Centers</w:t>
      </w:r>
      <w:r w:rsidR="00AF641D">
        <w:rPr>
          <w:rStyle w:val="NoneA"/>
        </w:rPr>
        <w:t>, Non-acute</w:t>
      </w:r>
      <w:r>
        <w:rPr>
          <w:rStyle w:val="NoneA"/>
        </w:rPr>
        <w:t xml:space="preserve"> and Community Hospitals that currently meet all requirements outlined above may request BinaxNOW test kits through the DPH resource request process. To preserve supply and ensure BinaxNOW test kits are used appropriately, a provider may only request the number of BinaxNOW test kits that they can use </w:t>
      </w:r>
      <w:r w:rsidR="00D83F9D">
        <w:rPr>
          <w:rStyle w:val="NoneA"/>
        </w:rPr>
        <w:t>through</w:t>
      </w:r>
      <w:r>
        <w:rPr>
          <w:rStyle w:val="NoneA"/>
        </w:rPr>
        <w:t xml:space="preserve"> </w:t>
      </w:r>
      <w:r w:rsidR="00C265DB">
        <w:rPr>
          <w:rStyle w:val="NoneA"/>
        </w:rPr>
        <w:t>June 30, 2022</w:t>
      </w:r>
      <w:r>
        <w:rPr>
          <w:rStyle w:val="NoneA"/>
        </w:rPr>
        <w:t xml:space="preserve">. Any large quantities of tests unused as of </w:t>
      </w:r>
      <w:r w:rsidR="00C265DB">
        <w:rPr>
          <w:rStyle w:val="NoneA"/>
        </w:rPr>
        <w:t>June 30th</w:t>
      </w:r>
      <w:r>
        <w:rPr>
          <w:rStyle w:val="NoneA"/>
        </w:rPr>
        <w:t xml:space="preserve"> may be subject to recollection by the DPH. A facility may request an amount of test kits equal to half the number of COVID-19 tests currently being performed each month, on average (e.g., a facility that performs 2,000 tests per month, on average, may order 1,000 tests). A facility that uses all requested tests prior to </w:t>
      </w:r>
      <w:r w:rsidR="00C265DB">
        <w:rPr>
          <w:rStyle w:val="NoneA"/>
        </w:rPr>
        <w:t xml:space="preserve">June 30, </w:t>
      </w:r>
      <w:proofErr w:type="gramStart"/>
      <w:r w:rsidR="00C265DB">
        <w:rPr>
          <w:rStyle w:val="NoneA"/>
        </w:rPr>
        <w:t>2022</w:t>
      </w:r>
      <w:proofErr w:type="gramEnd"/>
      <w:r>
        <w:rPr>
          <w:rStyle w:val="NoneA"/>
        </w:rPr>
        <w:t xml:space="preserve"> may request additional tests. Requests </w:t>
      </w:r>
      <w:proofErr w:type="gramStart"/>
      <w:r>
        <w:rPr>
          <w:rStyle w:val="NoneA"/>
        </w:rPr>
        <w:t>in excess of</w:t>
      </w:r>
      <w:proofErr w:type="gramEnd"/>
      <w:r>
        <w:rPr>
          <w:rStyle w:val="NoneA"/>
        </w:rPr>
        <w:t xml:space="preserve"> this amount may be considered on a case-by-case basis but must be accompanied by an explicit plan for utilization of the tests by </w:t>
      </w:r>
      <w:r w:rsidR="00C265DB">
        <w:rPr>
          <w:rStyle w:val="NoneA"/>
        </w:rPr>
        <w:t>June 30, 2022</w:t>
      </w:r>
      <w:r>
        <w:rPr>
          <w:rStyle w:val="NoneA"/>
        </w:rPr>
        <w:t>.</w:t>
      </w:r>
      <w:r>
        <w:rPr>
          <w:rStyle w:val="NoneA"/>
        </w:rPr>
        <w:br/>
      </w:r>
    </w:p>
    <w:p w14:paraId="496C0008" w14:textId="77777777" w:rsidR="00D2729A" w:rsidRDefault="00D2729A">
      <w:pPr>
        <w:pStyle w:val="BodyA"/>
      </w:pPr>
    </w:p>
    <w:p w14:paraId="4F4A1729" w14:textId="4B0FBAEA" w:rsidR="00D2729A" w:rsidRDefault="00AE7F39">
      <w:pPr>
        <w:pStyle w:val="BodyA"/>
      </w:pPr>
      <w:r>
        <w:rPr>
          <w:rStyle w:val="None"/>
        </w:rPr>
        <w:t xml:space="preserve">In order to request BinaxNOW test kits, facilities should complete </w:t>
      </w:r>
      <w:hyperlink w:anchor="bookmark1" w:history="1">
        <w:r>
          <w:rPr>
            <w:rStyle w:val="Hyperlink3"/>
          </w:rPr>
          <w:t>Appendix B: Resource Request Form</w:t>
        </w:r>
      </w:hyperlink>
      <w:r>
        <w:rPr>
          <w:rStyle w:val="None"/>
        </w:rPr>
        <w:t xml:space="preserve"> and email the completed form to </w:t>
      </w:r>
      <w:hyperlink r:id="rId12" w:history="1">
        <w:r>
          <w:rPr>
            <w:rStyle w:val="Hyperlink4"/>
          </w:rPr>
          <w:t>COVID19.Resource.Request@mass.gov</w:t>
        </w:r>
      </w:hyperlink>
      <w:r>
        <w:rPr>
          <w:rStyle w:val="Hyperlink3"/>
        </w:rPr>
        <w:t>.</w:t>
      </w:r>
      <w:r>
        <w:rPr>
          <w:rStyle w:val="None"/>
        </w:rPr>
        <w:t xml:space="preserve"> Delivery timelines may vary based on DPH delivery. Facilities should expect to receive requested test kits within 1 week of a request being submitted.</w:t>
      </w:r>
    </w:p>
    <w:p w14:paraId="68675B15" w14:textId="77777777" w:rsidR="00D2729A" w:rsidRDefault="00AE7F39">
      <w:pPr>
        <w:pStyle w:val="BodyA"/>
      </w:pPr>
      <w:r>
        <w:rPr>
          <w:rStyle w:val="None"/>
          <w:rFonts w:ascii="Arial Unicode MS" w:hAnsi="Arial Unicode MS"/>
        </w:rPr>
        <w:br w:type="page"/>
      </w:r>
    </w:p>
    <w:p w14:paraId="601E10A4" w14:textId="31EEE3AB" w:rsidR="00D2729A" w:rsidRDefault="00AE7F39">
      <w:pPr>
        <w:pStyle w:val="Heading"/>
        <w:jc w:val="center"/>
        <w:rPr>
          <w:rStyle w:val="None"/>
          <w:rFonts w:ascii="Times New Roman" w:eastAsia="Times New Roman" w:hAnsi="Times New Roman" w:cs="Times New Roman"/>
          <w:color w:val="000000"/>
          <w:u w:color="000000"/>
        </w:rPr>
      </w:pPr>
      <w:bookmarkStart w:id="1" w:name="_Appendix_A_Requirements"/>
      <w:bookmarkEnd w:id="1"/>
      <w:r>
        <w:rPr>
          <w:rStyle w:val="None"/>
          <w:rFonts w:ascii="Times New Roman" w:hAnsi="Times New Roman"/>
          <w:b/>
          <w:bCs/>
          <w:color w:val="000000"/>
          <w:u w:color="000000"/>
        </w:rPr>
        <w:lastRenderedPageBreak/>
        <w:t>A</w:t>
      </w:r>
      <w:r>
        <w:rPr>
          <w:rStyle w:val="None"/>
          <w:rFonts w:ascii="Times New Roman" w:hAnsi="Times New Roman"/>
          <w:b/>
          <w:bCs/>
          <w:color w:val="000000"/>
          <w:u w:color="000000"/>
          <w:lang w:val="da-DK"/>
        </w:rPr>
        <w:t xml:space="preserve">ppendix A: </w:t>
      </w:r>
      <w:r>
        <w:rPr>
          <w:rStyle w:val="None"/>
          <w:rFonts w:ascii="Times New Roman" w:hAnsi="Times New Roman"/>
          <w:color w:val="000000"/>
          <w:u w:color="000000"/>
        </w:rPr>
        <w:t>Requirements for Community Health Centers</w:t>
      </w:r>
      <w:r w:rsidR="00AF641D">
        <w:rPr>
          <w:rStyle w:val="None"/>
          <w:rFonts w:ascii="Times New Roman" w:hAnsi="Times New Roman"/>
          <w:color w:val="000000"/>
          <w:u w:color="000000"/>
        </w:rPr>
        <w:t>, Non-acute</w:t>
      </w:r>
      <w:r w:rsidR="00187D60">
        <w:rPr>
          <w:rStyle w:val="None"/>
          <w:rFonts w:ascii="Times New Roman" w:hAnsi="Times New Roman"/>
          <w:color w:val="000000"/>
          <w:u w:color="000000"/>
        </w:rPr>
        <w:t xml:space="preserve"> and Community Hospitals</w:t>
      </w:r>
    </w:p>
    <w:p w14:paraId="7C713F83" w14:textId="77777777" w:rsidR="00D2729A" w:rsidRDefault="00D2729A">
      <w:pPr>
        <w:pStyle w:val="BodyA"/>
        <w:rPr>
          <w:rStyle w:val="None"/>
          <w:b/>
          <w:bCs/>
          <w:u w:val="single"/>
        </w:rPr>
      </w:pPr>
    </w:p>
    <w:p w14:paraId="1F9E7FED" w14:textId="77777777" w:rsidR="00D2729A" w:rsidRDefault="00AE7F39">
      <w:pPr>
        <w:pStyle w:val="ListParagraph"/>
        <w:numPr>
          <w:ilvl w:val="0"/>
          <w:numId w:val="7"/>
        </w:numPr>
        <w:rPr>
          <w:rFonts w:ascii="Times New Roman" w:hAnsi="Times New Roman"/>
          <w:b/>
          <w:bCs/>
          <w:sz w:val="24"/>
          <w:szCs w:val="24"/>
        </w:rPr>
      </w:pPr>
      <w:r>
        <w:rPr>
          <w:rStyle w:val="None"/>
          <w:rFonts w:ascii="Times New Roman" w:hAnsi="Times New Roman"/>
          <w:b/>
          <w:bCs/>
          <w:sz w:val="24"/>
          <w:szCs w:val="24"/>
          <w:u w:val="single"/>
        </w:rPr>
        <w:t>Obtaining a CLIA certificate:</w:t>
      </w:r>
    </w:p>
    <w:p w14:paraId="1E9E59FA" w14:textId="77777777" w:rsidR="00D2729A" w:rsidRDefault="00D2729A">
      <w:pPr>
        <w:pStyle w:val="BodyA"/>
      </w:pPr>
    </w:p>
    <w:p w14:paraId="3BEE8C1C" w14:textId="77777777" w:rsidR="00D2729A" w:rsidRDefault="00AE7F39">
      <w:pPr>
        <w:pStyle w:val="BodyA"/>
      </w:pPr>
      <w:r>
        <w:rPr>
          <w:rStyle w:val="NoneA"/>
        </w:rPr>
        <w:t xml:space="preserve">For facilities that do not yet have a CLIA certificate, the application for a CLIA Certificate (CMS Form 116) can be found here: </w:t>
      </w:r>
    </w:p>
    <w:p w14:paraId="4981E22B" w14:textId="77777777" w:rsidR="00D2729A" w:rsidRDefault="00D271F6">
      <w:pPr>
        <w:pStyle w:val="BodyA"/>
      </w:pPr>
      <w:hyperlink r:id="rId13" w:history="1">
        <w:r w:rsidR="00AE7F39">
          <w:rPr>
            <w:rStyle w:val="Hyperlink2"/>
          </w:rPr>
          <w:t>https://www.cms.gov/Medicare/CMS-Forms/CMS-Forms/Downloads/CMS116.pdf</w:t>
        </w:r>
      </w:hyperlink>
    </w:p>
    <w:p w14:paraId="16CE56DA" w14:textId="77777777" w:rsidR="00D2729A" w:rsidRDefault="00D2729A">
      <w:pPr>
        <w:pStyle w:val="BodyA"/>
      </w:pPr>
    </w:p>
    <w:p w14:paraId="04E6AAC3" w14:textId="77777777" w:rsidR="00D2729A" w:rsidRDefault="00AE7F39">
      <w:pPr>
        <w:pStyle w:val="BodyA"/>
      </w:pPr>
      <w:r>
        <w:rPr>
          <w:rStyle w:val="NoneA"/>
        </w:rPr>
        <w:t xml:space="preserve">Please also include information about other tests you may be performing at this location and provide specifics on the test systems. </w:t>
      </w:r>
    </w:p>
    <w:p w14:paraId="2031ABD8" w14:textId="77777777" w:rsidR="00D2729A" w:rsidRDefault="00D2729A">
      <w:pPr>
        <w:pStyle w:val="BodyA"/>
      </w:pPr>
    </w:p>
    <w:p w14:paraId="2C9A4F5E" w14:textId="77777777" w:rsidR="00D2729A" w:rsidRDefault="00AE7F39">
      <w:pPr>
        <w:pStyle w:val="BodyA"/>
      </w:pPr>
      <w:r>
        <w:rPr>
          <w:rStyle w:val="NoneA"/>
        </w:rPr>
        <w:t xml:space="preserve">Please send the completed application to The Clinical Laboratory Program at </w:t>
      </w:r>
      <w:hyperlink r:id="rId14" w:history="1">
        <w:r>
          <w:rPr>
            <w:rStyle w:val="Hyperlink2"/>
          </w:rPr>
          <w:t>clialab@mass.gov</w:t>
        </w:r>
      </w:hyperlink>
    </w:p>
    <w:p w14:paraId="36E39115" w14:textId="77777777" w:rsidR="00D2729A" w:rsidRDefault="00D2729A">
      <w:pPr>
        <w:pStyle w:val="BodyA"/>
      </w:pPr>
    </w:p>
    <w:p w14:paraId="5341947D" w14:textId="77777777" w:rsidR="00D2729A" w:rsidRDefault="00AE7F39">
      <w:pPr>
        <w:pStyle w:val="BodyA"/>
      </w:pPr>
      <w:r>
        <w:rPr>
          <w:rStyle w:val="NoneA"/>
        </w:rPr>
        <w:t>Should you have any questions, please contact the Clinical Laboratory Program at (617) 660-5385.</w:t>
      </w:r>
    </w:p>
    <w:p w14:paraId="15EA72A7" w14:textId="77777777" w:rsidR="00D2729A" w:rsidRDefault="00D2729A">
      <w:pPr>
        <w:pStyle w:val="BodyA"/>
      </w:pPr>
    </w:p>
    <w:p w14:paraId="5E3D3214" w14:textId="77777777" w:rsidR="00D2729A" w:rsidRDefault="00AE7F39">
      <w:pPr>
        <w:pStyle w:val="ListParagraph"/>
        <w:numPr>
          <w:ilvl w:val="0"/>
          <w:numId w:val="7"/>
        </w:numPr>
        <w:rPr>
          <w:rFonts w:ascii="Times New Roman" w:hAnsi="Times New Roman"/>
          <w:b/>
          <w:bCs/>
          <w:sz w:val="24"/>
          <w:szCs w:val="24"/>
        </w:rPr>
      </w:pPr>
      <w:r>
        <w:rPr>
          <w:rStyle w:val="None"/>
          <w:rFonts w:ascii="Times New Roman" w:hAnsi="Times New Roman"/>
          <w:b/>
          <w:bCs/>
          <w:sz w:val="24"/>
          <w:szCs w:val="24"/>
          <w:u w:val="single"/>
        </w:rPr>
        <w:t>Maintaining an adequate supply of PPE</w:t>
      </w:r>
    </w:p>
    <w:p w14:paraId="6CB7190E" w14:textId="77777777" w:rsidR="00D2729A" w:rsidRDefault="00D2729A">
      <w:pPr>
        <w:pStyle w:val="ListParagraph"/>
        <w:rPr>
          <w:rStyle w:val="None"/>
          <w:rFonts w:ascii="Times New Roman" w:eastAsia="Times New Roman" w:hAnsi="Times New Roman" w:cs="Times New Roman"/>
          <w:b/>
          <w:bCs/>
          <w:sz w:val="24"/>
          <w:szCs w:val="24"/>
        </w:rPr>
      </w:pPr>
    </w:p>
    <w:p w14:paraId="47492E96" w14:textId="77777777" w:rsidR="00D2729A" w:rsidRDefault="00AE7F39">
      <w:pPr>
        <w:pStyle w:val="BodyA"/>
      </w:pPr>
      <w:r>
        <w:rPr>
          <w:rStyle w:val="NoneA"/>
        </w:rPr>
        <w:t>All staff administering Abbott BinaxNOW test kits must wear appropriate personal protective equipment (PPE) when running each test and handling patient specimens. For healthcare personnel collecting specimens or within 6 feet of individuals suspected to have COVID-19, the following PPE is required:</w:t>
      </w:r>
    </w:p>
    <w:p w14:paraId="5D8D1E1C" w14:textId="3A1305B6" w:rsidR="00D2729A" w:rsidRDefault="00AE7F39">
      <w:pPr>
        <w:pStyle w:val="BodyA"/>
        <w:numPr>
          <w:ilvl w:val="1"/>
          <w:numId w:val="9"/>
        </w:numPr>
        <w:spacing w:line="259" w:lineRule="auto"/>
      </w:pPr>
      <w:r>
        <w:rPr>
          <w:rStyle w:val="NoneA"/>
        </w:rPr>
        <w:t xml:space="preserve">N95 mask or higher-level respirator </w:t>
      </w:r>
    </w:p>
    <w:p w14:paraId="09C90E6A" w14:textId="77777777" w:rsidR="00D2729A" w:rsidRDefault="00AE7F39">
      <w:pPr>
        <w:pStyle w:val="BodyA"/>
        <w:numPr>
          <w:ilvl w:val="1"/>
          <w:numId w:val="9"/>
        </w:numPr>
        <w:spacing w:line="259" w:lineRule="auto"/>
        <w:rPr>
          <w:lang w:val="fr-FR"/>
        </w:rPr>
      </w:pPr>
      <w:r>
        <w:rPr>
          <w:rStyle w:val="None"/>
          <w:lang w:val="fr-FR"/>
        </w:rPr>
        <w:t>Eye protection</w:t>
      </w:r>
    </w:p>
    <w:p w14:paraId="013A9DC0" w14:textId="77777777" w:rsidR="00D2729A" w:rsidRDefault="00AE7F39">
      <w:pPr>
        <w:pStyle w:val="BodyA"/>
        <w:numPr>
          <w:ilvl w:val="1"/>
          <w:numId w:val="9"/>
        </w:numPr>
        <w:spacing w:line="259" w:lineRule="auto"/>
      </w:pPr>
      <w:r>
        <w:rPr>
          <w:rStyle w:val="NoneA"/>
        </w:rPr>
        <w:t>Gloves</w:t>
      </w:r>
    </w:p>
    <w:p w14:paraId="40C28CCA" w14:textId="77777777" w:rsidR="00D2729A" w:rsidRDefault="00AE7F39">
      <w:pPr>
        <w:pStyle w:val="BodyA"/>
        <w:numPr>
          <w:ilvl w:val="1"/>
          <w:numId w:val="9"/>
        </w:numPr>
        <w:spacing w:line="259" w:lineRule="auto"/>
      </w:pPr>
      <w:r>
        <w:rPr>
          <w:rStyle w:val="NoneA"/>
        </w:rPr>
        <w:t xml:space="preserve">Gown, when collecting specimens </w:t>
      </w:r>
    </w:p>
    <w:p w14:paraId="02A00A83" w14:textId="77777777" w:rsidR="00D2729A" w:rsidRDefault="00D2729A">
      <w:pPr>
        <w:pStyle w:val="BodyA"/>
        <w:ind w:left="1440"/>
      </w:pPr>
    </w:p>
    <w:p w14:paraId="50BFFC76" w14:textId="35826E3D" w:rsidR="00D2729A" w:rsidRDefault="00AE7F39">
      <w:pPr>
        <w:pStyle w:val="BodyA"/>
      </w:pPr>
      <w:r>
        <w:rPr>
          <w:rStyle w:val="NoneA"/>
        </w:rPr>
        <w:t xml:space="preserve">Staff administering tests must change gloves between handling of specimens suspected of COVID-19. Refer to </w:t>
      </w:r>
      <w:hyperlink r:id="rId15" w:anchor="personal-protective-equipment-(ppe)-during-covid-19-" w:history="1">
        <w:r>
          <w:rPr>
            <w:rStyle w:val="Hyperlink2"/>
          </w:rPr>
          <w:t>DPH Comprehensive PPE Guidance</w:t>
        </w:r>
      </w:hyperlink>
      <w:r>
        <w:rPr>
          <w:rStyle w:val="NoneA"/>
        </w:rPr>
        <w:t xml:space="preserve"> or contact your local board of health for further information regarding the proper use of PPE.</w:t>
      </w:r>
    </w:p>
    <w:p w14:paraId="70450F89" w14:textId="77777777" w:rsidR="00D2729A" w:rsidRDefault="00D2729A">
      <w:pPr>
        <w:pStyle w:val="BodyA"/>
        <w:rPr>
          <w:rStyle w:val="None"/>
          <w:b/>
          <w:bCs/>
          <w:u w:val="single"/>
        </w:rPr>
      </w:pPr>
    </w:p>
    <w:p w14:paraId="2471F55B" w14:textId="77777777" w:rsidR="00D2729A" w:rsidRDefault="00AE7F39">
      <w:pPr>
        <w:pStyle w:val="ListParagraph"/>
        <w:numPr>
          <w:ilvl w:val="0"/>
          <w:numId w:val="10"/>
        </w:numPr>
        <w:rPr>
          <w:rFonts w:ascii="Times New Roman" w:hAnsi="Times New Roman"/>
          <w:b/>
          <w:bCs/>
          <w:sz w:val="24"/>
          <w:szCs w:val="24"/>
        </w:rPr>
      </w:pPr>
      <w:r>
        <w:rPr>
          <w:rStyle w:val="None"/>
          <w:rFonts w:ascii="Times New Roman" w:hAnsi="Times New Roman"/>
          <w:b/>
          <w:bCs/>
          <w:sz w:val="24"/>
          <w:szCs w:val="24"/>
          <w:u w:val="single"/>
        </w:rPr>
        <w:t>Ensuring staff complete training requirements</w:t>
      </w:r>
    </w:p>
    <w:p w14:paraId="42DE5DD4" w14:textId="77777777" w:rsidR="00D2729A" w:rsidRDefault="00D2729A">
      <w:pPr>
        <w:pStyle w:val="ListParagraph"/>
        <w:rPr>
          <w:rStyle w:val="None"/>
          <w:rFonts w:ascii="Times New Roman" w:eastAsia="Times New Roman" w:hAnsi="Times New Roman" w:cs="Times New Roman"/>
          <w:b/>
          <w:bCs/>
          <w:sz w:val="24"/>
          <w:szCs w:val="24"/>
        </w:rPr>
      </w:pPr>
    </w:p>
    <w:p w14:paraId="67C26993" w14:textId="77777777" w:rsidR="00D2729A" w:rsidRDefault="00AE7F39">
      <w:pPr>
        <w:pStyle w:val="BodyA"/>
      </w:pPr>
      <w:r>
        <w:rPr>
          <w:rStyle w:val="NoneA"/>
        </w:rPr>
        <w:t xml:space="preserve">All staff administering Abbott BinaxNOW test kits within a facility must complete all Abbott BinaxNOW training modules. The training modules can be found </w:t>
      </w:r>
      <w:hyperlink r:id="rId16" w:history="1">
        <w:r>
          <w:rPr>
            <w:rStyle w:val="Hyperlink2"/>
          </w:rPr>
          <w:t>here</w:t>
        </w:r>
      </w:hyperlink>
      <w:r>
        <w:rPr>
          <w:rStyle w:val="NoneA"/>
        </w:rPr>
        <w:t>.</w:t>
      </w:r>
    </w:p>
    <w:p w14:paraId="28592B42" w14:textId="77777777" w:rsidR="00D2729A" w:rsidRDefault="00AE7F39">
      <w:pPr>
        <w:pStyle w:val="BodyA"/>
      </w:pPr>
      <w:r>
        <w:rPr>
          <w:rStyle w:val="NoneA"/>
        </w:rPr>
        <w:t>The Abbott BinaxNOW training modules include:</w:t>
      </w:r>
    </w:p>
    <w:p w14:paraId="7FDD4A4E" w14:textId="77777777" w:rsidR="00D2729A" w:rsidRDefault="00AE7F39">
      <w:pPr>
        <w:pStyle w:val="ListParagraph"/>
        <w:rPr>
          <w:rStyle w:val="None"/>
          <w:rFonts w:ascii="Times New Roman" w:eastAsia="Times New Roman" w:hAnsi="Times New Roman" w:cs="Times New Roman"/>
          <w:sz w:val="24"/>
          <w:szCs w:val="24"/>
        </w:rPr>
      </w:pPr>
      <w:r>
        <w:rPr>
          <w:rStyle w:val="None"/>
          <w:rFonts w:ascii="Times New Roman" w:hAnsi="Times New Roman"/>
          <w:sz w:val="24"/>
          <w:szCs w:val="24"/>
        </w:rPr>
        <w:t>Module 1: Getting Started</w:t>
      </w:r>
    </w:p>
    <w:p w14:paraId="67788F8A" w14:textId="77777777" w:rsidR="00D2729A" w:rsidRDefault="00AE7F39">
      <w:pPr>
        <w:pStyle w:val="ListParagraph"/>
        <w:rPr>
          <w:rStyle w:val="None"/>
          <w:rFonts w:ascii="Times New Roman" w:eastAsia="Times New Roman" w:hAnsi="Times New Roman" w:cs="Times New Roman"/>
          <w:sz w:val="24"/>
          <w:szCs w:val="24"/>
        </w:rPr>
      </w:pPr>
      <w:r>
        <w:rPr>
          <w:rStyle w:val="None"/>
          <w:rFonts w:ascii="Times New Roman" w:hAnsi="Times New Roman"/>
          <w:sz w:val="24"/>
          <w:szCs w:val="24"/>
        </w:rPr>
        <w:t xml:space="preserve">Module 2: Quality Control </w:t>
      </w:r>
    </w:p>
    <w:p w14:paraId="17278F0E" w14:textId="77777777" w:rsidR="00D2729A" w:rsidRDefault="00AE7F39">
      <w:pPr>
        <w:pStyle w:val="ListParagraph"/>
        <w:rPr>
          <w:rStyle w:val="None"/>
          <w:rFonts w:ascii="Times New Roman" w:eastAsia="Times New Roman" w:hAnsi="Times New Roman" w:cs="Times New Roman"/>
          <w:sz w:val="24"/>
          <w:szCs w:val="24"/>
        </w:rPr>
      </w:pPr>
      <w:r>
        <w:rPr>
          <w:rStyle w:val="None"/>
          <w:rFonts w:ascii="Times New Roman" w:hAnsi="Times New Roman"/>
          <w:sz w:val="24"/>
          <w:szCs w:val="24"/>
        </w:rPr>
        <w:t>Module 3: Specimen Collection and Handling</w:t>
      </w:r>
    </w:p>
    <w:p w14:paraId="63A7D178" w14:textId="77777777" w:rsidR="00D2729A" w:rsidRDefault="00AE7F39">
      <w:pPr>
        <w:pStyle w:val="ListParagraph"/>
        <w:rPr>
          <w:rStyle w:val="None"/>
          <w:rFonts w:ascii="Times New Roman" w:eastAsia="Times New Roman" w:hAnsi="Times New Roman" w:cs="Times New Roman"/>
          <w:sz w:val="24"/>
          <w:szCs w:val="24"/>
        </w:rPr>
      </w:pPr>
      <w:r>
        <w:rPr>
          <w:rStyle w:val="None"/>
          <w:rFonts w:ascii="Times New Roman" w:hAnsi="Times New Roman"/>
          <w:sz w:val="24"/>
          <w:szCs w:val="24"/>
        </w:rPr>
        <w:t>Module 4: Patient (Individual) Test</w:t>
      </w:r>
    </w:p>
    <w:p w14:paraId="381BCA14" w14:textId="77777777" w:rsidR="00D2729A" w:rsidRDefault="00AE7F39">
      <w:pPr>
        <w:pStyle w:val="ListParagraph"/>
        <w:rPr>
          <w:rStyle w:val="None"/>
          <w:rFonts w:ascii="Times New Roman" w:eastAsia="Times New Roman" w:hAnsi="Times New Roman" w:cs="Times New Roman"/>
          <w:i/>
          <w:iCs/>
          <w:sz w:val="24"/>
          <w:szCs w:val="24"/>
        </w:rPr>
      </w:pPr>
      <w:r>
        <w:rPr>
          <w:rStyle w:val="None"/>
          <w:rFonts w:ascii="Times New Roman" w:hAnsi="Times New Roman"/>
          <w:i/>
          <w:iCs/>
          <w:sz w:val="24"/>
          <w:szCs w:val="24"/>
        </w:rPr>
        <w:t xml:space="preserve">Module 5: </w:t>
      </w:r>
      <w:proofErr w:type="spellStart"/>
      <w:r>
        <w:rPr>
          <w:rStyle w:val="None"/>
          <w:rFonts w:ascii="Times New Roman" w:hAnsi="Times New Roman"/>
          <w:i/>
          <w:iCs/>
          <w:sz w:val="24"/>
          <w:szCs w:val="24"/>
        </w:rPr>
        <w:t>Navica</w:t>
      </w:r>
      <w:proofErr w:type="spellEnd"/>
      <w:r>
        <w:rPr>
          <w:rStyle w:val="None"/>
          <w:rFonts w:ascii="Times New Roman" w:hAnsi="Times New Roman"/>
          <w:i/>
          <w:iCs/>
          <w:sz w:val="24"/>
          <w:szCs w:val="24"/>
        </w:rPr>
        <w:t xml:space="preserve"> Admin App – NOT REQUIRED, as the </w:t>
      </w:r>
      <w:proofErr w:type="spellStart"/>
      <w:r>
        <w:rPr>
          <w:rStyle w:val="None"/>
          <w:rFonts w:ascii="Times New Roman" w:hAnsi="Times New Roman"/>
          <w:i/>
          <w:iCs/>
          <w:sz w:val="24"/>
          <w:szCs w:val="24"/>
        </w:rPr>
        <w:t>Navica</w:t>
      </w:r>
      <w:proofErr w:type="spellEnd"/>
      <w:r>
        <w:rPr>
          <w:rStyle w:val="None"/>
          <w:rFonts w:ascii="Times New Roman" w:hAnsi="Times New Roman"/>
          <w:i/>
          <w:iCs/>
          <w:sz w:val="24"/>
          <w:szCs w:val="24"/>
        </w:rPr>
        <w:t xml:space="preserve"> App should not be used</w:t>
      </w:r>
    </w:p>
    <w:p w14:paraId="1D2420CF" w14:textId="77777777" w:rsidR="00D2729A" w:rsidRDefault="00D2729A">
      <w:pPr>
        <w:pStyle w:val="ListParagraph"/>
        <w:rPr>
          <w:rStyle w:val="None"/>
          <w:rFonts w:ascii="Times New Roman" w:eastAsia="Times New Roman" w:hAnsi="Times New Roman" w:cs="Times New Roman"/>
          <w:sz w:val="24"/>
          <w:szCs w:val="24"/>
        </w:rPr>
      </w:pPr>
    </w:p>
    <w:p w14:paraId="0E0B59E1" w14:textId="77777777" w:rsidR="00D2729A" w:rsidRDefault="00AE7F39">
      <w:pPr>
        <w:pStyle w:val="BodyA"/>
      </w:pPr>
      <w:r>
        <w:rPr>
          <w:rStyle w:val="NoneA"/>
        </w:rPr>
        <w:lastRenderedPageBreak/>
        <w:t>These modules provide a detailed step-by-step guide to the test process. All the modules should be completed in their entirety prior to staff performing test on individuals.</w:t>
      </w:r>
    </w:p>
    <w:p w14:paraId="6483B473" w14:textId="77777777" w:rsidR="00D2729A" w:rsidRDefault="00D2729A">
      <w:pPr>
        <w:pStyle w:val="BodyA"/>
      </w:pPr>
    </w:p>
    <w:p w14:paraId="2BAE83F5" w14:textId="77777777" w:rsidR="00D2729A" w:rsidRDefault="00AE7F39">
      <w:pPr>
        <w:pStyle w:val="BodyA"/>
      </w:pPr>
      <w:r>
        <w:rPr>
          <w:rStyle w:val="NoneA"/>
        </w:rPr>
        <w:t xml:space="preserve">It is the responsibility of the provider to ensure that all the staff administering tests have completed the necessary training requirements.  </w:t>
      </w:r>
      <w:bookmarkStart w:id="2" w:name="_Hlk55578191"/>
      <w:r>
        <w:rPr>
          <w:rStyle w:val="NoneA"/>
        </w:rPr>
        <w:t>Staff administering tests must watch the Abbott BinaxNOW video training modules as part of their attestation prior to ordering tests</w:t>
      </w:r>
      <w:bookmarkEnd w:id="2"/>
    </w:p>
    <w:p w14:paraId="61092239" w14:textId="77777777" w:rsidR="00D2729A" w:rsidRDefault="00D2729A">
      <w:pPr>
        <w:pStyle w:val="BodyA"/>
      </w:pPr>
    </w:p>
    <w:p w14:paraId="3672C4D7" w14:textId="77777777" w:rsidR="00D2729A" w:rsidRDefault="00AE7F39">
      <w:pPr>
        <w:pStyle w:val="BodyA"/>
      </w:pPr>
      <w:r>
        <w:rPr>
          <w:rStyle w:val="NoneA"/>
        </w:rPr>
        <w:t xml:space="preserve">Additionally, further information about the proper use of the Abbott BinaxNOW test kits can be found on the package insert and </w:t>
      </w:r>
      <w:hyperlink r:id="rId17" w:history="1">
        <w:r>
          <w:rPr>
            <w:rStyle w:val="Hyperlink2"/>
          </w:rPr>
          <w:t>here</w:t>
        </w:r>
      </w:hyperlink>
      <w:r>
        <w:rPr>
          <w:rStyle w:val="NoneA"/>
        </w:rPr>
        <w:t>. This includes information regarding specimen collection, handling, transportation, and storage.</w:t>
      </w:r>
    </w:p>
    <w:p w14:paraId="6BF647AA" w14:textId="77777777" w:rsidR="00D2729A" w:rsidRDefault="00D2729A">
      <w:pPr>
        <w:pStyle w:val="BodyA"/>
      </w:pPr>
    </w:p>
    <w:p w14:paraId="6228439C" w14:textId="77777777" w:rsidR="00D2729A" w:rsidRDefault="00AE7F39">
      <w:pPr>
        <w:pStyle w:val="BodyA"/>
        <w:rPr>
          <w:rStyle w:val="None"/>
          <w:b/>
          <w:bCs/>
          <w:u w:val="single"/>
        </w:rPr>
      </w:pPr>
      <w:r>
        <w:rPr>
          <w:rStyle w:val="None"/>
        </w:rPr>
        <w:t xml:space="preserve">Staff who have questions or concerns about the administration of the test can utilize these direct links to Abbott support: 800-257-9525 8:00 am – 8:00 pm Monday through Friday or </w:t>
      </w:r>
      <w:hyperlink r:id="rId18" w:history="1">
        <w:r>
          <w:rPr>
            <w:rStyle w:val="Hyperlink5"/>
          </w:rPr>
          <w:t>ts.scr@abbott.com</w:t>
        </w:r>
      </w:hyperlink>
    </w:p>
    <w:p w14:paraId="3DB6A571" w14:textId="77777777" w:rsidR="00D2729A" w:rsidRDefault="00D2729A">
      <w:pPr>
        <w:pStyle w:val="BodyA"/>
      </w:pPr>
    </w:p>
    <w:p w14:paraId="22F5BDDD" w14:textId="77777777" w:rsidR="00D2729A" w:rsidRDefault="00AE7F39">
      <w:pPr>
        <w:pStyle w:val="ListParagraph"/>
        <w:numPr>
          <w:ilvl w:val="0"/>
          <w:numId w:val="7"/>
        </w:numPr>
        <w:rPr>
          <w:rFonts w:ascii="Times New Roman" w:hAnsi="Times New Roman"/>
          <w:b/>
          <w:bCs/>
          <w:sz w:val="24"/>
          <w:szCs w:val="24"/>
        </w:rPr>
      </w:pPr>
      <w:r>
        <w:rPr>
          <w:rStyle w:val="None"/>
          <w:rFonts w:ascii="Times New Roman" w:hAnsi="Times New Roman"/>
          <w:b/>
          <w:bCs/>
          <w:sz w:val="24"/>
          <w:szCs w:val="24"/>
          <w:u w:val="single"/>
        </w:rPr>
        <w:t xml:space="preserve">Reporting Test Results: </w:t>
      </w:r>
    </w:p>
    <w:p w14:paraId="48818AA5" w14:textId="7C5E0CCF" w:rsidR="00D2729A" w:rsidRDefault="00AE7F39">
      <w:pPr>
        <w:pStyle w:val="CommentText"/>
        <w:rPr>
          <w:rStyle w:val="None"/>
          <w:sz w:val="24"/>
          <w:szCs w:val="24"/>
        </w:rPr>
      </w:pPr>
      <w:r>
        <w:rPr>
          <w:rStyle w:val="None"/>
          <w:sz w:val="24"/>
          <w:szCs w:val="24"/>
        </w:rPr>
        <w:t>Massachusetts Community Health Centers</w:t>
      </w:r>
      <w:r w:rsidR="00AF641D">
        <w:rPr>
          <w:rStyle w:val="None"/>
          <w:sz w:val="24"/>
          <w:szCs w:val="24"/>
        </w:rPr>
        <w:t>, Non-acute</w:t>
      </w:r>
      <w:r>
        <w:rPr>
          <w:rStyle w:val="None"/>
          <w:sz w:val="24"/>
          <w:szCs w:val="24"/>
        </w:rPr>
        <w:t xml:space="preserve"> and Community Hospitals that receive any rapid POC antigen test equipment must report positive test results to the Department of Public Health’s Bureau of Infectious Diseases and Laboratory Sciences (BIDLS). </w:t>
      </w:r>
    </w:p>
    <w:p w14:paraId="2CB0C119" w14:textId="77777777" w:rsidR="00D2729A" w:rsidRDefault="00D2729A">
      <w:pPr>
        <w:pStyle w:val="CommentText"/>
        <w:rPr>
          <w:rStyle w:val="NoneA"/>
          <w:sz w:val="24"/>
          <w:szCs w:val="24"/>
        </w:rPr>
      </w:pPr>
    </w:p>
    <w:p w14:paraId="13EC97CE" w14:textId="77777777" w:rsidR="00D2729A" w:rsidRDefault="00AE7F39">
      <w:pPr>
        <w:pStyle w:val="BodyA"/>
        <w:rPr>
          <w:rStyle w:val="NoneA"/>
        </w:rPr>
      </w:pPr>
      <w:r>
        <w:rPr>
          <w:rStyle w:val="None"/>
        </w:rPr>
        <w:t xml:space="preserve">Results of BinaxNOW tests should be reported to DPH using </w:t>
      </w:r>
      <w:proofErr w:type="spellStart"/>
      <w:r>
        <w:rPr>
          <w:rStyle w:val="None"/>
        </w:rPr>
        <w:t>Casetivity</w:t>
      </w:r>
      <w:proofErr w:type="spellEnd"/>
      <w:r>
        <w:rPr>
          <w:rStyle w:val="None"/>
        </w:rPr>
        <w:t xml:space="preserve">, with </w:t>
      </w:r>
      <w:r>
        <w:rPr>
          <w:rStyle w:val="None"/>
          <w:rFonts w:ascii="Arial Unicode MS" w:hAnsi="Arial Unicode MS"/>
          <w:rtl/>
          <w:lang w:val="ar-SA"/>
        </w:rPr>
        <w:t>“</w:t>
      </w:r>
      <w:r>
        <w:rPr>
          <w:rStyle w:val="None"/>
          <w:lang w:val="nl-NL"/>
        </w:rPr>
        <w:t>BinaxNOW COVID Antigen</w:t>
      </w:r>
      <w:r>
        <w:rPr>
          <w:rStyle w:val="None"/>
        </w:rPr>
        <w:t xml:space="preserve">” in the </w:t>
      </w:r>
      <w:r>
        <w:rPr>
          <w:rStyle w:val="None"/>
          <w:rFonts w:ascii="Arial Unicode MS" w:hAnsi="Arial Unicode MS"/>
          <w:rtl/>
          <w:lang w:val="ar-SA"/>
        </w:rPr>
        <w:t>“</w:t>
      </w:r>
      <w:r>
        <w:rPr>
          <w:rStyle w:val="None"/>
        </w:rPr>
        <w:t xml:space="preserve">Test” field. If your facility does not have access to </w:t>
      </w:r>
      <w:proofErr w:type="spellStart"/>
      <w:r>
        <w:rPr>
          <w:rStyle w:val="None"/>
        </w:rPr>
        <w:t>Casetivity</w:t>
      </w:r>
      <w:proofErr w:type="spellEnd"/>
      <w:r>
        <w:rPr>
          <w:rStyle w:val="None"/>
        </w:rPr>
        <w:t xml:space="preserve">, you will need to gain access by sending an email to </w:t>
      </w:r>
      <w:hyperlink r:id="rId19" w:history="1">
        <w:r>
          <w:rPr>
            <w:rStyle w:val="Hyperlink3"/>
          </w:rPr>
          <w:t>ISIS-ImmediateDiseaseReporting@mass.gov</w:t>
        </w:r>
      </w:hyperlink>
      <w:r>
        <w:rPr>
          <w:rStyle w:val="None"/>
        </w:rPr>
        <w:t xml:space="preserve"> and following the instructions you receive.</w:t>
      </w:r>
    </w:p>
    <w:p w14:paraId="76886464" w14:textId="77777777" w:rsidR="00D2729A" w:rsidRDefault="00D2729A">
      <w:pPr>
        <w:pStyle w:val="CommentText"/>
        <w:rPr>
          <w:rStyle w:val="NoneA"/>
          <w:sz w:val="24"/>
          <w:szCs w:val="24"/>
        </w:rPr>
      </w:pPr>
    </w:p>
    <w:p w14:paraId="6980571F" w14:textId="77777777" w:rsidR="00D2729A" w:rsidRDefault="00AE7F39">
      <w:pPr>
        <w:pStyle w:val="BodyA"/>
      </w:pPr>
      <w:r>
        <w:rPr>
          <w:rStyle w:val="NoneA"/>
        </w:rPr>
        <w:t>DPH strongly encourages all facilities in Massachusetts to monitor the CMS and CDC website for up-to-date information and resources:</w:t>
      </w:r>
    </w:p>
    <w:p w14:paraId="7B9B37C5" w14:textId="77777777" w:rsidR="00D2729A" w:rsidRDefault="00AE7F39">
      <w:pPr>
        <w:pStyle w:val="BodyA"/>
        <w:numPr>
          <w:ilvl w:val="0"/>
          <w:numId w:val="12"/>
        </w:numPr>
        <w:rPr>
          <w:lang w:val="nl-NL"/>
        </w:rPr>
      </w:pPr>
      <w:r>
        <w:rPr>
          <w:rStyle w:val="None"/>
          <w:lang w:val="nl-NL"/>
        </w:rPr>
        <w:t xml:space="preserve">CMS website: </w:t>
      </w:r>
      <w:hyperlink r:id="rId20" w:history="1">
        <w:r>
          <w:rPr>
            <w:rStyle w:val="Hyperlink3"/>
          </w:rPr>
          <w:t>https://www.cms.gov/About-CMS/Agency-Information/Emergency/EPRO/Current-Emergencies/Current-Emergencies-page</w:t>
        </w:r>
      </w:hyperlink>
    </w:p>
    <w:p w14:paraId="0CB775E8" w14:textId="77777777" w:rsidR="00D2729A" w:rsidRDefault="00AE7F39">
      <w:pPr>
        <w:pStyle w:val="BodyA"/>
        <w:numPr>
          <w:ilvl w:val="0"/>
          <w:numId w:val="12"/>
        </w:numPr>
        <w:rPr>
          <w:lang w:val="nl-NL"/>
        </w:rPr>
      </w:pPr>
      <w:r>
        <w:rPr>
          <w:rStyle w:val="None"/>
          <w:lang w:val="nl-NL"/>
        </w:rPr>
        <w:t xml:space="preserve">CDC website: </w:t>
      </w:r>
      <w:hyperlink r:id="rId21" w:history="1">
        <w:r>
          <w:rPr>
            <w:rStyle w:val="Hyperlink3"/>
          </w:rPr>
          <w:t>https://www.cdc.gov/coronavirus/2019-ncov/healthcare-facilities/index.html</w:t>
        </w:r>
      </w:hyperlink>
    </w:p>
    <w:p w14:paraId="75330A23" w14:textId="77777777" w:rsidR="00D2729A" w:rsidRDefault="00AE7F39">
      <w:pPr>
        <w:pStyle w:val="BodyA"/>
        <w:numPr>
          <w:ilvl w:val="0"/>
          <w:numId w:val="12"/>
        </w:numPr>
        <w:rPr>
          <w:lang w:val="nl-NL"/>
        </w:rPr>
      </w:pPr>
      <w:r>
        <w:rPr>
          <w:rStyle w:val="None"/>
          <w:lang w:val="nl-NL"/>
        </w:rPr>
        <w:t xml:space="preserve">HHS website: </w:t>
      </w:r>
      <w:hyperlink r:id="rId22" w:history="1">
        <w:r>
          <w:rPr>
            <w:rStyle w:val="Hyperlink3"/>
          </w:rPr>
          <w:t>https://www.hhs.gov/coronavirus/testing/rapid-test-distribution/index.html</w:t>
        </w:r>
      </w:hyperlink>
    </w:p>
    <w:p w14:paraId="4218DE25" w14:textId="77777777" w:rsidR="00D2729A" w:rsidRDefault="00D2729A">
      <w:pPr>
        <w:pStyle w:val="BodyA"/>
      </w:pPr>
    </w:p>
    <w:p w14:paraId="4F0F0DFA" w14:textId="77777777" w:rsidR="00D2729A" w:rsidRDefault="00AE7F39">
      <w:pPr>
        <w:pStyle w:val="BodyA"/>
      </w:pPr>
      <w:bookmarkStart w:id="3" w:name="_Appendix_C_Resource"/>
      <w:bookmarkEnd w:id="3"/>
      <w:r>
        <w:rPr>
          <w:rStyle w:val="None"/>
          <w:rFonts w:ascii="Arial Unicode MS" w:hAnsi="Arial Unicode MS"/>
          <w:color w:val="FF0000"/>
          <w:u w:color="FF0000"/>
        </w:rPr>
        <w:br w:type="page"/>
      </w:r>
    </w:p>
    <w:p w14:paraId="0F98162D" w14:textId="77777777" w:rsidR="00D2729A" w:rsidRDefault="00AE7F39">
      <w:pPr>
        <w:pStyle w:val="Heading"/>
        <w:jc w:val="center"/>
        <w:rPr>
          <w:rStyle w:val="None"/>
          <w:rFonts w:ascii="Times New Roman" w:eastAsia="Times New Roman" w:hAnsi="Times New Roman" w:cs="Times New Roman"/>
          <w:color w:val="000000"/>
          <w:u w:color="000000"/>
        </w:rPr>
      </w:pPr>
      <w:r>
        <w:rPr>
          <w:rStyle w:val="None"/>
          <w:rFonts w:ascii="Times New Roman" w:hAnsi="Times New Roman"/>
          <w:b/>
          <w:bCs/>
          <w:color w:val="000000"/>
          <w:u w:color="000000"/>
          <w:lang w:val="da-DK"/>
        </w:rPr>
        <w:lastRenderedPageBreak/>
        <w:t xml:space="preserve">Appendix B: </w:t>
      </w:r>
      <w:r>
        <w:rPr>
          <w:rStyle w:val="None"/>
          <w:rFonts w:ascii="Times New Roman" w:hAnsi="Times New Roman"/>
          <w:color w:val="000000"/>
          <w:u w:color="000000"/>
        </w:rPr>
        <w:t>Resource Request Form</w:t>
      </w:r>
    </w:p>
    <w:p w14:paraId="58977478" w14:textId="77777777" w:rsidR="00D2729A" w:rsidRDefault="00D2729A">
      <w:pPr>
        <w:pStyle w:val="BodyA"/>
        <w:rPr>
          <w:rStyle w:val="None"/>
          <w:color w:val="FF0000"/>
          <w:u w:color="FF0000"/>
        </w:rPr>
      </w:pPr>
    </w:p>
    <w:tbl>
      <w:tblPr>
        <w:tblW w:w="93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04"/>
        <w:gridCol w:w="236"/>
        <w:gridCol w:w="2103"/>
        <w:gridCol w:w="1550"/>
        <w:gridCol w:w="1823"/>
        <w:gridCol w:w="485"/>
        <w:gridCol w:w="1358"/>
      </w:tblGrid>
      <w:tr w:rsidR="00D2729A" w14:paraId="45AAC135" w14:textId="77777777">
        <w:trPr>
          <w:trHeight w:val="1160"/>
          <w:jc w:val="center"/>
        </w:trPr>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105" w:type="dxa"/>
              <w:bottom w:w="80" w:type="dxa"/>
              <w:right w:w="80" w:type="dxa"/>
            </w:tcMar>
          </w:tcPr>
          <w:p w14:paraId="455BFB4E" w14:textId="77777777" w:rsidR="00D2729A" w:rsidRDefault="00AE7F39">
            <w:pPr>
              <w:pStyle w:val="TableParagraph"/>
              <w:spacing w:before="8"/>
              <w:ind w:left="25"/>
            </w:pPr>
            <w:r>
              <w:rPr>
                <w:rStyle w:val="None"/>
                <w:b/>
                <w:bCs/>
                <w:sz w:val="20"/>
                <w:szCs w:val="20"/>
              </w:rPr>
              <w:t>Date Submitted to DPH:</w:t>
            </w:r>
          </w:p>
        </w:tc>
        <w:tc>
          <w:tcPr>
            <w:tcW w:w="5961" w:type="dxa"/>
            <w:gridSpan w:val="4"/>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4C4C5C3" w14:textId="77777777" w:rsidR="00D2729A" w:rsidRDefault="00AE7F39">
            <w:pPr>
              <w:pStyle w:val="BodyText"/>
              <w:ind w:left="0"/>
              <w:jc w:val="center"/>
              <w:rPr>
                <w:rStyle w:val="None"/>
              </w:rPr>
            </w:pPr>
            <w:r>
              <w:rPr>
                <w:rStyle w:val="None"/>
              </w:rPr>
              <w:t>OPEM 213TS – Resource Request Form – COVID19</w:t>
            </w:r>
          </w:p>
          <w:p w14:paraId="3BE3AF4B" w14:textId="77777777" w:rsidR="00D2729A" w:rsidRDefault="00AE7F39">
            <w:pPr>
              <w:pStyle w:val="BodyText"/>
              <w:ind w:left="0"/>
              <w:jc w:val="center"/>
            </w:pPr>
            <w:r>
              <w:rPr>
                <w:rStyle w:val="None"/>
                <w:i/>
                <w:iCs/>
                <w:sz w:val="32"/>
                <w:szCs w:val="32"/>
              </w:rPr>
              <w:t>Abbott BinaxNOW Test Kits</w:t>
            </w:r>
          </w:p>
        </w:tc>
        <w:tc>
          <w:tcPr>
            <w:tcW w:w="1358" w:type="dxa"/>
            <w:tcBorders>
              <w:top w:val="single" w:sz="8" w:space="0" w:color="000000"/>
              <w:left w:val="single" w:sz="8" w:space="0" w:color="000000"/>
              <w:bottom w:val="single" w:sz="8" w:space="0" w:color="000000"/>
              <w:right w:val="single" w:sz="8" w:space="0" w:color="000000"/>
            </w:tcBorders>
            <w:shd w:val="clear" w:color="auto" w:fill="DBDBDB"/>
            <w:tcMar>
              <w:top w:w="80" w:type="dxa"/>
              <w:left w:w="80" w:type="dxa"/>
              <w:bottom w:w="80" w:type="dxa"/>
              <w:right w:w="80" w:type="dxa"/>
            </w:tcMar>
            <w:vAlign w:val="center"/>
          </w:tcPr>
          <w:p w14:paraId="28C8A7FD" w14:textId="77777777" w:rsidR="00D2729A" w:rsidRDefault="00AE7F39">
            <w:pPr>
              <w:pStyle w:val="BodyText"/>
              <w:ind w:left="0"/>
              <w:jc w:val="center"/>
              <w:rPr>
                <w:rStyle w:val="None"/>
                <w:sz w:val="20"/>
                <w:szCs w:val="20"/>
              </w:rPr>
            </w:pPr>
            <w:r>
              <w:rPr>
                <w:rStyle w:val="None"/>
                <w:sz w:val="20"/>
                <w:szCs w:val="20"/>
              </w:rPr>
              <w:t>Page 1 of 1</w:t>
            </w:r>
          </w:p>
          <w:p w14:paraId="34E16349" w14:textId="77777777" w:rsidR="00D2729A" w:rsidRDefault="00AE7F39">
            <w:pPr>
              <w:pStyle w:val="BodyText"/>
              <w:ind w:left="0"/>
              <w:jc w:val="center"/>
            </w:pPr>
            <w:r>
              <w:rPr>
                <w:rStyle w:val="None"/>
                <w:sz w:val="20"/>
                <w:szCs w:val="20"/>
              </w:rPr>
              <w:t>Version 10-5-20</w:t>
            </w:r>
          </w:p>
        </w:tc>
      </w:tr>
      <w:tr w:rsidR="00D2729A" w14:paraId="4CBE7654" w14:textId="77777777">
        <w:trPr>
          <w:trHeight w:val="296"/>
          <w:jc w:val="center"/>
        </w:trPr>
        <w:tc>
          <w:tcPr>
            <w:tcW w:w="9359" w:type="dxa"/>
            <w:gridSpan w:val="7"/>
            <w:tcBorders>
              <w:top w:val="single" w:sz="8" w:space="0" w:color="000000"/>
              <w:left w:val="single" w:sz="8" w:space="0" w:color="000000"/>
              <w:bottom w:val="single" w:sz="8" w:space="0" w:color="000000"/>
              <w:right w:val="single" w:sz="8" w:space="0" w:color="000000"/>
            </w:tcBorders>
            <w:shd w:val="clear" w:color="auto" w:fill="BFBFBF"/>
            <w:tcMar>
              <w:top w:w="80" w:type="dxa"/>
              <w:left w:w="105" w:type="dxa"/>
              <w:bottom w:w="80" w:type="dxa"/>
              <w:right w:w="80" w:type="dxa"/>
            </w:tcMar>
          </w:tcPr>
          <w:p w14:paraId="42C2F85A" w14:textId="77777777" w:rsidR="00D2729A" w:rsidRDefault="00AE7F39">
            <w:pPr>
              <w:pStyle w:val="TableParagraph"/>
              <w:spacing w:before="24"/>
              <w:ind w:left="25"/>
            </w:pPr>
            <w:r>
              <w:rPr>
                <w:rStyle w:val="None"/>
                <w:b/>
                <w:bCs/>
                <w:sz w:val="20"/>
                <w:szCs w:val="20"/>
              </w:rPr>
              <w:t>I.</w:t>
            </w:r>
            <w:r>
              <w:rPr>
                <w:rStyle w:val="None"/>
                <w:b/>
                <w:bCs/>
                <w:spacing w:val="-7"/>
                <w:sz w:val="20"/>
                <w:szCs w:val="20"/>
              </w:rPr>
              <w:t xml:space="preserve"> </w:t>
            </w:r>
            <w:r>
              <w:rPr>
                <w:rStyle w:val="None"/>
                <w:b/>
                <w:bCs/>
                <w:sz w:val="20"/>
                <w:szCs w:val="20"/>
              </w:rPr>
              <w:t>REQUESTING</w:t>
            </w:r>
            <w:r>
              <w:rPr>
                <w:rStyle w:val="None"/>
                <w:b/>
                <w:bCs/>
                <w:spacing w:val="-7"/>
                <w:sz w:val="20"/>
                <w:szCs w:val="20"/>
              </w:rPr>
              <w:t xml:space="preserve"> </w:t>
            </w:r>
            <w:r>
              <w:rPr>
                <w:rStyle w:val="None"/>
                <w:b/>
                <w:bCs/>
                <w:sz w:val="20"/>
                <w:szCs w:val="20"/>
              </w:rPr>
              <w:t>AGENCY</w:t>
            </w:r>
            <w:r>
              <w:rPr>
                <w:rStyle w:val="None"/>
                <w:b/>
                <w:bCs/>
                <w:spacing w:val="-7"/>
                <w:sz w:val="20"/>
                <w:szCs w:val="20"/>
              </w:rPr>
              <w:t xml:space="preserve"> </w:t>
            </w:r>
            <w:r>
              <w:rPr>
                <w:rStyle w:val="None"/>
                <w:b/>
                <w:bCs/>
                <w:sz w:val="20"/>
                <w:szCs w:val="20"/>
              </w:rPr>
              <w:t>POINT</w:t>
            </w:r>
            <w:r>
              <w:rPr>
                <w:rStyle w:val="None"/>
                <w:b/>
                <w:bCs/>
                <w:spacing w:val="-7"/>
                <w:sz w:val="20"/>
                <w:szCs w:val="20"/>
              </w:rPr>
              <w:t xml:space="preserve"> </w:t>
            </w:r>
            <w:r>
              <w:rPr>
                <w:rStyle w:val="None"/>
                <w:b/>
                <w:bCs/>
                <w:sz w:val="20"/>
                <w:szCs w:val="20"/>
              </w:rPr>
              <w:t>OF</w:t>
            </w:r>
            <w:r>
              <w:rPr>
                <w:rStyle w:val="None"/>
                <w:b/>
                <w:bCs/>
                <w:spacing w:val="-7"/>
                <w:sz w:val="20"/>
                <w:szCs w:val="20"/>
              </w:rPr>
              <w:t xml:space="preserve"> </w:t>
            </w:r>
            <w:r>
              <w:rPr>
                <w:rStyle w:val="None"/>
                <w:b/>
                <w:bCs/>
                <w:sz w:val="20"/>
                <w:szCs w:val="20"/>
              </w:rPr>
              <w:t>CONTACT - Please Type ALL Answers</w:t>
            </w:r>
          </w:p>
        </w:tc>
      </w:tr>
      <w:tr w:rsidR="00D2729A" w14:paraId="053D29ED" w14:textId="77777777">
        <w:trPr>
          <w:trHeight w:val="927"/>
          <w:jc w:val="center"/>
        </w:trPr>
        <w:tc>
          <w:tcPr>
            <w:tcW w:w="4143"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05" w:type="dxa"/>
              <w:bottom w:w="80" w:type="dxa"/>
              <w:right w:w="80" w:type="dxa"/>
            </w:tcMar>
          </w:tcPr>
          <w:p w14:paraId="41CE41FE" w14:textId="77777777" w:rsidR="00D2729A" w:rsidRDefault="00AE7F39">
            <w:pPr>
              <w:pStyle w:val="TableParagraph"/>
              <w:spacing w:line="242" w:lineRule="exact"/>
              <w:ind w:left="25"/>
            </w:pPr>
            <w:r>
              <w:rPr>
                <w:rStyle w:val="None"/>
                <w:b/>
                <w:bCs/>
                <w:sz w:val="20"/>
                <w:szCs w:val="20"/>
              </w:rPr>
              <w:t>1</w:t>
            </w:r>
            <w:r>
              <w:rPr>
                <w:rStyle w:val="None"/>
                <w:sz w:val="20"/>
                <w:szCs w:val="20"/>
              </w:rPr>
              <w:t>.</w:t>
            </w:r>
            <w:r>
              <w:rPr>
                <w:rStyle w:val="None"/>
                <w:spacing w:val="-7"/>
                <w:sz w:val="20"/>
                <w:szCs w:val="20"/>
              </w:rPr>
              <w:t xml:space="preserve"> </w:t>
            </w:r>
            <w:r>
              <w:rPr>
                <w:rStyle w:val="None"/>
                <w:sz w:val="20"/>
                <w:szCs w:val="20"/>
              </w:rPr>
              <w:t>Requestor’s</w:t>
            </w:r>
            <w:r>
              <w:rPr>
                <w:rStyle w:val="None"/>
                <w:spacing w:val="-7"/>
                <w:sz w:val="20"/>
                <w:szCs w:val="20"/>
              </w:rPr>
              <w:t xml:space="preserve"> </w:t>
            </w:r>
            <w:r>
              <w:rPr>
                <w:rStyle w:val="None"/>
                <w:sz w:val="20"/>
                <w:szCs w:val="20"/>
              </w:rPr>
              <w:t>Name</w:t>
            </w:r>
            <w:r>
              <w:rPr>
                <w:rStyle w:val="None"/>
                <w:spacing w:val="-9"/>
                <w:sz w:val="20"/>
                <w:szCs w:val="20"/>
              </w:rPr>
              <w:t xml:space="preserve"> </w:t>
            </w:r>
            <w:r>
              <w:rPr>
                <w:rStyle w:val="None"/>
                <w:sz w:val="20"/>
                <w:szCs w:val="20"/>
              </w:rPr>
              <w:t>(Please</w:t>
            </w:r>
            <w:r>
              <w:rPr>
                <w:rStyle w:val="None"/>
                <w:spacing w:val="-7"/>
                <w:sz w:val="20"/>
                <w:szCs w:val="20"/>
              </w:rPr>
              <w:t xml:space="preserve"> </w:t>
            </w:r>
            <w:r>
              <w:rPr>
                <w:rStyle w:val="None"/>
                <w:sz w:val="20"/>
                <w:szCs w:val="20"/>
              </w:rPr>
              <w:t>Print)</w:t>
            </w:r>
          </w:p>
        </w:tc>
        <w:tc>
          <w:tcPr>
            <w:tcW w:w="3373"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105" w:type="dxa"/>
              <w:bottom w:w="80" w:type="dxa"/>
              <w:right w:w="80" w:type="dxa"/>
            </w:tcMar>
          </w:tcPr>
          <w:p w14:paraId="20C68012" w14:textId="77777777" w:rsidR="00D2729A" w:rsidRDefault="00AE7F39">
            <w:pPr>
              <w:pStyle w:val="TableParagraph"/>
              <w:spacing w:line="242" w:lineRule="exact"/>
              <w:ind w:left="25"/>
            </w:pPr>
            <w:r>
              <w:rPr>
                <w:rStyle w:val="None"/>
                <w:b/>
                <w:bCs/>
                <w:sz w:val="20"/>
                <w:szCs w:val="20"/>
              </w:rPr>
              <w:t>2.</w:t>
            </w:r>
            <w:r>
              <w:rPr>
                <w:rStyle w:val="None"/>
                <w:spacing w:val="-7"/>
                <w:sz w:val="20"/>
                <w:szCs w:val="20"/>
              </w:rPr>
              <w:t xml:space="preserve"> </w:t>
            </w:r>
            <w:r>
              <w:rPr>
                <w:rStyle w:val="None"/>
                <w:sz w:val="20"/>
                <w:szCs w:val="20"/>
              </w:rPr>
              <w:t>Title</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105" w:type="dxa"/>
              <w:bottom w:w="80" w:type="dxa"/>
              <w:right w:w="80" w:type="dxa"/>
            </w:tcMar>
          </w:tcPr>
          <w:p w14:paraId="7A2C015C" w14:textId="77777777" w:rsidR="00D2729A" w:rsidRDefault="00AE7F39">
            <w:pPr>
              <w:pStyle w:val="TableParagraph"/>
              <w:spacing w:line="242" w:lineRule="exact"/>
              <w:ind w:left="25"/>
            </w:pPr>
            <w:r>
              <w:rPr>
                <w:rStyle w:val="None"/>
                <w:b/>
                <w:bCs/>
                <w:sz w:val="20"/>
                <w:szCs w:val="20"/>
              </w:rPr>
              <w:t>3.</w:t>
            </w:r>
            <w:r>
              <w:rPr>
                <w:rStyle w:val="None"/>
                <w:spacing w:val="-5"/>
                <w:sz w:val="20"/>
                <w:szCs w:val="20"/>
              </w:rPr>
              <w:t xml:space="preserve"> </w:t>
            </w:r>
            <w:r>
              <w:rPr>
                <w:rStyle w:val="None"/>
                <w:sz w:val="20"/>
                <w:szCs w:val="20"/>
              </w:rPr>
              <w:t>Requestor’s</w:t>
            </w:r>
            <w:r>
              <w:rPr>
                <w:rStyle w:val="None"/>
                <w:spacing w:val="-13"/>
                <w:sz w:val="20"/>
                <w:szCs w:val="20"/>
              </w:rPr>
              <w:t xml:space="preserve"> </w:t>
            </w:r>
            <w:r>
              <w:rPr>
                <w:rStyle w:val="None"/>
                <w:sz w:val="20"/>
                <w:szCs w:val="20"/>
              </w:rPr>
              <w:t>Phone</w:t>
            </w:r>
            <w:r>
              <w:rPr>
                <w:rStyle w:val="None"/>
                <w:spacing w:val="-5"/>
                <w:sz w:val="20"/>
                <w:szCs w:val="20"/>
              </w:rPr>
              <w:t xml:space="preserve"> </w:t>
            </w:r>
            <w:r>
              <w:rPr>
                <w:rStyle w:val="None"/>
                <w:sz w:val="20"/>
                <w:szCs w:val="20"/>
              </w:rPr>
              <w:t>No.</w:t>
            </w:r>
          </w:p>
        </w:tc>
      </w:tr>
      <w:tr w:rsidR="00D2729A" w14:paraId="0BD02F8B" w14:textId="77777777">
        <w:trPr>
          <w:trHeight w:val="717"/>
          <w:jc w:val="center"/>
        </w:trPr>
        <w:tc>
          <w:tcPr>
            <w:tcW w:w="569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105" w:type="dxa"/>
              <w:bottom w:w="80" w:type="dxa"/>
              <w:right w:w="80" w:type="dxa"/>
            </w:tcMar>
          </w:tcPr>
          <w:p w14:paraId="167E142F" w14:textId="77777777" w:rsidR="00D2729A" w:rsidRDefault="00AE7F39">
            <w:pPr>
              <w:pStyle w:val="TableParagraph"/>
              <w:spacing w:line="242" w:lineRule="exact"/>
              <w:ind w:left="25"/>
            </w:pPr>
            <w:r>
              <w:rPr>
                <w:rStyle w:val="None"/>
                <w:b/>
                <w:bCs/>
                <w:sz w:val="20"/>
                <w:szCs w:val="20"/>
              </w:rPr>
              <w:t>4</w:t>
            </w:r>
            <w:r>
              <w:rPr>
                <w:rStyle w:val="None"/>
                <w:sz w:val="20"/>
                <w:szCs w:val="20"/>
              </w:rPr>
              <w:t>.</w:t>
            </w:r>
            <w:r>
              <w:rPr>
                <w:rStyle w:val="None"/>
                <w:spacing w:val="-11"/>
                <w:sz w:val="20"/>
                <w:szCs w:val="20"/>
              </w:rPr>
              <w:t xml:space="preserve"> </w:t>
            </w:r>
            <w:r>
              <w:rPr>
                <w:rStyle w:val="None"/>
                <w:sz w:val="20"/>
                <w:szCs w:val="20"/>
              </w:rPr>
              <w:t>Requestor’s</w:t>
            </w:r>
            <w:r>
              <w:rPr>
                <w:rStyle w:val="None"/>
                <w:spacing w:val="-13"/>
                <w:sz w:val="20"/>
                <w:szCs w:val="20"/>
              </w:rPr>
              <w:t xml:space="preserve"> </w:t>
            </w:r>
            <w:r>
              <w:rPr>
                <w:rStyle w:val="None"/>
                <w:sz w:val="20"/>
                <w:szCs w:val="20"/>
              </w:rPr>
              <w:t>Organization</w:t>
            </w:r>
          </w:p>
        </w:tc>
        <w:tc>
          <w:tcPr>
            <w:tcW w:w="366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05" w:type="dxa"/>
              <w:bottom w:w="80" w:type="dxa"/>
              <w:right w:w="80" w:type="dxa"/>
            </w:tcMar>
          </w:tcPr>
          <w:p w14:paraId="7DD9138E" w14:textId="77777777" w:rsidR="00D2729A" w:rsidRDefault="00AE7F39">
            <w:pPr>
              <w:pStyle w:val="TableParagraph"/>
              <w:spacing w:line="242" w:lineRule="exact"/>
              <w:ind w:left="25"/>
            </w:pPr>
            <w:r>
              <w:rPr>
                <w:rStyle w:val="None"/>
                <w:b/>
                <w:bCs/>
                <w:sz w:val="20"/>
                <w:szCs w:val="20"/>
              </w:rPr>
              <w:t>5</w:t>
            </w:r>
            <w:r>
              <w:rPr>
                <w:rStyle w:val="None"/>
                <w:sz w:val="20"/>
                <w:szCs w:val="20"/>
              </w:rPr>
              <w:t>.</w:t>
            </w:r>
            <w:r>
              <w:rPr>
                <w:rStyle w:val="None"/>
                <w:spacing w:val="-7"/>
                <w:sz w:val="20"/>
                <w:szCs w:val="20"/>
              </w:rPr>
              <w:t xml:space="preserve"> </w:t>
            </w:r>
            <w:r>
              <w:rPr>
                <w:rStyle w:val="None"/>
                <w:sz w:val="20"/>
                <w:szCs w:val="20"/>
              </w:rPr>
              <w:t>Requestor’s</w:t>
            </w:r>
            <w:r>
              <w:rPr>
                <w:rStyle w:val="None"/>
                <w:spacing w:val="-13"/>
                <w:sz w:val="20"/>
                <w:szCs w:val="20"/>
              </w:rPr>
              <w:t xml:space="preserve"> </w:t>
            </w:r>
            <w:r>
              <w:rPr>
                <w:rStyle w:val="None"/>
                <w:sz w:val="20"/>
                <w:szCs w:val="20"/>
              </w:rPr>
              <w:t>E-Mail</w:t>
            </w:r>
            <w:r>
              <w:rPr>
                <w:rStyle w:val="None"/>
                <w:spacing w:val="-7"/>
                <w:sz w:val="20"/>
                <w:szCs w:val="20"/>
              </w:rPr>
              <w:t xml:space="preserve"> </w:t>
            </w:r>
            <w:r>
              <w:rPr>
                <w:rStyle w:val="None"/>
                <w:sz w:val="20"/>
                <w:szCs w:val="20"/>
              </w:rPr>
              <w:t>Address</w:t>
            </w:r>
          </w:p>
        </w:tc>
      </w:tr>
      <w:tr w:rsidR="00D2729A" w14:paraId="7BF28194" w14:textId="77777777">
        <w:trPr>
          <w:trHeight w:val="785"/>
          <w:jc w:val="center"/>
        </w:trPr>
        <w:tc>
          <w:tcPr>
            <w:tcW w:w="569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105" w:type="dxa"/>
              <w:bottom w:w="80" w:type="dxa"/>
              <w:right w:w="80" w:type="dxa"/>
            </w:tcMar>
          </w:tcPr>
          <w:p w14:paraId="4CBC8BD6" w14:textId="77777777" w:rsidR="00D2729A" w:rsidRDefault="00AE7F39">
            <w:pPr>
              <w:pStyle w:val="TableParagraph"/>
              <w:spacing w:line="242" w:lineRule="exact"/>
              <w:ind w:left="25"/>
              <w:rPr>
                <w:rStyle w:val="None"/>
                <w:sz w:val="20"/>
                <w:szCs w:val="20"/>
              </w:rPr>
            </w:pPr>
            <w:r>
              <w:rPr>
                <w:rStyle w:val="None"/>
                <w:b/>
                <w:bCs/>
                <w:sz w:val="20"/>
                <w:szCs w:val="20"/>
              </w:rPr>
              <w:t>6</w:t>
            </w:r>
            <w:r>
              <w:rPr>
                <w:rStyle w:val="None"/>
                <w:sz w:val="20"/>
                <w:szCs w:val="20"/>
              </w:rPr>
              <w:t xml:space="preserve">. DELIVERY Address (include any special </w:t>
            </w:r>
            <w:proofErr w:type="gramStart"/>
            <w:r>
              <w:rPr>
                <w:rStyle w:val="None"/>
                <w:sz w:val="20"/>
                <w:szCs w:val="20"/>
              </w:rPr>
              <w:t>instructions;</w:t>
            </w:r>
            <w:proofErr w:type="gramEnd"/>
            <w:r>
              <w:rPr>
                <w:rStyle w:val="None"/>
                <w:sz w:val="20"/>
                <w:szCs w:val="20"/>
              </w:rPr>
              <w:t xml:space="preserve"> such as if there is a loading dock, of if the facility needs to be contacted prior to delivery).</w:t>
            </w:r>
          </w:p>
          <w:p w14:paraId="784D6E40" w14:textId="77777777" w:rsidR="00D2729A" w:rsidRDefault="00AE7F39">
            <w:pPr>
              <w:pStyle w:val="TableParagraph"/>
              <w:spacing w:line="242" w:lineRule="exact"/>
              <w:ind w:left="25"/>
            </w:pPr>
            <w:r>
              <w:rPr>
                <w:rStyle w:val="None"/>
                <w:sz w:val="20"/>
                <w:szCs w:val="20"/>
              </w:rPr>
              <w:t xml:space="preserve"> </w:t>
            </w:r>
          </w:p>
        </w:tc>
        <w:tc>
          <w:tcPr>
            <w:tcW w:w="3666"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05" w:type="dxa"/>
              <w:bottom w:w="80" w:type="dxa"/>
              <w:right w:w="80" w:type="dxa"/>
            </w:tcMar>
          </w:tcPr>
          <w:p w14:paraId="4D8B8177" w14:textId="77777777" w:rsidR="00D2729A" w:rsidRDefault="00AE7F39">
            <w:pPr>
              <w:pStyle w:val="TableParagraph"/>
              <w:spacing w:line="242" w:lineRule="exact"/>
              <w:ind w:left="25"/>
            </w:pPr>
            <w:r>
              <w:rPr>
                <w:rStyle w:val="None"/>
                <w:b/>
                <w:bCs/>
                <w:sz w:val="20"/>
                <w:szCs w:val="20"/>
              </w:rPr>
              <w:t>7</w:t>
            </w:r>
            <w:r>
              <w:rPr>
                <w:rStyle w:val="None"/>
                <w:sz w:val="20"/>
                <w:szCs w:val="20"/>
              </w:rPr>
              <w:t>. DPH Facility ID number</w:t>
            </w:r>
          </w:p>
        </w:tc>
      </w:tr>
      <w:tr w:rsidR="00D2729A" w14:paraId="3C77EB4E" w14:textId="77777777">
        <w:trPr>
          <w:trHeight w:val="798"/>
          <w:jc w:val="center"/>
        </w:trPr>
        <w:tc>
          <w:tcPr>
            <w:tcW w:w="5693" w:type="dxa"/>
            <w:gridSpan w:val="4"/>
            <w:vMerge/>
            <w:tcBorders>
              <w:top w:val="single" w:sz="8" w:space="0" w:color="000000"/>
              <w:left w:val="single" w:sz="8" w:space="0" w:color="000000"/>
              <w:bottom w:val="single" w:sz="8" w:space="0" w:color="000000"/>
              <w:right w:val="single" w:sz="8" w:space="0" w:color="000000"/>
            </w:tcBorders>
            <w:shd w:val="clear" w:color="auto" w:fill="auto"/>
          </w:tcPr>
          <w:p w14:paraId="2161F252" w14:textId="77777777" w:rsidR="00D2729A" w:rsidRDefault="00D2729A"/>
        </w:tc>
        <w:tc>
          <w:tcPr>
            <w:tcW w:w="3666" w:type="dxa"/>
            <w:gridSpan w:val="3"/>
            <w:tcBorders>
              <w:top w:val="single" w:sz="8" w:space="0" w:color="000000"/>
              <w:left w:val="single" w:sz="8" w:space="0" w:color="000000"/>
              <w:bottom w:val="nil"/>
              <w:right w:val="single" w:sz="8" w:space="0" w:color="000000"/>
            </w:tcBorders>
            <w:shd w:val="clear" w:color="auto" w:fill="auto"/>
            <w:tcMar>
              <w:top w:w="80" w:type="dxa"/>
              <w:left w:w="105" w:type="dxa"/>
              <w:bottom w:w="80" w:type="dxa"/>
              <w:right w:w="80" w:type="dxa"/>
            </w:tcMar>
          </w:tcPr>
          <w:p w14:paraId="4599E877" w14:textId="77777777" w:rsidR="00D2729A" w:rsidRDefault="00AE7F39">
            <w:pPr>
              <w:pStyle w:val="TableParagraph"/>
              <w:spacing w:line="242" w:lineRule="exact"/>
              <w:ind w:left="25"/>
            </w:pPr>
            <w:r>
              <w:rPr>
                <w:rStyle w:val="None"/>
                <w:b/>
                <w:bCs/>
                <w:sz w:val="20"/>
                <w:szCs w:val="20"/>
              </w:rPr>
              <w:t>7</w:t>
            </w:r>
            <w:r>
              <w:rPr>
                <w:rStyle w:val="None"/>
                <w:sz w:val="20"/>
                <w:szCs w:val="20"/>
              </w:rPr>
              <w:t xml:space="preserve">. </w:t>
            </w:r>
            <w:r>
              <w:rPr>
                <w:rStyle w:val="None"/>
                <w:sz w:val="20"/>
                <w:szCs w:val="20"/>
                <w:u w:val="single"/>
              </w:rPr>
              <w:t>24/7</w:t>
            </w:r>
            <w:r>
              <w:rPr>
                <w:rStyle w:val="None"/>
                <w:sz w:val="20"/>
                <w:szCs w:val="20"/>
              </w:rPr>
              <w:t xml:space="preserve"> Contact Name and Phone number for delivery issues</w:t>
            </w:r>
          </w:p>
        </w:tc>
      </w:tr>
      <w:tr w:rsidR="00D2729A" w14:paraId="3393EF1E" w14:textId="77777777">
        <w:trPr>
          <w:trHeight w:val="340"/>
          <w:jc w:val="center"/>
        </w:trPr>
        <w:tc>
          <w:tcPr>
            <w:tcW w:w="5693" w:type="dxa"/>
            <w:gridSpan w:val="4"/>
            <w:vMerge/>
            <w:tcBorders>
              <w:top w:val="single" w:sz="8" w:space="0" w:color="000000"/>
              <w:left w:val="single" w:sz="8" w:space="0" w:color="000000"/>
              <w:bottom w:val="single" w:sz="8" w:space="0" w:color="000000"/>
              <w:right w:val="single" w:sz="8" w:space="0" w:color="000000"/>
            </w:tcBorders>
            <w:shd w:val="clear" w:color="auto" w:fill="auto"/>
          </w:tcPr>
          <w:p w14:paraId="5F8AF383" w14:textId="77777777" w:rsidR="00D2729A" w:rsidRDefault="00D2729A"/>
        </w:tc>
        <w:tc>
          <w:tcPr>
            <w:tcW w:w="3666" w:type="dxa"/>
            <w:gridSpan w:val="3"/>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ACE32B" w14:textId="77777777" w:rsidR="00D2729A" w:rsidRDefault="00D2729A"/>
        </w:tc>
      </w:tr>
      <w:tr w:rsidR="00D2729A" w14:paraId="332F5AA5" w14:textId="77777777">
        <w:trPr>
          <w:trHeight w:val="811"/>
          <w:jc w:val="center"/>
        </w:trPr>
        <w:tc>
          <w:tcPr>
            <w:tcW w:w="5693" w:type="dxa"/>
            <w:gridSpan w:val="4"/>
            <w:vMerge/>
            <w:tcBorders>
              <w:top w:val="single" w:sz="8" w:space="0" w:color="000000"/>
              <w:left w:val="single" w:sz="8" w:space="0" w:color="000000"/>
              <w:bottom w:val="single" w:sz="8" w:space="0" w:color="000000"/>
              <w:right w:val="single" w:sz="8" w:space="0" w:color="000000"/>
            </w:tcBorders>
            <w:shd w:val="clear" w:color="auto" w:fill="auto"/>
          </w:tcPr>
          <w:p w14:paraId="4D492D89" w14:textId="77777777" w:rsidR="00D2729A" w:rsidRDefault="00D2729A"/>
        </w:tc>
        <w:tc>
          <w:tcPr>
            <w:tcW w:w="3666" w:type="dxa"/>
            <w:gridSpan w:val="3"/>
            <w:tcBorders>
              <w:top w:val="single" w:sz="8" w:space="0" w:color="000000"/>
              <w:left w:val="single" w:sz="8" w:space="0" w:color="000000"/>
              <w:bottom w:val="single" w:sz="8" w:space="0" w:color="000000"/>
              <w:right w:val="single" w:sz="8" w:space="0" w:color="000000"/>
            </w:tcBorders>
            <w:shd w:val="clear" w:color="auto" w:fill="FFFFFF"/>
            <w:tcMar>
              <w:top w:w="80" w:type="dxa"/>
              <w:left w:w="105" w:type="dxa"/>
              <w:bottom w:w="80" w:type="dxa"/>
              <w:right w:w="80" w:type="dxa"/>
            </w:tcMar>
          </w:tcPr>
          <w:p w14:paraId="0B64C03B" w14:textId="77777777" w:rsidR="00D2729A" w:rsidRDefault="00AE7F39">
            <w:pPr>
              <w:pStyle w:val="TableParagraph"/>
              <w:spacing w:line="242" w:lineRule="exact"/>
              <w:ind w:left="25"/>
            </w:pPr>
            <w:r>
              <w:rPr>
                <w:rStyle w:val="None"/>
                <w:b/>
                <w:bCs/>
                <w:sz w:val="20"/>
                <w:szCs w:val="20"/>
              </w:rPr>
              <w:t>8</w:t>
            </w:r>
            <w:r>
              <w:rPr>
                <w:rStyle w:val="None"/>
                <w:sz w:val="20"/>
                <w:szCs w:val="20"/>
              </w:rPr>
              <w:t>. Hours of operations to receive delivery (for example 8:00 am – 3:00 pm M-F)</w:t>
            </w:r>
          </w:p>
        </w:tc>
      </w:tr>
      <w:tr w:rsidR="00D2729A" w14:paraId="56DE3FDA" w14:textId="77777777">
        <w:trPr>
          <w:trHeight w:val="340"/>
          <w:jc w:val="center"/>
        </w:trPr>
        <w:tc>
          <w:tcPr>
            <w:tcW w:w="9359" w:type="dxa"/>
            <w:gridSpan w:val="7"/>
            <w:tcBorders>
              <w:top w:val="single" w:sz="8" w:space="0" w:color="000000"/>
              <w:left w:val="single" w:sz="8" w:space="0" w:color="000000"/>
              <w:bottom w:val="single" w:sz="8" w:space="0" w:color="000000"/>
              <w:right w:val="single" w:sz="8" w:space="0" w:color="000000"/>
            </w:tcBorders>
            <w:shd w:val="clear" w:color="auto" w:fill="BFBFBF"/>
            <w:tcMar>
              <w:top w:w="80" w:type="dxa"/>
              <w:left w:w="107" w:type="dxa"/>
              <w:bottom w:w="80" w:type="dxa"/>
              <w:right w:w="80" w:type="dxa"/>
            </w:tcMar>
          </w:tcPr>
          <w:p w14:paraId="3AB54329" w14:textId="77777777" w:rsidR="00D2729A" w:rsidRDefault="00AE7F39">
            <w:pPr>
              <w:pStyle w:val="TableParagraph"/>
              <w:spacing w:line="262" w:lineRule="exact"/>
              <w:ind w:left="27"/>
            </w:pPr>
            <w:r>
              <w:rPr>
                <w:rStyle w:val="None"/>
                <w:b/>
                <w:bCs/>
                <w:sz w:val="20"/>
                <w:szCs w:val="20"/>
              </w:rPr>
              <w:t>II.</w:t>
            </w:r>
            <w:r>
              <w:rPr>
                <w:rStyle w:val="None"/>
                <w:b/>
                <w:bCs/>
                <w:spacing w:val="-7"/>
                <w:sz w:val="20"/>
                <w:szCs w:val="20"/>
              </w:rPr>
              <w:t xml:space="preserve"> </w:t>
            </w:r>
            <w:r>
              <w:rPr>
                <w:rStyle w:val="None"/>
                <w:b/>
                <w:bCs/>
                <w:sz w:val="20"/>
                <w:szCs w:val="20"/>
              </w:rPr>
              <w:t>REQUEST SPECIFICS - Please Type ALL Answers</w:t>
            </w:r>
          </w:p>
        </w:tc>
      </w:tr>
      <w:tr w:rsidR="00D2729A" w14:paraId="0AA4E16A" w14:textId="77777777">
        <w:trPr>
          <w:trHeight w:val="340"/>
          <w:jc w:val="center"/>
        </w:trPr>
        <w:tc>
          <w:tcPr>
            <w:tcW w:w="9359" w:type="dxa"/>
            <w:gridSpan w:val="7"/>
            <w:tcBorders>
              <w:top w:val="single" w:sz="8" w:space="0" w:color="000000"/>
              <w:left w:val="single" w:sz="8" w:space="0" w:color="000000"/>
              <w:bottom w:val="single" w:sz="8" w:space="0" w:color="000000"/>
              <w:right w:val="single" w:sz="8" w:space="0" w:color="000000"/>
            </w:tcBorders>
            <w:shd w:val="clear" w:color="auto" w:fill="FFFFFF"/>
            <w:tcMar>
              <w:top w:w="80" w:type="dxa"/>
              <w:left w:w="107" w:type="dxa"/>
              <w:bottom w:w="80" w:type="dxa"/>
              <w:right w:w="80" w:type="dxa"/>
            </w:tcMar>
          </w:tcPr>
          <w:p w14:paraId="274484BC" w14:textId="77777777" w:rsidR="00D2729A" w:rsidRDefault="00AE7F39">
            <w:pPr>
              <w:pStyle w:val="TableParagraph"/>
              <w:spacing w:line="262" w:lineRule="exact"/>
              <w:ind w:left="27"/>
            </w:pPr>
            <w:r>
              <w:rPr>
                <w:rStyle w:val="None"/>
                <w:b/>
                <w:bCs/>
                <w:sz w:val="20"/>
                <w:szCs w:val="20"/>
              </w:rPr>
              <w:t>9</w:t>
            </w:r>
            <w:r>
              <w:rPr>
                <w:rStyle w:val="None"/>
                <w:sz w:val="20"/>
                <w:szCs w:val="20"/>
              </w:rPr>
              <w:t>. Order (Please complete all fields)</w:t>
            </w:r>
          </w:p>
        </w:tc>
      </w:tr>
      <w:tr w:rsidR="00D2729A" w14:paraId="4435DA60" w14:textId="77777777">
        <w:trPr>
          <w:trHeight w:val="1404"/>
          <w:jc w:val="center"/>
        </w:trPr>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107" w:type="dxa"/>
              <w:bottom w:w="80" w:type="dxa"/>
              <w:right w:w="80" w:type="dxa"/>
            </w:tcMar>
            <w:vAlign w:val="center"/>
          </w:tcPr>
          <w:p w14:paraId="72684D10" w14:textId="77777777" w:rsidR="00D2729A" w:rsidRDefault="00AE7F39">
            <w:pPr>
              <w:pStyle w:val="TableParagraph"/>
              <w:ind w:left="27"/>
              <w:jc w:val="center"/>
            </w:pPr>
            <w:r>
              <w:rPr>
                <w:rStyle w:val="None"/>
                <w:sz w:val="20"/>
                <w:szCs w:val="20"/>
              </w:rPr>
              <w:t>No. Requested</w:t>
            </w:r>
          </w:p>
        </w:tc>
        <w:tc>
          <w:tcPr>
            <w:tcW w:w="6197" w:type="dxa"/>
            <w:gridSpan w:val="5"/>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6614970" w14:textId="77777777" w:rsidR="00D2729A" w:rsidRDefault="00AE7F39">
            <w:pPr>
              <w:pStyle w:val="BodyA"/>
              <w:jc w:val="center"/>
            </w:pPr>
            <w:r>
              <w:rPr>
                <w:rStyle w:val="None"/>
                <w:rFonts w:ascii="Calibri" w:hAnsi="Calibri"/>
                <w:sz w:val="20"/>
                <w:szCs w:val="20"/>
              </w:rPr>
              <w:t>Items Available:</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80" w:type="dxa"/>
              <w:left w:w="333" w:type="dxa"/>
              <w:bottom w:w="80" w:type="dxa"/>
              <w:right w:w="224" w:type="dxa"/>
            </w:tcMar>
            <w:vAlign w:val="center"/>
          </w:tcPr>
          <w:p w14:paraId="7D4B1371" w14:textId="77777777" w:rsidR="00D2729A" w:rsidRDefault="00AE7F39">
            <w:pPr>
              <w:pStyle w:val="TableParagraph"/>
              <w:spacing w:before="51" w:line="259" w:lineRule="auto"/>
              <w:ind w:left="253" w:right="144" w:hanging="104"/>
              <w:jc w:val="center"/>
            </w:pPr>
            <w:r>
              <w:rPr>
                <w:rStyle w:val="None"/>
                <w:sz w:val="20"/>
                <w:szCs w:val="20"/>
              </w:rPr>
              <w:t>Date Need, pending availability</w:t>
            </w:r>
          </w:p>
        </w:tc>
      </w:tr>
      <w:tr w:rsidR="00D2729A" w14:paraId="48F5F9B8" w14:textId="77777777">
        <w:trPr>
          <w:trHeight w:val="1830"/>
          <w:jc w:val="center"/>
        </w:trPr>
        <w:tc>
          <w:tcPr>
            <w:tcW w:w="1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076652" w14:textId="77777777" w:rsidR="00D2729A" w:rsidRDefault="00D2729A"/>
        </w:tc>
        <w:tc>
          <w:tcPr>
            <w:tcW w:w="6197"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339" w:type="dxa"/>
              <w:bottom w:w="80" w:type="dxa"/>
              <w:right w:w="80" w:type="dxa"/>
            </w:tcMar>
          </w:tcPr>
          <w:p w14:paraId="73ED42A2" w14:textId="77777777" w:rsidR="00D2729A" w:rsidRDefault="00AE7F39">
            <w:pPr>
              <w:pStyle w:val="TableParagraph"/>
              <w:spacing w:before="68"/>
              <w:ind w:left="259"/>
              <w:jc w:val="center"/>
              <w:rPr>
                <w:rStyle w:val="None"/>
                <w:b/>
                <w:bCs/>
              </w:rPr>
            </w:pPr>
            <w:r>
              <w:rPr>
                <w:rStyle w:val="None"/>
                <w:b/>
                <w:bCs/>
              </w:rPr>
              <w:t>Abbott BinaxNOW COVID-19 Test Kit</w:t>
            </w:r>
          </w:p>
          <w:p w14:paraId="702241CD" w14:textId="3A7222EF" w:rsidR="00D2729A" w:rsidRDefault="00AE7F39">
            <w:pPr>
              <w:pStyle w:val="BodyA"/>
              <w:jc w:val="center"/>
            </w:pPr>
            <w:r>
              <w:rPr>
                <w:rStyle w:val="None"/>
                <w:rFonts w:ascii="Calibri" w:hAnsi="Calibri"/>
              </w:rPr>
              <w:t xml:space="preserve">[Each kit contains test cards and swabs to conduct 40 tests, therefore, please request the total number of </w:t>
            </w:r>
            <w:r>
              <w:rPr>
                <w:rStyle w:val="None"/>
                <w:rFonts w:ascii="Calibri" w:hAnsi="Calibri"/>
                <w:b/>
                <w:bCs/>
              </w:rPr>
              <w:t xml:space="preserve">kits </w:t>
            </w:r>
            <w:r>
              <w:rPr>
                <w:rStyle w:val="None"/>
                <w:rFonts w:ascii="Calibri" w:hAnsi="Calibri"/>
              </w:rPr>
              <w:t>needed based on this quantity]</w:t>
            </w:r>
          </w:p>
        </w:tc>
        <w:tc>
          <w:tcPr>
            <w:tcW w:w="13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434689" w14:textId="77777777" w:rsidR="00D2729A" w:rsidRDefault="00D2729A"/>
        </w:tc>
      </w:tr>
      <w:tr w:rsidR="00D2729A" w14:paraId="211610C9" w14:textId="77777777">
        <w:trPr>
          <w:trHeight w:val="292"/>
          <w:jc w:val="center"/>
        </w:trPr>
        <w:tc>
          <w:tcPr>
            <w:tcW w:w="9359" w:type="dxa"/>
            <w:gridSpan w:val="7"/>
            <w:tcBorders>
              <w:top w:val="single" w:sz="8" w:space="0" w:color="000000"/>
              <w:left w:val="single" w:sz="8" w:space="0" w:color="000000"/>
              <w:bottom w:val="single" w:sz="8" w:space="0" w:color="000000"/>
              <w:right w:val="single" w:sz="8" w:space="0" w:color="000000"/>
            </w:tcBorders>
            <w:shd w:val="clear" w:color="auto" w:fill="F4B083"/>
            <w:tcMar>
              <w:top w:w="80" w:type="dxa"/>
              <w:left w:w="80" w:type="dxa"/>
              <w:bottom w:w="80" w:type="dxa"/>
              <w:right w:w="80" w:type="dxa"/>
            </w:tcMar>
            <w:vAlign w:val="center"/>
          </w:tcPr>
          <w:p w14:paraId="1F79DCBD" w14:textId="77777777" w:rsidR="00D2729A" w:rsidRDefault="00AE7F39">
            <w:pPr>
              <w:pStyle w:val="BodyA"/>
            </w:pPr>
            <w:r>
              <w:rPr>
                <w:rStyle w:val="None"/>
                <w:b/>
                <w:bCs/>
                <w:sz w:val="20"/>
                <w:szCs w:val="20"/>
              </w:rPr>
              <w:t>III. Submittal Process</w:t>
            </w:r>
          </w:p>
        </w:tc>
      </w:tr>
      <w:tr w:rsidR="00D2729A" w14:paraId="3EA9B824" w14:textId="77777777">
        <w:trPr>
          <w:trHeight w:val="1992"/>
          <w:jc w:val="center"/>
        </w:trPr>
        <w:tc>
          <w:tcPr>
            <w:tcW w:w="9359"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8EA57E" w14:textId="77777777" w:rsidR="00D2729A" w:rsidRDefault="00AE7F39">
            <w:pPr>
              <w:pStyle w:val="BodyA"/>
              <w:rPr>
                <w:rStyle w:val="None"/>
                <w:sz w:val="20"/>
                <w:szCs w:val="20"/>
              </w:rPr>
            </w:pPr>
            <w:r>
              <w:rPr>
                <w:rStyle w:val="None"/>
                <w:b/>
                <w:bCs/>
                <w:sz w:val="20"/>
                <w:szCs w:val="20"/>
              </w:rPr>
              <w:t>10.</w:t>
            </w:r>
            <w:r>
              <w:rPr>
                <w:rStyle w:val="None"/>
                <w:sz w:val="20"/>
                <w:szCs w:val="20"/>
              </w:rPr>
              <w:t>. To submit a request, please email completed form to:</w:t>
            </w:r>
          </w:p>
          <w:p w14:paraId="096FAEA4" w14:textId="77777777" w:rsidR="00D2729A" w:rsidRDefault="00D271F6">
            <w:pPr>
              <w:pStyle w:val="BodyA"/>
              <w:jc w:val="center"/>
              <w:rPr>
                <w:rStyle w:val="None"/>
                <w:b/>
                <w:bCs/>
              </w:rPr>
            </w:pPr>
            <w:hyperlink r:id="rId23" w:history="1">
              <w:r w:rsidR="00AE7F39">
                <w:rPr>
                  <w:rStyle w:val="Hyperlink6"/>
                  <w:b/>
                  <w:bCs/>
                </w:rPr>
                <w:t>COVID19.Resource.Request@mass.gov</w:t>
              </w:r>
            </w:hyperlink>
          </w:p>
          <w:p w14:paraId="1C8B7138" w14:textId="77777777" w:rsidR="00D2729A" w:rsidRDefault="00D2729A">
            <w:pPr>
              <w:pStyle w:val="BodyA"/>
              <w:jc w:val="center"/>
              <w:rPr>
                <w:rStyle w:val="None"/>
                <w:b/>
                <w:bCs/>
              </w:rPr>
            </w:pPr>
          </w:p>
          <w:p w14:paraId="2C832831" w14:textId="77777777" w:rsidR="00D2729A" w:rsidRDefault="00D2729A">
            <w:pPr>
              <w:pStyle w:val="BodyA"/>
            </w:pPr>
          </w:p>
        </w:tc>
      </w:tr>
    </w:tbl>
    <w:p w14:paraId="100A1CD7" w14:textId="77777777" w:rsidR="00D2729A" w:rsidRDefault="00D2729A">
      <w:pPr>
        <w:pStyle w:val="BodyA"/>
        <w:widowControl w:val="0"/>
        <w:ind w:left="108" w:hanging="108"/>
        <w:jc w:val="center"/>
      </w:pPr>
    </w:p>
    <w:sectPr w:rsidR="00D2729A">
      <w:headerReference w:type="default" r:id="rId2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ED9B" w14:textId="77777777" w:rsidR="00961E50" w:rsidRDefault="00961E50">
      <w:r>
        <w:separator/>
      </w:r>
    </w:p>
  </w:endnote>
  <w:endnote w:type="continuationSeparator" w:id="0">
    <w:p w14:paraId="0A0A5C05" w14:textId="77777777" w:rsidR="00961E50" w:rsidRDefault="009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81BF" w14:textId="77777777" w:rsidR="00D2729A" w:rsidRDefault="00D2729A">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A58C" w14:textId="77777777" w:rsidR="00961E50" w:rsidRDefault="00961E50">
      <w:r>
        <w:separator/>
      </w:r>
    </w:p>
  </w:footnote>
  <w:footnote w:type="continuationSeparator" w:id="0">
    <w:p w14:paraId="3A6675E7" w14:textId="77777777" w:rsidR="00961E50" w:rsidRDefault="00961E50">
      <w:r>
        <w:continuationSeparator/>
      </w:r>
    </w:p>
  </w:footnote>
  <w:footnote w:id="1">
    <w:p w14:paraId="6F1BA5A1" w14:textId="77777777" w:rsidR="00802952" w:rsidRDefault="00802952" w:rsidP="00802952">
      <w:pPr>
        <w:pStyle w:val="FootnoteText"/>
      </w:pPr>
      <w:r>
        <w:rPr>
          <w:rStyle w:val="FootnoteReference"/>
          <w:rFonts w:eastAsia="Arial"/>
        </w:rPr>
        <w:footnoteRef/>
      </w:r>
      <w:r>
        <w:t xml:space="preserve"> </w:t>
      </w:r>
      <w:hyperlink r:id="rId1" w:anchor=":~:text=A%20negative%20antigen%20test%20result,alternative%20to%20confirmatory%20NAAT%20testing" w:history="1">
        <w:r w:rsidRPr="00896F7C">
          <w:rPr>
            <w:rStyle w:val="Hyperlink"/>
          </w:rPr>
          <w:t>https://www.cdc.gov/coronavirus/2019-ncov/lab/resources/antigen-tests-guidelines.html#:~:text=A%20negative%20antigen%20test%20result,alternative%20to%20confirmatory%20NAAT%20testing</w:t>
        </w:r>
      </w:hyperlink>
      <w:r w:rsidRPr="00121F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1038" w14:textId="77777777" w:rsidR="00D2729A" w:rsidRDefault="00D2729A">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1D5"/>
    <w:multiLevelType w:val="hybridMultilevel"/>
    <w:tmpl w:val="A5589C70"/>
    <w:numStyleLink w:val="ImportedStyle6"/>
  </w:abstractNum>
  <w:abstractNum w:abstractNumId="1" w15:restartNumberingAfterBreak="0">
    <w:nsid w:val="06B2066F"/>
    <w:multiLevelType w:val="hybridMultilevel"/>
    <w:tmpl w:val="E39A1270"/>
    <w:numStyleLink w:val="ImportedStyle1"/>
  </w:abstractNum>
  <w:abstractNum w:abstractNumId="2" w15:restartNumberingAfterBreak="0">
    <w:nsid w:val="0E032BBE"/>
    <w:multiLevelType w:val="hybridMultilevel"/>
    <w:tmpl w:val="A5589C70"/>
    <w:styleLink w:val="ImportedStyle6"/>
    <w:lvl w:ilvl="0" w:tplc="25A0EC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6245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D2E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8828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0C83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D2BD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A27C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40A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DAEC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293245"/>
    <w:multiLevelType w:val="hybridMultilevel"/>
    <w:tmpl w:val="192ACD94"/>
    <w:numStyleLink w:val="ImportedStyle3"/>
  </w:abstractNum>
  <w:abstractNum w:abstractNumId="4" w15:restartNumberingAfterBreak="0">
    <w:nsid w:val="23FB0A5C"/>
    <w:multiLevelType w:val="hybridMultilevel"/>
    <w:tmpl w:val="CAAE1DB6"/>
    <w:numStyleLink w:val="ImportedStyle5"/>
  </w:abstractNum>
  <w:abstractNum w:abstractNumId="5" w15:restartNumberingAfterBreak="0">
    <w:nsid w:val="26EB3EB1"/>
    <w:multiLevelType w:val="hybridMultilevel"/>
    <w:tmpl w:val="A0F2E8A6"/>
    <w:styleLink w:val="ImportedStyle4"/>
    <w:lvl w:ilvl="0" w:tplc="A4B0A7C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5205D3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9E9810">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7582C7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E2655F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722969A">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81C0A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614663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36AEB8">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CC7495"/>
    <w:multiLevelType w:val="hybridMultilevel"/>
    <w:tmpl w:val="9BC8F094"/>
    <w:lvl w:ilvl="0" w:tplc="0C5A44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6E09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76EF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4A91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4C1A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224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83D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6C71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04E4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E15081D"/>
    <w:multiLevelType w:val="hybridMultilevel"/>
    <w:tmpl w:val="CF0A58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7FC474F"/>
    <w:multiLevelType w:val="hybridMultilevel"/>
    <w:tmpl w:val="CAAE1DB6"/>
    <w:styleLink w:val="ImportedStyle5"/>
    <w:lvl w:ilvl="0" w:tplc="4FCA598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AE89DA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2E6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0BF3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90D53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B48B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98F85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08C8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FE3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6B770A0"/>
    <w:multiLevelType w:val="hybridMultilevel"/>
    <w:tmpl w:val="192ACD94"/>
    <w:styleLink w:val="ImportedStyle3"/>
    <w:lvl w:ilvl="0" w:tplc="40BCF1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5C555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B64EB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4EAC44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6A0E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4E574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95A44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604D1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76EA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AC6B03"/>
    <w:multiLevelType w:val="hybridMultilevel"/>
    <w:tmpl w:val="A0F2E8A6"/>
    <w:numStyleLink w:val="ImportedStyle4"/>
  </w:abstractNum>
  <w:abstractNum w:abstractNumId="11" w15:restartNumberingAfterBreak="0">
    <w:nsid w:val="63A75AD5"/>
    <w:multiLevelType w:val="hybridMultilevel"/>
    <w:tmpl w:val="E39A1270"/>
    <w:styleLink w:val="ImportedStyle1"/>
    <w:lvl w:ilvl="0" w:tplc="992E024C">
      <w:start w:val="1"/>
      <w:numFmt w:val="bullet"/>
      <w:lvlText w:val="·"/>
      <w:lvlJc w:val="left"/>
      <w:pPr>
        <w:ind w:left="1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062F6C">
      <w:start w:val="1"/>
      <w:numFmt w:val="bullet"/>
      <w:lvlText w:val="o"/>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80BE52">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2EA396">
      <w:start w:val="1"/>
      <w:numFmt w:val="bullet"/>
      <w:lvlText w:val="·"/>
      <w:lvlJc w:val="left"/>
      <w:pPr>
        <w:ind w:left="3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40EEE">
      <w:start w:val="1"/>
      <w:numFmt w:val="bullet"/>
      <w:lvlText w:val="o"/>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A07096">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69CBC">
      <w:start w:val="1"/>
      <w:numFmt w:val="bullet"/>
      <w:lvlText w:val="·"/>
      <w:lvlJc w:val="left"/>
      <w:pPr>
        <w:ind w:left="58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F45E9C">
      <w:start w:val="1"/>
      <w:numFmt w:val="bullet"/>
      <w:lvlText w:val="o"/>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60A242">
      <w:start w:val="1"/>
      <w:numFmt w:val="bullet"/>
      <w:lvlText w:val="▪"/>
      <w:lvlJc w:val="left"/>
      <w:pPr>
        <w:ind w:left="7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97617680">
    <w:abstractNumId w:val="11"/>
  </w:num>
  <w:num w:numId="2" w16cid:durableId="912660178">
    <w:abstractNumId w:val="1"/>
  </w:num>
  <w:num w:numId="3" w16cid:durableId="254482008">
    <w:abstractNumId w:val="6"/>
  </w:num>
  <w:num w:numId="4" w16cid:durableId="411663148">
    <w:abstractNumId w:val="9"/>
  </w:num>
  <w:num w:numId="5" w16cid:durableId="823203182">
    <w:abstractNumId w:val="3"/>
  </w:num>
  <w:num w:numId="6" w16cid:durableId="66417191">
    <w:abstractNumId w:val="5"/>
  </w:num>
  <w:num w:numId="7" w16cid:durableId="603460202">
    <w:abstractNumId w:val="10"/>
  </w:num>
  <w:num w:numId="8" w16cid:durableId="850070401">
    <w:abstractNumId w:val="8"/>
  </w:num>
  <w:num w:numId="9" w16cid:durableId="533814967">
    <w:abstractNumId w:val="4"/>
  </w:num>
  <w:num w:numId="10" w16cid:durableId="1263758164">
    <w:abstractNumId w:val="10"/>
    <w:lvlOverride w:ilvl="0">
      <w:startOverride w:val="3"/>
    </w:lvlOverride>
  </w:num>
  <w:num w:numId="11" w16cid:durableId="775296630">
    <w:abstractNumId w:val="2"/>
  </w:num>
  <w:num w:numId="12" w16cid:durableId="1739403159">
    <w:abstractNumId w:val="0"/>
  </w:num>
  <w:num w:numId="13" w16cid:durableId="324434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9A"/>
    <w:rsid w:val="00014422"/>
    <w:rsid w:val="0007309A"/>
    <w:rsid w:val="00187D60"/>
    <w:rsid w:val="001E61AF"/>
    <w:rsid w:val="0024307B"/>
    <w:rsid w:val="00340AE6"/>
    <w:rsid w:val="00521983"/>
    <w:rsid w:val="00541FF9"/>
    <w:rsid w:val="00562DCE"/>
    <w:rsid w:val="005A3B26"/>
    <w:rsid w:val="007D0E63"/>
    <w:rsid w:val="00802952"/>
    <w:rsid w:val="00922DA6"/>
    <w:rsid w:val="00961E50"/>
    <w:rsid w:val="009E2B92"/>
    <w:rsid w:val="009E6712"/>
    <w:rsid w:val="00AE7F39"/>
    <w:rsid w:val="00AF641D"/>
    <w:rsid w:val="00BC2A22"/>
    <w:rsid w:val="00BE2242"/>
    <w:rsid w:val="00C265DB"/>
    <w:rsid w:val="00C4224F"/>
    <w:rsid w:val="00D271F6"/>
    <w:rsid w:val="00D2729A"/>
    <w:rsid w:val="00D3485F"/>
    <w:rsid w:val="00D83F9D"/>
    <w:rsid w:val="00DC0BB4"/>
    <w:rsid w:val="00DD6F55"/>
    <w:rsid w:val="00EB3A5E"/>
    <w:rsid w:val="00F24B77"/>
    <w:rsid w:val="00F9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FBA1"/>
  <w15:docId w15:val="{3EA0F350-8ADA-4D2A-A6B1-E571DC31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ExecOffice">
    <w:name w:val="Exec Office"/>
    <w:pPr>
      <w:jc w:val="center"/>
    </w:pPr>
    <w:rPr>
      <w:rFonts w:ascii="Arial" w:hAnsi="Arial" w:cs="Arial Unicode MS"/>
      <w:color w:val="000000"/>
      <w:sz w:val="28"/>
      <w:szCs w:val="28"/>
      <w:u w:color="000000"/>
    </w:rPr>
  </w:style>
  <w:style w:type="paragraph" w:customStyle="1" w:styleId="Governor">
    <w:name w:val="Governor"/>
    <w:pPr>
      <w:spacing w:after="120"/>
      <w:jc w:val="center"/>
    </w:pPr>
    <w:rPr>
      <w:rFonts w:ascii="Arial Rounded MT Bold" w:hAnsi="Arial Rounded MT Bold" w:cs="Arial Unicode MS"/>
      <w:color w:val="000000"/>
      <w:sz w:val="14"/>
      <w:szCs w:val="14"/>
      <w:u w:color="000000"/>
    </w:rPr>
  </w:style>
  <w:style w:type="paragraph" w:customStyle="1" w:styleId="Weld">
    <w:name w:val="Weld"/>
    <w:pPr>
      <w:jc w:val="center"/>
    </w:pPr>
    <w:rPr>
      <w:rFonts w:ascii="Arial Rounded MT Bold" w:hAnsi="Arial Rounded MT Bold" w:cs="Arial Unicode MS"/>
      <w:color w:val="000000"/>
      <w:sz w:val="16"/>
      <w:szCs w:val="16"/>
      <w:u w:color="000000"/>
    </w:rPr>
  </w:style>
  <w:style w:type="paragraph" w:customStyle="1" w:styleId="Heading">
    <w:name w:val="Heading"/>
    <w:next w:val="BodyA"/>
    <w:pPr>
      <w:keepNext/>
      <w:keepLines/>
      <w:spacing w:before="240"/>
      <w:outlineLvl w:val="0"/>
    </w:pPr>
    <w:rPr>
      <w:rFonts w:ascii="Calibri Light" w:hAnsi="Calibri Light" w:cs="Arial Unicode MS"/>
      <w:color w:val="2F5496"/>
      <w:sz w:val="32"/>
      <w:szCs w:val="32"/>
      <w:u w:color="2F5496"/>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de-DE"/>
    </w:rPr>
  </w:style>
  <w:style w:type="character" w:customStyle="1" w:styleId="Hyperlink1">
    <w:name w:val="Hyperlink.1"/>
    <w:basedOn w:val="None"/>
    <w:rPr>
      <w:outline w:val="0"/>
      <w:color w:val="0000FF"/>
      <w:u w:val="single" w:color="0000FF"/>
      <w:lang w:val="fr-FR"/>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3">
    <w:name w:val="Imported Style 3"/>
    <w:pPr>
      <w:numPr>
        <w:numId w:val="4"/>
      </w:numPr>
    </w:pPr>
  </w:style>
  <w:style w:type="character" w:customStyle="1" w:styleId="Hyperlink2">
    <w:name w:val="Hyperlink.2"/>
    <w:basedOn w:val="None"/>
    <w:rPr>
      <w:outline w:val="0"/>
      <w:color w:val="0000FF"/>
      <w:u w:val="single" w:color="0000FF"/>
    </w:rPr>
  </w:style>
  <w:style w:type="character" w:customStyle="1" w:styleId="Hyperlink3">
    <w:name w:val="Hyperlink.3"/>
    <w:basedOn w:val="None"/>
    <w:rPr>
      <w:outline w:val="0"/>
      <w:color w:val="0000FF"/>
      <w:u w:val="single" w:color="0000FF"/>
      <w:lang w:val="en-US"/>
    </w:rPr>
  </w:style>
  <w:style w:type="character" w:customStyle="1" w:styleId="Hyperlink4">
    <w:name w:val="Hyperlink.4"/>
    <w:basedOn w:val="None"/>
    <w:rPr>
      <w:outline w:val="0"/>
      <w:color w:val="0000FF"/>
      <w:u w:val="single" w:color="0000FF"/>
      <w:lang w:val="pt-PT"/>
    </w:r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character" w:customStyle="1" w:styleId="Hyperlink5">
    <w:name w:val="Hyperlink.5"/>
    <w:basedOn w:val="None"/>
    <w:rPr>
      <w:outline w:val="0"/>
      <w:color w:val="0000FF"/>
      <w:u w:val="single" w:color="0000FF"/>
      <w:lang w:val="it-IT"/>
    </w:rPr>
  </w:style>
  <w:style w:type="paragraph" w:styleId="CommentText">
    <w:name w:val="annotation text"/>
    <w:link w:val="CommentTextChar"/>
    <w:rPr>
      <w:rFonts w:cs="Arial Unicode MS"/>
      <w:color w:val="000000"/>
      <w:u w:color="000000"/>
    </w:rPr>
  </w:style>
  <w:style w:type="numbering" w:customStyle="1" w:styleId="ImportedStyle6">
    <w:name w:val="Imported Style 6"/>
    <w:pPr>
      <w:numPr>
        <w:numId w:val="11"/>
      </w:numPr>
    </w:pPr>
  </w:style>
  <w:style w:type="paragraph" w:customStyle="1" w:styleId="TableParagraph">
    <w:name w:val="Table Paragraph"/>
    <w:pPr>
      <w:widowControl w:val="0"/>
    </w:pPr>
    <w:rPr>
      <w:rFonts w:ascii="Calibri" w:hAnsi="Calibri" w:cs="Arial Unicode MS"/>
      <w:color w:val="000000"/>
      <w:sz w:val="22"/>
      <w:szCs w:val="22"/>
      <w:u w:color="000000"/>
    </w:rPr>
  </w:style>
  <w:style w:type="paragraph" w:styleId="BodyText">
    <w:name w:val="Body Text"/>
    <w:pPr>
      <w:widowControl w:val="0"/>
      <w:spacing w:before="31"/>
      <w:ind w:left="4887"/>
    </w:pPr>
    <w:rPr>
      <w:rFonts w:ascii="Calibri" w:hAnsi="Calibri" w:cs="Arial Unicode MS"/>
      <w:b/>
      <w:bCs/>
      <w:color w:val="000000"/>
      <w:sz w:val="28"/>
      <w:szCs w:val="28"/>
      <w:u w:color="000000"/>
    </w:rPr>
  </w:style>
  <w:style w:type="character" w:customStyle="1" w:styleId="Hyperlink6">
    <w:name w:val="Hyperlink.6"/>
    <w:basedOn w:val="None"/>
    <w:rPr>
      <w:outline w:val="0"/>
      <w:color w:val="0000FF"/>
      <w:u w:val="single" w:color="0000FF"/>
      <w:lang w:val="en-US"/>
    </w:rPr>
  </w:style>
  <w:style w:type="character" w:styleId="CommentReference">
    <w:name w:val="annotation reference"/>
    <w:basedOn w:val="DefaultParagraphFont"/>
    <w:uiPriority w:val="99"/>
    <w:semiHidden/>
    <w:unhideWhenUsed/>
    <w:rsid w:val="007D0E63"/>
    <w:rPr>
      <w:sz w:val="16"/>
      <w:szCs w:val="16"/>
    </w:rPr>
  </w:style>
  <w:style w:type="paragraph" w:styleId="CommentSubject">
    <w:name w:val="annotation subject"/>
    <w:basedOn w:val="CommentText"/>
    <w:next w:val="CommentText"/>
    <w:link w:val="CommentSubjectChar"/>
    <w:uiPriority w:val="99"/>
    <w:semiHidden/>
    <w:unhideWhenUsed/>
    <w:rsid w:val="007D0E63"/>
    <w:rPr>
      <w:rFonts w:cs="Times New Roman"/>
      <w:b/>
      <w:bCs/>
      <w:color w:val="auto"/>
    </w:rPr>
  </w:style>
  <w:style w:type="character" w:customStyle="1" w:styleId="CommentTextChar">
    <w:name w:val="Comment Text Char"/>
    <w:basedOn w:val="DefaultParagraphFont"/>
    <w:link w:val="CommentText"/>
    <w:rsid w:val="007D0E63"/>
    <w:rPr>
      <w:rFonts w:cs="Arial Unicode MS"/>
      <w:color w:val="000000"/>
      <w:u w:color="000000"/>
    </w:rPr>
  </w:style>
  <w:style w:type="character" w:customStyle="1" w:styleId="CommentSubjectChar">
    <w:name w:val="Comment Subject Char"/>
    <w:basedOn w:val="CommentTextChar"/>
    <w:link w:val="CommentSubject"/>
    <w:uiPriority w:val="99"/>
    <w:semiHidden/>
    <w:rsid w:val="007D0E63"/>
    <w:rPr>
      <w:rFonts w:cs="Arial Unicode MS"/>
      <w:b/>
      <w:bCs/>
      <w:color w:val="000000"/>
      <w:u w:color="000000"/>
    </w:rPr>
  </w:style>
  <w:style w:type="paragraph" w:styleId="BalloonText">
    <w:name w:val="Balloon Text"/>
    <w:basedOn w:val="Normal"/>
    <w:link w:val="BalloonTextChar"/>
    <w:uiPriority w:val="99"/>
    <w:semiHidden/>
    <w:unhideWhenUsed/>
    <w:rsid w:val="007D0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63"/>
    <w:rPr>
      <w:rFonts w:ascii="Segoe UI" w:hAnsi="Segoe UI" w:cs="Segoe UI"/>
      <w:sz w:val="18"/>
      <w:szCs w:val="18"/>
    </w:rPr>
  </w:style>
  <w:style w:type="paragraph" w:styleId="FootnoteText">
    <w:name w:val="footnote text"/>
    <w:basedOn w:val="Normal"/>
    <w:link w:val="FootnoteTextChar"/>
    <w:rsid w:val="0080295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basedOn w:val="DefaultParagraphFont"/>
    <w:link w:val="FootnoteText"/>
    <w:rsid w:val="00802952"/>
    <w:rPr>
      <w:rFonts w:eastAsia="Times New Roman"/>
      <w:bdr w:val="none" w:sz="0" w:space="0" w:color="auto"/>
    </w:rPr>
  </w:style>
  <w:style w:type="character" w:styleId="FootnoteReference">
    <w:name w:val="footnote reference"/>
    <w:basedOn w:val="DefaultParagraphFont"/>
    <w:rsid w:val="00802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Medicare/CMS-Forms/CMS-Forms/Downloads/CMS116.pdf" TargetMode="External"/><Relationship Id="rId18" Type="http://schemas.openxmlformats.org/officeDocument/2006/relationships/hyperlink" Target="mailto:ts.scr@abbot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dc.gov/coronavirus/2019-ncov/healthcare-facilities/index.html" TargetMode="External"/><Relationship Id="rId7" Type="http://schemas.openxmlformats.org/officeDocument/2006/relationships/webSettings" Target="webSettings.xml"/><Relationship Id="rId12" Type="http://schemas.openxmlformats.org/officeDocument/2006/relationships/hyperlink" Target="mailto:COVID19.Resource.Request@mass.gov" TargetMode="External"/><Relationship Id="rId17" Type="http://schemas.openxmlformats.org/officeDocument/2006/relationships/hyperlink" Target="https://www.fda.gov/media/141570/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lobalpointofcare.abbott/en/support/product-installation-training/navica-brand/navica-binaxnow-ag-training.html" TargetMode="External"/><Relationship Id="rId20" Type="http://schemas.openxmlformats.org/officeDocument/2006/relationships/hyperlink" Target="https://www.cms.gov/About-CMS/Agency-Information/Emergency/EPRO/Current-Emergencies/Current-Emergencies-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rxiv.org/content/10.1101/2021.01.09.21249499v1"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ass.gov/info-details/ppe-testing-and-vaccine-supply-resources-during-covid-19" TargetMode="External"/><Relationship Id="rId23" Type="http://schemas.openxmlformats.org/officeDocument/2006/relationships/hyperlink" Target="mailto:COVID19.Resource.Request@mass.gov" TargetMode="External"/><Relationship Id="rId10" Type="http://schemas.openxmlformats.org/officeDocument/2006/relationships/image" Target="media/image1.png"/><Relationship Id="rId19" Type="http://schemas.openxmlformats.org/officeDocument/2006/relationships/hyperlink" Target="mailto:ISIS-ImmediateDiseaseReporting@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ialab@mass.gov" TargetMode="External"/><Relationship Id="rId22" Type="http://schemas.openxmlformats.org/officeDocument/2006/relationships/hyperlink" Target="https://www.hhs.gov/coronavirus/testing/rapid-test-distribution/index.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lab/resources/antigen-tests-guidelines.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7" ma:contentTypeDescription="Create a new document." ma:contentTypeScope="" ma:versionID="d522c7ccdec5e61d9ed5b0caa0ede60d">
  <xsd:schema xmlns:xsd="http://www.w3.org/2001/XMLSchema" xmlns:xs="http://www.w3.org/2001/XMLSchema" xmlns:p="http://schemas.microsoft.com/office/2006/metadata/properties" xmlns:ns3="08dbe0c4-748a-4e17-baf4-445a2db175ae" targetNamespace="http://schemas.microsoft.com/office/2006/metadata/properties" ma:root="true" ma:fieldsID="ae042fa778961d017f1b102741e039a2" ns3:_="">
    <xsd:import namespace="08dbe0c4-748a-4e17-baf4-445a2db17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06FA8-0AD4-49CB-941C-FDFF0ABB3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3EC5E-A907-4E14-9887-218403593D26}">
  <ds:schemaRefs>
    <ds:schemaRef ds:uri="http://schemas.microsoft.com/sharepoint/v3/contenttype/forms"/>
  </ds:schemaRefs>
</ds:datastoreItem>
</file>

<file path=customXml/itemProps3.xml><?xml version="1.0" encoding="utf-8"?>
<ds:datastoreItem xmlns:ds="http://schemas.openxmlformats.org/officeDocument/2006/customXml" ds:itemID="{F0B4F9F6-8D3B-4294-8DF1-4B1DB92941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2098</Words>
  <Characters>11962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Fillo, Katherine (DPH)</dc:creator>
  <cp:lastModifiedBy>Fillo, Katherine (DPH)</cp:lastModifiedBy>
  <cp:revision>2</cp:revision>
  <dcterms:created xsi:type="dcterms:W3CDTF">2022-05-13T18:28:00Z</dcterms:created>
  <dcterms:modified xsi:type="dcterms:W3CDTF">2022-05-13T18:28:00Z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