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C444" w14:textId="77777777" w:rsidR="00D2729A" w:rsidRDefault="00AE7F39">
      <w:pPr>
        <w:pStyle w:val="BodyA"/>
        <w:rPr>
          <w:rFonts w:ascii="Calibri" w:hAnsi="Calibri"/>
        </w:rPr>
      </w:pPr>
      <w:r>
        <w:rPr>
          <w:rStyle w:val="NoneA"/>
          <w:noProof/>
        </w:rPr>
        <w:drawing>
          <wp:inline distT="0" distB="0" distL="0" distR="0" wp14:anchorId="7F95D332" wp14:editId="31D42D16">
            <wp:extent cx="1231900" cy="14732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DC41FD" w14:textId="77777777" w:rsidR="00D2729A" w:rsidRDefault="00AE7F39">
      <w:pPr>
        <w:pStyle w:val="BodyA"/>
      </w:pPr>
      <w:r>
        <w:rPr>
          <w:rFonts w:ascii="Calibri" w:hAnsi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D26BA7" wp14:editId="2A78A429">
                <wp:simplePos x="0" y="0"/>
                <wp:positionH relativeFrom="page">
                  <wp:posOffset>1824989</wp:posOffset>
                </wp:positionH>
                <wp:positionV relativeFrom="page">
                  <wp:posOffset>451484</wp:posOffset>
                </wp:positionV>
                <wp:extent cx="4398010" cy="1073684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07368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445CF" w14:textId="77777777" w:rsidR="00D2729A" w:rsidRDefault="00AE7F39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The Commonwealth of Massachusetts</w:t>
                            </w:r>
                          </w:p>
                          <w:p w14:paraId="3DD6FE93" w14:textId="77777777" w:rsidR="00D2729A" w:rsidRDefault="00AE7F39">
                            <w:pPr>
                              <w:pStyle w:val="ExecOffice"/>
                            </w:pPr>
                            <w:r>
                              <w:rPr>
                                <w:rStyle w:val="NoneA"/>
                              </w:rPr>
                              <w:t>Executive Office of Health and Human Services</w:t>
                            </w:r>
                          </w:p>
                          <w:p w14:paraId="7BF12836" w14:textId="77777777" w:rsidR="00D2729A" w:rsidRDefault="00AE7F39">
                            <w:pPr>
                              <w:pStyle w:val="ExecOffice"/>
                            </w:pPr>
                            <w:r>
                              <w:rPr>
                                <w:rStyle w:val="NoneA"/>
                              </w:rPr>
                              <w:t>Department of Public Health</w:t>
                            </w:r>
                          </w:p>
                          <w:p w14:paraId="6DA0A583" w14:textId="77777777" w:rsidR="00D2729A" w:rsidRDefault="00AE7F39">
                            <w:pPr>
                              <w:pStyle w:val="ExecOffice"/>
                            </w:pPr>
                            <w:r>
                              <w:rPr>
                                <w:rStyle w:val="NoneA"/>
                              </w:rPr>
                              <w:t>Bureau of Infectious Disease and Laboratory Sciences</w:t>
                            </w:r>
                          </w:p>
                          <w:p w14:paraId="46FA8335" w14:textId="77777777" w:rsidR="00D2729A" w:rsidRDefault="00AE7F39">
                            <w:pPr>
                              <w:pStyle w:val="ExecOffice"/>
                            </w:pPr>
                            <w:r>
                              <w:rPr>
                                <w:rStyle w:val="NoneA"/>
                              </w:rPr>
                              <w:t>305 South Street, Jamaica Plain, MA 02130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3D26BA7" id="officeArt object" o:spid="_x0000_s1026" alt="officeArt object" style="position:absolute;margin-left:143.7pt;margin-top:35.55pt;width:346.3pt;height:84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" fillcolor="black" stroked="f" strokeweight="1pt">
                <v:fill opacity="0"/>
                <v:stroke miterlimit="4"/>
                <v:textbox inset="0,0,0,0">
                  <w:txbxContent>
                    <w:p w14:paraId="4C6445CF" w14:textId="77777777" w:rsidR="00D2729A" w:rsidRDefault="00AE7F39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The Commonwealth of Massachusetts</w:t>
                      </w:r>
                    </w:p>
                    <w:p w14:paraId="3DD6FE93" w14:textId="77777777" w:rsidR="00D2729A" w:rsidRDefault="00AE7F39">
                      <w:pPr>
                        <w:pStyle w:val="ExecOffice"/>
                      </w:pPr>
                      <w:r>
                        <w:rPr>
                          <w:rStyle w:val="NoneA"/>
                        </w:rPr>
                        <w:t>Executive Office of Health and Human Services</w:t>
                      </w:r>
                    </w:p>
                    <w:p w14:paraId="7BF12836" w14:textId="77777777" w:rsidR="00D2729A" w:rsidRDefault="00AE7F39">
                      <w:pPr>
                        <w:pStyle w:val="ExecOffice"/>
                      </w:pPr>
                      <w:r>
                        <w:rPr>
                          <w:rStyle w:val="NoneA"/>
                        </w:rPr>
                        <w:t>Department of Public Health</w:t>
                      </w:r>
                    </w:p>
                    <w:p w14:paraId="6DA0A583" w14:textId="77777777" w:rsidR="00D2729A" w:rsidRDefault="00AE7F39">
                      <w:pPr>
                        <w:pStyle w:val="ExecOffice"/>
                      </w:pPr>
                      <w:r>
                        <w:rPr>
                          <w:rStyle w:val="NoneA"/>
                        </w:rPr>
                        <w:t>Bureau of Infectious Disease and Laboratory Sciences</w:t>
                      </w:r>
                    </w:p>
                    <w:p w14:paraId="46FA8335" w14:textId="77777777" w:rsidR="00D2729A" w:rsidRDefault="00AE7F39">
                      <w:pPr>
                        <w:pStyle w:val="ExecOffice"/>
                      </w:pPr>
                      <w:r>
                        <w:rPr>
                          <w:rStyle w:val="NoneA"/>
                        </w:rPr>
                        <w:t>305 South Street, Jamaica Plain, MA 02130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3E7F1A" wp14:editId="059EE9DB">
                <wp:simplePos x="0" y="0"/>
                <wp:positionH relativeFrom="column">
                  <wp:posOffset>-1409700</wp:posOffset>
                </wp:positionH>
                <wp:positionV relativeFrom="line">
                  <wp:posOffset>280033</wp:posOffset>
                </wp:positionV>
                <wp:extent cx="3419475" cy="624841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2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3383DF" w14:textId="77777777" w:rsidR="00D2729A" w:rsidRDefault="00AE7F39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3D56F148" w14:textId="77777777" w:rsidR="00D2729A" w:rsidRDefault="00AE7F39">
                            <w:pPr>
                              <w:pStyle w:val="Governor"/>
                            </w:pPr>
                            <w:r>
                              <w:rPr>
                                <w:rStyle w:val="NoneA"/>
                              </w:rPr>
                              <w:t>Governor</w:t>
                            </w:r>
                          </w:p>
                          <w:p w14:paraId="4B7326F4" w14:textId="77777777" w:rsidR="00D2729A" w:rsidRDefault="00AE7F39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1BAA49A4" w14:textId="77777777" w:rsidR="00D2729A" w:rsidRDefault="00AE7F39">
                            <w:pPr>
                              <w:pStyle w:val="Governor"/>
                            </w:pPr>
                            <w:r>
                              <w:rPr>
                                <w:rStyle w:val="NoneA"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13E7F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-111pt;margin-top:22.05pt;width:269.25pt;height:49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" stroked="f" strokeweight="1pt">
                <v:stroke miterlimit="4"/>
                <v:textbox inset="1.2699mm,1.2699mm,1.2699mm,1.2699mm">
                  <w:txbxContent>
                    <w:p w14:paraId="723383DF" w14:textId="77777777" w:rsidR="00D2729A" w:rsidRDefault="00AE7F39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CHARLES D. BAKER</w:t>
                      </w:r>
                    </w:p>
                    <w:p w14:paraId="3D56F148" w14:textId="77777777" w:rsidR="00D2729A" w:rsidRDefault="00AE7F39">
                      <w:pPr>
                        <w:pStyle w:val="Governor"/>
                      </w:pPr>
                      <w:r>
                        <w:rPr>
                          <w:rStyle w:val="NoneA"/>
                        </w:rPr>
                        <w:t>Governor</w:t>
                      </w:r>
                    </w:p>
                    <w:p w14:paraId="4B7326F4" w14:textId="77777777" w:rsidR="00D2729A" w:rsidRDefault="00AE7F39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KARYN E. POLITO</w:t>
                      </w:r>
                    </w:p>
                    <w:p w14:paraId="1BAA49A4" w14:textId="77777777" w:rsidR="00D2729A" w:rsidRDefault="00AE7F39">
                      <w:pPr>
                        <w:pStyle w:val="Governor"/>
                      </w:pPr>
                      <w:r>
                        <w:rPr>
                          <w:rStyle w:val="NoneA"/>
                        </w:rPr>
                        <w:t>Lieutenant Governor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4DC6638" w14:textId="77777777" w:rsidR="00D2729A" w:rsidRDefault="00AE7F39">
      <w:pPr>
        <w:pStyle w:val="BodyA"/>
      </w:pPr>
      <w:r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C7E2F21" wp14:editId="4FE2E426">
                <wp:simplePos x="0" y="0"/>
                <wp:positionH relativeFrom="column">
                  <wp:posOffset>4919976</wp:posOffset>
                </wp:positionH>
                <wp:positionV relativeFrom="line">
                  <wp:posOffset>123190</wp:posOffset>
                </wp:positionV>
                <wp:extent cx="1814195" cy="990232"/>
                <wp:effectExtent l="0" t="0" r="0" b="0"/>
                <wp:wrapSquare wrapText="bothSides" distT="57150" distB="57150" distL="57150" distR="5715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990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F6D68" w14:textId="77777777" w:rsidR="00D2729A" w:rsidRDefault="00AE7F39">
                            <w:pPr>
                              <w:pStyle w:val="Weld"/>
                            </w:pPr>
                            <w:r>
                              <w:rPr>
                                <w:rStyle w:val="NoneA"/>
                              </w:rPr>
                              <w:t>MARYLOU SUDDERS</w:t>
                            </w:r>
                          </w:p>
                          <w:p w14:paraId="21452C97" w14:textId="77777777" w:rsidR="00D2729A" w:rsidRDefault="00AE7F39">
                            <w:pPr>
                              <w:pStyle w:val="Governor"/>
                            </w:pPr>
                            <w:r>
                              <w:rPr>
                                <w:rStyle w:val="NoneA"/>
                              </w:rPr>
                              <w:t>Secretary</w:t>
                            </w:r>
                          </w:p>
                          <w:p w14:paraId="75CC4F5B" w14:textId="77777777" w:rsidR="00D2729A" w:rsidRDefault="00AE7F39">
                            <w:pPr>
                              <w:pStyle w:val="BodyA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  <w:lang w:val="it-IT"/>
                              </w:rPr>
                              <w:t>Commissioner</w:t>
                            </w:r>
                          </w:p>
                          <w:p w14:paraId="3A0D403C" w14:textId="77777777" w:rsidR="00D2729A" w:rsidRDefault="00D2729A">
                            <w:pPr>
                              <w:pStyle w:val="BodyA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966001C" w14:textId="77777777" w:rsidR="00D2729A" w:rsidRDefault="00AE7F39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nl-NL"/>
                              </w:rPr>
                              <w:t>Tel: 617-624-6000</w:t>
                            </w:r>
                          </w:p>
                          <w:p w14:paraId="491F027F" w14:textId="77777777" w:rsidR="00D2729A" w:rsidRDefault="00AE7F39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C7E2F21" id="_x0000_s1028" type="#_x0000_t202" alt="Text Box 2" style="position:absolute;margin-left:387.4pt;margin-top:9.7pt;width:142.85pt;height:77.95pt;z-index:25166131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" stroked="f" strokeweight="1pt">
                <v:stroke miterlimit="4"/>
                <v:textbox inset="1.2699mm,1.2699mm,1.2699mm,1.2699mm">
                  <w:txbxContent>
                    <w:p w14:paraId="69EF6D68" w14:textId="77777777" w:rsidR="00D2729A" w:rsidRDefault="00AE7F39">
                      <w:pPr>
                        <w:pStyle w:val="Weld"/>
                      </w:pPr>
                      <w:r>
                        <w:rPr>
                          <w:rStyle w:val="NoneA"/>
                        </w:rPr>
                        <w:t>MARYLOU SUDDERS</w:t>
                      </w:r>
                    </w:p>
                    <w:p w14:paraId="21452C97" w14:textId="77777777" w:rsidR="00D2729A" w:rsidRDefault="00AE7F39">
                      <w:pPr>
                        <w:pStyle w:val="Governor"/>
                      </w:pPr>
                      <w:r>
                        <w:rPr>
                          <w:rStyle w:val="NoneA"/>
                        </w:rPr>
                        <w:t>Secretary</w:t>
                      </w:r>
                    </w:p>
                    <w:p w14:paraId="75CC4F5B" w14:textId="77777777" w:rsidR="00D2729A" w:rsidRDefault="00AE7F39">
                      <w:pPr>
                        <w:pStyle w:val="BodyA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  <w:lang w:val="it-IT"/>
                        </w:rPr>
                        <w:t>Commissioner</w:t>
                      </w:r>
                    </w:p>
                    <w:p w14:paraId="3A0D403C" w14:textId="77777777" w:rsidR="00D2729A" w:rsidRDefault="00D2729A">
                      <w:pPr>
                        <w:pStyle w:val="BodyA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14"/>
                          <w:szCs w:val="14"/>
                        </w:rPr>
                      </w:pPr>
                    </w:p>
                    <w:p w14:paraId="2966001C" w14:textId="77777777" w:rsidR="00D2729A" w:rsidRDefault="00AE7F39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lang w:val="nl-N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nl-NL"/>
                        </w:rPr>
                        <w:t>Tel: 617-624-6000</w:t>
                      </w:r>
                    </w:p>
                    <w:p w14:paraId="491F027F" w14:textId="77777777" w:rsidR="00D2729A" w:rsidRDefault="00AE7F39">
                      <w:pPr>
                        <w:pStyle w:val="BodyA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564A4DFB" w14:textId="77777777" w:rsidR="00D2729A" w:rsidRDefault="00D2729A">
      <w:pPr>
        <w:pStyle w:val="BodyA"/>
      </w:pPr>
    </w:p>
    <w:p w14:paraId="7B9E75A4" w14:textId="77777777" w:rsidR="00D2729A" w:rsidRDefault="00D2729A">
      <w:pPr>
        <w:pStyle w:val="BodyA"/>
      </w:pPr>
    </w:p>
    <w:p w14:paraId="0913FE28" w14:textId="77777777" w:rsidR="00D2729A" w:rsidRDefault="00D2729A">
      <w:pPr>
        <w:pStyle w:val="BodyA"/>
      </w:pPr>
    </w:p>
    <w:p w14:paraId="5F09F575" w14:textId="77777777" w:rsidR="00D2729A" w:rsidRDefault="00D2729A">
      <w:pPr>
        <w:pStyle w:val="BodyA"/>
      </w:pPr>
    </w:p>
    <w:p w14:paraId="1C1A7ACC" w14:textId="77777777" w:rsidR="00D2729A" w:rsidRDefault="00D2729A">
      <w:pPr>
        <w:pStyle w:val="BodyA"/>
      </w:pPr>
    </w:p>
    <w:p w14:paraId="3EE5B029" w14:textId="77777777" w:rsidR="00D2729A" w:rsidRDefault="00D2729A">
      <w:pPr>
        <w:pStyle w:val="BodyA"/>
      </w:pPr>
    </w:p>
    <w:p w14:paraId="0CA3FCC0" w14:textId="77777777" w:rsidR="00D2729A" w:rsidRDefault="00AE7F39">
      <w:pPr>
        <w:pStyle w:val="BodyA"/>
        <w:jc w:val="center"/>
      </w:pPr>
      <w:r>
        <w:rPr>
          <w:b/>
          <w:bCs/>
        </w:rPr>
        <w:t>Memorandum</w:t>
      </w:r>
    </w:p>
    <w:p w14:paraId="0A23FBCA" w14:textId="77777777" w:rsidR="00D2729A" w:rsidRDefault="00D2729A">
      <w:pPr>
        <w:pStyle w:val="BodyA"/>
      </w:pPr>
    </w:p>
    <w:p w14:paraId="217F240A" w14:textId="6A51C799" w:rsidR="00D2729A" w:rsidRDefault="00AE7F39">
      <w:pPr>
        <w:pStyle w:val="BodyA"/>
        <w:rPr>
          <w:b/>
          <w:bCs/>
        </w:rPr>
      </w:pPr>
      <w:r>
        <w:rPr>
          <w:b/>
          <w:bCs/>
          <w:lang w:val="da-DK"/>
        </w:rPr>
        <w:t>TO:</w:t>
      </w:r>
      <w:r>
        <w:tab/>
      </w:r>
      <w:r>
        <w:tab/>
      </w:r>
      <w:r w:rsidR="000106F3">
        <w:t>Massachusetts Healthcare Providers</w:t>
      </w:r>
    </w:p>
    <w:p w14:paraId="25965B31" w14:textId="77777777" w:rsidR="00D2729A" w:rsidRDefault="00D2729A">
      <w:pPr>
        <w:pStyle w:val="BodyA"/>
        <w:rPr>
          <w:b/>
          <w:bCs/>
        </w:rPr>
      </w:pPr>
    </w:p>
    <w:p w14:paraId="14352C30" w14:textId="77777777" w:rsidR="00D2729A" w:rsidRDefault="00AE7F39">
      <w:pPr>
        <w:pStyle w:val="BodyA"/>
        <w:rPr>
          <w:sz w:val="22"/>
          <w:szCs w:val="22"/>
        </w:rPr>
      </w:pPr>
      <w:r>
        <w:rPr>
          <w:b/>
          <w:bCs/>
        </w:rPr>
        <w:t>FROM:</w:t>
      </w:r>
      <w:r>
        <w:rPr>
          <w:rStyle w:val="NoneA"/>
        </w:rPr>
        <w:t xml:space="preserve">          </w:t>
      </w:r>
      <w:r>
        <w:rPr>
          <w:sz w:val="22"/>
          <w:szCs w:val="22"/>
        </w:rPr>
        <w:t>Catherine M. Brown, DVM, MSc, MPH, State Epidemiologist</w:t>
      </w:r>
    </w:p>
    <w:p w14:paraId="56ECE88E" w14:textId="77777777" w:rsidR="00D2729A" w:rsidRDefault="00AE7F39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            Larry Madoff, MD, Medical Director, BIDLS</w:t>
      </w:r>
    </w:p>
    <w:p w14:paraId="59A2757D" w14:textId="77777777" w:rsidR="00D2729A" w:rsidRDefault="00AE7F39">
      <w:pPr>
        <w:pStyle w:val="BodyA"/>
      </w:pPr>
      <w:r>
        <w:rPr>
          <w:rStyle w:val="NoneA"/>
        </w:rPr>
        <w:tab/>
      </w:r>
      <w:r>
        <w:rPr>
          <w:rStyle w:val="NoneA"/>
        </w:rPr>
        <w:tab/>
      </w:r>
      <w:r>
        <w:rPr>
          <w:rStyle w:val="NoneA"/>
        </w:rPr>
        <w:tab/>
      </w:r>
    </w:p>
    <w:p w14:paraId="48821773" w14:textId="1FB446A0" w:rsidR="00D2729A" w:rsidRDefault="00AE7F39">
      <w:pPr>
        <w:pStyle w:val="BodyA"/>
        <w:tabs>
          <w:tab w:val="left" w:pos="1440"/>
        </w:tabs>
        <w:ind w:left="1440" w:hanging="1440"/>
      </w:pPr>
      <w:r>
        <w:rPr>
          <w:b/>
          <w:bCs/>
        </w:rPr>
        <w:t>SUBJECT:</w:t>
      </w:r>
      <w:r>
        <w:rPr>
          <w:rStyle w:val="NoneA"/>
        </w:rPr>
        <w:t xml:space="preserve">   </w:t>
      </w:r>
      <w:r>
        <w:rPr>
          <w:rStyle w:val="NoneA"/>
        </w:rPr>
        <w:tab/>
        <w:t xml:space="preserve">BinaxNOW Rapid Point of Care COVID-19 Testing for </w:t>
      </w:r>
      <w:r w:rsidR="00AB5AFA">
        <w:rPr>
          <w:rStyle w:val="NoneA"/>
        </w:rPr>
        <w:t>Provider Settings</w:t>
      </w:r>
    </w:p>
    <w:p w14:paraId="41CA64DA" w14:textId="77777777" w:rsidR="00D2729A" w:rsidRDefault="00D2729A">
      <w:pPr>
        <w:pStyle w:val="BodyA"/>
        <w:rPr>
          <w:b/>
          <w:bCs/>
        </w:rPr>
      </w:pPr>
    </w:p>
    <w:p w14:paraId="0C8BE361" w14:textId="11FF3FF6" w:rsidR="00D2729A" w:rsidRDefault="00AE7F39">
      <w:pPr>
        <w:pStyle w:val="BodyA"/>
      </w:pPr>
      <w:r>
        <w:rPr>
          <w:b/>
          <w:bCs/>
        </w:rPr>
        <w:t>DATE:</w:t>
      </w:r>
      <w:r>
        <w:rPr>
          <w:b/>
          <w:bCs/>
        </w:rPr>
        <w:tab/>
      </w:r>
      <w:r w:rsidR="00AB5AFA">
        <w:rPr>
          <w:rStyle w:val="NoneA"/>
        </w:rPr>
        <w:t xml:space="preserve">May </w:t>
      </w:r>
      <w:r w:rsidR="009C3706">
        <w:rPr>
          <w:rStyle w:val="NoneA"/>
        </w:rPr>
        <w:t>13</w:t>
      </w:r>
      <w:r>
        <w:rPr>
          <w:rStyle w:val="NoneA"/>
        </w:rPr>
        <w:t xml:space="preserve">, </w:t>
      </w:r>
      <w:r w:rsidR="009E6712">
        <w:rPr>
          <w:rStyle w:val="NoneA"/>
        </w:rPr>
        <w:t>2021</w:t>
      </w:r>
    </w:p>
    <w:p w14:paraId="6D9EAE18" w14:textId="77777777" w:rsidR="00D2729A" w:rsidRDefault="00AE7F39">
      <w:pPr>
        <w:pStyle w:val="Head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Background</w:t>
      </w:r>
    </w:p>
    <w:p w14:paraId="7B89AED9" w14:textId="77777777" w:rsidR="00D2729A" w:rsidRDefault="00D2729A">
      <w:pPr>
        <w:pStyle w:val="BodyA"/>
      </w:pPr>
    </w:p>
    <w:p w14:paraId="6C05BCD5" w14:textId="5F5FE658" w:rsidR="00D2729A" w:rsidRDefault="00AE7F39">
      <w:pPr>
        <w:pStyle w:val="BodyA"/>
      </w:pPr>
      <w:r>
        <w:t>The Abbott BinaxNOW test received Emergency Use Authorization (EUA) from the Food and Drug Administration (FDA) in August</w:t>
      </w:r>
      <w:r w:rsidR="004D6B2F">
        <w:t xml:space="preserve"> 2020</w:t>
      </w:r>
      <w:r>
        <w:t xml:space="preserve">. The test is performed on a nasal swab and delivers results in just 15 minutes with no instrumentation, using lateral flow technology with observed sensitivity of 97.1% and specificity of 98.5% in a clinical study. The test was approved for detection of SARS-CoV2 in symptomatic individuals within 7 days of onset of illness but may be used </w:t>
      </w:r>
      <w:r>
        <w:rPr>
          <w:rFonts w:ascii="Arial Unicode MS" w:hAnsi="Arial Unicode MS"/>
          <w:rtl/>
          <w:lang w:val="ar-SA"/>
        </w:rPr>
        <w:t>“</w:t>
      </w:r>
      <w:r>
        <w:t xml:space="preserve">off label” in asymptomatic individuals. The EUA allows for use in point-of-care settings that are qualified to have the test performed and are operating under a CLIA (Clinical Laboratory Improvement Amendments) Certificate of Waiver, Certificate of Compliance, or Certificate of Accreditation. Within these settings, the test can be performed by a variety of trained professionals, including nurses. </w:t>
      </w:r>
    </w:p>
    <w:p w14:paraId="332A16EA" w14:textId="77777777" w:rsidR="00D2729A" w:rsidRDefault="00D2729A">
      <w:pPr>
        <w:pStyle w:val="BodyA"/>
      </w:pPr>
    </w:p>
    <w:p w14:paraId="70BDD942" w14:textId="7D14ABA9" w:rsidR="00D2729A" w:rsidRDefault="00AE7F39">
      <w:pPr>
        <w:pStyle w:val="BodyA"/>
      </w:pPr>
      <w:r>
        <w:t>The Commonwealth conducted a validation study of the performance of the Abbott BinaxN</w:t>
      </w:r>
      <w:r w:rsidR="00111CDC">
        <w:t>OW</w:t>
      </w:r>
      <w:r>
        <w:t xml:space="preserve"> test in both symptomatic and asymptomatic individuals at a high throughput, drive-through, free </w:t>
      </w:r>
      <w:r>
        <w:lastRenderedPageBreak/>
        <w:t xml:space="preserve">community testing site in Massachusetts. A paired PCR result was the reference for sensitivity and specificity calculations. The BinaxNOW was found to have a very high sensitivity in adults with high viral loads, especially those who were newly symptomatic, and a very high specificity overall.  Overall, 98.6% sensitivity was observed in those with high viral levels (Ct </w:t>
      </w:r>
      <w:r>
        <w:rPr>
          <w:u w:val="single"/>
        </w:rPr>
        <w:t xml:space="preserve">&lt; </w:t>
      </w:r>
      <w:r>
        <w:t xml:space="preserve">30) and 99%+ specificity was observed across all groups. Further details about the study can be found here: </w:t>
      </w:r>
      <w:hyperlink r:id="rId11" w:history="1">
        <w:r>
          <w:rPr>
            <w:rStyle w:val="Hyperlink0"/>
          </w:rPr>
          <w:t>BinaxNOW Antigen Test Abstract</w:t>
        </w:r>
      </w:hyperlink>
      <w:r>
        <w:rPr>
          <w:rStyle w:val="None"/>
        </w:rPr>
        <w:t> | </w:t>
      </w:r>
      <w:hyperlink r:id="rId12" w:history="1">
        <w:r>
          <w:rPr>
            <w:rStyle w:val="Hyperlink1"/>
          </w:rPr>
          <w:t>Graph</w:t>
        </w:r>
      </w:hyperlink>
      <w:r>
        <w:rPr>
          <w:rStyle w:val="None"/>
        </w:rPr>
        <w:t>.</w:t>
      </w:r>
    </w:p>
    <w:p w14:paraId="6D898B24" w14:textId="77777777" w:rsidR="00D2729A" w:rsidRDefault="00D2729A">
      <w:pPr>
        <w:pStyle w:val="BodyA"/>
      </w:pPr>
    </w:p>
    <w:p w14:paraId="50ABE567" w14:textId="7E798B8A" w:rsidR="00D2729A" w:rsidRDefault="00AE7F39">
      <w:pPr>
        <w:pStyle w:val="BodyA"/>
      </w:pPr>
      <w:r>
        <w:rPr>
          <w:rStyle w:val="NoneA"/>
        </w:rPr>
        <w:t xml:space="preserve">The Massachusetts COVID-19 Command Center, in collaboration with the Massachusetts Department of Public Health (DPH) is making BinaxNOW test kits available for use </w:t>
      </w:r>
      <w:r w:rsidR="004D6B2F">
        <w:rPr>
          <w:rStyle w:val="NoneA"/>
        </w:rPr>
        <w:t>in all provider settings</w:t>
      </w:r>
      <w:r>
        <w:rPr>
          <w:rStyle w:val="NoneA"/>
        </w:rPr>
        <w:t xml:space="preserve"> to </w:t>
      </w:r>
      <w:r w:rsidR="004D6B2F">
        <w:rPr>
          <w:rStyle w:val="NoneA"/>
        </w:rPr>
        <w:t>maximize availability of testing.</w:t>
      </w:r>
    </w:p>
    <w:p w14:paraId="6D8C8E09" w14:textId="77777777" w:rsidR="00D2729A" w:rsidRDefault="00D2729A">
      <w:pPr>
        <w:pStyle w:val="BodyA"/>
      </w:pPr>
    </w:p>
    <w:p w14:paraId="4431E582" w14:textId="6084EF15" w:rsidR="00D2729A" w:rsidRDefault="00AE7F39">
      <w:pPr>
        <w:pStyle w:val="BodyA"/>
      </w:pPr>
      <w:r>
        <w:rPr>
          <w:rStyle w:val="NoneA"/>
        </w:rPr>
        <w:t xml:space="preserve">The guidance below provides information to </w:t>
      </w:r>
      <w:r w:rsidR="004D6B2F">
        <w:rPr>
          <w:rStyle w:val="NoneA"/>
        </w:rPr>
        <w:t>providers</w:t>
      </w:r>
      <w:r>
        <w:rPr>
          <w:rStyle w:val="NoneA"/>
        </w:rPr>
        <w:t xml:space="preserve"> on how to request BinaxNOW test kits from DPH</w:t>
      </w:r>
      <w:r w:rsidR="00FE21B2">
        <w:rPr>
          <w:rStyle w:val="NoneA"/>
        </w:rPr>
        <w:t xml:space="preserve"> </w:t>
      </w:r>
      <w:r>
        <w:rPr>
          <w:rStyle w:val="NoneA"/>
        </w:rPr>
        <w:t>and what documentation and protocols must be in place prior to requesting test kits.</w:t>
      </w:r>
    </w:p>
    <w:p w14:paraId="493E77FB" w14:textId="66D4F2D6" w:rsidR="00D2729A" w:rsidRDefault="00AE7F39">
      <w:pPr>
        <w:pStyle w:val="Heading"/>
        <w:rPr>
          <w:rStyle w:val="None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Use of BinaxNOW test kits in </w:t>
      </w:r>
      <w:r w:rsidR="00237C3E">
        <w:rPr>
          <w:rStyle w:val="None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provider settings</w:t>
      </w:r>
    </w:p>
    <w:p w14:paraId="7C8DA428" w14:textId="77777777" w:rsidR="00D2729A" w:rsidRDefault="00D2729A">
      <w:pPr>
        <w:pStyle w:val="BodyA"/>
      </w:pPr>
    </w:p>
    <w:p w14:paraId="60DF99C6" w14:textId="77777777" w:rsidR="00D2729A" w:rsidRDefault="00AE7F39">
      <w:pPr>
        <w:pStyle w:val="BodyA"/>
      </w:pPr>
      <w:r>
        <w:rPr>
          <w:rStyle w:val="NoneA"/>
        </w:rPr>
        <w:t xml:space="preserve">This guidance applies only to BinaxNOW test kits supplied by DPH and does </w:t>
      </w:r>
      <w:r>
        <w:rPr>
          <w:rStyle w:val="None"/>
          <w:u w:val="single"/>
        </w:rPr>
        <w:t>not</w:t>
      </w:r>
      <w:r>
        <w:rPr>
          <w:rStyle w:val="NoneA"/>
        </w:rPr>
        <w:t xml:space="preserve"> apply to POC rapid diagnostic tests obtained from the federal government, manufacturers, or other sources.</w:t>
      </w:r>
    </w:p>
    <w:p w14:paraId="7D1B3BE2" w14:textId="77777777" w:rsidR="00D2729A" w:rsidRDefault="00D2729A">
      <w:pPr>
        <w:pStyle w:val="BodyA"/>
      </w:pPr>
    </w:p>
    <w:p w14:paraId="18D55014" w14:textId="0ED0BAC1" w:rsidR="00D2729A" w:rsidRDefault="00AE7F39">
      <w:pPr>
        <w:pStyle w:val="BodyA"/>
      </w:pPr>
      <w:r>
        <w:rPr>
          <w:rStyle w:val="NoneA"/>
        </w:rPr>
        <w:t xml:space="preserve">Requested BinaxNOW tests should be utilized </w:t>
      </w:r>
      <w:r w:rsidR="00FE21B2">
        <w:rPr>
          <w:rStyle w:val="NoneA"/>
        </w:rPr>
        <w:t xml:space="preserve">as clinically indicated </w:t>
      </w:r>
      <w:r>
        <w:rPr>
          <w:rStyle w:val="NoneA"/>
        </w:rPr>
        <w:t xml:space="preserve">to provide testing to asymptomatic and/or symptomatic patients at no cost to them. </w:t>
      </w:r>
    </w:p>
    <w:p w14:paraId="4A6DD639" w14:textId="77777777" w:rsidR="00D2729A" w:rsidRDefault="00D2729A">
      <w:pPr>
        <w:pStyle w:val="BodyA"/>
      </w:pPr>
    </w:p>
    <w:p w14:paraId="416EC65F" w14:textId="1F0E994E" w:rsidR="00D2729A" w:rsidRDefault="00AE7F39">
      <w:pPr>
        <w:pStyle w:val="Heading"/>
        <w:rPr>
          <w:rStyle w:val="None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Temperature Controls for BinaxN</w:t>
      </w:r>
      <w:r w:rsidR="00320AF7">
        <w:rPr>
          <w:rStyle w:val="None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OW</w:t>
      </w:r>
      <w:r>
        <w:rPr>
          <w:rStyle w:val="None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 test kits</w:t>
      </w:r>
    </w:p>
    <w:p w14:paraId="51BD0F37" w14:textId="77777777" w:rsidR="00D2729A" w:rsidRDefault="00D2729A">
      <w:pPr>
        <w:pStyle w:val="BodyA"/>
      </w:pPr>
    </w:p>
    <w:p w14:paraId="5CFD8F9D" w14:textId="77777777" w:rsidR="00D2729A" w:rsidRDefault="00AE7F39">
      <w:pPr>
        <w:pStyle w:val="BodyA"/>
        <w:tabs>
          <w:tab w:val="left" w:pos="1380"/>
        </w:tabs>
      </w:pPr>
      <w:r>
        <w:rPr>
          <w:rStyle w:val="None"/>
        </w:rPr>
        <w:t>In accordance with the BinaxNOW COVID-19 Ag Card test</w:t>
      </w:r>
      <w:r>
        <w:rPr>
          <w:rStyle w:val="None"/>
          <w:rFonts w:ascii="Arial Unicode MS" w:hAnsi="Arial Unicode MS"/>
          <w:rtl/>
          <w:lang w:val="ar-SA"/>
        </w:rPr>
        <w:t>’</w:t>
      </w:r>
      <w:r>
        <w:rPr>
          <w:rStyle w:val="None"/>
        </w:rPr>
        <w:t>s instructions for use (IFU), test kits must be stored at temperatures between 2 and 30</w:t>
      </w:r>
      <w:r>
        <w:rPr>
          <w:rStyle w:val="None"/>
          <w:lang w:val="it-IT"/>
        </w:rPr>
        <w:t>°</w:t>
      </w:r>
      <w:r>
        <w:rPr>
          <w:rStyle w:val="None"/>
        </w:rPr>
        <w:t>C (35.6 - 86</w:t>
      </w:r>
      <w:r>
        <w:rPr>
          <w:rStyle w:val="None"/>
          <w:lang w:val="it-IT"/>
        </w:rPr>
        <w:t>°</w:t>
      </w:r>
      <w:r>
        <w:rPr>
          <w:rStyle w:val="None"/>
        </w:rPr>
        <w:t>F). The IFU states to ensure that the test components (Antigen card and buffer) are at room temperature (59 and 86</w:t>
      </w:r>
      <w:r>
        <w:rPr>
          <w:rStyle w:val="None"/>
          <w:lang w:val="it-IT"/>
        </w:rPr>
        <w:t>°</w:t>
      </w:r>
      <w:r>
        <w:rPr>
          <w:rStyle w:val="None"/>
        </w:rPr>
        <w:t>F) during performance of the test.  DPH requires the room temperature to be recorded upon test administration. Data obtained by DPH indicates that the test</w:t>
      </w:r>
      <w:r>
        <w:rPr>
          <w:rStyle w:val="None"/>
          <w:rFonts w:ascii="Arial Unicode MS" w:hAnsi="Arial Unicode MS"/>
          <w:rtl/>
          <w:lang w:val="ar-SA"/>
        </w:rPr>
        <w:t>’</w:t>
      </w:r>
      <w:r>
        <w:rPr>
          <w:rStyle w:val="None"/>
        </w:rPr>
        <w:t>s accuracy is significantly reduced when used outside of this temperature range.</w:t>
      </w:r>
    </w:p>
    <w:p w14:paraId="067B63B0" w14:textId="77777777" w:rsidR="00D2729A" w:rsidRDefault="00AE7F39">
      <w:pPr>
        <w:pStyle w:val="Heading"/>
        <w:rPr>
          <w:rStyle w:val="None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Requirements for providers requesting BinaxNOW test kits:</w:t>
      </w:r>
    </w:p>
    <w:p w14:paraId="46AC0EC2" w14:textId="0E1C01F5" w:rsidR="00D2729A" w:rsidRDefault="00111CDC">
      <w:pPr>
        <w:pStyle w:val="BodyA"/>
      </w:pPr>
      <w:r>
        <w:rPr>
          <w:rStyle w:val="NoneA"/>
        </w:rPr>
        <w:t>Providers</w:t>
      </w:r>
      <w:r w:rsidR="00AE7F39">
        <w:rPr>
          <w:rStyle w:val="NoneA"/>
        </w:rPr>
        <w:t xml:space="preserve"> must meet the four following requirements </w:t>
      </w:r>
      <w:proofErr w:type="gramStart"/>
      <w:r w:rsidR="00AE7F39">
        <w:rPr>
          <w:rStyle w:val="NoneA"/>
        </w:rPr>
        <w:t>in order to</w:t>
      </w:r>
      <w:proofErr w:type="gramEnd"/>
      <w:r w:rsidR="00AE7F39">
        <w:rPr>
          <w:rStyle w:val="NoneA"/>
        </w:rPr>
        <w:t xml:space="preserve"> request Abbott BinaxNOW test kits from DPH:</w:t>
      </w:r>
    </w:p>
    <w:p w14:paraId="51BF0EAE" w14:textId="77777777" w:rsidR="00D2729A" w:rsidRDefault="00D2729A">
      <w:pPr>
        <w:pStyle w:val="BodyA"/>
      </w:pPr>
    </w:p>
    <w:p w14:paraId="29A2F9C3" w14:textId="77777777" w:rsidR="00D2729A" w:rsidRDefault="00AE7F3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Have an approved CLIA certificate of waiver;</w:t>
      </w:r>
    </w:p>
    <w:p w14:paraId="6C546B6E" w14:textId="77777777" w:rsidR="00D2729A" w:rsidRDefault="00AE7F3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Maintain an adequate supply of PPE;</w:t>
      </w:r>
    </w:p>
    <w:p w14:paraId="7DAA40A3" w14:textId="77777777" w:rsidR="00D2729A" w:rsidRDefault="00AE7F3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Ensure all staff performing testing meet training requirements; and</w:t>
      </w:r>
    </w:p>
    <w:p w14:paraId="077E99CA" w14:textId="77777777" w:rsidR="00D2729A" w:rsidRDefault="00AE7F39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Report all test results to DPH.</w:t>
      </w:r>
    </w:p>
    <w:p w14:paraId="1EDE9581" w14:textId="77777777" w:rsidR="00D2729A" w:rsidRDefault="00D2729A">
      <w:pPr>
        <w:pStyle w:val="BodyA"/>
      </w:pPr>
    </w:p>
    <w:p w14:paraId="5C1A3567" w14:textId="5CE9D066" w:rsidR="00D2729A" w:rsidRDefault="00AE7F39">
      <w:pPr>
        <w:pStyle w:val="BodyA"/>
      </w:pPr>
      <w:r>
        <w:rPr>
          <w:rStyle w:val="NoneA"/>
        </w:rPr>
        <w:t xml:space="preserve">Additional information about each requirement and how that requirement may be met is provided below in </w:t>
      </w:r>
      <w:hyperlink w:anchor="bookmark" w:history="1">
        <w:r w:rsidR="009C34E4">
          <w:rPr>
            <w:rStyle w:val="Hyperlink2"/>
          </w:rPr>
          <w:t>Appendix A: Requirements for BinaxNOW Testing in Provider Settings</w:t>
        </w:r>
      </w:hyperlink>
      <w:r w:rsidR="00111CDC">
        <w:rPr>
          <w:rStyle w:val="Hyperlink2"/>
        </w:rPr>
        <w:t>.</w:t>
      </w:r>
      <w:r>
        <w:rPr>
          <w:rStyle w:val="Hyperlink2"/>
        </w:rPr>
        <w:t xml:space="preserve"> </w:t>
      </w:r>
    </w:p>
    <w:p w14:paraId="747F8B74" w14:textId="1B0D4C7C" w:rsidR="00D2729A" w:rsidRDefault="00AE7F39">
      <w:pPr>
        <w:pStyle w:val="Heading"/>
        <w:rPr>
          <w:rStyle w:val="None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Requesting BinaxNOW test kits</w:t>
      </w:r>
    </w:p>
    <w:p w14:paraId="5C15D594" w14:textId="77777777" w:rsidR="00D2729A" w:rsidRDefault="00D2729A">
      <w:pPr>
        <w:pStyle w:val="BodyA"/>
      </w:pPr>
    </w:p>
    <w:p w14:paraId="4CAF7318" w14:textId="312E7806" w:rsidR="00D2729A" w:rsidRDefault="00B545D5">
      <w:pPr>
        <w:pStyle w:val="BodyA"/>
      </w:pPr>
      <w:r>
        <w:rPr>
          <w:rStyle w:val="NoneA"/>
        </w:rPr>
        <w:lastRenderedPageBreak/>
        <w:t>Providers</w:t>
      </w:r>
      <w:r w:rsidR="00AE7F39">
        <w:rPr>
          <w:rStyle w:val="NoneA"/>
        </w:rPr>
        <w:t xml:space="preserve"> that currently meet all requirements outlined above may request BinaxNOW test kits through the DPH resource request process. </w:t>
      </w:r>
      <w:r w:rsidR="005A2408">
        <w:rPr>
          <w:rStyle w:val="NoneA"/>
        </w:rPr>
        <w:t xml:space="preserve">To start, </w:t>
      </w:r>
      <w:r w:rsidR="00111CDC">
        <w:rPr>
          <w:rStyle w:val="NoneA"/>
        </w:rPr>
        <w:t>providers</w:t>
      </w:r>
      <w:r w:rsidR="005A2408">
        <w:rPr>
          <w:rStyle w:val="NoneA"/>
        </w:rPr>
        <w:t xml:space="preserve"> will be able to </w:t>
      </w:r>
      <w:r w:rsidR="00111CDC">
        <w:rPr>
          <w:rStyle w:val="NoneA"/>
        </w:rPr>
        <w:t>request</w:t>
      </w:r>
      <w:r w:rsidR="005A2408">
        <w:rPr>
          <w:rStyle w:val="NoneA"/>
        </w:rPr>
        <w:t xml:space="preserve"> up to 10 kits of 40 tests each</w:t>
      </w:r>
      <w:r w:rsidR="002A7283">
        <w:rPr>
          <w:rStyle w:val="NoneA"/>
        </w:rPr>
        <w:t xml:space="preserve"> per provider</w:t>
      </w:r>
      <w:r w:rsidR="005A2408">
        <w:rPr>
          <w:rStyle w:val="NoneA"/>
        </w:rPr>
        <w:t>;</w:t>
      </w:r>
      <w:r w:rsidR="00AE7F39">
        <w:rPr>
          <w:rStyle w:val="NoneA"/>
        </w:rPr>
        <w:t xml:space="preserve"> </w:t>
      </w:r>
      <w:r w:rsidR="005A2408">
        <w:rPr>
          <w:rStyle w:val="NoneA"/>
        </w:rPr>
        <w:t>a</w:t>
      </w:r>
      <w:r w:rsidR="00AE7F39">
        <w:rPr>
          <w:rStyle w:val="NoneA"/>
        </w:rPr>
        <w:t xml:space="preserve"> </w:t>
      </w:r>
      <w:r w:rsidR="00111CDC">
        <w:rPr>
          <w:rStyle w:val="NoneA"/>
        </w:rPr>
        <w:t xml:space="preserve">provider </w:t>
      </w:r>
      <w:r w:rsidR="00AE7F39">
        <w:rPr>
          <w:rStyle w:val="NoneA"/>
        </w:rPr>
        <w:t xml:space="preserve">that uses all requested tests may request additional </w:t>
      </w:r>
      <w:r w:rsidR="00111CDC">
        <w:rPr>
          <w:rStyle w:val="NoneA"/>
        </w:rPr>
        <w:t>kits</w:t>
      </w:r>
      <w:r w:rsidR="00AE7F39">
        <w:rPr>
          <w:rStyle w:val="NoneA"/>
        </w:rPr>
        <w:t>.</w:t>
      </w:r>
      <w:r w:rsidR="00FA11CB" w:rsidDel="00FA11CB">
        <w:rPr>
          <w:rStyle w:val="NoneA"/>
        </w:rPr>
        <w:t xml:space="preserve"> </w:t>
      </w:r>
      <w:r w:rsidR="00AE7F39">
        <w:rPr>
          <w:rStyle w:val="NoneA"/>
        </w:rPr>
        <w:br/>
      </w:r>
    </w:p>
    <w:p w14:paraId="01DF41E1" w14:textId="77777777" w:rsidR="00D2729A" w:rsidRDefault="00D2729A">
      <w:pPr>
        <w:pStyle w:val="BodyA"/>
      </w:pPr>
    </w:p>
    <w:p w14:paraId="6CEF0643" w14:textId="4CC6428C" w:rsidR="00D2729A" w:rsidRDefault="00AE7F39">
      <w:pPr>
        <w:pStyle w:val="BodyA"/>
      </w:pPr>
      <w:r>
        <w:rPr>
          <w:rStyle w:val="None"/>
        </w:rPr>
        <w:t xml:space="preserve">In order to request BinaxNOW test kits, </w:t>
      </w:r>
      <w:r w:rsidR="00111CDC">
        <w:rPr>
          <w:rStyle w:val="None"/>
        </w:rPr>
        <w:t xml:space="preserve">providers </w:t>
      </w:r>
      <w:r>
        <w:rPr>
          <w:rStyle w:val="None"/>
        </w:rPr>
        <w:t xml:space="preserve">should complete </w:t>
      </w:r>
      <w:hyperlink w:anchor="bookmark1" w:history="1">
        <w:r>
          <w:rPr>
            <w:rStyle w:val="Hyperlink3"/>
          </w:rPr>
          <w:t>Appendix B: Resource Request Form</w:t>
        </w:r>
      </w:hyperlink>
      <w:r>
        <w:rPr>
          <w:rStyle w:val="None"/>
        </w:rPr>
        <w:t xml:space="preserve"> and email the completed form to </w:t>
      </w:r>
      <w:hyperlink r:id="rId13" w:history="1">
        <w:r>
          <w:rPr>
            <w:rStyle w:val="Hyperlink4"/>
          </w:rPr>
          <w:t>COVID19.Resource.Request@mass.gov</w:t>
        </w:r>
      </w:hyperlink>
      <w:r>
        <w:rPr>
          <w:rStyle w:val="Hyperlink3"/>
        </w:rPr>
        <w:t>.</w:t>
      </w:r>
      <w:r>
        <w:rPr>
          <w:rStyle w:val="None"/>
        </w:rPr>
        <w:t xml:space="preserve"> Delivery timelines may vary based on DPH delivery capacity. </w:t>
      </w:r>
      <w:r w:rsidR="00111CDC">
        <w:rPr>
          <w:rStyle w:val="None"/>
        </w:rPr>
        <w:t xml:space="preserve">Providers </w:t>
      </w:r>
      <w:r>
        <w:rPr>
          <w:rStyle w:val="None"/>
        </w:rPr>
        <w:t>should</w:t>
      </w:r>
      <w:r w:rsidR="009C34E4">
        <w:rPr>
          <w:rStyle w:val="None"/>
        </w:rPr>
        <w:t xml:space="preserve"> generally</w:t>
      </w:r>
      <w:r>
        <w:rPr>
          <w:rStyle w:val="None"/>
        </w:rPr>
        <w:t xml:space="preserve"> expect to receive requested test kits within 1 week of a request being submitted.</w:t>
      </w:r>
    </w:p>
    <w:p w14:paraId="28D03B05" w14:textId="77777777" w:rsidR="00D2729A" w:rsidRDefault="00AE7F39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14:paraId="5774F0FA" w14:textId="6CF3CB8D" w:rsidR="00D2729A" w:rsidRDefault="00AE7F39">
      <w:pPr>
        <w:pStyle w:val="Heading"/>
        <w:jc w:val="center"/>
        <w:rPr>
          <w:rStyle w:val="None"/>
          <w:rFonts w:ascii="Times New Roman" w:eastAsia="Times New Roman" w:hAnsi="Times New Roman" w:cs="Times New Roman"/>
          <w:color w:val="000000"/>
          <w:u w:color="000000"/>
        </w:rPr>
      </w:pPr>
      <w:bookmarkStart w:id="0" w:name="_Appendix_A_Requirements"/>
      <w:bookmarkEnd w:id="0"/>
      <w:r>
        <w:rPr>
          <w:rStyle w:val="None"/>
          <w:rFonts w:ascii="Times New Roman" w:hAnsi="Times New Roman"/>
          <w:b/>
          <w:bCs/>
          <w:color w:val="000000"/>
          <w:u w:color="000000"/>
        </w:rPr>
        <w:lastRenderedPageBreak/>
        <w:t>A</w:t>
      </w:r>
      <w:r>
        <w:rPr>
          <w:rStyle w:val="None"/>
          <w:rFonts w:ascii="Times New Roman" w:hAnsi="Times New Roman"/>
          <w:b/>
          <w:bCs/>
          <w:color w:val="000000"/>
          <w:u w:color="000000"/>
          <w:lang w:val="da-DK"/>
        </w:rPr>
        <w:t xml:space="preserve">ppendix A: </w:t>
      </w:r>
      <w:r>
        <w:rPr>
          <w:rStyle w:val="None"/>
          <w:rFonts w:ascii="Times New Roman" w:hAnsi="Times New Roman"/>
          <w:color w:val="000000"/>
          <w:u w:color="000000"/>
        </w:rPr>
        <w:t xml:space="preserve">Requirements for </w:t>
      </w:r>
      <w:r w:rsidR="009C34E4">
        <w:rPr>
          <w:rStyle w:val="None"/>
          <w:rFonts w:ascii="Times New Roman" w:hAnsi="Times New Roman"/>
          <w:color w:val="000000"/>
          <w:u w:color="000000"/>
        </w:rPr>
        <w:t>BinaxNOW testing in Provider Settings</w:t>
      </w:r>
    </w:p>
    <w:p w14:paraId="3C4D8F92" w14:textId="77777777" w:rsidR="00D2729A" w:rsidRDefault="00D2729A">
      <w:pPr>
        <w:pStyle w:val="BodyA"/>
        <w:rPr>
          <w:rStyle w:val="None"/>
          <w:b/>
          <w:bCs/>
          <w:u w:val="single"/>
        </w:rPr>
      </w:pPr>
    </w:p>
    <w:p w14:paraId="0689AB56" w14:textId="77777777" w:rsidR="00D2729A" w:rsidRDefault="00AE7F39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Obtaining a CLIA certificate:</w:t>
      </w:r>
    </w:p>
    <w:p w14:paraId="6A7EA6CE" w14:textId="77777777" w:rsidR="00D2729A" w:rsidRDefault="00D2729A">
      <w:pPr>
        <w:pStyle w:val="BodyA"/>
      </w:pPr>
    </w:p>
    <w:p w14:paraId="17D21F41" w14:textId="5FD4C021" w:rsidR="00D2729A" w:rsidRDefault="00AE7F39">
      <w:pPr>
        <w:pStyle w:val="BodyA"/>
      </w:pPr>
      <w:r>
        <w:rPr>
          <w:rStyle w:val="NoneA"/>
        </w:rPr>
        <w:t xml:space="preserve">For </w:t>
      </w:r>
      <w:r w:rsidR="00111CDC">
        <w:rPr>
          <w:rStyle w:val="NoneA"/>
        </w:rPr>
        <w:t xml:space="preserve">providers </w:t>
      </w:r>
      <w:r>
        <w:rPr>
          <w:rStyle w:val="NoneA"/>
        </w:rPr>
        <w:t xml:space="preserve">that do not yet have a CLIA certificate, the application for a CLIA Certificate (CMS Form 116) can be found here: </w:t>
      </w:r>
    </w:p>
    <w:p w14:paraId="7305C219" w14:textId="77777777" w:rsidR="00D2729A" w:rsidRDefault="00D02C25">
      <w:pPr>
        <w:pStyle w:val="BodyA"/>
      </w:pPr>
      <w:hyperlink r:id="rId14" w:history="1">
        <w:r w:rsidR="00AE7F39">
          <w:rPr>
            <w:rStyle w:val="Hyperlink2"/>
          </w:rPr>
          <w:t>https://www.cms.gov/Medicare/CMS-Forms/CMS-Forms/Downloads/CMS116.pdf</w:t>
        </w:r>
      </w:hyperlink>
    </w:p>
    <w:p w14:paraId="3EF42FD8" w14:textId="77777777" w:rsidR="00D2729A" w:rsidRDefault="00D2729A">
      <w:pPr>
        <w:pStyle w:val="BodyA"/>
      </w:pPr>
    </w:p>
    <w:p w14:paraId="38DC4790" w14:textId="77777777" w:rsidR="00D2729A" w:rsidRDefault="00AE7F39">
      <w:pPr>
        <w:pStyle w:val="BodyA"/>
      </w:pPr>
      <w:r>
        <w:rPr>
          <w:rStyle w:val="NoneA"/>
        </w:rPr>
        <w:t xml:space="preserve">Please also include information about other tests you may be performing at this location and provide specifics on the test systems. </w:t>
      </w:r>
    </w:p>
    <w:p w14:paraId="75B22DD6" w14:textId="77777777" w:rsidR="00D2729A" w:rsidRDefault="00D2729A">
      <w:pPr>
        <w:pStyle w:val="BodyA"/>
      </w:pPr>
    </w:p>
    <w:p w14:paraId="4F95525E" w14:textId="77777777" w:rsidR="00D2729A" w:rsidRDefault="00AE7F39">
      <w:pPr>
        <w:pStyle w:val="BodyA"/>
      </w:pPr>
      <w:r>
        <w:rPr>
          <w:rStyle w:val="NoneA"/>
        </w:rPr>
        <w:t xml:space="preserve">Please send the completed application to The Clinical Laboratory Program at </w:t>
      </w:r>
      <w:hyperlink r:id="rId15" w:history="1">
        <w:r>
          <w:rPr>
            <w:rStyle w:val="Hyperlink2"/>
          </w:rPr>
          <w:t>clialab@mass.gov</w:t>
        </w:r>
      </w:hyperlink>
    </w:p>
    <w:p w14:paraId="2E85C215" w14:textId="77777777" w:rsidR="00D2729A" w:rsidRDefault="00D2729A">
      <w:pPr>
        <w:pStyle w:val="BodyA"/>
      </w:pPr>
    </w:p>
    <w:p w14:paraId="5C73629D" w14:textId="77777777" w:rsidR="00D2729A" w:rsidRDefault="00AE7F39">
      <w:pPr>
        <w:pStyle w:val="BodyA"/>
      </w:pPr>
      <w:r>
        <w:rPr>
          <w:rStyle w:val="NoneA"/>
        </w:rPr>
        <w:t>Should you have any questions, please contact the Clinical Laboratory Program at (617) 660-5385.</w:t>
      </w:r>
    </w:p>
    <w:p w14:paraId="519B09B6" w14:textId="77777777" w:rsidR="00D2729A" w:rsidRDefault="00D2729A">
      <w:pPr>
        <w:pStyle w:val="BodyA"/>
      </w:pPr>
    </w:p>
    <w:p w14:paraId="43D05B71" w14:textId="77777777" w:rsidR="00D2729A" w:rsidRDefault="00AE7F39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Maintaining an adequate supply of PPE</w:t>
      </w:r>
    </w:p>
    <w:p w14:paraId="2B50CD1A" w14:textId="77777777" w:rsidR="00D2729A" w:rsidRDefault="00D2729A">
      <w:pPr>
        <w:pStyle w:val="ListParagrap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92A1F" w14:textId="77777777" w:rsidR="00D2729A" w:rsidRDefault="00AE7F39">
      <w:pPr>
        <w:pStyle w:val="BodyA"/>
      </w:pPr>
      <w:r>
        <w:rPr>
          <w:rStyle w:val="NoneA"/>
        </w:rPr>
        <w:t>All staff administering Abbott BinaxNOW test kits must wear appropriate personal protective equipment (PPE) when running each test and handling patient specimens. For healthcare personnel collecting specimens or within 6 feet of individuals suspected to have COVID-19, the following PPE is required:</w:t>
      </w:r>
    </w:p>
    <w:p w14:paraId="0731D2A3" w14:textId="77777777" w:rsidR="00D2729A" w:rsidRDefault="00AE7F39">
      <w:pPr>
        <w:pStyle w:val="BodyA"/>
        <w:numPr>
          <w:ilvl w:val="1"/>
          <w:numId w:val="9"/>
        </w:numPr>
        <w:spacing w:line="259" w:lineRule="auto"/>
      </w:pPr>
      <w:r>
        <w:rPr>
          <w:rStyle w:val="NoneA"/>
        </w:rPr>
        <w:t>N95 mask or higher-level respirator (a surgical mask can be used only if an N95 is not available)</w:t>
      </w:r>
    </w:p>
    <w:p w14:paraId="1D6A75DB" w14:textId="77777777" w:rsidR="00D2729A" w:rsidRDefault="00AE7F39">
      <w:pPr>
        <w:pStyle w:val="BodyA"/>
        <w:numPr>
          <w:ilvl w:val="1"/>
          <w:numId w:val="9"/>
        </w:numPr>
        <w:spacing w:line="259" w:lineRule="auto"/>
        <w:rPr>
          <w:lang w:val="fr-FR"/>
        </w:rPr>
      </w:pPr>
      <w:r>
        <w:rPr>
          <w:rStyle w:val="None"/>
          <w:lang w:val="fr-FR"/>
        </w:rPr>
        <w:t>Eye protection</w:t>
      </w:r>
    </w:p>
    <w:p w14:paraId="183826B5" w14:textId="77777777" w:rsidR="00D2729A" w:rsidRDefault="00AE7F39">
      <w:pPr>
        <w:pStyle w:val="BodyA"/>
        <w:numPr>
          <w:ilvl w:val="1"/>
          <w:numId w:val="9"/>
        </w:numPr>
        <w:spacing w:line="259" w:lineRule="auto"/>
      </w:pPr>
      <w:r>
        <w:rPr>
          <w:rStyle w:val="NoneA"/>
        </w:rPr>
        <w:t>Gloves</w:t>
      </w:r>
    </w:p>
    <w:p w14:paraId="3D31A08E" w14:textId="77777777" w:rsidR="00D2729A" w:rsidRDefault="00AE7F39">
      <w:pPr>
        <w:pStyle w:val="BodyA"/>
        <w:numPr>
          <w:ilvl w:val="1"/>
          <w:numId w:val="9"/>
        </w:numPr>
        <w:spacing w:line="259" w:lineRule="auto"/>
      </w:pPr>
      <w:r>
        <w:rPr>
          <w:rStyle w:val="NoneA"/>
        </w:rPr>
        <w:t xml:space="preserve">Gown, when collecting specimens </w:t>
      </w:r>
    </w:p>
    <w:p w14:paraId="33E94745" w14:textId="77777777" w:rsidR="00D2729A" w:rsidRDefault="00D2729A">
      <w:pPr>
        <w:pStyle w:val="BodyA"/>
        <w:ind w:left="1440"/>
      </w:pPr>
    </w:p>
    <w:p w14:paraId="175FFA2F" w14:textId="77777777" w:rsidR="00D2729A" w:rsidRDefault="00AE7F39">
      <w:pPr>
        <w:pStyle w:val="BodyA"/>
      </w:pPr>
      <w:r>
        <w:rPr>
          <w:rStyle w:val="NoneA"/>
        </w:rPr>
        <w:t xml:space="preserve">Staff administering tests must change gloves between handling of specimens suspected of COVID-19. Refer to </w:t>
      </w:r>
      <w:hyperlink r:id="rId16" w:history="1">
        <w:r>
          <w:rPr>
            <w:rStyle w:val="Hyperlink2"/>
          </w:rPr>
          <w:t>DPH Comprehensive PPE Guidance</w:t>
        </w:r>
      </w:hyperlink>
      <w:r>
        <w:rPr>
          <w:rStyle w:val="NoneA"/>
        </w:rPr>
        <w:t xml:space="preserve"> or contact your local board of health for further information regarding the proper use of PPE.</w:t>
      </w:r>
    </w:p>
    <w:p w14:paraId="580DA7ED" w14:textId="77777777" w:rsidR="00D2729A" w:rsidRDefault="00D2729A">
      <w:pPr>
        <w:pStyle w:val="BodyA"/>
        <w:rPr>
          <w:rStyle w:val="None"/>
          <w:b/>
          <w:bCs/>
          <w:u w:val="single"/>
        </w:rPr>
      </w:pPr>
    </w:p>
    <w:p w14:paraId="1EF01A8C" w14:textId="77777777" w:rsidR="00D2729A" w:rsidRDefault="00AE7F39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Ensuring staff complete training requirements</w:t>
      </w:r>
    </w:p>
    <w:p w14:paraId="7C373277" w14:textId="77777777" w:rsidR="00D2729A" w:rsidRDefault="00D2729A">
      <w:pPr>
        <w:pStyle w:val="ListParagrap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97F59D" w14:textId="276FF495" w:rsidR="00D2729A" w:rsidRDefault="00AE7F39">
      <w:pPr>
        <w:pStyle w:val="BodyA"/>
      </w:pPr>
      <w:r>
        <w:rPr>
          <w:rStyle w:val="NoneA"/>
        </w:rPr>
        <w:t xml:space="preserve">All </w:t>
      </w:r>
      <w:r w:rsidR="00320AF7">
        <w:rPr>
          <w:rStyle w:val="NoneA"/>
        </w:rPr>
        <w:t xml:space="preserve">providers </w:t>
      </w:r>
      <w:r>
        <w:rPr>
          <w:rStyle w:val="NoneA"/>
        </w:rPr>
        <w:t xml:space="preserve">administering Abbott BinaxNOW test kits must complete all Abbott BinaxNOW training modules. The training modules can be found </w:t>
      </w:r>
      <w:hyperlink r:id="rId17" w:history="1">
        <w:r>
          <w:rPr>
            <w:rStyle w:val="Hyperlink2"/>
          </w:rPr>
          <w:t>here</w:t>
        </w:r>
      </w:hyperlink>
      <w:r>
        <w:rPr>
          <w:rStyle w:val="NoneA"/>
        </w:rPr>
        <w:t>.</w:t>
      </w:r>
    </w:p>
    <w:p w14:paraId="1CB687F1" w14:textId="77777777" w:rsidR="00D2729A" w:rsidRDefault="00AE7F39">
      <w:pPr>
        <w:pStyle w:val="BodyA"/>
      </w:pPr>
      <w:r>
        <w:rPr>
          <w:rStyle w:val="NoneA"/>
        </w:rPr>
        <w:t>The Abbott BinaxNOW training modules include:</w:t>
      </w:r>
    </w:p>
    <w:p w14:paraId="2189DE6D" w14:textId="77777777" w:rsidR="00D2729A" w:rsidRDefault="00AE7F39">
      <w:pPr>
        <w:pStyle w:val="ListParagrap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Module 1: Getting Started</w:t>
      </w:r>
    </w:p>
    <w:p w14:paraId="4126C614" w14:textId="77777777" w:rsidR="00D2729A" w:rsidRDefault="00AE7F39">
      <w:pPr>
        <w:pStyle w:val="ListParagrap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Module 2: Quality Control </w:t>
      </w:r>
    </w:p>
    <w:p w14:paraId="0789B5E0" w14:textId="77777777" w:rsidR="00D2729A" w:rsidRDefault="00AE7F39">
      <w:pPr>
        <w:pStyle w:val="ListParagrap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Module 3: Specimen Collection and Handling</w:t>
      </w:r>
    </w:p>
    <w:p w14:paraId="4913063A" w14:textId="77777777" w:rsidR="00D2729A" w:rsidRDefault="00AE7F39">
      <w:pPr>
        <w:pStyle w:val="ListParagrap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Module 4: Patient (Individual) Test</w:t>
      </w:r>
    </w:p>
    <w:p w14:paraId="79E2AD38" w14:textId="77777777" w:rsidR="00D2729A" w:rsidRDefault="00AE7F39">
      <w:pPr>
        <w:pStyle w:val="ListParagrap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Module 5: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Navica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Admin App – NOT REQUIRED, as the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Navica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App should not be used</w:t>
      </w:r>
    </w:p>
    <w:p w14:paraId="081C287F" w14:textId="77777777" w:rsidR="00D2729A" w:rsidRDefault="00D2729A">
      <w:pPr>
        <w:pStyle w:val="ListParagrap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B4A3A06" w14:textId="77777777" w:rsidR="00D2729A" w:rsidRDefault="00AE7F39">
      <w:pPr>
        <w:pStyle w:val="BodyA"/>
      </w:pPr>
      <w:r>
        <w:rPr>
          <w:rStyle w:val="NoneA"/>
        </w:rPr>
        <w:t>These modules provide a detailed step-by-step guide to the test process. All the modules should be completed in their entirety prior to staff performing test on individuals.</w:t>
      </w:r>
    </w:p>
    <w:p w14:paraId="29A0C043" w14:textId="77777777" w:rsidR="00D2729A" w:rsidRDefault="00D2729A">
      <w:pPr>
        <w:pStyle w:val="BodyA"/>
      </w:pPr>
    </w:p>
    <w:p w14:paraId="16FC9A24" w14:textId="56C68A64" w:rsidR="00D2729A" w:rsidRDefault="00AE7F39">
      <w:pPr>
        <w:pStyle w:val="BodyA"/>
      </w:pPr>
      <w:r>
        <w:rPr>
          <w:rStyle w:val="NoneA"/>
        </w:rPr>
        <w:t xml:space="preserve">It is the responsibility of the provider to ensure that all the staff administering tests have completed the necessary training requirements.  </w:t>
      </w:r>
      <w:bookmarkStart w:id="1" w:name="_Hlk55578191"/>
      <w:r>
        <w:rPr>
          <w:rStyle w:val="NoneA"/>
        </w:rPr>
        <w:t xml:space="preserve">Staff administering tests must watch the Abbott BinaxNOW video training modules </w:t>
      </w:r>
      <w:bookmarkEnd w:id="1"/>
      <w:r w:rsidR="005A2408">
        <w:rPr>
          <w:rStyle w:val="NoneA"/>
        </w:rPr>
        <w:t>before ordering tests.</w:t>
      </w:r>
    </w:p>
    <w:p w14:paraId="73B21BB6" w14:textId="77777777" w:rsidR="00D2729A" w:rsidRDefault="00D2729A">
      <w:pPr>
        <w:pStyle w:val="BodyA"/>
      </w:pPr>
    </w:p>
    <w:p w14:paraId="12DDFDA5" w14:textId="77777777" w:rsidR="00D2729A" w:rsidRDefault="00AE7F39">
      <w:pPr>
        <w:pStyle w:val="BodyA"/>
      </w:pPr>
      <w:r>
        <w:rPr>
          <w:rStyle w:val="NoneA"/>
        </w:rPr>
        <w:t xml:space="preserve">Additionally, further information about the proper use of the Abbott BinaxNOW test kits can be found on the package insert and </w:t>
      </w:r>
      <w:hyperlink r:id="rId18" w:history="1">
        <w:r>
          <w:rPr>
            <w:rStyle w:val="Hyperlink2"/>
          </w:rPr>
          <w:t>here</w:t>
        </w:r>
      </w:hyperlink>
      <w:r>
        <w:rPr>
          <w:rStyle w:val="NoneA"/>
        </w:rPr>
        <w:t>. This includes information regarding specimen collection, handling, transportation, and storage.</w:t>
      </w:r>
    </w:p>
    <w:p w14:paraId="69586567" w14:textId="77777777" w:rsidR="00D2729A" w:rsidRDefault="00D2729A">
      <w:pPr>
        <w:pStyle w:val="BodyA"/>
      </w:pPr>
    </w:p>
    <w:p w14:paraId="7F36FEAD" w14:textId="7E5F4EBD" w:rsidR="00D2729A" w:rsidRDefault="00320AF7">
      <w:pPr>
        <w:pStyle w:val="BodyA"/>
        <w:rPr>
          <w:rStyle w:val="None"/>
          <w:b/>
          <w:bCs/>
          <w:u w:val="single"/>
        </w:rPr>
      </w:pPr>
      <w:r>
        <w:rPr>
          <w:rStyle w:val="None"/>
        </w:rPr>
        <w:t xml:space="preserve">Providers </w:t>
      </w:r>
      <w:r w:rsidR="00AE7F39">
        <w:rPr>
          <w:rStyle w:val="None"/>
        </w:rPr>
        <w:t xml:space="preserve">who have questions or concerns about the administration of the test can utilize these direct links to Abbott support: 800-257-9525 8:00 am – 8:00 pm Monday through Friday or </w:t>
      </w:r>
      <w:hyperlink r:id="rId19" w:history="1">
        <w:r w:rsidR="00AE7F39">
          <w:rPr>
            <w:rStyle w:val="Hyperlink5"/>
          </w:rPr>
          <w:t>ts.scr@abbott.com</w:t>
        </w:r>
      </w:hyperlink>
    </w:p>
    <w:p w14:paraId="7BD52004" w14:textId="77777777" w:rsidR="00D2729A" w:rsidRDefault="00D2729A">
      <w:pPr>
        <w:pStyle w:val="BodyA"/>
      </w:pPr>
    </w:p>
    <w:p w14:paraId="3A3A2C52" w14:textId="77777777" w:rsidR="00D2729A" w:rsidRDefault="00AE7F39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 xml:space="preserve">Reporting Test Results: </w:t>
      </w:r>
    </w:p>
    <w:p w14:paraId="64C30ACC" w14:textId="295CADF6" w:rsidR="00D2729A" w:rsidRDefault="00B676D3">
      <w:pPr>
        <w:pStyle w:val="CommentTex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Providers</w:t>
      </w:r>
      <w:r w:rsidR="00AE7F39">
        <w:rPr>
          <w:rStyle w:val="None"/>
          <w:sz w:val="24"/>
          <w:szCs w:val="24"/>
        </w:rPr>
        <w:t xml:space="preserve"> that receive any rapid POC antigen test equipment must report both positive and negative test results to the Department of Public Health’s Bureau of Infectious Diseases and Laboratory Sciences (BIDLS). </w:t>
      </w:r>
    </w:p>
    <w:p w14:paraId="2982191D" w14:textId="77777777" w:rsidR="00D2729A" w:rsidRDefault="00D2729A">
      <w:pPr>
        <w:pStyle w:val="CommentText"/>
        <w:rPr>
          <w:rStyle w:val="NoneA"/>
          <w:sz w:val="24"/>
          <w:szCs w:val="24"/>
        </w:rPr>
      </w:pPr>
    </w:p>
    <w:p w14:paraId="7F0A41AD" w14:textId="77777777" w:rsidR="00D2729A" w:rsidRDefault="00AE7F39">
      <w:pPr>
        <w:pStyle w:val="BodyA"/>
        <w:rPr>
          <w:rStyle w:val="NoneA"/>
        </w:rPr>
      </w:pPr>
      <w:r>
        <w:rPr>
          <w:rStyle w:val="None"/>
        </w:rPr>
        <w:t xml:space="preserve">Results of BinaxNOW tests should be reported to DPH using </w:t>
      </w:r>
      <w:proofErr w:type="spellStart"/>
      <w:r>
        <w:rPr>
          <w:rStyle w:val="None"/>
        </w:rPr>
        <w:t>Casetivity</w:t>
      </w:r>
      <w:proofErr w:type="spellEnd"/>
      <w:r>
        <w:rPr>
          <w:rStyle w:val="None"/>
        </w:rPr>
        <w:t xml:space="preserve">, with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lang w:val="nl-NL"/>
        </w:rPr>
        <w:t>BinaxNOW COVID Antigen</w:t>
      </w:r>
      <w:r>
        <w:rPr>
          <w:rStyle w:val="None"/>
        </w:rPr>
        <w:t xml:space="preserve">” in the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</w:rPr>
        <w:t xml:space="preserve">Test” field. If your facility does not have access to </w:t>
      </w:r>
      <w:proofErr w:type="spellStart"/>
      <w:r>
        <w:rPr>
          <w:rStyle w:val="None"/>
        </w:rPr>
        <w:t>Casetivity</w:t>
      </w:r>
      <w:proofErr w:type="spellEnd"/>
      <w:r>
        <w:rPr>
          <w:rStyle w:val="None"/>
        </w:rPr>
        <w:t xml:space="preserve">, you will need to gain access by sending an email to </w:t>
      </w:r>
      <w:hyperlink r:id="rId20" w:history="1">
        <w:r>
          <w:rPr>
            <w:rStyle w:val="Hyperlink3"/>
          </w:rPr>
          <w:t>ISIS-ImmediateDiseaseReporting@mass.gov</w:t>
        </w:r>
      </w:hyperlink>
      <w:r>
        <w:rPr>
          <w:rStyle w:val="None"/>
        </w:rPr>
        <w:t xml:space="preserve"> and following the instructions you receive.</w:t>
      </w:r>
    </w:p>
    <w:p w14:paraId="47868960" w14:textId="77777777" w:rsidR="00D2729A" w:rsidRDefault="00D2729A">
      <w:pPr>
        <w:pStyle w:val="CommentText"/>
        <w:rPr>
          <w:rStyle w:val="NoneA"/>
          <w:sz w:val="24"/>
          <w:szCs w:val="24"/>
        </w:rPr>
      </w:pPr>
    </w:p>
    <w:p w14:paraId="0F5107B6" w14:textId="638A6F3C" w:rsidR="00D2729A" w:rsidRDefault="00AE7F39">
      <w:pPr>
        <w:pStyle w:val="BodyA"/>
      </w:pPr>
      <w:r>
        <w:rPr>
          <w:rStyle w:val="NoneA"/>
        </w:rPr>
        <w:t xml:space="preserve">DPH strongly encourages all </w:t>
      </w:r>
      <w:r w:rsidR="00111CDC">
        <w:rPr>
          <w:rStyle w:val="NoneA"/>
        </w:rPr>
        <w:t xml:space="preserve">providers </w:t>
      </w:r>
      <w:r>
        <w:rPr>
          <w:rStyle w:val="NoneA"/>
        </w:rPr>
        <w:t>in Massachusetts to monitor the CMS and CDC website for up-to-date information and resources:</w:t>
      </w:r>
    </w:p>
    <w:p w14:paraId="32A190CF" w14:textId="77777777" w:rsidR="00D2729A" w:rsidRDefault="00AE7F39">
      <w:pPr>
        <w:pStyle w:val="BodyA"/>
        <w:numPr>
          <w:ilvl w:val="0"/>
          <w:numId w:val="12"/>
        </w:numPr>
        <w:rPr>
          <w:lang w:val="nl-NL"/>
        </w:rPr>
      </w:pPr>
      <w:r>
        <w:rPr>
          <w:rStyle w:val="None"/>
          <w:lang w:val="nl-NL"/>
        </w:rPr>
        <w:t xml:space="preserve">CMS website: </w:t>
      </w:r>
      <w:hyperlink r:id="rId21" w:history="1">
        <w:r>
          <w:rPr>
            <w:rStyle w:val="Hyperlink3"/>
          </w:rPr>
          <w:t>https://www.cms.gov/About-CMS/Agency-Information/Emergency/EPRO/Current-Emergencies/Current-Emergencies-page</w:t>
        </w:r>
      </w:hyperlink>
    </w:p>
    <w:p w14:paraId="7B3D17CF" w14:textId="77777777" w:rsidR="00D2729A" w:rsidRDefault="00AE7F39">
      <w:pPr>
        <w:pStyle w:val="BodyA"/>
        <w:numPr>
          <w:ilvl w:val="0"/>
          <w:numId w:val="12"/>
        </w:numPr>
        <w:rPr>
          <w:lang w:val="nl-NL"/>
        </w:rPr>
      </w:pPr>
      <w:r>
        <w:rPr>
          <w:rStyle w:val="None"/>
          <w:lang w:val="nl-NL"/>
        </w:rPr>
        <w:t xml:space="preserve">CDC website: </w:t>
      </w:r>
      <w:hyperlink r:id="rId22" w:history="1">
        <w:r>
          <w:rPr>
            <w:rStyle w:val="Hyperlink3"/>
          </w:rPr>
          <w:t>https://www.cdc.gov/coronavirus/2019-ncov/healthcare-facilities/index.html</w:t>
        </w:r>
      </w:hyperlink>
    </w:p>
    <w:p w14:paraId="71C74C65" w14:textId="77777777" w:rsidR="00D2729A" w:rsidRDefault="00AE7F39">
      <w:pPr>
        <w:pStyle w:val="BodyA"/>
        <w:numPr>
          <w:ilvl w:val="0"/>
          <w:numId w:val="12"/>
        </w:numPr>
        <w:rPr>
          <w:lang w:val="nl-NL"/>
        </w:rPr>
      </w:pPr>
      <w:r>
        <w:rPr>
          <w:rStyle w:val="None"/>
          <w:lang w:val="nl-NL"/>
        </w:rPr>
        <w:t xml:space="preserve">HHS website: </w:t>
      </w:r>
      <w:hyperlink r:id="rId23" w:history="1">
        <w:r>
          <w:rPr>
            <w:rStyle w:val="Hyperlink3"/>
          </w:rPr>
          <w:t>https://www.hhs.gov/coronavirus/testing/rapid-test-distribution/index.html</w:t>
        </w:r>
      </w:hyperlink>
    </w:p>
    <w:p w14:paraId="05CAA3A0" w14:textId="77777777" w:rsidR="00D2729A" w:rsidRDefault="00D2729A">
      <w:pPr>
        <w:pStyle w:val="BodyA"/>
      </w:pPr>
    </w:p>
    <w:p w14:paraId="49F3D803" w14:textId="77777777" w:rsidR="00D2729A" w:rsidRDefault="00AE7F39">
      <w:pPr>
        <w:pStyle w:val="BodyA"/>
      </w:pPr>
      <w:bookmarkStart w:id="2" w:name="_Appendix_C_Resource"/>
      <w:bookmarkEnd w:id="2"/>
      <w:r>
        <w:rPr>
          <w:rStyle w:val="None"/>
          <w:rFonts w:ascii="Arial Unicode MS" w:hAnsi="Arial Unicode MS"/>
          <w:color w:val="FF0000"/>
          <w:u w:color="FF0000"/>
        </w:rPr>
        <w:br w:type="page"/>
      </w:r>
    </w:p>
    <w:p w14:paraId="2AB2CF58" w14:textId="77777777" w:rsidR="00D2729A" w:rsidRDefault="00AE7F39">
      <w:pPr>
        <w:pStyle w:val="Heading"/>
        <w:jc w:val="center"/>
        <w:rPr>
          <w:rStyle w:val="None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one"/>
          <w:rFonts w:ascii="Times New Roman" w:hAnsi="Times New Roman"/>
          <w:b/>
          <w:bCs/>
          <w:color w:val="000000"/>
          <w:u w:color="000000"/>
          <w:lang w:val="da-DK"/>
        </w:rPr>
        <w:lastRenderedPageBreak/>
        <w:t xml:space="preserve">Appendix B: </w:t>
      </w:r>
      <w:r>
        <w:rPr>
          <w:rStyle w:val="None"/>
          <w:rFonts w:ascii="Times New Roman" w:hAnsi="Times New Roman"/>
          <w:color w:val="000000"/>
          <w:u w:color="000000"/>
        </w:rPr>
        <w:t>Resource Request Form</w:t>
      </w:r>
    </w:p>
    <w:p w14:paraId="28C93E29" w14:textId="77777777" w:rsidR="00D2729A" w:rsidRDefault="00D2729A">
      <w:pPr>
        <w:pStyle w:val="BodyA"/>
        <w:rPr>
          <w:rStyle w:val="None"/>
          <w:color w:val="FF0000"/>
          <w:u w:color="FF0000"/>
        </w:rPr>
      </w:pPr>
    </w:p>
    <w:tbl>
      <w:tblPr>
        <w:tblW w:w="93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04"/>
        <w:gridCol w:w="236"/>
        <w:gridCol w:w="2103"/>
        <w:gridCol w:w="1550"/>
        <w:gridCol w:w="1823"/>
        <w:gridCol w:w="485"/>
        <w:gridCol w:w="1358"/>
      </w:tblGrid>
      <w:tr w:rsidR="00D2729A" w14:paraId="5BE2AB3D" w14:textId="77777777">
        <w:trPr>
          <w:trHeight w:val="1160"/>
          <w:jc w:val="center"/>
        </w:trPr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4B62608B" w14:textId="77777777" w:rsidR="00D2729A" w:rsidRDefault="00AE7F39">
            <w:pPr>
              <w:pStyle w:val="TableParagraph"/>
              <w:spacing w:before="8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Date Submitted to DPH:</w:t>
            </w:r>
          </w:p>
        </w:tc>
        <w:tc>
          <w:tcPr>
            <w:tcW w:w="5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9070" w14:textId="77777777" w:rsidR="00D2729A" w:rsidRDefault="00AE7F39">
            <w:pPr>
              <w:pStyle w:val="BodyText"/>
              <w:ind w:left="0"/>
              <w:jc w:val="center"/>
              <w:rPr>
                <w:rStyle w:val="None"/>
              </w:rPr>
            </w:pPr>
            <w:r>
              <w:rPr>
                <w:rStyle w:val="None"/>
              </w:rPr>
              <w:t>OPEM 213TS – Resource Request Form – COVID19</w:t>
            </w:r>
          </w:p>
          <w:p w14:paraId="6797C74A" w14:textId="77777777" w:rsidR="00D2729A" w:rsidRDefault="00AE7F39">
            <w:pPr>
              <w:pStyle w:val="BodyText"/>
              <w:ind w:left="0"/>
              <w:jc w:val="center"/>
            </w:pPr>
            <w:r>
              <w:rPr>
                <w:rStyle w:val="None"/>
                <w:i/>
                <w:iCs/>
                <w:sz w:val="32"/>
                <w:szCs w:val="32"/>
              </w:rPr>
              <w:t>Abbott BinaxNOW Test Kits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56156" w14:textId="77777777" w:rsidR="00D2729A" w:rsidRDefault="00AE7F39">
            <w:pPr>
              <w:pStyle w:val="BodyText"/>
              <w:ind w:left="0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Page 1 of 1</w:t>
            </w:r>
          </w:p>
          <w:p w14:paraId="6333F8F5" w14:textId="77777777" w:rsidR="00D2729A" w:rsidRDefault="00AE7F39">
            <w:pPr>
              <w:pStyle w:val="BodyText"/>
              <w:ind w:left="0"/>
              <w:jc w:val="center"/>
            </w:pPr>
            <w:r>
              <w:rPr>
                <w:rStyle w:val="None"/>
                <w:sz w:val="20"/>
                <w:szCs w:val="20"/>
              </w:rPr>
              <w:t>Version 10-5-20</w:t>
            </w:r>
          </w:p>
        </w:tc>
      </w:tr>
      <w:tr w:rsidR="00D2729A" w14:paraId="4B67D2F8" w14:textId="77777777">
        <w:trPr>
          <w:trHeight w:val="296"/>
          <w:jc w:val="center"/>
        </w:trPr>
        <w:tc>
          <w:tcPr>
            <w:tcW w:w="9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21D03401" w14:textId="77777777" w:rsidR="00D2729A" w:rsidRDefault="00AE7F39">
            <w:pPr>
              <w:pStyle w:val="TableParagraph"/>
              <w:spacing w:before="24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I.</w:t>
            </w:r>
            <w:r>
              <w:rPr>
                <w:rStyle w:val="Non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20"/>
                <w:szCs w:val="20"/>
              </w:rPr>
              <w:t>REQUESTING</w:t>
            </w:r>
            <w:r>
              <w:rPr>
                <w:rStyle w:val="Non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20"/>
                <w:szCs w:val="20"/>
              </w:rPr>
              <w:t>AGENCY</w:t>
            </w:r>
            <w:r>
              <w:rPr>
                <w:rStyle w:val="Non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20"/>
                <w:szCs w:val="20"/>
              </w:rPr>
              <w:t>POINT</w:t>
            </w:r>
            <w:r>
              <w:rPr>
                <w:rStyle w:val="Non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20"/>
                <w:szCs w:val="20"/>
              </w:rPr>
              <w:t>OF</w:t>
            </w:r>
            <w:r>
              <w:rPr>
                <w:rStyle w:val="Non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20"/>
                <w:szCs w:val="20"/>
              </w:rPr>
              <w:t>CONTACT - Please Type ALL Answers</w:t>
            </w:r>
          </w:p>
        </w:tc>
      </w:tr>
      <w:tr w:rsidR="00D2729A" w14:paraId="08F50A6F" w14:textId="77777777">
        <w:trPr>
          <w:trHeight w:val="927"/>
          <w:jc w:val="center"/>
        </w:trPr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69154E4E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1</w:t>
            </w:r>
            <w:r>
              <w:rPr>
                <w:rStyle w:val="None"/>
                <w:sz w:val="20"/>
                <w:szCs w:val="20"/>
              </w:rPr>
              <w:t>.</w:t>
            </w:r>
            <w:r>
              <w:rPr>
                <w:rStyle w:val="None"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Requestor’s</w:t>
            </w:r>
            <w:r>
              <w:rPr>
                <w:rStyle w:val="None"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Name</w:t>
            </w:r>
            <w:r>
              <w:rPr>
                <w:rStyle w:val="None"/>
                <w:spacing w:val="-9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(Please</w:t>
            </w:r>
            <w:r>
              <w:rPr>
                <w:rStyle w:val="None"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Print)</w:t>
            </w: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7169FAD9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2.</w:t>
            </w:r>
            <w:r>
              <w:rPr>
                <w:rStyle w:val="None"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Title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09C941FC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3.</w:t>
            </w:r>
            <w:r>
              <w:rPr>
                <w:rStyle w:val="None"/>
                <w:spacing w:val="-5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Requestor’s</w:t>
            </w:r>
            <w:r>
              <w:rPr>
                <w:rStyle w:val="None"/>
                <w:spacing w:val="-13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Phone</w:t>
            </w:r>
            <w:r>
              <w:rPr>
                <w:rStyle w:val="None"/>
                <w:spacing w:val="-5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No.</w:t>
            </w:r>
          </w:p>
        </w:tc>
      </w:tr>
      <w:tr w:rsidR="00D2729A" w14:paraId="1D6535C4" w14:textId="77777777">
        <w:trPr>
          <w:trHeight w:val="717"/>
          <w:jc w:val="center"/>
        </w:trPr>
        <w:tc>
          <w:tcPr>
            <w:tcW w:w="5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3B9E0C68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4</w:t>
            </w:r>
            <w:r>
              <w:rPr>
                <w:rStyle w:val="None"/>
                <w:sz w:val="20"/>
                <w:szCs w:val="20"/>
              </w:rPr>
              <w:t>.</w:t>
            </w:r>
            <w:r>
              <w:rPr>
                <w:rStyle w:val="None"/>
                <w:spacing w:val="-11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Requestor’s</w:t>
            </w:r>
            <w:r>
              <w:rPr>
                <w:rStyle w:val="None"/>
                <w:spacing w:val="-13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Organization</w:t>
            </w:r>
          </w:p>
        </w:tc>
        <w:tc>
          <w:tcPr>
            <w:tcW w:w="3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394EC195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5</w:t>
            </w:r>
            <w:r>
              <w:rPr>
                <w:rStyle w:val="None"/>
                <w:sz w:val="20"/>
                <w:szCs w:val="20"/>
              </w:rPr>
              <w:t>.</w:t>
            </w:r>
            <w:r>
              <w:rPr>
                <w:rStyle w:val="None"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Requestor’s</w:t>
            </w:r>
            <w:r>
              <w:rPr>
                <w:rStyle w:val="None"/>
                <w:spacing w:val="-13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E-Mail</w:t>
            </w:r>
            <w:r>
              <w:rPr>
                <w:rStyle w:val="None"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Address</w:t>
            </w:r>
          </w:p>
        </w:tc>
      </w:tr>
      <w:tr w:rsidR="00D2729A" w14:paraId="286235BE" w14:textId="77777777">
        <w:trPr>
          <w:trHeight w:val="785"/>
          <w:jc w:val="center"/>
        </w:trPr>
        <w:tc>
          <w:tcPr>
            <w:tcW w:w="56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4ECC625D" w14:textId="77777777" w:rsidR="00D2729A" w:rsidRDefault="00AE7F39">
            <w:pPr>
              <w:pStyle w:val="TableParagraph"/>
              <w:spacing w:line="242" w:lineRule="exact"/>
              <w:ind w:left="25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6</w:t>
            </w:r>
            <w:r>
              <w:rPr>
                <w:rStyle w:val="None"/>
                <w:sz w:val="20"/>
                <w:szCs w:val="20"/>
              </w:rPr>
              <w:t>. DELIVERY Address (include any special instructions; such as if there is a loading dock, of if the facility needs to be contacted prior to delivery).</w:t>
            </w:r>
          </w:p>
          <w:p w14:paraId="11E6728A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50C4C90F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7</w:t>
            </w:r>
            <w:r>
              <w:rPr>
                <w:rStyle w:val="None"/>
                <w:sz w:val="20"/>
                <w:szCs w:val="20"/>
              </w:rPr>
              <w:t>. DPH Facility ID number</w:t>
            </w:r>
          </w:p>
        </w:tc>
      </w:tr>
      <w:tr w:rsidR="00D2729A" w14:paraId="3F0DB283" w14:textId="77777777">
        <w:trPr>
          <w:trHeight w:val="798"/>
          <w:jc w:val="center"/>
        </w:trPr>
        <w:tc>
          <w:tcPr>
            <w:tcW w:w="56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48613" w14:textId="77777777" w:rsidR="00D2729A" w:rsidRDefault="00D2729A"/>
        </w:tc>
        <w:tc>
          <w:tcPr>
            <w:tcW w:w="366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5A886EC0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7</w:t>
            </w:r>
            <w:r>
              <w:rPr>
                <w:rStyle w:val="None"/>
                <w:sz w:val="20"/>
                <w:szCs w:val="20"/>
              </w:rPr>
              <w:t xml:space="preserve">. </w:t>
            </w:r>
            <w:r>
              <w:rPr>
                <w:rStyle w:val="None"/>
                <w:sz w:val="20"/>
                <w:szCs w:val="20"/>
                <w:u w:val="single"/>
              </w:rPr>
              <w:t>24/7</w:t>
            </w:r>
            <w:r>
              <w:rPr>
                <w:rStyle w:val="None"/>
                <w:sz w:val="20"/>
                <w:szCs w:val="20"/>
              </w:rPr>
              <w:t xml:space="preserve"> Contact Name and Phone number for delivery issues</w:t>
            </w:r>
          </w:p>
        </w:tc>
      </w:tr>
      <w:tr w:rsidR="00D2729A" w14:paraId="06D50DD2" w14:textId="77777777">
        <w:trPr>
          <w:trHeight w:val="340"/>
          <w:jc w:val="center"/>
        </w:trPr>
        <w:tc>
          <w:tcPr>
            <w:tcW w:w="56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6219C" w14:textId="77777777" w:rsidR="00D2729A" w:rsidRDefault="00D2729A"/>
        </w:tc>
        <w:tc>
          <w:tcPr>
            <w:tcW w:w="36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253B" w14:textId="77777777" w:rsidR="00D2729A" w:rsidRDefault="00D2729A"/>
        </w:tc>
      </w:tr>
      <w:tr w:rsidR="00D2729A" w14:paraId="7E6E0F9C" w14:textId="77777777">
        <w:trPr>
          <w:trHeight w:val="811"/>
          <w:jc w:val="center"/>
        </w:trPr>
        <w:tc>
          <w:tcPr>
            <w:tcW w:w="56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FEC69" w14:textId="77777777" w:rsidR="00D2729A" w:rsidRDefault="00D2729A"/>
        </w:tc>
        <w:tc>
          <w:tcPr>
            <w:tcW w:w="3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5" w:type="dxa"/>
              <w:bottom w:w="80" w:type="dxa"/>
              <w:right w:w="80" w:type="dxa"/>
            </w:tcMar>
          </w:tcPr>
          <w:p w14:paraId="649D37AF" w14:textId="77777777" w:rsidR="00D2729A" w:rsidRDefault="00AE7F39">
            <w:pPr>
              <w:pStyle w:val="TableParagraph"/>
              <w:spacing w:line="242" w:lineRule="exact"/>
              <w:ind w:left="25"/>
            </w:pPr>
            <w:r>
              <w:rPr>
                <w:rStyle w:val="None"/>
                <w:b/>
                <w:bCs/>
                <w:sz w:val="20"/>
                <w:szCs w:val="20"/>
              </w:rPr>
              <w:t>8</w:t>
            </w:r>
            <w:r>
              <w:rPr>
                <w:rStyle w:val="None"/>
                <w:sz w:val="20"/>
                <w:szCs w:val="20"/>
              </w:rPr>
              <w:t>. Hours of operations to receive delivery (for example 8:00 am – 3:00 pm M-F)</w:t>
            </w:r>
          </w:p>
        </w:tc>
      </w:tr>
      <w:tr w:rsidR="00D2729A" w14:paraId="125EBE81" w14:textId="77777777">
        <w:trPr>
          <w:trHeight w:val="340"/>
          <w:jc w:val="center"/>
        </w:trPr>
        <w:tc>
          <w:tcPr>
            <w:tcW w:w="9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5F59C81C" w14:textId="77777777" w:rsidR="00D2729A" w:rsidRDefault="00AE7F39">
            <w:pPr>
              <w:pStyle w:val="TableParagraph"/>
              <w:spacing w:line="262" w:lineRule="exact"/>
              <w:ind w:left="27"/>
            </w:pPr>
            <w:r>
              <w:rPr>
                <w:rStyle w:val="None"/>
                <w:b/>
                <w:bCs/>
                <w:sz w:val="20"/>
                <w:szCs w:val="20"/>
              </w:rPr>
              <w:t>II.</w:t>
            </w:r>
            <w:r>
              <w:rPr>
                <w:rStyle w:val="Non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20"/>
                <w:szCs w:val="20"/>
              </w:rPr>
              <w:t>REQUEST SPECIFICS - Please Type ALL Answers</w:t>
            </w:r>
          </w:p>
        </w:tc>
      </w:tr>
      <w:tr w:rsidR="00D2729A" w14:paraId="58D502EC" w14:textId="77777777">
        <w:trPr>
          <w:trHeight w:val="340"/>
          <w:jc w:val="center"/>
        </w:trPr>
        <w:tc>
          <w:tcPr>
            <w:tcW w:w="9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7" w:type="dxa"/>
              <w:bottom w:w="80" w:type="dxa"/>
              <w:right w:w="80" w:type="dxa"/>
            </w:tcMar>
          </w:tcPr>
          <w:p w14:paraId="57BF16A8" w14:textId="77777777" w:rsidR="00D2729A" w:rsidRDefault="00AE7F39">
            <w:pPr>
              <w:pStyle w:val="TableParagraph"/>
              <w:spacing w:line="262" w:lineRule="exact"/>
              <w:ind w:left="27"/>
            </w:pPr>
            <w:r>
              <w:rPr>
                <w:rStyle w:val="None"/>
                <w:b/>
                <w:bCs/>
                <w:sz w:val="20"/>
                <w:szCs w:val="20"/>
              </w:rPr>
              <w:t>9</w:t>
            </w:r>
            <w:r>
              <w:rPr>
                <w:rStyle w:val="None"/>
                <w:sz w:val="20"/>
                <w:szCs w:val="20"/>
              </w:rPr>
              <w:t>. Order (Please complete all fields)</w:t>
            </w:r>
          </w:p>
        </w:tc>
      </w:tr>
      <w:tr w:rsidR="00D2729A" w14:paraId="22400209" w14:textId="77777777">
        <w:trPr>
          <w:trHeight w:val="1404"/>
          <w:jc w:val="center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7" w:type="dxa"/>
              <w:bottom w:w="80" w:type="dxa"/>
              <w:right w:w="80" w:type="dxa"/>
            </w:tcMar>
            <w:vAlign w:val="center"/>
          </w:tcPr>
          <w:p w14:paraId="7EDDF40B" w14:textId="77777777" w:rsidR="00D2729A" w:rsidRDefault="00AE7F39">
            <w:pPr>
              <w:pStyle w:val="TableParagraph"/>
              <w:ind w:left="27"/>
              <w:jc w:val="center"/>
            </w:pPr>
            <w:r>
              <w:rPr>
                <w:rStyle w:val="None"/>
                <w:sz w:val="20"/>
                <w:szCs w:val="20"/>
              </w:rPr>
              <w:t>No. Requested</w:t>
            </w:r>
          </w:p>
        </w:tc>
        <w:tc>
          <w:tcPr>
            <w:tcW w:w="6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841CF" w14:textId="77777777" w:rsidR="00D2729A" w:rsidRDefault="00AE7F39">
            <w:pPr>
              <w:pStyle w:val="BodyA"/>
              <w:jc w:val="center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Items Available: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33" w:type="dxa"/>
              <w:bottom w:w="80" w:type="dxa"/>
              <w:right w:w="224" w:type="dxa"/>
            </w:tcMar>
            <w:vAlign w:val="center"/>
          </w:tcPr>
          <w:p w14:paraId="203166C3" w14:textId="77777777" w:rsidR="00D2729A" w:rsidRDefault="00AE7F39">
            <w:pPr>
              <w:pStyle w:val="TableParagraph"/>
              <w:spacing w:before="51" w:line="259" w:lineRule="auto"/>
              <w:ind w:left="253" w:right="144" w:hanging="104"/>
              <w:jc w:val="center"/>
            </w:pPr>
            <w:r>
              <w:rPr>
                <w:rStyle w:val="None"/>
                <w:sz w:val="20"/>
                <w:szCs w:val="20"/>
              </w:rPr>
              <w:t>Date Need, pending availability</w:t>
            </w:r>
          </w:p>
        </w:tc>
      </w:tr>
      <w:tr w:rsidR="00D2729A" w14:paraId="639D1981" w14:textId="77777777">
        <w:trPr>
          <w:trHeight w:val="1830"/>
          <w:jc w:val="center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D9C8" w14:textId="77777777" w:rsidR="00D2729A" w:rsidRDefault="00D2729A"/>
        </w:tc>
        <w:tc>
          <w:tcPr>
            <w:tcW w:w="6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14:paraId="2BA17E36" w14:textId="77777777" w:rsidR="00D2729A" w:rsidRDefault="00AE7F39">
            <w:pPr>
              <w:pStyle w:val="TableParagraph"/>
              <w:spacing w:before="68"/>
              <w:ind w:left="259"/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Abbott BinaxNOW COVID-19 Test Kit</w:t>
            </w:r>
          </w:p>
          <w:p w14:paraId="6D73AC11" w14:textId="77777777" w:rsidR="00D2729A" w:rsidRDefault="00AE7F39">
            <w:pPr>
              <w:pStyle w:val="BodyA"/>
              <w:jc w:val="center"/>
            </w:pPr>
            <w:r>
              <w:rPr>
                <w:rStyle w:val="None"/>
                <w:rFonts w:ascii="Calibri" w:hAnsi="Calibri"/>
              </w:rPr>
              <w:t xml:space="preserve">[Each kit </w:t>
            </w:r>
            <w:proofErr w:type="gramStart"/>
            <w:r>
              <w:rPr>
                <w:rStyle w:val="None"/>
                <w:rFonts w:ascii="Calibri" w:hAnsi="Calibri"/>
              </w:rPr>
              <w:t>contains  test</w:t>
            </w:r>
            <w:proofErr w:type="gramEnd"/>
            <w:r>
              <w:rPr>
                <w:rStyle w:val="None"/>
                <w:rFonts w:ascii="Calibri" w:hAnsi="Calibri"/>
              </w:rPr>
              <w:t xml:space="preserve"> cards and swabs to conduct 40 tests, therefore, please request the total number of </w:t>
            </w:r>
            <w:r>
              <w:rPr>
                <w:rStyle w:val="None"/>
                <w:rFonts w:ascii="Calibri" w:hAnsi="Calibri"/>
                <w:b/>
                <w:bCs/>
              </w:rPr>
              <w:t xml:space="preserve">kits </w:t>
            </w:r>
            <w:r>
              <w:rPr>
                <w:rStyle w:val="None"/>
                <w:rFonts w:ascii="Calibri" w:hAnsi="Calibri"/>
              </w:rPr>
              <w:t>needed based on this quantity]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E8D6" w14:textId="77777777" w:rsidR="00D2729A" w:rsidRDefault="00D2729A"/>
        </w:tc>
      </w:tr>
      <w:tr w:rsidR="00D2729A" w14:paraId="18CA1BEA" w14:textId="77777777">
        <w:trPr>
          <w:trHeight w:val="292"/>
          <w:jc w:val="center"/>
        </w:trPr>
        <w:tc>
          <w:tcPr>
            <w:tcW w:w="9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859CF" w14:textId="77777777" w:rsidR="00D2729A" w:rsidRDefault="00AE7F39">
            <w:pPr>
              <w:pStyle w:val="BodyA"/>
            </w:pPr>
            <w:r>
              <w:rPr>
                <w:rStyle w:val="None"/>
                <w:b/>
                <w:bCs/>
                <w:sz w:val="20"/>
                <w:szCs w:val="20"/>
              </w:rPr>
              <w:t>III. Submittal Process</w:t>
            </w:r>
          </w:p>
        </w:tc>
      </w:tr>
      <w:tr w:rsidR="00D2729A" w14:paraId="26F15264" w14:textId="77777777">
        <w:trPr>
          <w:trHeight w:val="1992"/>
          <w:jc w:val="center"/>
        </w:trPr>
        <w:tc>
          <w:tcPr>
            <w:tcW w:w="93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9EF3" w14:textId="77777777" w:rsidR="00D2729A" w:rsidRDefault="00AE7F39">
            <w:pPr>
              <w:pStyle w:val="BodyA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</w:rPr>
              <w:t>10.</w:t>
            </w:r>
            <w:r>
              <w:rPr>
                <w:rStyle w:val="None"/>
                <w:sz w:val="20"/>
                <w:szCs w:val="20"/>
              </w:rPr>
              <w:t>. To submit a request, please email completed form to:</w:t>
            </w:r>
          </w:p>
          <w:p w14:paraId="65E799EE" w14:textId="77777777" w:rsidR="00D2729A" w:rsidRDefault="00D02C25">
            <w:pPr>
              <w:pStyle w:val="BodyA"/>
              <w:jc w:val="center"/>
              <w:rPr>
                <w:rStyle w:val="None"/>
                <w:b/>
                <w:bCs/>
              </w:rPr>
            </w:pPr>
            <w:hyperlink r:id="rId24" w:history="1">
              <w:r w:rsidR="00AE7F39">
                <w:rPr>
                  <w:rStyle w:val="Hyperlink6"/>
                  <w:b/>
                  <w:bCs/>
                </w:rPr>
                <w:t>COVID19.Resource.Request@mass.gov</w:t>
              </w:r>
            </w:hyperlink>
          </w:p>
          <w:p w14:paraId="01092E82" w14:textId="77777777" w:rsidR="00D2729A" w:rsidRDefault="00D2729A">
            <w:pPr>
              <w:pStyle w:val="BodyA"/>
              <w:jc w:val="center"/>
              <w:rPr>
                <w:rStyle w:val="None"/>
                <w:b/>
                <w:bCs/>
              </w:rPr>
            </w:pPr>
          </w:p>
          <w:p w14:paraId="5849EC0B" w14:textId="77777777" w:rsidR="00D2729A" w:rsidRDefault="00D2729A">
            <w:pPr>
              <w:pStyle w:val="BodyA"/>
            </w:pPr>
          </w:p>
        </w:tc>
      </w:tr>
    </w:tbl>
    <w:p w14:paraId="12F296F4" w14:textId="77777777" w:rsidR="00D2729A" w:rsidRDefault="00D2729A">
      <w:pPr>
        <w:pStyle w:val="BodyA"/>
        <w:widowControl w:val="0"/>
        <w:ind w:left="108" w:hanging="108"/>
        <w:jc w:val="center"/>
      </w:pPr>
    </w:p>
    <w:sectPr w:rsidR="00D2729A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D805" w14:textId="77777777" w:rsidR="00D02C25" w:rsidRDefault="00D02C25">
      <w:r>
        <w:separator/>
      </w:r>
    </w:p>
  </w:endnote>
  <w:endnote w:type="continuationSeparator" w:id="0">
    <w:p w14:paraId="5AC017E0" w14:textId="77777777" w:rsidR="00D02C25" w:rsidRDefault="00D0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B163" w14:textId="77777777" w:rsidR="00D2729A" w:rsidRDefault="00D2729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7BBF" w14:textId="77777777" w:rsidR="00D02C25" w:rsidRDefault="00D02C25">
      <w:r>
        <w:separator/>
      </w:r>
    </w:p>
  </w:footnote>
  <w:footnote w:type="continuationSeparator" w:id="0">
    <w:p w14:paraId="7646DD1A" w14:textId="77777777" w:rsidR="00D02C25" w:rsidRDefault="00D0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B7F2" w14:textId="77777777" w:rsidR="00D2729A" w:rsidRDefault="00D2729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1D5"/>
    <w:multiLevelType w:val="hybridMultilevel"/>
    <w:tmpl w:val="A5589C70"/>
    <w:numStyleLink w:val="ImportedStyle6"/>
  </w:abstractNum>
  <w:abstractNum w:abstractNumId="1" w15:restartNumberingAfterBreak="0">
    <w:nsid w:val="06B2066F"/>
    <w:multiLevelType w:val="hybridMultilevel"/>
    <w:tmpl w:val="E39A1270"/>
    <w:numStyleLink w:val="ImportedStyle1"/>
  </w:abstractNum>
  <w:abstractNum w:abstractNumId="2" w15:restartNumberingAfterBreak="0">
    <w:nsid w:val="0E032BBE"/>
    <w:multiLevelType w:val="hybridMultilevel"/>
    <w:tmpl w:val="A5589C70"/>
    <w:styleLink w:val="ImportedStyle6"/>
    <w:lvl w:ilvl="0" w:tplc="25A0EC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24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2E6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82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C83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2BD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27C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0A3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AEC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293245"/>
    <w:multiLevelType w:val="hybridMultilevel"/>
    <w:tmpl w:val="192ACD94"/>
    <w:numStyleLink w:val="ImportedStyle3"/>
  </w:abstractNum>
  <w:abstractNum w:abstractNumId="4" w15:restartNumberingAfterBreak="0">
    <w:nsid w:val="23FB0A5C"/>
    <w:multiLevelType w:val="hybridMultilevel"/>
    <w:tmpl w:val="CAAE1DB6"/>
    <w:numStyleLink w:val="ImportedStyle5"/>
  </w:abstractNum>
  <w:abstractNum w:abstractNumId="5" w15:restartNumberingAfterBreak="0">
    <w:nsid w:val="26EB3EB1"/>
    <w:multiLevelType w:val="hybridMultilevel"/>
    <w:tmpl w:val="A0F2E8A6"/>
    <w:styleLink w:val="ImportedStyle4"/>
    <w:lvl w:ilvl="0" w:tplc="A4B0A7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05D3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E9810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82C7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655F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2969A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C0A1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4663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6AEB8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CC7495"/>
    <w:multiLevelType w:val="hybridMultilevel"/>
    <w:tmpl w:val="9BC8F094"/>
    <w:lvl w:ilvl="0" w:tplc="0C5A44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E09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76EF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A91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C1A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24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83D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C71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4E4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FC474F"/>
    <w:multiLevelType w:val="hybridMultilevel"/>
    <w:tmpl w:val="CAAE1DB6"/>
    <w:styleLink w:val="ImportedStyle5"/>
    <w:lvl w:ilvl="0" w:tplc="4FCA598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89DA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E63AE">
      <w:start w:val="1"/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0BF3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0D53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48B24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8F85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08C8BA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E3754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B770A0"/>
    <w:multiLevelType w:val="hybridMultilevel"/>
    <w:tmpl w:val="192ACD94"/>
    <w:styleLink w:val="ImportedStyle3"/>
    <w:lvl w:ilvl="0" w:tplc="40BCF1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C55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4E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AC4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6A0E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E574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A44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04D1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6EA0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AC6B03"/>
    <w:multiLevelType w:val="hybridMultilevel"/>
    <w:tmpl w:val="A0F2E8A6"/>
    <w:numStyleLink w:val="ImportedStyle4"/>
  </w:abstractNum>
  <w:abstractNum w:abstractNumId="10" w15:restartNumberingAfterBreak="0">
    <w:nsid w:val="63A75AD5"/>
    <w:multiLevelType w:val="hybridMultilevel"/>
    <w:tmpl w:val="E39A1270"/>
    <w:styleLink w:val="ImportedStyle1"/>
    <w:lvl w:ilvl="0" w:tplc="992E024C">
      <w:start w:val="1"/>
      <w:numFmt w:val="bullet"/>
      <w:lvlText w:val="·"/>
      <w:lvlJc w:val="left"/>
      <w:pPr>
        <w:ind w:left="1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62F6C">
      <w:start w:val="1"/>
      <w:numFmt w:val="bullet"/>
      <w:lvlText w:val="o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0BE52">
      <w:start w:val="1"/>
      <w:numFmt w:val="bullet"/>
      <w:lvlText w:val="▪"/>
      <w:lvlJc w:val="left"/>
      <w:pPr>
        <w:ind w:left="2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EA396">
      <w:start w:val="1"/>
      <w:numFmt w:val="bullet"/>
      <w:lvlText w:val="·"/>
      <w:lvlJc w:val="left"/>
      <w:pPr>
        <w:ind w:left="3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40EEE">
      <w:start w:val="1"/>
      <w:numFmt w:val="bullet"/>
      <w:lvlText w:val="o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07096">
      <w:start w:val="1"/>
      <w:numFmt w:val="bullet"/>
      <w:lvlText w:val="▪"/>
      <w:lvlJc w:val="left"/>
      <w:pPr>
        <w:ind w:left="5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69CBC">
      <w:start w:val="1"/>
      <w:numFmt w:val="bullet"/>
      <w:lvlText w:val="·"/>
      <w:lvlJc w:val="left"/>
      <w:pPr>
        <w:ind w:left="5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45E9C">
      <w:start w:val="1"/>
      <w:numFmt w:val="bullet"/>
      <w:lvlText w:val="o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0A242">
      <w:start w:val="1"/>
      <w:numFmt w:val="bullet"/>
      <w:lvlText w:val="▪"/>
      <w:lvlJc w:val="left"/>
      <w:pPr>
        <w:ind w:left="7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9"/>
    <w:lvlOverride w:ilvl="0">
      <w:startOverride w:val="3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9A"/>
    <w:rsid w:val="000106F3"/>
    <w:rsid w:val="00075667"/>
    <w:rsid w:val="0010544E"/>
    <w:rsid w:val="00111CDC"/>
    <w:rsid w:val="00181DAA"/>
    <w:rsid w:val="00237C3E"/>
    <w:rsid w:val="002A3806"/>
    <w:rsid w:val="002A7283"/>
    <w:rsid w:val="00320AF7"/>
    <w:rsid w:val="003943BE"/>
    <w:rsid w:val="00491EFF"/>
    <w:rsid w:val="004D6B2F"/>
    <w:rsid w:val="005A2408"/>
    <w:rsid w:val="005C4340"/>
    <w:rsid w:val="006C1E92"/>
    <w:rsid w:val="00704354"/>
    <w:rsid w:val="00906848"/>
    <w:rsid w:val="00911541"/>
    <w:rsid w:val="009C34E4"/>
    <w:rsid w:val="009C3706"/>
    <w:rsid w:val="009E6712"/>
    <w:rsid w:val="00AB5AFA"/>
    <w:rsid w:val="00AE7F39"/>
    <w:rsid w:val="00B545D5"/>
    <w:rsid w:val="00B676D3"/>
    <w:rsid w:val="00B811D7"/>
    <w:rsid w:val="00D02C25"/>
    <w:rsid w:val="00D2729A"/>
    <w:rsid w:val="00D35D06"/>
    <w:rsid w:val="00D95DEE"/>
    <w:rsid w:val="00E561C8"/>
    <w:rsid w:val="00EB6F42"/>
    <w:rsid w:val="00FA11CB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7A5C"/>
  <w15:docId w15:val="{3EA0F350-8ADA-4D2A-A6B1-E571DC3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ExecOffice">
    <w:name w:val="Exec Office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Governor">
    <w:name w:val="Governor"/>
    <w:pPr>
      <w:spacing w:after="120"/>
      <w:jc w:val="center"/>
    </w:pPr>
    <w:rPr>
      <w:rFonts w:ascii="Arial Rounded MT Bold" w:hAnsi="Arial Rounded MT Bold" w:cs="Arial Unicode MS"/>
      <w:color w:val="000000"/>
      <w:sz w:val="14"/>
      <w:szCs w:val="14"/>
      <w:u w:color="000000"/>
    </w:rPr>
  </w:style>
  <w:style w:type="paragraph" w:customStyle="1" w:styleId="Weld">
    <w:name w:val="Weld"/>
    <w:pPr>
      <w:jc w:val="center"/>
    </w:pPr>
    <w:rPr>
      <w:rFonts w:ascii="Arial Rounded MT Bold" w:hAnsi="Arial Rounded MT Bold" w:cs="Arial Unicode MS"/>
      <w:color w:val="000000"/>
      <w:sz w:val="16"/>
      <w:szCs w:val="16"/>
      <w:u w:color="000000"/>
    </w:rPr>
  </w:style>
  <w:style w:type="paragraph" w:customStyle="1" w:styleId="Heading">
    <w:name w:val="Heading"/>
    <w:next w:val="BodyA"/>
    <w:pPr>
      <w:keepNext/>
      <w:keepLines/>
      <w:spacing w:before="240"/>
      <w:outlineLvl w:val="0"/>
    </w:pPr>
    <w:rPr>
      <w:rFonts w:ascii="Calibri Light" w:hAnsi="Calibri Light" w:cs="Arial Unicode MS"/>
      <w:color w:val="2F5496"/>
      <w:sz w:val="32"/>
      <w:szCs w:val="32"/>
      <w:u w:color="2F549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  <w:lang w:val="fr-FR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character" w:customStyle="1" w:styleId="Hyperlink2">
    <w:name w:val="Hyperlink.2"/>
    <w:basedOn w:val="None"/>
    <w:rPr>
      <w:outline w:val="0"/>
      <w:color w:val="0000FF"/>
      <w:u w:val="single" w:color="0000FF"/>
    </w:rPr>
  </w:style>
  <w:style w:type="character" w:customStyle="1" w:styleId="Hyperlink3">
    <w:name w:val="Hyperlink.3"/>
    <w:basedOn w:val="None"/>
    <w:rPr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None"/>
    <w:rPr>
      <w:outline w:val="0"/>
      <w:color w:val="0000FF"/>
      <w:u w:val="single" w:color="0000FF"/>
      <w:lang w:val="pt-PT"/>
    </w:r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character" w:customStyle="1" w:styleId="Hyperlink5">
    <w:name w:val="Hyperlink.5"/>
    <w:basedOn w:val="None"/>
    <w:rPr>
      <w:outline w:val="0"/>
      <w:color w:val="0000FF"/>
      <w:u w:val="single" w:color="0000FF"/>
      <w:lang w:val="it-IT"/>
    </w:rPr>
  </w:style>
  <w:style w:type="paragraph" w:styleId="CommentText">
    <w:name w:val="annotation text"/>
    <w:link w:val="CommentTextChar"/>
    <w:rPr>
      <w:rFonts w:cs="Arial Unicode MS"/>
      <w:color w:val="000000"/>
      <w:u w:color="000000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odyText">
    <w:name w:val="Body Text"/>
    <w:pPr>
      <w:widowControl w:val="0"/>
      <w:spacing w:before="31"/>
      <w:ind w:left="4887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character" w:customStyle="1" w:styleId="Hyperlink6">
    <w:name w:val="Hyperlink.6"/>
    <w:basedOn w:val="None"/>
    <w:rPr>
      <w:outline w:val="0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B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2F"/>
    <w:rPr>
      <w:rFonts w:cs="Times New Roman"/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rsid w:val="004D6B2F"/>
    <w:rPr>
      <w:rFonts w:cs="Arial Unicode MS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2F"/>
    <w:rPr>
      <w:rFonts w:cs="Arial Unicode MS"/>
      <w:b/>
      <w:bCs/>
      <w:color w:val="000000"/>
      <w:u w:color="000000"/>
    </w:rPr>
  </w:style>
  <w:style w:type="paragraph" w:styleId="Revision">
    <w:name w:val="Revision"/>
    <w:hidden/>
    <w:uiPriority w:val="99"/>
    <w:semiHidden/>
    <w:rsid w:val="002A7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VID19.Resource.Request@mass.gov" TargetMode="External"/><Relationship Id="rId18" Type="http://schemas.openxmlformats.org/officeDocument/2006/relationships/hyperlink" Target="https://www.fda.gov/media/141570/downloa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ms.gov/About-CMS/Agency-Information/Emergency/EPRO/Current-Emergencies/Current-Emergencies-pa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doc/binaxnow-antigen-test-graph/download" TargetMode="External"/><Relationship Id="rId17" Type="http://schemas.openxmlformats.org/officeDocument/2006/relationships/hyperlink" Target="https://www.globalpointofcare.abbott/en/support/product-installation-training/navica-brand/navica-binaxnow-ag-training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updated-comprehensive-personal-protective-equipment/download" TargetMode="External"/><Relationship Id="rId20" Type="http://schemas.openxmlformats.org/officeDocument/2006/relationships/hyperlink" Target="mailto:ISIS-ImmediateDiseaseReporting@mas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binaxnow-antigen-test-abstract/download" TargetMode="External"/><Relationship Id="rId24" Type="http://schemas.openxmlformats.org/officeDocument/2006/relationships/hyperlink" Target="mailto:COVID19.Resource.Request@mass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lialab@mass.gov" TargetMode="External"/><Relationship Id="rId23" Type="http://schemas.openxmlformats.org/officeDocument/2006/relationships/hyperlink" Target="https://www.hhs.gov/coronavirus/testing/rapid-test-distribution/index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ts.scr@abbot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ms.gov/Medicare/CMS-Forms/CMS-Forms/Downloads/CMS116.pdf" TargetMode="External"/><Relationship Id="rId22" Type="http://schemas.openxmlformats.org/officeDocument/2006/relationships/hyperlink" Target="https://www.cdc.gov/coronavirus/2019-ncov/healthcare-facilities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d522c7ccdec5e61d9ed5b0caa0ede60d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ae042fa778961d017f1b102741e039a2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A7A0E-78DC-4C83-9C6A-1D621B3D0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DAD54-AECC-4923-9C8D-80BACD592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76B19-6735-47B9-9181-F83286062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Catherine (DPH)</dc:creator>
  <cp:lastModifiedBy>Hay, Jeremiah (EHS)</cp:lastModifiedBy>
  <cp:revision>2</cp:revision>
  <dcterms:created xsi:type="dcterms:W3CDTF">2021-05-13T00:07:00Z</dcterms:created>
  <dcterms:modified xsi:type="dcterms:W3CDTF">2021-05-13T00:07:00Z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