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BA" w:rsidRDefault="00C36BBA" w:rsidP="00C30568">
      <w:pPr>
        <w:jc w:val="center"/>
        <w:rPr>
          <w:rFonts w:ascii="Courier New" w:hAnsi="Courier New" w:cs="Courier New"/>
          <w:b/>
          <w:sz w:val="24"/>
          <w:szCs w:val="24"/>
        </w:rPr>
      </w:pPr>
      <w:bookmarkStart w:id="0" w:name="_GoBack"/>
      <w:bookmarkEnd w:id="0"/>
      <w:r>
        <w:rPr>
          <w:rFonts w:ascii="Courier New" w:hAnsi="Courier New" w:cs="Courier New"/>
          <w:b/>
          <w:sz w:val="24"/>
          <w:szCs w:val="24"/>
        </w:rPr>
        <w:t>COMMONWEALTH OF MASSACHUSETTS</w:t>
      </w:r>
    </w:p>
    <w:p w:rsidR="009857C9" w:rsidRDefault="00C30568" w:rsidP="00C30568">
      <w:pPr>
        <w:ind w:left="2160" w:firstLine="720"/>
        <w:rPr>
          <w:rFonts w:ascii="Courier New" w:hAnsi="Courier New" w:cs="Courier New"/>
          <w:b/>
          <w:sz w:val="24"/>
          <w:szCs w:val="24"/>
        </w:rPr>
      </w:pPr>
      <w:r>
        <w:rPr>
          <w:rFonts w:ascii="Courier New" w:hAnsi="Courier New" w:cs="Courier New"/>
          <w:b/>
          <w:sz w:val="24"/>
          <w:szCs w:val="24"/>
        </w:rPr>
        <w:t xml:space="preserve">   </w:t>
      </w:r>
      <w:r w:rsidR="009857C9">
        <w:rPr>
          <w:rFonts w:ascii="Courier New" w:hAnsi="Courier New" w:cs="Courier New"/>
          <w:b/>
          <w:sz w:val="24"/>
          <w:szCs w:val="24"/>
        </w:rPr>
        <w:t>APPELLATE TAX BOARD</w:t>
      </w:r>
    </w:p>
    <w:p w:rsidR="009857C9" w:rsidRDefault="009857C9" w:rsidP="009857C9">
      <w:pPr>
        <w:rPr>
          <w:rFonts w:ascii="Courier New" w:hAnsi="Courier New" w:cs="Courier New"/>
          <w:b/>
          <w:sz w:val="24"/>
          <w:szCs w:val="24"/>
        </w:rPr>
      </w:pPr>
    </w:p>
    <w:p w:rsidR="009857C9" w:rsidRDefault="005100A4" w:rsidP="00C30568">
      <w:pPr>
        <w:spacing w:after="0"/>
        <w:rPr>
          <w:rFonts w:ascii="Courier New" w:hAnsi="Courier New" w:cs="Courier New"/>
          <w:b/>
          <w:sz w:val="24"/>
          <w:szCs w:val="24"/>
        </w:rPr>
      </w:pPr>
      <w:r>
        <w:rPr>
          <w:rFonts w:ascii="Courier New" w:hAnsi="Courier New" w:cs="Courier New"/>
          <w:b/>
          <w:sz w:val="24"/>
          <w:szCs w:val="24"/>
        </w:rPr>
        <w:t>GEORGE BIRMBAS, TRUSTEE</w:t>
      </w:r>
      <w:r w:rsidR="008153EC">
        <w:rPr>
          <w:rFonts w:ascii="Courier New" w:hAnsi="Courier New" w:cs="Courier New"/>
          <w:b/>
          <w:sz w:val="24"/>
          <w:szCs w:val="24"/>
        </w:rPr>
        <w:tab/>
      </w:r>
      <w:r>
        <w:rPr>
          <w:rFonts w:ascii="Courier New" w:hAnsi="Courier New" w:cs="Courier New"/>
          <w:b/>
          <w:sz w:val="24"/>
          <w:szCs w:val="24"/>
        </w:rPr>
        <w:t xml:space="preserve">   </w:t>
      </w:r>
      <w:r w:rsidR="00C30568">
        <w:rPr>
          <w:rFonts w:ascii="Courier New" w:hAnsi="Courier New" w:cs="Courier New"/>
          <w:b/>
          <w:sz w:val="24"/>
          <w:szCs w:val="24"/>
        </w:rPr>
        <w:t>   </w:t>
      </w:r>
      <w:r w:rsidR="009857C9">
        <w:rPr>
          <w:rFonts w:ascii="Courier New" w:hAnsi="Courier New" w:cs="Courier New"/>
          <w:b/>
          <w:sz w:val="24"/>
          <w:szCs w:val="24"/>
        </w:rPr>
        <w:t xml:space="preserve">v. </w:t>
      </w:r>
      <w:r w:rsidR="009857C9">
        <w:rPr>
          <w:rFonts w:ascii="Courier New" w:hAnsi="Courier New" w:cs="Courier New"/>
          <w:b/>
          <w:sz w:val="24"/>
          <w:szCs w:val="24"/>
        </w:rPr>
        <w:tab/>
      </w:r>
      <w:r w:rsidR="009857C9">
        <w:rPr>
          <w:rFonts w:ascii="Courier New" w:hAnsi="Courier New" w:cs="Courier New"/>
          <w:b/>
          <w:sz w:val="24"/>
          <w:szCs w:val="24"/>
        </w:rPr>
        <w:tab/>
      </w:r>
      <w:r>
        <w:rPr>
          <w:rFonts w:ascii="Courier New" w:hAnsi="Courier New" w:cs="Courier New"/>
          <w:b/>
          <w:sz w:val="24"/>
          <w:szCs w:val="24"/>
        </w:rPr>
        <w:t>BOARD OF ASSESSORS OF</w:t>
      </w:r>
      <w:r w:rsidR="009857C9">
        <w:rPr>
          <w:rFonts w:ascii="Courier New" w:hAnsi="Courier New" w:cs="Courier New"/>
          <w:b/>
          <w:sz w:val="24"/>
          <w:szCs w:val="24"/>
        </w:rPr>
        <w:t xml:space="preserve"> </w:t>
      </w:r>
    </w:p>
    <w:p w:rsidR="009857C9" w:rsidRDefault="008153EC" w:rsidP="00C30568">
      <w:pPr>
        <w:spacing w:after="0"/>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THE TOWN OF CONCORD</w:t>
      </w:r>
    </w:p>
    <w:p w:rsidR="00C30568" w:rsidRDefault="00C30568" w:rsidP="00C30568">
      <w:pPr>
        <w:spacing w:after="0"/>
        <w:rPr>
          <w:rFonts w:ascii="Courier New" w:hAnsi="Courier New" w:cs="Courier New"/>
          <w:b/>
          <w:sz w:val="24"/>
          <w:szCs w:val="24"/>
        </w:rPr>
      </w:pPr>
    </w:p>
    <w:p w:rsidR="00C30568" w:rsidRPr="002C5C7A" w:rsidRDefault="00C30568" w:rsidP="00C30568">
      <w:pPr>
        <w:spacing w:after="0"/>
        <w:rPr>
          <w:rFonts w:ascii="Courier New" w:hAnsi="Courier New" w:cs="Courier New"/>
          <w:b/>
          <w:sz w:val="24"/>
          <w:szCs w:val="24"/>
        </w:rPr>
      </w:pPr>
    </w:p>
    <w:p w:rsidR="00E96BF0" w:rsidRDefault="00BD00C6" w:rsidP="00E96BF0">
      <w:pPr>
        <w:rPr>
          <w:rFonts w:ascii="Courier New" w:hAnsi="Courier New" w:cs="Courier New"/>
          <w:sz w:val="24"/>
          <w:szCs w:val="24"/>
        </w:rPr>
      </w:pPr>
      <w:r>
        <w:rPr>
          <w:rFonts w:ascii="Courier New" w:hAnsi="Courier New" w:cs="Courier New"/>
          <w:sz w:val="24"/>
          <w:szCs w:val="24"/>
        </w:rPr>
        <w:t xml:space="preserve">Docket Nos. </w:t>
      </w:r>
      <w:r w:rsidR="005100A4">
        <w:rPr>
          <w:rFonts w:ascii="Courier New" w:hAnsi="Courier New" w:cs="Courier New"/>
          <w:sz w:val="24"/>
          <w:szCs w:val="24"/>
        </w:rPr>
        <w:t xml:space="preserve">F329626, </w:t>
      </w:r>
      <w:r w:rsidR="00C30568">
        <w:rPr>
          <w:rFonts w:ascii="Courier New" w:hAnsi="Courier New" w:cs="Courier New"/>
          <w:sz w:val="24"/>
          <w:szCs w:val="24"/>
        </w:rPr>
        <w:t>F332576</w:t>
      </w:r>
      <w:r w:rsidR="005100A4">
        <w:rPr>
          <w:rFonts w:ascii="Courier New" w:hAnsi="Courier New" w:cs="Courier New"/>
          <w:sz w:val="24"/>
          <w:szCs w:val="24"/>
        </w:rPr>
        <w:tab/>
      </w:r>
      <w:r w:rsidR="005100A4">
        <w:rPr>
          <w:rFonts w:ascii="Courier New" w:hAnsi="Courier New" w:cs="Courier New"/>
          <w:sz w:val="24"/>
          <w:szCs w:val="24"/>
        </w:rPr>
        <w:tab/>
      </w:r>
      <w:r w:rsidR="005100A4">
        <w:rPr>
          <w:rFonts w:ascii="Courier New" w:hAnsi="Courier New" w:cs="Courier New"/>
          <w:sz w:val="24"/>
          <w:szCs w:val="24"/>
        </w:rPr>
        <w:tab/>
        <w:t>Promulgated:</w:t>
      </w:r>
      <w:r>
        <w:rPr>
          <w:rFonts w:ascii="Courier New" w:hAnsi="Courier New" w:cs="Courier New"/>
          <w:sz w:val="24"/>
          <w:szCs w:val="24"/>
        </w:rPr>
        <w:tab/>
      </w:r>
      <w:r w:rsidR="009857C9">
        <w:rPr>
          <w:rFonts w:ascii="Courier New" w:hAnsi="Courier New" w:cs="Courier New"/>
          <w:sz w:val="24"/>
          <w:szCs w:val="24"/>
        </w:rPr>
        <w:t xml:space="preserve"> </w:t>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9857C9">
        <w:rPr>
          <w:rFonts w:ascii="Courier New" w:hAnsi="Courier New" w:cs="Courier New"/>
          <w:sz w:val="24"/>
          <w:szCs w:val="24"/>
        </w:rPr>
        <w:tab/>
      </w:r>
      <w:r w:rsidR="008C5CE1">
        <w:rPr>
          <w:rFonts w:ascii="Courier New" w:hAnsi="Courier New" w:cs="Courier New"/>
          <w:sz w:val="24"/>
          <w:szCs w:val="24"/>
        </w:rPr>
        <w:t>July 17, 2018</w:t>
      </w:r>
      <w:r w:rsidR="009857C9">
        <w:rPr>
          <w:rFonts w:ascii="Courier New" w:hAnsi="Courier New" w:cs="Courier New"/>
          <w:sz w:val="24"/>
          <w:szCs w:val="24"/>
        </w:rPr>
        <w:tab/>
      </w:r>
    </w:p>
    <w:p w:rsidR="009857C9" w:rsidRDefault="009857C9" w:rsidP="00E96BF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9857C9" w:rsidRDefault="009857C9" w:rsidP="005E349E">
      <w:pPr>
        <w:spacing w:after="0" w:line="480" w:lineRule="auto"/>
        <w:jc w:val="both"/>
        <w:rPr>
          <w:rFonts w:ascii="Courier New" w:hAnsi="Courier New" w:cs="Courier New"/>
          <w:sz w:val="24"/>
          <w:szCs w:val="24"/>
        </w:rPr>
      </w:pPr>
      <w:r>
        <w:rPr>
          <w:rFonts w:ascii="Courier New" w:hAnsi="Courier New" w:cs="Courier New"/>
          <w:sz w:val="24"/>
          <w:szCs w:val="24"/>
        </w:rPr>
        <w:tab/>
        <w:t>These are appeals filed under the formal procedure pursuant to G.L. c. 58A, § 7 and G.L. c. 59</w:t>
      </w:r>
      <w:r w:rsidR="00187A34">
        <w:rPr>
          <w:rFonts w:ascii="Courier New" w:hAnsi="Courier New" w:cs="Courier New"/>
          <w:sz w:val="24"/>
          <w:szCs w:val="24"/>
        </w:rPr>
        <w:t>, §§ 64 and 65, from the refusal</w:t>
      </w:r>
      <w:r>
        <w:rPr>
          <w:rFonts w:ascii="Courier New" w:hAnsi="Courier New" w:cs="Courier New"/>
          <w:sz w:val="24"/>
          <w:szCs w:val="24"/>
        </w:rPr>
        <w:t xml:space="preserve"> of the Board of </w:t>
      </w:r>
      <w:r w:rsidR="006C7B07">
        <w:rPr>
          <w:rFonts w:ascii="Courier New" w:hAnsi="Courier New" w:cs="Courier New"/>
          <w:sz w:val="24"/>
          <w:szCs w:val="24"/>
        </w:rPr>
        <w:t>Assessors of the Town of Concord</w:t>
      </w:r>
      <w:r>
        <w:rPr>
          <w:rFonts w:ascii="Courier New" w:hAnsi="Courier New" w:cs="Courier New"/>
          <w:sz w:val="24"/>
          <w:szCs w:val="24"/>
        </w:rPr>
        <w:t xml:space="preserve"> (“appellee” or “assessors”) to abate taxes o</w:t>
      </w:r>
      <w:r w:rsidR="006C7B07">
        <w:rPr>
          <w:rFonts w:ascii="Courier New" w:hAnsi="Courier New" w:cs="Courier New"/>
          <w:sz w:val="24"/>
          <w:szCs w:val="24"/>
        </w:rPr>
        <w:t>n certain real estate in Concord</w:t>
      </w:r>
      <w:r>
        <w:rPr>
          <w:rFonts w:ascii="Courier New" w:hAnsi="Courier New" w:cs="Courier New"/>
          <w:sz w:val="24"/>
          <w:szCs w:val="24"/>
        </w:rPr>
        <w:t xml:space="preserve"> owned by and</w:t>
      </w:r>
      <w:r w:rsidR="006C7B07">
        <w:rPr>
          <w:rFonts w:ascii="Courier New" w:hAnsi="Courier New" w:cs="Courier New"/>
          <w:sz w:val="24"/>
          <w:szCs w:val="24"/>
        </w:rPr>
        <w:t xml:space="preserve"> assessed to George Birmbas, Trustee (“appellant” or “Mr. Birmbas</w:t>
      </w:r>
      <w:r>
        <w:rPr>
          <w:rFonts w:ascii="Courier New" w:hAnsi="Courier New" w:cs="Courier New"/>
          <w:sz w:val="24"/>
          <w:szCs w:val="24"/>
        </w:rPr>
        <w:t>”) under G.L. c. 59</w:t>
      </w:r>
      <w:r w:rsidR="00C36BBA">
        <w:rPr>
          <w:rFonts w:ascii="Courier New" w:hAnsi="Courier New" w:cs="Courier New"/>
          <w:sz w:val="24"/>
          <w:szCs w:val="24"/>
        </w:rPr>
        <w:t>,</w:t>
      </w:r>
      <w:r>
        <w:rPr>
          <w:rFonts w:ascii="Courier New" w:hAnsi="Courier New" w:cs="Courier New"/>
          <w:sz w:val="24"/>
          <w:szCs w:val="24"/>
        </w:rPr>
        <w:t xml:space="preserve"> §§ 11 an</w:t>
      </w:r>
      <w:r w:rsidR="006C7B07">
        <w:rPr>
          <w:rFonts w:ascii="Courier New" w:hAnsi="Courier New" w:cs="Courier New"/>
          <w:sz w:val="24"/>
          <w:szCs w:val="24"/>
        </w:rPr>
        <w:t>d 38, for fiscal years 2016 and 2017</w:t>
      </w:r>
      <w:r>
        <w:rPr>
          <w:rFonts w:ascii="Courier New" w:hAnsi="Courier New" w:cs="Courier New"/>
          <w:sz w:val="24"/>
          <w:szCs w:val="24"/>
        </w:rPr>
        <w:t xml:space="preserve"> (the “fiscal years at issue”).</w:t>
      </w:r>
    </w:p>
    <w:p w:rsidR="009857C9" w:rsidRDefault="009857C9" w:rsidP="005E349E">
      <w:pPr>
        <w:spacing w:after="0" w:line="480" w:lineRule="auto"/>
        <w:jc w:val="both"/>
        <w:rPr>
          <w:rFonts w:ascii="Courier New" w:hAnsi="Courier New" w:cs="Courier New"/>
          <w:sz w:val="24"/>
          <w:szCs w:val="24"/>
        </w:rPr>
      </w:pPr>
      <w:r>
        <w:rPr>
          <w:rFonts w:ascii="Courier New" w:hAnsi="Courier New" w:cs="Courier New"/>
          <w:sz w:val="24"/>
          <w:szCs w:val="24"/>
        </w:rPr>
        <w:tab/>
        <w:t>Commissioner Good heard these appeals and was joined i</w:t>
      </w:r>
      <w:r w:rsidR="006C7B07">
        <w:rPr>
          <w:rFonts w:ascii="Courier New" w:hAnsi="Courier New" w:cs="Courier New"/>
          <w:sz w:val="24"/>
          <w:szCs w:val="24"/>
        </w:rPr>
        <w:t>n her decisions for the appellant</w:t>
      </w:r>
      <w:r>
        <w:rPr>
          <w:rFonts w:ascii="Courier New" w:hAnsi="Courier New" w:cs="Courier New"/>
          <w:sz w:val="24"/>
          <w:szCs w:val="24"/>
        </w:rPr>
        <w:t xml:space="preserve"> by Chairman Hammond and Commissioners Scharaffa, Rose, and Chmielinski.  </w:t>
      </w:r>
    </w:p>
    <w:p w:rsidR="009857C9" w:rsidRDefault="009857C9" w:rsidP="009857C9">
      <w:pPr>
        <w:spacing w:line="480" w:lineRule="auto"/>
        <w:jc w:val="both"/>
        <w:rPr>
          <w:rFonts w:ascii="Courier New" w:hAnsi="Courier New" w:cs="Courier New"/>
          <w:sz w:val="24"/>
          <w:szCs w:val="24"/>
        </w:rPr>
      </w:pPr>
      <w:r>
        <w:rPr>
          <w:rFonts w:ascii="Courier New" w:hAnsi="Courier New" w:cs="Courier New"/>
          <w:sz w:val="24"/>
          <w:szCs w:val="24"/>
        </w:rPr>
        <w:tab/>
        <w:t>These findings of fact and report are made pursua</w:t>
      </w:r>
      <w:r w:rsidR="006C7B07">
        <w:rPr>
          <w:rFonts w:ascii="Courier New" w:hAnsi="Courier New" w:cs="Courier New"/>
          <w:sz w:val="24"/>
          <w:szCs w:val="24"/>
        </w:rPr>
        <w:t>nt to a request by the appellee</w:t>
      </w:r>
      <w:r>
        <w:rPr>
          <w:rFonts w:ascii="Courier New" w:hAnsi="Courier New" w:cs="Courier New"/>
          <w:sz w:val="24"/>
          <w:szCs w:val="24"/>
        </w:rPr>
        <w:t xml:space="preserve"> under G.L. c. 58A, § 13 and 831 CMR 1.32.</w:t>
      </w:r>
    </w:p>
    <w:p w:rsidR="009857C9" w:rsidRDefault="009857C9" w:rsidP="00CA2A46">
      <w:pPr>
        <w:spacing w:line="276" w:lineRule="auto"/>
        <w:rPr>
          <w:rFonts w:ascii="Courier New" w:hAnsi="Courier New" w:cs="Courier New"/>
          <w:i/>
          <w:sz w:val="24"/>
          <w:szCs w:val="24"/>
        </w:rPr>
      </w:pPr>
      <w:r>
        <w:rPr>
          <w:rFonts w:ascii="Courier New" w:hAnsi="Courier New" w:cs="Courier New"/>
          <w:sz w:val="24"/>
          <w:szCs w:val="24"/>
        </w:rPr>
        <w:tab/>
      </w:r>
      <w:r>
        <w:rPr>
          <w:rFonts w:ascii="Courier New" w:hAnsi="Courier New" w:cs="Courier New"/>
          <w:i/>
          <w:sz w:val="24"/>
          <w:szCs w:val="24"/>
        </w:rPr>
        <w:t xml:space="preserve">Mark F. Murphy, </w:t>
      </w:r>
      <w:r>
        <w:rPr>
          <w:rFonts w:ascii="Courier New" w:hAnsi="Courier New" w:cs="Courier New"/>
          <w:sz w:val="24"/>
          <w:szCs w:val="24"/>
        </w:rPr>
        <w:t>Esq.</w:t>
      </w:r>
      <w:r>
        <w:rPr>
          <w:rFonts w:ascii="Courier New" w:hAnsi="Courier New" w:cs="Courier New"/>
          <w:i/>
          <w:sz w:val="24"/>
          <w:szCs w:val="24"/>
        </w:rPr>
        <w:t xml:space="preserve"> </w:t>
      </w:r>
      <w:r>
        <w:rPr>
          <w:rFonts w:ascii="Courier New" w:hAnsi="Courier New" w:cs="Courier New"/>
          <w:sz w:val="24"/>
          <w:szCs w:val="24"/>
        </w:rPr>
        <w:t xml:space="preserve">for the appellant. </w:t>
      </w:r>
    </w:p>
    <w:p w:rsidR="009857C9" w:rsidRDefault="00847C87" w:rsidP="00187A34">
      <w:pPr>
        <w:ind w:left="720"/>
        <w:contextualSpacing/>
        <w:rPr>
          <w:rFonts w:ascii="Courier New" w:hAnsi="Courier New" w:cs="Courier New"/>
          <w:sz w:val="24"/>
          <w:szCs w:val="24"/>
        </w:rPr>
      </w:pPr>
      <w:r w:rsidRPr="00847C87">
        <w:rPr>
          <w:rFonts w:ascii="Courier New" w:hAnsi="Courier New" w:cs="Courier New"/>
          <w:i/>
          <w:sz w:val="24"/>
          <w:szCs w:val="24"/>
        </w:rPr>
        <w:t>R. Lane Partridge,</w:t>
      </w:r>
      <w:r>
        <w:rPr>
          <w:rFonts w:ascii="Courier New" w:hAnsi="Courier New" w:cs="Courier New"/>
          <w:sz w:val="24"/>
          <w:szCs w:val="24"/>
        </w:rPr>
        <w:t xml:space="preserve"> Assessor</w:t>
      </w:r>
      <w:r w:rsidR="009857C9">
        <w:rPr>
          <w:rFonts w:ascii="Courier New" w:hAnsi="Courier New" w:cs="Courier New"/>
          <w:i/>
          <w:sz w:val="24"/>
          <w:szCs w:val="24"/>
        </w:rPr>
        <w:t xml:space="preserve">, </w:t>
      </w:r>
      <w:r>
        <w:rPr>
          <w:rFonts w:ascii="Courier New" w:hAnsi="Courier New" w:cs="Courier New"/>
          <w:sz w:val="24"/>
          <w:szCs w:val="24"/>
        </w:rPr>
        <w:t xml:space="preserve">for the </w:t>
      </w:r>
      <w:r w:rsidR="009857C9">
        <w:rPr>
          <w:rFonts w:ascii="Courier New" w:hAnsi="Courier New" w:cs="Courier New"/>
          <w:sz w:val="24"/>
          <w:szCs w:val="24"/>
        </w:rPr>
        <w:t>appellee.</w:t>
      </w:r>
    </w:p>
    <w:p w:rsidR="00FA5639" w:rsidRDefault="00FA5639" w:rsidP="00187A34">
      <w:pPr>
        <w:ind w:left="720"/>
        <w:contextualSpacing/>
        <w:rPr>
          <w:rFonts w:ascii="Courier New" w:hAnsi="Courier New" w:cs="Courier New"/>
          <w:sz w:val="24"/>
          <w:szCs w:val="24"/>
        </w:rPr>
      </w:pPr>
    </w:p>
    <w:p w:rsidR="00CA2A46" w:rsidRDefault="00CA2A46" w:rsidP="00187A34">
      <w:pPr>
        <w:jc w:val="center"/>
        <w:rPr>
          <w:rFonts w:ascii="Courier New" w:hAnsi="Courier New" w:cs="Courier New"/>
          <w:b/>
          <w:sz w:val="24"/>
          <w:szCs w:val="24"/>
        </w:rPr>
      </w:pPr>
    </w:p>
    <w:p w:rsidR="00187A34" w:rsidRDefault="009857C9" w:rsidP="005E349E">
      <w:pPr>
        <w:spacing w:after="0" w:line="480" w:lineRule="auto"/>
        <w:jc w:val="center"/>
        <w:rPr>
          <w:rFonts w:ascii="Courier New" w:hAnsi="Courier New" w:cs="Courier New"/>
          <w:b/>
          <w:sz w:val="24"/>
          <w:szCs w:val="24"/>
        </w:rPr>
      </w:pPr>
      <w:r>
        <w:rPr>
          <w:rFonts w:ascii="Courier New" w:hAnsi="Courier New" w:cs="Courier New"/>
          <w:b/>
          <w:sz w:val="24"/>
          <w:szCs w:val="24"/>
        </w:rPr>
        <w:lastRenderedPageBreak/>
        <w:t>FINDINGS OF FACT AND REPORT</w:t>
      </w:r>
    </w:p>
    <w:p w:rsidR="00F24418" w:rsidRDefault="00131C04" w:rsidP="005E349E">
      <w:pPr>
        <w:spacing w:after="0" w:line="480" w:lineRule="auto"/>
        <w:jc w:val="both"/>
        <w:rPr>
          <w:rFonts w:ascii="Courier New" w:hAnsi="Courier New" w:cs="Courier New"/>
          <w:sz w:val="24"/>
          <w:szCs w:val="24"/>
        </w:rPr>
      </w:pPr>
      <w:r>
        <w:rPr>
          <w:rFonts w:ascii="Courier New" w:hAnsi="Courier New" w:cs="Courier New"/>
          <w:sz w:val="24"/>
          <w:szCs w:val="24"/>
        </w:rPr>
        <w:tab/>
        <w:t xml:space="preserve">On January 1, 2015 and </w:t>
      </w:r>
      <w:r w:rsidR="009857C9">
        <w:rPr>
          <w:rFonts w:ascii="Courier New" w:hAnsi="Courier New" w:cs="Courier New"/>
          <w:sz w:val="24"/>
          <w:szCs w:val="24"/>
        </w:rPr>
        <w:t>Janua</w:t>
      </w:r>
      <w:r>
        <w:rPr>
          <w:rFonts w:ascii="Courier New" w:hAnsi="Courier New" w:cs="Courier New"/>
          <w:sz w:val="24"/>
          <w:szCs w:val="24"/>
        </w:rPr>
        <w:t xml:space="preserve">ry 1, 2016, </w:t>
      </w:r>
      <w:r w:rsidR="009857C9">
        <w:rPr>
          <w:rFonts w:ascii="Courier New" w:hAnsi="Courier New" w:cs="Courier New"/>
          <w:sz w:val="24"/>
          <w:szCs w:val="24"/>
        </w:rPr>
        <w:t>the relevant dates of valuation for the fiscal years at issue, the appellant was the assessed owner o</w:t>
      </w:r>
      <w:r>
        <w:rPr>
          <w:rFonts w:ascii="Courier New" w:hAnsi="Courier New" w:cs="Courier New"/>
          <w:sz w:val="24"/>
          <w:szCs w:val="24"/>
        </w:rPr>
        <w:t xml:space="preserve">f a </w:t>
      </w:r>
      <w:r w:rsidR="00325193">
        <w:rPr>
          <w:rFonts w:ascii="Courier New" w:hAnsi="Courier New" w:cs="Courier New"/>
          <w:sz w:val="24"/>
          <w:szCs w:val="24"/>
        </w:rPr>
        <w:t>2.92-acre parcel of land improved with a commercial offic</w:t>
      </w:r>
      <w:r w:rsidR="0012226D">
        <w:rPr>
          <w:rFonts w:ascii="Courier New" w:hAnsi="Courier New" w:cs="Courier New"/>
          <w:sz w:val="24"/>
          <w:szCs w:val="24"/>
        </w:rPr>
        <w:t xml:space="preserve">e building located at 676 Elm Street in Concord (the “subject property”).  </w:t>
      </w:r>
    </w:p>
    <w:p w:rsidR="009857C9" w:rsidRDefault="00EC5820"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For fiscal year 2016, the assessors valued the subject property at $1,031,800, and assessed a tax thereon, at the rate of $13.92 per tho</w:t>
      </w:r>
      <w:r w:rsidR="00EC0828">
        <w:rPr>
          <w:rFonts w:ascii="Courier New" w:hAnsi="Courier New" w:cs="Courier New"/>
          <w:sz w:val="24"/>
          <w:szCs w:val="24"/>
        </w:rPr>
        <w:t>usand, in the total amount of $14,578.10</w:t>
      </w:r>
      <w:r>
        <w:rPr>
          <w:rFonts w:ascii="Courier New" w:hAnsi="Courier New" w:cs="Courier New"/>
          <w:sz w:val="24"/>
          <w:szCs w:val="24"/>
        </w:rPr>
        <w:t xml:space="preserve">, inclusive of a Community Preservation Act surcharge.  For fiscal year 2017, the assessors valued the subject property at </w:t>
      </w:r>
      <w:r w:rsidR="004F6627">
        <w:rPr>
          <w:rFonts w:ascii="Courier New" w:hAnsi="Courier New" w:cs="Courier New"/>
          <w:sz w:val="24"/>
          <w:szCs w:val="24"/>
        </w:rPr>
        <w:t>$1,039,700, and assessed a tax thereon, at the rate of $14.07 per thou</w:t>
      </w:r>
      <w:r w:rsidR="00EC0828">
        <w:rPr>
          <w:rFonts w:ascii="Courier New" w:hAnsi="Courier New" w:cs="Courier New"/>
          <w:sz w:val="24"/>
          <w:szCs w:val="24"/>
        </w:rPr>
        <w:t>sand, in the total amount of $14,848.01</w:t>
      </w:r>
      <w:r w:rsidR="004F6627">
        <w:rPr>
          <w:rFonts w:ascii="Courier New" w:hAnsi="Courier New" w:cs="Courier New"/>
          <w:sz w:val="24"/>
          <w:szCs w:val="24"/>
        </w:rPr>
        <w:t xml:space="preserve">, inclusive of a Community Preservation Act surcharge.  </w:t>
      </w:r>
      <w:r w:rsidR="00620ECA">
        <w:rPr>
          <w:rFonts w:ascii="Courier New" w:hAnsi="Courier New" w:cs="Courier New"/>
          <w:sz w:val="24"/>
          <w:szCs w:val="24"/>
        </w:rPr>
        <w:t xml:space="preserve">The following table contains the jurisdictional information relevant to these appeals. </w:t>
      </w:r>
    </w:p>
    <w:tbl>
      <w:tblPr>
        <w:tblStyle w:val="TableGrid"/>
        <w:tblW w:w="0" w:type="auto"/>
        <w:tblInd w:w="1147" w:type="dxa"/>
        <w:tblLook w:val="04A0" w:firstRow="1" w:lastRow="0" w:firstColumn="1" w:lastColumn="0" w:noHBand="0" w:noVBand="1"/>
      </w:tblPr>
      <w:tblGrid>
        <w:gridCol w:w="1121"/>
        <w:gridCol w:w="1800"/>
        <w:gridCol w:w="2070"/>
        <w:gridCol w:w="1620"/>
      </w:tblGrid>
      <w:tr w:rsidR="00E84B59" w:rsidRPr="00E84B59" w:rsidTr="00E84B59">
        <w:tc>
          <w:tcPr>
            <w:tcW w:w="1121" w:type="dxa"/>
          </w:tcPr>
          <w:p w:rsidR="00E84B59" w:rsidRPr="00E84B59" w:rsidRDefault="00E84B59" w:rsidP="00C30568">
            <w:pPr>
              <w:jc w:val="center"/>
              <w:rPr>
                <w:rFonts w:ascii="Courier New" w:hAnsi="Courier New" w:cs="Courier New"/>
                <w:b/>
                <w:sz w:val="20"/>
                <w:szCs w:val="20"/>
              </w:rPr>
            </w:pPr>
            <w:r w:rsidRPr="00E84B59">
              <w:rPr>
                <w:rFonts w:ascii="Courier New" w:hAnsi="Courier New" w:cs="Courier New"/>
                <w:b/>
                <w:sz w:val="20"/>
                <w:szCs w:val="20"/>
              </w:rPr>
              <w:t>Fiscal Year</w:t>
            </w:r>
          </w:p>
        </w:tc>
        <w:tc>
          <w:tcPr>
            <w:tcW w:w="1800" w:type="dxa"/>
          </w:tcPr>
          <w:p w:rsidR="00E84B59" w:rsidRPr="00E84B59" w:rsidRDefault="00E84B59" w:rsidP="00C30568">
            <w:pPr>
              <w:jc w:val="center"/>
              <w:rPr>
                <w:rFonts w:ascii="Courier New" w:hAnsi="Courier New" w:cs="Courier New"/>
                <w:b/>
                <w:sz w:val="20"/>
                <w:szCs w:val="20"/>
              </w:rPr>
            </w:pPr>
            <w:r w:rsidRPr="00E84B59">
              <w:rPr>
                <w:rFonts w:ascii="Courier New" w:hAnsi="Courier New" w:cs="Courier New"/>
                <w:b/>
                <w:sz w:val="20"/>
                <w:szCs w:val="20"/>
              </w:rPr>
              <w:t>Abatement Application filed</w:t>
            </w:r>
          </w:p>
        </w:tc>
        <w:tc>
          <w:tcPr>
            <w:tcW w:w="2070" w:type="dxa"/>
          </w:tcPr>
          <w:p w:rsidR="00E84B59" w:rsidRPr="00E84B59" w:rsidRDefault="00E84B59" w:rsidP="00C30568">
            <w:pPr>
              <w:jc w:val="center"/>
              <w:rPr>
                <w:rFonts w:ascii="Courier New" w:hAnsi="Courier New" w:cs="Courier New"/>
                <w:b/>
                <w:sz w:val="20"/>
                <w:szCs w:val="20"/>
              </w:rPr>
            </w:pPr>
            <w:r w:rsidRPr="00E84B59">
              <w:rPr>
                <w:rFonts w:ascii="Courier New" w:hAnsi="Courier New" w:cs="Courier New"/>
                <w:b/>
                <w:sz w:val="20"/>
                <w:szCs w:val="20"/>
              </w:rPr>
              <w:t>Abatement Application denied</w:t>
            </w:r>
          </w:p>
        </w:tc>
        <w:tc>
          <w:tcPr>
            <w:tcW w:w="1620" w:type="dxa"/>
          </w:tcPr>
          <w:p w:rsidR="00E84B59" w:rsidRPr="00E84B59" w:rsidRDefault="00E84B59" w:rsidP="00C30568">
            <w:pPr>
              <w:jc w:val="center"/>
              <w:rPr>
                <w:rFonts w:ascii="Courier New" w:hAnsi="Courier New" w:cs="Courier New"/>
                <w:b/>
                <w:sz w:val="20"/>
                <w:szCs w:val="20"/>
              </w:rPr>
            </w:pPr>
            <w:r>
              <w:rPr>
                <w:rFonts w:ascii="Courier New" w:hAnsi="Courier New" w:cs="Courier New"/>
                <w:b/>
                <w:sz w:val="20"/>
                <w:szCs w:val="20"/>
              </w:rPr>
              <w:t>Petition filed at</w:t>
            </w:r>
            <w:r w:rsidRPr="00E84B59">
              <w:rPr>
                <w:rFonts w:ascii="Courier New" w:hAnsi="Courier New" w:cs="Courier New"/>
                <w:b/>
                <w:sz w:val="20"/>
                <w:szCs w:val="20"/>
              </w:rPr>
              <w:t xml:space="preserve"> Board</w:t>
            </w:r>
          </w:p>
        </w:tc>
      </w:tr>
      <w:tr w:rsidR="00E84B59" w:rsidRPr="00E84B59" w:rsidTr="00E84B59">
        <w:tc>
          <w:tcPr>
            <w:tcW w:w="1121" w:type="dxa"/>
          </w:tcPr>
          <w:p w:rsidR="00E84B59" w:rsidRPr="00C30568" w:rsidRDefault="00E84B59" w:rsidP="00C30568">
            <w:pPr>
              <w:jc w:val="center"/>
              <w:rPr>
                <w:rFonts w:ascii="Courier New" w:hAnsi="Courier New" w:cs="Courier New"/>
                <w:b/>
                <w:sz w:val="20"/>
                <w:szCs w:val="20"/>
              </w:rPr>
            </w:pPr>
            <w:r w:rsidRPr="00C30568">
              <w:rPr>
                <w:rFonts w:ascii="Courier New" w:hAnsi="Courier New" w:cs="Courier New"/>
                <w:b/>
                <w:sz w:val="20"/>
                <w:szCs w:val="20"/>
              </w:rPr>
              <w:t>2016</w:t>
            </w:r>
          </w:p>
        </w:tc>
        <w:tc>
          <w:tcPr>
            <w:tcW w:w="1800" w:type="dxa"/>
          </w:tcPr>
          <w:p w:rsidR="00E84B59" w:rsidRPr="00E84B59" w:rsidRDefault="006B47CD" w:rsidP="00C30568">
            <w:pPr>
              <w:jc w:val="center"/>
              <w:rPr>
                <w:rFonts w:ascii="Courier New" w:hAnsi="Courier New" w:cs="Courier New"/>
                <w:b/>
                <w:sz w:val="20"/>
                <w:szCs w:val="20"/>
              </w:rPr>
            </w:pPr>
            <w:r>
              <w:rPr>
                <w:rFonts w:ascii="Courier New" w:hAnsi="Courier New" w:cs="Courier New"/>
                <w:b/>
                <w:sz w:val="20"/>
                <w:szCs w:val="20"/>
              </w:rPr>
              <w:t>2/1/16</w:t>
            </w:r>
          </w:p>
        </w:tc>
        <w:tc>
          <w:tcPr>
            <w:tcW w:w="2070" w:type="dxa"/>
          </w:tcPr>
          <w:p w:rsidR="00E84B59" w:rsidRPr="00E84B59" w:rsidRDefault="00FB1F6D" w:rsidP="00C30568">
            <w:pPr>
              <w:jc w:val="center"/>
              <w:rPr>
                <w:rFonts w:ascii="Courier New" w:hAnsi="Courier New" w:cs="Courier New"/>
                <w:b/>
                <w:sz w:val="20"/>
                <w:szCs w:val="20"/>
              </w:rPr>
            </w:pPr>
            <w:r>
              <w:rPr>
                <w:rFonts w:ascii="Courier New" w:hAnsi="Courier New" w:cs="Courier New"/>
                <w:b/>
                <w:sz w:val="20"/>
                <w:szCs w:val="20"/>
              </w:rPr>
              <w:t>2/18/16</w:t>
            </w:r>
          </w:p>
        </w:tc>
        <w:tc>
          <w:tcPr>
            <w:tcW w:w="1620" w:type="dxa"/>
          </w:tcPr>
          <w:p w:rsidR="00E84B59" w:rsidRDefault="00A728D3" w:rsidP="00C30568">
            <w:pPr>
              <w:jc w:val="center"/>
              <w:rPr>
                <w:rFonts w:ascii="Courier New" w:hAnsi="Courier New" w:cs="Courier New"/>
                <w:b/>
                <w:sz w:val="20"/>
                <w:szCs w:val="20"/>
              </w:rPr>
            </w:pPr>
            <w:r>
              <w:rPr>
                <w:rFonts w:ascii="Courier New" w:hAnsi="Courier New" w:cs="Courier New"/>
                <w:b/>
                <w:sz w:val="20"/>
                <w:szCs w:val="20"/>
              </w:rPr>
              <w:t>5/11/16</w:t>
            </w:r>
          </w:p>
        </w:tc>
      </w:tr>
      <w:tr w:rsidR="00E84B59" w:rsidRPr="00E84B59" w:rsidTr="00E84B59">
        <w:tc>
          <w:tcPr>
            <w:tcW w:w="1121" w:type="dxa"/>
          </w:tcPr>
          <w:p w:rsidR="00E84B59" w:rsidRPr="00C30568" w:rsidRDefault="00E84B59" w:rsidP="00C30568">
            <w:pPr>
              <w:jc w:val="center"/>
              <w:rPr>
                <w:rFonts w:ascii="Courier New" w:hAnsi="Courier New" w:cs="Courier New"/>
                <w:b/>
                <w:sz w:val="20"/>
                <w:szCs w:val="20"/>
              </w:rPr>
            </w:pPr>
            <w:r w:rsidRPr="00C30568">
              <w:rPr>
                <w:rFonts w:ascii="Courier New" w:hAnsi="Courier New" w:cs="Courier New"/>
                <w:b/>
                <w:sz w:val="20"/>
                <w:szCs w:val="20"/>
              </w:rPr>
              <w:t>2017</w:t>
            </w:r>
          </w:p>
        </w:tc>
        <w:tc>
          <w:tcPr>
            <w:tcW w:w="1800" w:type="dxa"/>
          </w:tcPr>
          <w:p w:rsidR="00E84B59" w:rsidRPr="00E84B59" w:rsidRDefault="00FB1F6D" w:rsidP="00C30568">
            <w:pPr>
              <w:jc w:val="center"/>
              <w:rPr>
                <w:rFonts w:ascii="Courier New" w:hAnsi="Courier New" w:cs="Courier New"/>
                <w:b/>
                <w:sz w:val="20"/>
                <w:szCs w:val="20"/>
              </w:rPr>
            </w:pPr>
            <w:r>
              <w:rPr>
                <w:rFonts w:ascii="Courier New" w:hAnsi="Courier New" w:cs="Courier New"/>
                <w:b/>
                <w:sz w:val="20"/>
                <w:szCs w:val="20"/>
              </w:rPr>
              <w:t>1/12/17</w:t>
            </w:r>
          </w:p>
        </w:tc>
        <w:tc>
          <w:tcPr>
            <w:tcW w:w="2070" w:type="dxa"/>
          </w:tcPr>
          <w:p w:rsidR="00E84B59" w:rsidRPr="00E84B59" w:rsidRDefault="006B47CD" w:rsidP="00C30568">
            <w:pPr>
              <w:jc w:val="center"/>
              <w:rPr>
                <w:rFonts w:ascii="Courier New" w:hAnsi="Courier New" w:cs="Courier New"/>
                <w:b/>
                <w:sz w:val="20"/>
                <w:szCs w:val="20"/>
              </w:rPr>
            </w:pPr>
            <w:r>
              <w:rPr>
                <w:rFonts w:ascii="Courier New" w:hAnsi="Courier New" w:cs="Courier New"/>
                <w:b/>
                <w:sz w:val="20"/>
                <w:szCs w:val="20"/>
              </w:rPr>
              <w:t>2/16/17</w:t>
            </w:r>
          </w:p>
        </w:tc>
        <w:tc>
          <w:tcPr>
            <w:tcW w:w="1620" w:type="dxa"/>
          </w:tcPr>
          <w:p w:rsidR="00E84B59" w:rsidRDefault="00A728D3" w:rsidP="00C30568">
            <w:pPr>
              <w:jc w:val="center"/>
              <w:rPr>
                <w:rFonts w:ascii="Courier New" w:hAnsi="Courier New" w:cs="Courier New"/>
                <w:b/>
                <w:sz w:val="20"/>
                <w:szCs w:val="20"/>
              </w:rPr>
            </w:pPr>
            <w:r>
              <w:rPr>
                <w:rFonts w:ascii="Courier New" w:hAnsi="Courier New" w:cs="Courier New"/>
                <w:b/>
                <w:sz w:val="20"/>
                <w:szCs w:val="20"/>
              </w:rPr>
              <w:t>5/4/17</w:t>
            </w:r>
          </w:p>
        </w:tc>
      </w:tr>
    </w:tbl>
    <w:p w:rsidR="009857C9" w:rsidRDefault="009857C9" w:rsidP="005E349E">
      <w:pPr>
        <w:spacing w:after="0" w:line="480" w:lineRule="auto"/>
        <w:jc w:val="both"/>
        <w:rPr>
          <w:rFonts w:ascii="Courier New" w:hAnsi="Courier New" w:cs="Courier New"/>
          <w:sz w:val="24"/>
          <w:szCs w:val="24"/>
        </w:rPr>
      </w:pPr>
    </w:p>
    <w:p w:rsidR="008E6293" w:rsidRDefault="00B2476C" w:rsidP="005E349E">
      <w:pPr>
        <w:spacing w:after="0" w:line="480" w:lineRule="auto"/>
        <w:jc w:val="both"/>
        <w:rPr>
          <w:rFonts w:ascii="Courier New" w:hAnsi="Courier New" w:cs="Courier New"/>
          <w:sz w:val="24"/>
          <w:szCs w:val="24"/>
        </w:rPr>
      </w:pPr>
      <w:r>
        <w:tab/>
      </w:r>
      <w:r w:rsidR="00312577">
        <w:rPr>
          <w:rFonts w:ascii="Courier New" w:hAnsi="Courier New" w:cs="Courier New"/>
          <w:sz w:val="24"/>
          <w:szCs w:val="24"/>
        </w:rPr>
        <w:t xml:space="preserve">Based on the foregoing facts, the </w:t>
      </w:r>
      <w:r w:rsidR="00B03206">
        <w:rPr>
          <w:rFonts w:ascii="Courier New" w:hAnsi="Courier New" w:cs="Courier New"/>
          <w:sz w:val="24"/>
          <w:szCs w:val="24"/>
        </w:rPr>
        <w:t xml:space="preserve">Appellate Tax </w:t>
      </w:r>
      <w:r w:rsidR="00312577">
        <w:rPr>
          <w:rFonts w:ascii="Courier New" w:hAnsi="Courier New" w:cs="Courier New"/>
          <w:sz w:val="24"/>
          <w:szCs w:val="24"/>
        </w:rPr>
        <w:t xml:space="preserve">Board </w:t>
      </w:r>
      <w:r w:rsidR="00B03206">
        <w:rPr>
          <w:rFonts w:ascii="Courier New" w:hAnsi="Courier New" w:cs="Courier New"/>
          <w:sz w:val="24"/>
          <w:szCs w:val="24"/>
        </w:rPr>
        <w:t xml:space="preserve">(“Board”) </w:t>
      </w:r>
      <w:r w:rsidR="00312577">
        <w:rPr>
          <w:rFonts w:ascii="Courier New" w:hAnsi="Courier New" w:cs="Courier New"/>
          <w:sz w:val="24"/>
          <w:szCs w:val="24"/>
        </w:rPr>
        <w:t xml:space="preserve">found and ruled that it had jurisdiction to hear and decide these appeals.  </w:t>
      </w:r>
    </w:p>
    <w:p w:rsidR="00F24418" w:rsidRDefault="00F24418"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lastRenderedPageBreak/>
        <w:t>The subject property</w:t>
      </w:r>
      <w:r w:rsidR="00916C4F">
        <w:rPr>
          <w:rFonts w:ascii="Courier New" w:hAnsi="Courier New" w:cs="Courier New"/>
          <w:sz w:val="24"/>
          <w:szCs w:val="24"/>
        </w:rPr>
        <w:t>’s building</w:t>
      </w:r>
      <w:r>
        <w:rPr>
          <w:rFonts w:ascii="Courier New" w:hAnsi="Courier New" w:cs="Courier New"/>
          <w:sz w:val="24"/>
          <w:szCs w:val="24"/>
        </w:rPr>
        <w:t xml:space="preserve"> was built in 1984.  It is a two-story building with a total finished area of 6,540 square feet, which, during the periods relevant to these appeals, consisted of common areas along with four </w:t>
      </w:r>
      <w:r w:rsidR="00D90D51">
        <w:rPr>
          <w:rFonts w:ascii="Courier New" w:hAnsi="Courier New" w:cs="Courier New"/>
          <w:sz w:val="24"/>
          <w:szCs w:val="24"/>
        </w:rPr>
        <w:t xml:space="preserve">separate </w:t>
      </w:r>
      <w:r>
        <w:rPr>
          <w:rFonts w:ascii="Courier New" w:hAnsi="Courier New" w:cs="Courier New"/>
          <w:sz w:val="24"/>
          <w:szCs w:val="24"/>
        </w:rPr>
        <w:t xml:space="preserve">office suites.  </w:t>
      </w:r>
      <w:r w:rsidR="00D90D51">
        <w:rPr>
          <w:rFonts w:ascii="Courier New" w:hAnsi="Courier New" w:cs="Courier New"/>
          <w:sz w:val="24"/>
          <w:szCs w:val="24"/>
        </w:rPr>
        <w:t xml:space="preserve">There is also a paved parking lot, approximately </w:t>
      </w:r>
      <w:r w:rsidR="00C36BBA">
        <w:rPr>
          <w:rFonts w:ascii="Courier New" w:hAnsi="Courier New" w:cs="Courier New"/>
          <w:sz w:val="24"/>
          <w:szCs w:val="24"/>
        </w:rPr>
        <w:t xml:space="preserve">10,000 </w:t>
      </w:r>
      <w:r w:rsidR="00DB684A">
        <w:rPr>
          <w:rFonts w:ascii="Courier New" w:hAnsi="Courier New" w:cs="Courier New"/>
          <w:sz w:val="24"/>
          <w:szCs w:val="24"/>
        </w:rPr>
        <w:t xml:space="preserve">square feet in size.  The subject property </w:t>
      </w:r>
      <w:r w:rsidR="004E0720">
        <w:rPr>
          <w:rFonts w:ascii="Courier New" w:hAnsi="Courier New" w:cs="Courier New"/>
          <w:sz w:val="24"/>
          <w:szCs w:val="24"/>
        </w:rPr>
        <w:t xml:space="preserve">is located on </w:t>
      </w:r>
      <w:r w:rsidR="00D90D51">
        <w:rPr>
          <w:rFonts w:ascii="Courier New" w:hAnsi="Courier New" w:cs="Courier New"/>
          <w:sz w:val="24"/>
          <w:szCs w:val="24"/>
        </w:rPr>
        <w:t xml:space="preserve">Route 2, which is a heavily trafficked road. </w:t>
      </w:r>
      <w:r w:rsidR="00DB684A">
        <w:rPr>
          <w:rFonts w:ascii="Courier New" w:hAnsi="Courier New" w:cs="Courier New"/>
          <w:sz w:val="24"/>
          <w:szCs w:val="24"/>
        </w:rPr>
        <w:t xml:space="preserve">Several maps of </w:t>
      </w:r>
      <w:r w:rsidR="00CF435C">
        <w:rPr>
          <w:rFonts w:ascii="Courier New" w:hAnsi="Courier New" w:cs="Courier New"/>
          <w:sz w:val="24"/>
          <w:szCs w:val="24"/>
        </w:rPr>
        <w:t>the subject property were entered into the record, and those maps showed wetlands cover</w:t>
      </w:r>
      <w:r w:rsidR="00DB684A">
        <w:rPr>
          <w:rFonts w:ascii="Courier New" w:hAnsi="Courier New" w:cs="Courier New"/>
          <w:sz w:val="24"/>
          <w:szCs w:val="24"/>
        </w:rPr>
        <w:t xml:space="preserve">ing much of it, such that </w:t>
      </w:r>
      <w:r w:rsidR="00CF435C">
        <w:rPr>
          <w:rFonts w:ascii="Courier New" w:hAnsi="Courier New" w:cs="Courier New"/>
          <w:sz w:val="24"/>
          <w:szCs w:val="24"/>
        </w:rPr>
        <w:t>e</w:t>
      </w:r>
      <w:r w:rsidR="00DB684A">
        <w:rPr>
          <w:rFonts w:ascii="Courier New" w:hAnsi="Courier New" w:cs="Courier New"/>
          <w:sz w:val="24"/>
          <w:szCs w:val="24"/>
        </w:rPr>
        <w:t xml:space="preserve">xpansion </w:t>
      </w:r>
      <w:r w:rsidR="00BC7A73">
        <w:rPr>
          <w:rFonts w:ascii="Courier New" w:hAnsi="Courier New" w:cs="Courier New"/>
          <w:sz w:val="24"/>
          <w:szCs w:val="24"/>
        </w:rPr>
        <w:t xml:space="preserve">or further development is </w:t>
      </w:r>
      <w:r w:rsidR="00DB684A">
        <w:rPr>
          <w:rFonts w:ascii="Courier New" w:hAnsi="Courier New" w:cs="Courier New"/>
          <w:sz w:val="24"/>
          <w:szCs w:val="24"/>
        </w:rPr>
        <w:t xml:space="preserve">substantially limited.  </w:t>
      </w:r>
      <w:r w:rsidR="00CF435C">
        <w:rPr>
          <w:rFonts w:ascii="Courier New" w:hAnsi="Courier New" w:cs="Courier New"/>
          <w:sz w:val="24"/>
          <w:szCs w:val="24"/>
        </w:rPr>
        <w:t xml:space="preserve">   </w:t>
      </w:r>
    </w:p>
    <w:p w:rsidR="0092530A" w:rsidRDefault="00DB684A"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Mr. Birmbas </w:t>
      </w:r>
      <w:r w:rsidR="0092530A">
        <w:rPr>
          <w:rFonts w:ascii="Courier New" w:hAnsi="Courier New" w:cs="Courier New"/>
          <w:sz w:val="24"/>
          <w:szCs w:val="24"/>
        </w:rPr>
        <w:t>testified at the he</w:t>
      </w:r>
      <w:r>
        <w:rPr>
          <w:rFonts w:ascii="Courier New" w:hAnsi="Courier New" w:cs="Courier New"/>
          <w:sz w:val="24"/>
          <w:szCs w:val="24"/>
        </w:rPr>
        <w:t xml:space="preserve">aring of these appeals and </w:t>
      </w:r>
      <w:r w:rsidR="0092530A">
        <w:rPr>
          <w:rFonts w:ascii="Courier New" w:hAnsi="Courier New" w:cs="Courier New"/>
          <w:sz w:val="24"/>
          <w:szCs w:val="24"/>
        </w:rPr>
        <w:t xml:space="preserve">the Board </w:t>
      </w:r>
      <w:r>
        <w:rPr>
          <w:rFonts w:ascii="Courier New" w:hAnsi="Courier New" w:cs="Courier New"/>
          <w:sz w:val="24"/>
          <w:szCs w:val="24"/>
        </w:rPr>
        <w:t xml:space="preserve">found him to be credible.  He stated, and the documentary evidence showed, </w:t>
      </w:r>
      <w:r w:rsidR="0092530A">
        <w:rPr>
          <w:rFonts w:ascii="Courier New" w:hAnsi="Courier New" w:cs="Courier New"/>
          <w:sz w:val="24"/>
          <w:szCs w:val="24"/>
        </w:rPr>
        <w:t>that he purchased the subject property in November of 2013 for $850,000.</w:t>
      </w:r>
      <w:r w:rsidR="00D75397">
        <w:rPr>
          <w:rFonts w:ascii="Courier New" w:hAnsi="Courier New" w:cs="Courier New"/>
          <w:sz w:val="24"/>
          <w:szCs w:val="24"/>
        </w:rPr>
        <w:t xml:space="preserve"> The subject property had been o</w:t>
      </w:r>
      <w:r w:rsidR="00F065D3">
        <w:rPr>
          <w:rFonts w:ascii="Courier New" w:hAnsi="Courier New" w:cs="Courier New"/>
          <w:sz w:val="24"/>
          <w:szCs w:val="24"/>
        </w:rPr>
        <w:t xml:space="preserve">penly and actively marketed at that time, </w:t>
      </w:r>
      <w:r w:rsidR="00D75397">
        <w:rPr>
          <w:rFonts w:ascii="Courier New" w:hAnsi="Courier New" w:cs="Courier New"/>
          <w:sz w:val="24"/>
          <w:szCs w:val="24"/>
        </w:rPr>
        <w:t>and th</w:t>
      </w:r>
      <w:r w:rsidR="00F065D3">
        <w:rPr>
          <w:rFonts w:ascii="Courier New" w:hAnsi="Courier New" w:cs="Courier New"/>
          <w:sz w:val="24"/>
          <w:szCs w:val="24"/>
        </w:rPr>
        <w:t>e seller was unrelated to Mr. Birmbas</w:t>
      </w:r>
      <w:r w:rsidR="00D75397">
        <w:rPr>
          <w:rFonts w:ascii="Courier New" w:hAnsi="Courier New" w:cs="Courier New"/>
          <w:sz w:val="24"/>
          <w:szCs w:val="24"/>
        </w:rPr>
        <w:t xml:space="preserve">.  </w:t>
      </w:r>
      <w:r w:rsidR="00417559">
        <w:rPr>
          <w:rFonts w:ascii="Courier New" w:hAnsi="Courier New" w:cs="Courier New"/>
          <w:sz w:val="24"/>
          <w:szCs w:val="24"/>
        </w:rPr>
        <w:t>Listing materials for the</w:t>
      </w:r>
      <w:r w:rsidR="00F065D3">
        <w:rPr>
          <w:rFonts w:ascii="Courier New" w:hAnsi="Courier New" w:cs="Courier New"/>
          <w:sz w:val="24"/>
          <w:szCs w:val="24"/>
        </w:rPr>
        <w:t xml:space="preserve"> subject property at</w:t>
      </w:r>
      <w:r w:rsidR="005606BC">
        <w:rPr>
          <w:rFonts w:ascii="Courier New" w:hAnsi="Courier New" w:cs="Courier New"/>
          <w:sz w:val="24"/>
          <w:szCs w:val="24"/>
        </w:rPr>
        <w:t xml:space="preserve"> the time of the purchase </w:t>
      </w:r>
      <w:r w:rsidR="00F065D3">
        <w:rPr>
          <w:rFonts w:ascii="Courier New" w:hAnsi="Courier New" w:cs="Courier New"/>
          <w:sz w:val="24"/>
          <w:szCs w:val="24"/>
        </w:rPr>
        <w:t xml:space="preserve">were entered into the record, showing that </w:t>
      </w:r>
      <w:r w:rsidR="005606BC">
        <w:rPr>
          <w:rFonts w:ascii="Courier New" w:hAnsi="Courier New" w:cs="Courier New"/>
          <w:sz w:val="24"/>
          <w:szCs w:val="24"/>
        </w:rPr>
        <w:t xml:space="preserve">the </w:t>
      </w:r>
      <w:r w:rsidR="00F065D3">
        <w:rPr>
          <w:rFonts w:ascii="Courier New" w:hAnsi="Courier New" w:cs="Courier New"/>
          <w:sz w:val="24"/>
          <w:szCs w:val="24"/>
        </w:rPr>
        <w:t xml:space="preserve">asking price was $995,000.  </w:t>
      </w:r>
      <w:r w:rsidR="00AF2EE3">
        <w:rPr>
          <w:rFonts w:ascii="Courier New" w:hAnsi="Courier New" w:cs="Courier New"/>
          <w:sz w:val="24"/>
          <w:szCs w:val="24"/>
        </w:rPr>
        <w:t xml:space="preserve">At that time, its assessed value was $1,092,300.  </w:t>
      </w:r>
    </w:p>
    <w:p w:rsidR="00E70272" w:rsidRDefault="00E70272"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Mr. Birmbas testified that he is a real estate investor, but the acquisition of the subject property marked the first time he purchased a commercial building.  He stated that his other holdings were residential properties in Florida.  </w:t>
      </w:r>
      <w:r w:rsidR="00525648">
        <w:rPr>
          <w:rFonts w:ascii="Courier New" w:hAnsi="Courier New" w:cs="Courier New"/>
          <w:sz w:val="24"/>
          <w:szCs w:val="24"/>
        </w:rPr>
        <w:t>He testified that he believed the subje</w:t>
      </w:r>
      <w:r w:rsidR="00BC7A73">
        <w:rPr>
          <w:rFonts w:ascii="Courier New" w:hAnsi="Courier New" w:cs="Courier New"/>
          <w:sz w:val="24"/>
          <w:szCs w:val="24"/>
        </w:rPr>
        <w:t xml:space="preserve">ct property was worth at </w:t>
      </w:r>
      <w:r w:rsidR="00BC7A73">
        <w:rPr>
          <w:rFonts w:ascii="Courier New" w:hAnsi="Courier New" w:cs="Courier New"/>
          <w:sz w:val="24"/>
          <w:szCs w:val="24"/>
        </w:rPr>
        <w:lastRenderedPageBreak/>
        <w:t xml:space="preserve">least as much, or more than, </w:t>
      </w:r>
      <w:r w:rsidR="00525648">
        <w:rPr>
          <w:rFonts w:ascii="Courier New" w:hAnsi="Courier New" w:cs="Courier New"/>
          <w:sz w:val="24"/>
          <w:szCs w:val="24"/>
        </w:rPr>
        <w:t xml:space="preserve">what he paid for it because it was assessed for more at that time.  </w:t>
      </w:r>
    </w:p>
    <w:p w:rsidR="00E70272" w:rsidRDefault="00525648"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Mr. Birmbas stated</w:t>
      </w:r>
      <w:r w:rsidR="00187C91">
        <w:rPr>
          <w:rFonts w:ascii="Courier New" w:hAnsi="Courier New" w:cs="Courier New"/>
          <w:sz w:val="24"/>
          <w:szCs w:val="24"/>
        </w:rPr>
        <w:t xml:space="preserve"> that the subject property had been partially owner-occupied, and that the individual selling it wished to retain her office suite for an additional six months following the sale</w:t>
      </w:r>
      <w:r w:rsidR="00FA6E3A">
        <w:rPr>
          <w:rFonts w:ascii="Courier New" w:hAnsi="Courier New" w:cs="Courier New"/>
          <w:sz w:val="24"/>
          <w:szCs w:val="24"/>
        </w:rPr>
        <w:t>, primarily for storage</w:t>
      </w:r>
      <w:r w:rsidR="00187C91">
        <w:rPr>
          <w:rFonts w:ascii="Courier New" w:hAnsi="Courier New" w:cs="Courier New"/>
          <w:sz w:val="24"/>
          <w:szCs w:val="24"/>
        </w:rPr>
        <w:t>.  The other three office suites in the subject property were occupied at the time of his purchase, but that soon changed.</w:t>
      </w:r>
    </w:p>
    <w:p w:rsidR="00226C5E" w:rsidRDefault="00187C91"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Mr. Birmbas stated that, as anticipated, the previous owner vacated her suite within six months after his</w:t>
      </w:r>
      <w:r w:rsidR="00FA6E3A">
        <w:rPr>
          <w:rFonts w:ascii="Courier New" w:hAnsi="Courier New" w:cs="Courier New"/>
          <w:sz w:val="24"/>
          <w:szCs w:val="24"/>
        </w:rPr>
        <w:t xml:space="preserve"> purchase.  Around the same time</w:t>
      </w:r>
      <w:r>
        <w:rPr>
          <w:rFonts w:ascii="Courier New" w:hAnsi="Courier New" w:cs="Courier New"/>
          <w:sz w:val="24"/>
          <w:szCs w:val="24"/>
        </w:rPr>
        <w:t>, another tenant stopped paying rent and had to be evicted.  Later, a third tenant departed, such that by January 1, 2016, only one of the four office suites was leased.  Mr.</w:t>
      </w:r>
      <w:r w:rsidR="00C30568">
        <w:rPr>
          <w:rFonts w:ascii="Courier New" w:hAnsi="Courier New" w:cs="Courier New"/>
          <w:sz w:val="24"/>
          <w:szCs w:val="24"/>
        </w:rPr>
        <w:t> </w:t>
      </w:r>
      <w:r>
        <w:rPr>
          <w:rFonts w:ascii="Courier New" w:hAnsi="Courier New" w:cs="Courier New"/>
          <w:sz w:val="24"/>
          <w:szCs w:val="24"/>
        </w:rPr>
        <w:t>Birmbas testified that he actively marketed the s</w:t>
      </w:r>
      <w:r w:rsidR="00525648">
        <w:rPr>
          <w:rFonts w:ascii="Courier New" w:hAnsi="Courier New" w:cs="Courier New"/>
          <w:sz w:val="24"/>
          <w:szCs w:val="24"/>
        </w:rPr>
        <w:t>uites for rent, but without success</w:t>
      </w:r>
      <w:r>
        <w:rPr>
          <w:rFonts w:ascii="Courier New" w:hAnsi="Courier New" w:cs="Courier New"/>
          <w:sz w:val="24"/>
          <w:szCs w:val="24"/>
        </w:rPr>
        <w:t xml:space="preserve">.  </w:t>
      </w:r>
    </w:p>
    <w:p w:rsidR="00226C5E" w:rsidRDefault="00226C5E"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Mr. Birmbas testified that his opinion of the subject property’s fair cash value for the fiscal years at issue was “about what he paid for it.”  He estimated</w:t>
      </w:r>
      <w:r w:rsidR="00BC7A73">
        <w:rPr>
          <w:rFonts w:ascii="Courier New" w:hAnsi="Courier New" w:cs="Courier New"/>
          <w:sz w:val="24"/>
          <w:szCs w:val="24"/>
        </w:rPr>
        <w:t xml:space="preserve"> that he had expended</w:t>
      </w:r>
      <w:r>
        <w:rPr>
          <w:rFonts w:ascii="Courier New" w:hAnsi="Courier New" w:cs="Courier New"/>
          <w:sz w:val="24"/>
          <w:szCs w:val="24"/>
        </w:rPr>
        <w:t xml:space="preserve"> app</w:t>
      </w:r>
      <w:r w:rsidR="00BC7A73">
        <w:rPr>
          <w:rFonts w:ascii="Courier New" w:hAnsi="Courier New" w:cs="Courier New"/>
          <w:sz w:val="24"/>
          <w:szCs w:val="24"/>
        </w:rPr>
        <w:t xml:space="preserve">roximately $45,000 to $50,000 in improvements </w:t>
      </w:r>
      <w:r>
        <w:rPr>
          <w:rFonts w:ascii="Courier New" w:hAnsi="Courier New" w:cs="Courier New"/>
          <w:sz w:val="24"/>
          <w:szCs w:val="24"/>
        </w:rPr>
        <w:t xml:space="preserve">to the subject property since he purchased it, including for items such as carpeting, painting, lighting, and door replacement.  </w:t>
      </w:r>
    </w:p>
    <w:p w:rsidR="009F1D4E" w:rsidRDefault="00821D7C"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The assess</w:t>
      </w:r>
      <w:r w:rsidR="002C7637">
        <w:rPr>
          <w:rFonts w:ascii="Courier New" w:hAnsi="Courier New" w:cs="Courier New"/>
          <w:sz w:val="24"/>
          <w:szCs w:val="24"/>
        </w:rPr>
        <w:t xml:space="preserve">ors for their part offered </w:t>
      </w:r>
      <w:r>
        <w:rPr>
          <w:rFonts w:ascii="Courier New" w:hAnsi="Courier New" w:cs="Courier New"/>
          <w:sz w:val="24"/>
          <w:szCs w:val="24"/>
        </w:rPr>
        <w:t xml:space="preserve">limited testimony by </w:t>
      </w:r>
      <w:r w:rsidR="00447C10">
        <w:rPr>
          <w:rFonts w:ascii="Courier New" w:hAnsi="Courier New" w:cs="Courier New"/>
          <w:sz w:val="24"/>
          <w:szCs w:val="24"/>
        </w:rPr>
        <w:t xml:space="preserve">R. </w:t>
      </w:r>
      <w:r>
        <w:rPr>
          <w:rFonts w:ascii="Courier New" w:hAnsi="Courier New" w:cs="Courier New"/>
          <w:sz w:val="24"/>
          <w:szCs w:val="24"/>
        </w:rPr>
        <w:t>Lane Partridge</w:t>
      </w:r>
      <w:r w:rsidR="00447C10">
        <w:rPr>
          <w:rFonts w:ascii="Courier New" w:hAnsi="Courier New" w:cs="Courier New"/>
          <w:sz w:val="24"/>
          <w:szCs w:val="24"/>
        </w:rPr>
        <w:t>,</w:t>
      </w:r>
      <w:r w:rsidR="00F1770E">
        <w:rPr>
          <w:rFonts w:ascii="Courier New" w:hAnsi="Courier New" w:cs="Courier New"/>
          <w:sz w:val="24"/>
          <w:szCs w:val="24"/>
        </w:rPr>
        <w:t xml:space="preserve"> a</w:t>
      </w:r>
      <w:r w:rsidR="00447C10">
        <w:rPr>
          <w:rFonts w:ascii="Courier New" w:hAnsi="Courier New" w:cs="Courier New"/>
          <w:sz w:val="24"/>
          <w:szCs w:val="24"/>
        </w:rPr>
        <w:t>ssessor,</w:t>
      </w:r>
      <w:r>
        <w:rPr>
          <w:rFonts w:ascii="Courier New" w:hAnsi="Courier New" w:cs="Courier New"/>
          <w:sz w:val="24"/>
          <w:szCs w:val="24"/>
        </w:rPr>
        <w:t xml:space="preserve"> and they </w:t>
      </w:r>
      <w:r w:rsidR="00CE6B13">
        <w:rPr>
          <w:rFonts w:ascii="Courier New" w:hAnsi="Courier New" w:cs="Courier New"/>
          <w:sz w:val="24"/>
          <w:szCs w:val="24"/>
        </w:rPr>
        <w:t>also</w:t>
      </w:r>
      <w:r>
        <w:rPr>
          <w:rFonts w:ascii="Courier New" w:hAnsi="Courier New" w:cs="Courier New"/>
          <w:sz w:val="24"/>
          <w:szCs w:val="24"/>
        </w:rPr>
        <w:t xml:space="preserve"> engaged in a brief cross-examination of </w:t>
      </w:r>
      <w:r w:rsidR="00447C10">
        <w:rPr>
          <w:rFonts w:ascii="Courier New" w:hAnsi="Courier New" w:cs="Courier New"/>
          <w:sz w:val="24"/>
          <w:szCs w:val="24"/>
        </w:rPr>
        <w:t>Mr. Birmbas</w:t>
      </w:r>
      <w:r>
        <w:rPr>
          <w:rFonts w:ascii="Courier New" w:hAnsi="Courier New" w:cs="Courier New"/>
          <w:sz w:val="24"/>
          <w:szCs w:val="24"/>
        </w:rPr>
        <w:t xml:space="preserve">.  </w:t>
      </w:r>
      <w:r w:rsidR="00DC6EA0">
        <w:rPr>
          <w:rFonts w:ascii="Courier New" w:hAnsi="Courier New" w:cs="Courier New"/>
          <w:sz w:val="24"/>
          <w:szCs w:val="24"/>
        </w:rPr>
        <w:t xml:space="preserve">Mr. Partridge testified that </w:t>
      </w:r>
      <w:r w:rsidR="00DC6EA0">
        <w:rPr>
          <w:rFonts w:ascii="Courier New" w:hAnsi="Courier New" w:cs="Courier New"/>
          <w:sz w:val="24"/>
          <w:szCs w:val="24"/>
        </w:rPr>
        <w:lastRenderedPageBreak/>
        <w:t xml:space="preserve">the subject property’s assessed values for both of the fiscal years at issue were determined using the cost-reproduction approach.  </w:t>
      </w:r>
      <w:r>
        <w:rPr>
          <w:rFonts w:ascii="Courier New" w:hAnsi="Courier New" w:cs="Courier New"/>
          <w:sz w:val="24"/>
          <w:szCs w:val="24"/>
        </w:rPr>
        <w:t xml:space="preserve">They otherwise rested on the assessments, after offering into </w:t>
      </w:r>
      <w:r w:rsidR="00030E7C">
        <w:rPr>
          <w:rFonts w:ascii="Courier New" w:hAnsi="Courier New" w:cs="Courier New"/>
          <w:sz w:val="24"/>
          <w:szCs w:val="24"/>
        </w:rPr>
        <w:t xml:space="preserve">the </w:t>
      </w:r>
      <w:r>
        <w:rPr>
          <w:rFonts w:ascii="Courier New" w:hAnsi="Courier New" w:cs="Courier New"/>
          <w:sz w:val="24"/>
          <w:szCs w:val="24"/>
        </w:rPr>
        <w:t xml:space="preserve">record the </w:t>
      </w:r>
      <w:r w:rsidR="00030E7C">
        <w:rPr>
          <w:rFonts w:ascii="Courier New" w:hAnsi="Courier New" w:cs="Courier New"/>
          <w:sz w:val="24"/>
          <w:szCs w:val="24"/>
        </w:rPr>
        <w:t>requisite jurisdictional information along with property record cards for the subject</w:t>
      </w:r>
      <w:r>
        <w:rPr>
          <w:rFonts w:ascii="Courier New" w:hAnsi="Courier New" w:cs="Courier New"/>
          <w:sz w:val="24"/>
          <w:szCs w:val="24"/>
        </w:rPr>
        <w:t xml:space="preserve"> property, including the income-</w:t>
      </w:r>
      <w:r w:rsidR="00030E7C">
        <w:rPr>
          <w:rFonts w:ascii="Courier New" w:hAnsi="Courier New" w:cs="Courier New"/>
          <w:sz w:val="24"/>
          <w:szCs w:val="24"/>
        </w:rPr>
        <w:t xml:space="preserve">valuation record cards. </w:t>
      </w:r>
    </w:p>
    <w:p w:rsidR="00154FF8" w:rsidRDefault="00C36BBA"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C833CA">
        <w:rPr>
          <w:rFonts w:ascii="Courier New" w:hAnsi="Courier New" w:cs="Courier New"/>
          <w:sz w:val="24"/>
          <w:szCs w:val="24"/>
        </w:rPr>
        <w:t>assessors’</w:t>
      </w:r>
      <w:r>
        <w:rPr>
          <w:rFonts w:ascii="Courier New" w:hAnsi="Courier New" w:cs="Courier New"/>
          <w:sz w:val="24"/>
          <w:szCs w:val="24"/>
        </w:rPr>
        <w:t xml:space="preserve"> income-valuation approach utilized</w:t>
      </w:r>
      <w:r w:rsidR="002C5C7A">
        <w:rPr>
          <w:rFonts w:ascii="Courier New" w:hAnsi="Courier New" w:cs="Courier New"/>
          <w:sz w:val="24"/>
          <w:szCs w:val="24"/>
        </w:rPr>
        <w:t xml:space="preserve"> market information gath</w:t>
      </w:r>
      <w:r w:rsidR="00821D7C">
        <w:rPr>
          <w:rFonts w:ascii="Courier New" w:hAnsi="Courier New" w:cs="Courier New"/>
          <w:sz w:val="24"/>
          <w:szCs w:val="24"/>
        </w:rPr>
        <w:t xml:space="preserve">ered from </w:t>
      </w:r>
      <w:r w:rsidR="002C5C7A">
        <w:rPr>
          <w:rFonts w:ascii="Courier New" w:hAnsi="Courier New" w:cs="Courier New"/>
          <w:sz w:val="24"/>
          <w:szCs w:val="24"/>
        </w:rPr>
        <w:t>responses fro</w:t>
      </w:r>
      <w:r>
        <w:rPr>
          <w:rFonts w:ascii="Courier New" w:hAnsi="Courier New" w:cs="Courier New"/>
          <w:sz w:val="24"/>
          <w:szCs w:val="24"/>
        </w:rPr>
        <w:t>m commercial property owners in Concord to</w:t>
      </w:r>
      <w:r w:rsidR="002C5C7A">
        <w:rPr>
          <w:rFonts w:ascii="Courier New" w:hAnsi="Courier New" w:cs="Courier New"/>
          <w:sz w:val="24"/>
          <w:szCs w:val="24"/>
        </w:rPr>
        <w:t xml:space="preserve"> requests for income and expense information pursuant to </w:t>
      </w:r>
      <w:r w:rsidR="000622FF">
        <w:rPr>
          <w:rFonts w:ascii="Courier New" w:hAnsi="Courier New" w:cs="Courier New"/>
          <w:sz w:val="24"/>
          <w:szCs w:val="24"/>
        </w:rPr>
        <w:t xml:space="preserve">G.L. c. 59, § 38D.  </w:t>
      </w:r>
      <w:r w:rsidR="00154FF8">
        <w:rPr>
          <w:rFonts w:ascii="Courier New" w:hAnsi="Courier New" w:cs="Courier New"/>
          <w:sz w:val="24"/>
          <w:szCs w:val="24"/>
        </w:rPr>
        <w:t>For fiscal year 2016, the value for the subject property y</w:t>
      </w:r>
      <w:r w:rsidR="00821D7C">
        <w:rPr>
          <w:rFonts w:ascii="Courier New" w:hAnsi="Courier New" w:cs="Courier New"/>
          <w:sz w:val="24"/>
          <w:szCs w:val="24"/>
        </w:rPr>
        <w:t xml:space="preserve">ielded through </w:t>
      </w:r>
      <w:r w:rsidR="00C833CA">
        <w:rPr>
          <w:rFonts w:ascii="Courier New" w:hAnsi="Courier New" w:cs="Courier New"/>
          <w:sz w:val="24"/>
          <w:szCs w:val="24"/>
        </w:rPr>
        <w:t xml:space="preserve">the assessors’ </w:t>
      </w:r>
      <w:r w:rsidR="00821D7C">
        <w:rPr>
          <w:rFonts w:ascii="Courier New" w:hAnsi="Courier New" w:cs="Courier New"/>
          <w:sz w:val="24"/>
          <w:szCs w:val="24"/>
        </w:rPr>
        <w:t>income-</w:t>
      </w:r>
      <w:r w:rsidR="00154FF8">
        <w:rPr>
          <w:rFonts w:ascii="Courier New" w:hAnsi="Courier New" w:cs="Courier New"/>
          <w:sz w:val="24"/>
          <w:szCs w:val="24"/>
        </w:rPr>
        <w:t xml:space="preserve">valuation approach was $894,400, while the value yielded through that approach for fiscal year 2017 was $903,300.  </w:t>
      </w:r>
    </w:p>
    <w:p w:rsidR="008D1DB0" w:rsidRDefault="00D800A1"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On the basis of all of the evidence, the </w:t>
      </w:r>
      <w:r w:rsidR="00C36BBA">
        <w:rPr>
          <w:rFonts w:ascii="Courier New" w:hAnsi="Courier New" w:cs="Courier New"/>
          <w:sz w:val="24"/>
          <w:szCs w:val="24"/>
        </w:rPr>
        <w:t xml:space="preserve">Board found and ruled that </w:t>
      </w:r>
      <w:r>
        <w:rPr>
          <w:rFonts w:ascii="Courier New" w:hAnsi="Courier New" w:cs="Courier New"/>
          <w:sz w:val="24"/>
          <w:szCs w:val="24"/>
        </w:rPr>
        <w:t xml:space="preserve">the appellant met his burden of proving that the assessed value of the subject property for both of the fiscal years at issue exceeded their fair cash value.  </w:t>
      </w:r>
      <w:r w:rsidR="0073226B">
        <w:rPr>
          <w:rFonts w:ascii="Courier New" w:hAnsi="Courier New" w:cs="Courier New"/>
          <w:sz w:val="24"/>
          <w:szCs w:val="24"/>
        </w:rPr>
        <w:t>In making this determination, the Board concluded that the highest and best use of the subject property was its continued use as a commercial office building.  However, the Board found that the cost-repro</w:t>
      </w:r>
      <w:r w:rsidR="00986697">
        <w:rPr>
          <w:rFonts w:ascii="Courier New" w:hAnsi="Courier New" w:cs="Courier New"/>
          <w:sz w:val="24"/>
          <w:szCs w:val="24"/>
        </w:rPr>
        <w:t xml:space="preserve">duction approach, relied on </w:t>
      </w:r>
      <w:r w:rsidR="0073226B">
        <w:rPr>
          <w:rFonts w:ascii="Courier New" w:hAnsi="Courier New" w:cs="Courier New"/>
          <w:sz w:val="24"/>
          <w:szCs w:val="24"/>
        </w:rPr>
        <w:t>by the assessors in setting the assessments at issue, was not the most reliable methodology with which to value the subject property, as it was nei</w:t>
      </w:r>
      <w:r w:rsidR="008D1DB0">
        <w:rPr>
          <w:rFonts w:ascii="Courier New" w:hAnsi="Courier New" w:cs="Courier New"/>
          <w:sz w:val="24"/>
          <w:szCs w:val="24"/>
        </w:rPr>
        <w:t xml:space="preserve">ther a special-purpose </w:t>
      </w:r>
      <w:r w:rsidR="0073226B">
        <w:rPr>
          <w:rFonts w:ascii="Courier New" w:hAnsi="Courier New" w:cs="Courier New"/>
          <w:sz w:val="24"/>
          <w:szCs w:val="24"/>
        </w:rPr>
        <w:t xml:space="preserve">nor a newer property.  </w:t>
      </w:r>
    </w:p>
    <w:p w:rsidR="00B705D1" w:rsidRDefault="0073226B"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As the subject property was an income-producing property, the Board found that the </w:t>
      </w:r>
      <w:r w:rsidR="008D1DB0">
        <w:rPr>
          <w:rFonts w:ascii="Courier New" w:hAnsi="Courier New" w:cs="Courier New"/>
          <w:sz w:val="24"/>
          <w:szCs w:val="24"/>
        </w:rPr>
        <w:t>most reliable methodology with which to determine its v</w:t>
      </w:r>
      <w:r w:rsidR="00C36BBA">
        <w:rPr>
          <w:rFonts w:ascii="Courier New" w:hAnsi="Courier New" w:cs="Courier New"/>
          <w:sz w:val="24"/>
          <w:szCs w:val="24"/>
        </w:rPr>
        <w:t xml:space="preserve">alue was the income </w:t>
      </w:r>
      <w:r w:rsidR="008D1DB0">
        <w:rPr>
          <w:rFonts w:ascii="Courier New" w:hAnsi="Courier New" w:cs="Courier New"/>
          <w:sz w:val="24"/>
          <w:szCs w:val="24"/>
        </w:rPr>
        <w:t>approach</w:t>
      </w:r>
      <w:r w:rsidR="005A5DDC">
        <w:rPr>
          <w:rFonts w:ascii="Courier New" w:hAnsi="Courier New" w:cs="Courier New"/>
          <w:sz w:val="24"/>
          <w:szCs w:val="24"/>
        </w:rPr>
        <w:t>, rather than the cost approach relied on by the assessors</w:t>
      </w:r>
      <w:r w:rsidR="008D1DB0">
        <w:rPr>
          <w:rFonts w:ascii="Courier New" w:hAnsi="Courier New" w:cs="Courier New"/>
          <w:sz w:val="24"/>
          <w:szCs w:val="24"/>
        </w:rPr>
        <w:t xml:space="preserve">. </w:t>
      </w:r>
      <w:r w:rsidR="00B705D1">
        <w:rPr>
          <w:rFonts w:ascii="Courier New" w:hAnsi="Courier New" w:cs="Courier New"/>
          <w:sz w:val="24"/>
          <w:szCs w:val="24"/>
        </w:rPr>
        <w:t>Further, the Board found that the most reliable income and expense information in the record was the information contained on the income</w:t>
      </w:r>
      <w:r w:rsidR="00986697">
        <w:rPr>
          <w:rFonts w:ascii="Courier New" w:hAnsi="Courier New" w:cs="Courier New"/>
          <w:sz w:val="24"/>
          <w:szCs w:val="24"/>
        </w:rPr>
        <w:t>-</w:t>
      </w:r>
      <w:r w:rsidR="00B705D1">
        <w:rPr>
          <w:rFonts w:ascii="Courier New" w:hAnsi="Courier New" w:cs="Courier New"/>
          <w:sz w:val="24"/>
          <w:szCs w:val="24"/>
        </w:rPr>
        <w:t xml:space="preserve">valuation </w:t>
      </w:r>
      <w:r w:rsidR="00C36BBA">
        <w:rPr>
          <w:rFonts w:ascii="Courier New" w:hAnsi="Courier New" w:cs="Courier New"/>
          <w:sz w:val="24"/>
          <w:szCs w:val="24"/>
        </w:rPr>
        <w:t xml:space="preserve">record </w:t>
      </w:r>
      <w:r w:rsidR="00B705D1">
        <w:rPr>
          <w:rFonts w:ascii="Courier New" w:hAnsi="Courier New" w:cs="Courier New"/>
          <w:sz w:val="24"/>
          <w:szCs w:val="24"/>
        </w:rPr>
        <w:t xml:space="preserve">cards.  That information is indicative of the overall commercial market in Concord, as it was determined largely through the responses of Concord </w:t>
      </w:r>
      <w:r w:rsidR="00A77352">
        <w:rPr>
          <w:rFonts w:ascii="Courier New" w:hAnsi="Courier New" w:cs="Courier New"/>
          <w:sz w:val="24"/>
          <w:szCs w:val="24"/>
        </w:rPr>
        <w:t xml:space="preserve">commercial </w:t>
      </w:r>
      <w:r w:rsidR="00B705D1">
        <w:rPr>
          <w:rFonts w:ascii="Courier New" w:hAnsi="Courier New" w:cs="Courier New"/>
          <w:sz w:val="24"/>
          <w:szCs w:val="24"/>
        </w:rPr>
        <w:t xml:space="preserve">property owners regarding their income and expense information.  </w:t>
      </w:r>
    </w:p>
    <w:p w:rsidR="008D1DB0" w:rsidRDefault="00B705D1"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Moreover, much of the information on the </w:t>
      </w:r>
      <w:r w:rsidR="00A77352">
        <w:rPr>
          <w:rFonts w:ascii="Courier New" w:hAnsi="Courier New" w:cs="Courier New"/>
          <w:sz w:val="24"/>
          <w:szCs w:val="24"/>
        </w:rPr>
        <w:t xml:space="preserve">income-valuation </w:t>
      </w:r>
      <w:r w:rsidR="00C36BBA">
        <w:rPr>
          <w:rFonts w:ascii="Courier New" w:hAnsi="Courier New" w:cs="Courier New"/>
          <w:sz w:val="24"/>
          <w:szCs w:val="24"/>
        </w:rPr>
        <w:t xml:space="preserve">record </w:t>
      </w:r>
      <w:r>
        <w:rPr>
          <w:rFonts w:ascii="Courier New" w:hAnsi="Courier New" w:cs="Courier New"/>
          <w:sz w:val="24"/>
          <w:szCs w:val="24"/>
        </w:rPr>
        <w:t xml:space="preserve">cards was consistent with the subject property’s historical operating experience, </w:t>
      </w:r>
      <w:r w:rsidR="00A77352">
        <w:rPr>
          <w:rFonts w:ascii="Courier New" w:hAnsi="Courier New" w:cs="Courier New"/>
          <w:sz w:val="24"/>
          <w:szCs w:val="24"/>
        </w:rPr>
        <w:t>as reflected by income and expense information entered into the record</w:t>
      </w:r>
      <w:r w:rsidR="003F2DD2">
        <w:rPr>
          <w:rFonts w:ascii="Courier New" w:hAnsi="Courier New" w:cs="Courier New"/>
          <w:sz w:val="24"/>
          <w:szCs w:val="24"/>
        </w:rPr>
        <w:t xml:space="preserve"> by the appellant</w:t>
      </w:r>
      <w:r w:rsidR="00A77352">
        <w:rPr>
          <w:rFonts w:ascii="Courier New" w:hAnsi="Courier New" w:cs="Courier New"/>
          <w:sz w:val="24"/>
          <w:szCs w:val="24"/>
        </w:rPr>
        <w:t>.</w:t>
      </w:r>
      <w:r>
        <w:rPr>
          <w:rFonts w:ascii="Courier New" w:hAnsi="Courier New" w:cs="Courier New"/>
          <w:sz w:val="24"/>
          <w:szCs w:val="24"/>
        </w:rPr>
        <w:t xml:space="preserve">  However, there was one significan</w:t>
      </w:r>
      <w:r w:rsidR="00A77352">
        <w:rPr>
          <w:rFonts w:ascii="Courier New" w:hAnsi="Courier New" w:cs="Courier New"/>
          <w:sz w:val="24"/>
          <w:szCs w:val="24"/>
        </w:rPr>
        <w:t xml:space="preserve">t difference from the subject property’s </w:t>
      </w:r>
      <w:r>
        <w:rPr>
          <w:rFonts w:ascii="Courier New" w:hAnsi="Courier New" w:cs="Courier New"/>
          <w:sz w:val="24"/>
          <w:szCs w:val="24"/>
        </w:rPr>
        <w:t>actual experience, and that was for vacancy.</w:t>
      </w:r>
    </w:p>
    <w:p w:rsidR="00DD23AE" w:rsidRDefault="00B705D1"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The assessors used a vacancy rate of 8% for the subjec</w:t>
      </w:r>
      <w:r w:rsidR="007A2DA3">
        <w:rPr>
          <w:rFonts w:ascii="Courier New" w:hAnsi="Courier New" w:cs="Courier New"/>
          <w:sz w:val="24"/>
          <w:szCs w:val="24"/>
        </w:rPr>
        <w:t>t property for both of the fiscal years at issue in their income-</w:t>
      </w:r>
      <w:r w:rsidR="0034775B">
        <w:rPr>
          <w:rFonts w:ascii="Courier New" w:hAnsi="Courier New" w:cs="Courier New"/>
          <w:sz w:val="24"/>
          <w:szCs w:val="24"/>
        </w:rPr>
        <w:t>valuation approach</w:t>
      </w:r>
      <w:r w:rsidR="007A2DA3">
        <w:rPr>
          <w:rFonts w:ascii="Courier New" w:hAnsi="Courier New" w:cs="Courier New"/>
          <w:sz w:val="24"/>
          <w:szCs w:val="24"/>
        </w:rPr>
        <w:t>.  That rate was significantly lower than the subject property’s actual vacancy rate, which increased steadily throughout the relevant time periods, to as high</w:t>
      </w:r>
      <w:r w:rsidR="00F70C4A">
        <w:rPr>
          <w:rFonts w:ascii="Courier New" w:hAnsi="Courier New" w:cs="Courier New"/>
          <w:sz w:val="24"/>
          <w:szCs w:val="24"/>
        </w:rPr>
        <w:t xml:space="preserve"> as 75% by January of 2016.  </w:t>
      </w:r>
      <w:r w:rsidR="00C2736E">
        <w:rPr>
          <w:rFonts w:ascii="Courier New" w:hAnsi="Courier New" w:cs="Courier New"/>
          <w:sz w:val="24"/>
          <w:szCs w:val="24"/>
        </w:rPr>
        <w:t>The testimony of Mr. Partridge and the testimony elici</w:t>
      </w:r>
      <w:r w:rsidR="003E1BFC">
        <w:rPr>
          <w:rFonts w:ascii="Courier New" w:hAnsi="Courier New" w:cs="Courier New"/>
          <w:sz w:val="24"/>
          <w:szCs w:val="24"/>
        </w:rPr>
        <w:t>ted from the appellant on cross</w:t>
      </w:r>
      <w:r w:rsidR="00C833CA">
        <w:rPr>
          <w:rFonts w:ascii="Courier New" w:hAnsi="Courier New" w:cs="Courier New"/>
          <w:sz w:val="24"/>
          <w:szCs w:val="24"/>
        </w:rPr>
        <w:t>-</w:t>
      </w:r>
      <w:r w:rsidR="00C2736E">
        <w:rPr>
          <w:rFonts w:ascii="Courier New" w:hAnsi="Courier New" w:cs="Courier New"/>
          <w:sz w:val="24"/>
          <w:szCs w:val="24"/>
        </w:rPr>
        <w:t xml:space="preserve">examination revealed that the subject property’s vacancy rate was much </w:t>
      </w:r>
      <w:r w:rsidR="00C2736E">
        <w:rPr>
          <w:rFonts w:ascii="Courier New" w:hAnsi="Courier New" w:cs="Courier New"/>
          <w:sz w:val="24"/>
          <w:szCs w:val="24"/>
        </w:rPr>
        <w:lastRenderedPageBreak/>
        <w:t xml:space="preserve">higher during the relevant time periods than the vacancy rates at other office properties throughout Concord.  </w:t>
      </w:r>
      <w:r w:rsidR="00F70C4A">
        <w:rPr>
          <w:rFonts w:ascii="Courier New" w:hAnsi="Courier New" w:cs="Courier New"/>
          <w:sz w:val="24"/>
          <w:szCs w:val="24"/>
        </w:rPr>
        <w:t>A</w:t>
      </w:r>
      <w:r w:rsidR="007A2DA3">
        <w:rPr>
          <w:rFonts w:ascii="Courier New" w:hAnsi="Courier New" w:cs="Courier New"/>
          <w:sz w:val="24"/>
          <w:szCs w:val="24"/>
        </w:rPr>
        <w:t>lthough Mr.</w:t>
      </w:r>
      <w:r w:rsidR="00C30568">
        <w:rPr>
          <w:rFonts w:ascii="Courier New" w:hAnsi="Courier New" w:cs="Courier New"/>
          <w:sz w:val="24"/>
          <w:szCs w:val="24"/>
        </w:rPr>
        <w:t> </w:t>
      </w:r>
      <w:r w:rsidR="007A2DA3">
        <w:rPr>
          <w:rFonts w:ascii="Courier New" w:hAnsi="Courier New" w:cs="Courier New"/>
          <w:sz w:val="24"/>
          <w:szCs w:val="24"/>
        </w:rPr>
        <w:t>Birmbas had multiple real estate holdings, his experience appears to have been limited to residential property in other geographic markets.  Mr. Birmbas admitted that this was his first commerci</w:t>
      </w:r>
      <w:r w:rsidR="00F70C4A">
        <w:rPr>
          <w:rFonts w:ascii="Courier New" w:hAnsi="Courier New" w:cs="Courier New"/>
          <w:sz w:val="24"/>
          <w:szCs w:val="24"/>
        </w:rPr>
        <w:t>al real estate venture, and the Board found that, based on the evidence as a whole, the subject property’s high vacancy rate may have been attributable to inexperienced management</w:t>
      </w:r>
      <w:r w:rsidR="00DD23AE">
        <w:rPr>
          <w:rFonts w:ascii="Courier New" w:hAnsi="Courier New" w:cs="Courier New"/>
          <w:sz w:val="24"/>
          <w:szCs w:val="24"/>
        </w:rPr>
        <w:t>, as it was anomalous to the rest of the Concord office market.  Accordingly, the Board concluded that the lower vacancy rate</w:t>
      </w:r>
      <w:r w:rsidR="005A5DDC">
        <w:rPr>
          <w:rFonts w:ascii="Courier New" w:hAnsi="Courier New" w:cs="Courier New"/>
          <w:sz w:val="24"/>
          <w:szCs w:val="24"/>
        </w:rPr>
        <w:t xml:space="preserve"> used by the assessors was more appropriate. The Board likewise gave more weight to the information contained on the income-valuation record cards in reaching its ultimate determination of fair cash value for the subject property, which was $900,000 for both of the fiscal years at issue</w:t>
      </w:r>
      <w:r w:rsidR="00AD7A83">
        <w:rPr>
          <w:rFonts w:ascii="Courier New" w:hAnsi="Courier New" w:cs="Courier New"/>
          <w:sz w:val="24"/>
          <w:szCs w:val="24"/>
        </w:rPr>
        <w:t xml:space="preserve">.  </w:t>
      </w:r>
    </w:p>
    <w:p w:rsidR="00AD7A83" w:rsidRDefault="00CA28AD"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In addition, the Board found that the values determined by</w:t>
      </w:r>
      <w:r w:rsidR="00986697">
        <w:rPr>
          <w:rFonts w:ascii="Courier New" w:hAnsi="Courier New" w:cs="Courier New"/>
          <w:sz w:val="24"/>
          <w:szCs w:val="24"/>
        </w:rPr>
        <w:t xml:space="preserve"> the assessors using the income-</w:t>
      </w:r>
      <w:r>
        <w:rPr>
          <w:rFonts w:ascii="Courier New" w:hAnsi="Courier New" w:cs="Courier New"/>
          <w:sz w:val="24"/>
          <w:szCs w:val="24"/>
        </w:rPr>
        <w:t>valuation</w:t>
      </w:r>
      <w:r w:rsidR="00AD7A83">
        <w:rPr>
          <w:rFonts w:ascii="Courier New" w:hAnsi="Courier New" w:cs="Courier New"/>
          <w:sz w:val="24"/>
          <w:szCs w:val="24"/>
        </w:rPr>
        <w:t xml:space="preserve"> approach were supported by other information in the record, including the </w:t>
      </w:r>
      <w:r w:rsidR="00A77352">
        <w:rPr>
          <w:rFonts w:ascii="Courier New" w:hAnsi="Courier New" w:cs="Courier New"/>
          <w:sz w:val="24"/>
          <w:szCs w:val="24"/>
        </w:rPr>
        <w:t xml:space="preserve">actual sale of the </w:t>
      </w:r>
      <w:r w:rsidR="00AD7A83">
        <w:rPr>
          <w:rFonts w:ascii="Courier New" w:hAnsi="Courier New" w:cs="Courier New"/>
          <w:sz w:val="24"/>
          <w:szCs w:val="24"/>
        </w:rPr>
        <w:t>subject pro</w:t>
      </w:r>
      <w:r w:rsidR="00A77352">
        <w:rPr>
          <w:rFonts w:ascii="Courier New" w:hAnsi="Courier New" w:cs="Courier New"/>
          <w:sz w:val="24"/>
          <w:szCs w:val="24"/>
        </w:rPr>
        <w:t>perty</w:t>
      </w:r>
      <w:r>
        <w:rPr>
          <w:rFonts w:ascii="Courier New" w:hAnsi="Courier New" w:cs="Courier New"/>
          <w:sz w:val="24"/>
          <w:szCs w:val="24"/>
        </w:rPr>
        <w:t xml:space="preserve">.  </w:t>
      </w:r>
      <w:r w:rsidR="00AD7A83">
        <w:rPr>
          <w:rFonts w:ascii="Courier New" w:hAnsi="Courier New" w:cs="Courier New"/>
          <w:sz w:val="24"/>
          <w:szCs w:val="24"/>
        </w:rPr>
        <w:t>The appellant purchased the subject property in an arm’s-length transaction in November of 2013 for $850,000.  He testified that he expended app</w:t>
      </w:r>
      <w:r w:rsidR="00A77352">
        <w:rPr>
          <w:rFonts w:ascii="Courier New" w:hAnsi="Courier New" w:cs="Courier New"/>
          <w:sz w:val="24"/>
          <w:szCs w:val="24"/>
        </w:rPr>
        <w:t>roximately $45,000 to $50,000 on</w:t>
      </w:r>
      <w:r w:rsidR="00AD7A83">
        <w:rPr>
          <w:rFonts w:ascii="Courier New" w:hAnsi="Courier New" w:cs="Courier New"/>
          <w:sz w:val="24"/>
          <w:szCs w:val="24"/>
        </w:rPr>
        <w:t xml:space="preserve"> improvements to the subject property since then.  The assessment information in the record was indicative of a relatively stable commercial real estate market in Concord </w:t>
      </w:r>
      <w:r w:rsidR="00AD7A83">
        <w:rPr>
          <w:rFonts w:ascii="Courier New" w:hAnsi="Courier New" w:cs="Courier New"/>
          <w:sz w:val="24"/>
          <w:szCs w:val="24"/>
        </w:rPr>
        <w:lastRenderedPageBreak/>
        <w:t>during the relevant time period</w:t>
      </w:r>
      <w:r w:rsidR="00C833CA">
        <w:rPr>
          <w:rFonts w:ascii="Courier New" w:hAnsi="Courier New" w:cs="Courier New"/>
          <w:sz w:val="24"/>
          <w:szCs w:val="24"/>
        </w:rPr>
        <w:t>s</w:t>
      </w:r>
      <w:r w:rsidR="00AD7A83">
        <w:rPr>
          <w:rFonts w:ascii="Courier New" w:hAnsi="Courier New" w:cs="Courier New"/>
          <w:sz w:val="24"/>
          <w:szCs w:val="24"/>
        </w:rPr>
        <w:t>, and the Board therefore found that the fair cash values determined with primary reliance on the income-valuation approach were supported by the subject property’s actual sale price.</w:t>
      </w:r>
    </w:p>
    <w:p w:rsidR="00C30568" w:rsidRDefault="004C52A6" w:rsidP="005E349E">
      <w:pPr>
        <w:spacing w:after="0" w:line="480" w:lineRule="auto"/>
        <w:ind w:firstLine="720"/>
        <w:jc w:val="both"/>
        <w:rPr>
          <w:rFonts w:ascii="Courier New" w:hAnsi="Courier New" w:cs="Courier New"/>
          <w:sz w:val="24"/>
          <w:szCs w:val="24"/>
        </w:rPr>
      </w:pPr>
      <w:r>
        <w:rPr>
          <w:rFonts w:ascii="Courier New" w:hAnsi="Courier New" w:cs="Courier New"/>
          <w:sz w:val="24"/>
          <w:szCs w:val="24"/>
        </w:rPr>
        <w:t>Accordingly, on the basis of all of the evidence, the Board found that the appellant met his burden of demonstrating that the assessed value of the subject property exceeded its fair cash value for both of the fiscal y</w:t>
      </w:r>
      <w:r w:rsidR="00986697">
        <w:rPr>
          <w:rFonts w:ascii="Courier New" w:hAnsi="Courier New" w:cs="Courier New"/>
          <w:sz w:val="24"/>
          <w:szCs w:val="24"/>
        </w:rPr>
        <w:t>ears at issue. The Board determin</w:t>
      </w:r>
      <w:r>
        <w:rPr>
          <w:rFonts w:ascii="Courier New" w:hAnsi="Courier New" w:cs="Courier New"/>
          <w:sz w:val="24"/>
          <w:szCs w:val="24"/>
        </w:rPr>
        <w:t xml:space="preserve">ed </w:t>
      </w:r>
      <w:r w:rsidR="00AE4D39">
        <w:rPr>
          <w:rFonts w:ascii="Courier New" w:hAnsi="Courier New" w:cs="Courier New"/>
          <w:sz w:val="24"/>
          <w:szCs w:val="24"/>
        </w:rPr>
        <w:t xml:space="preserve">a </w:t>
      </w:r>
      <w:r>
        <w:rPr>
          <w:rFonts w:ascii="Courier New" w:hAnsi="Courier New" w:cs="Courier New"/>
          <w:sz w:val="24"/>
          <w:szCs w:val="24"/>
        </w:rPr>
        <w:t>fair cash value for the subject property of $900,000 for both of the fiscal years at issue.  The Board therefore decided these appeals for the appellant, and granted</w:t>
      </w:r>
      <w:r w:rsidR="0034775B">
        <w:rPr>
          <w:rFonts w:ascii="Courier New" w:hAnsi="Courier New" w:cs="Courier New"/>
          <w:sz w:val="24"/>
          <w:szCs w:val="24"/>
        </w:rPr>
        <w:t xml:space="preserve"> abatements in the amount</w:t>
      </w:r>
      <w:r w:rsidR="00CD0788">
        <w:rPr>
          <w:rFonts w:ascii="Courier New" w:hAnsi="Courier New" w:cs="Courier New"/>
          <w:sz w:val="24"/>
          <w:szCs w:val="24"/>
        </w:rPr>
        <w:t>s</w:t>
      </w:r>
      <w:r w:rsidR="0034775B">
        <w:rPr>
          <w:rFonts w:ascii="Courier New" w:hAnsi="Courier New" w:cs="Courier New"/>
          <w:sz w:val="24"/>
          <w:szCs w:val="24"/>
        </w:rPr>
        <w:t xml:space="preserve"> of $1,862.18 for fiscal year 2016 and $1,995.06</w:t>
      </w:r>
      <w:r>
        <w:rPr>
          <w:rFonts w:ascii="Courier New" w:hAnsi="Courier New" w:cs="Courier New"/>
          <w:sz w:val="24"/>
          <w:szCs w:val="24"/>
        </w:rPr>
        <w:t xml:space="preserve"> for</w:t>
      </w:r>
      <w:r w:rsidR="007D1F51">
        <w:rPr>
          <w:rFonts w:ascii="Courier New" w:hAnsi="Courier New" w:cs="Courier New"/>
          <w:sz w:val="24"/>
          <w:szCs w:val="24"/>
        </w:rPr>
        <w:t xml:space="preserve"> fiscal year 2017, including </w:t>
      </w:r>
      <w:r>
        <w:rPr>
          <w:rFonts w:ascii="Courier New" w:hAnsi="Courier New" w:cs="Courier New"/>
          <w:sz w:val="24"/>
          <w:szCs w:val="24"/>
        </w:rPr>
        <w:t>the Commu</w:t>
      </w:r>
      <w:r w:rsidR="0034775B">
        <w:rPr>
          <w:rFonts w:ascii="Courier New" w:hAnsi="Courier New" w:cs="Courier New"/>
          <w:sz w:val="24"/>
          <w:szCs w:val="24"/>
        </w:rPr>
        <w:t>nity Preserv</w:t>
      </w:r>
      <w:r w:rsidR="00CD0788">
        <w:rPr>
          <w:rFonts w:ascii="Courier New" w:hAnsi="Courier New" w:cs="Courier New"/>
          <w:sz w:val="24"/>
          <w:szCs w:val="24"/>
        </w:rPr>
        <w:t xml:space="preserve">ation Act surcharge, plus any </w:t>
      </w:r>
      <w:r w:rsidR="0034775B">
        <w:rPr>
          <w:rFonts w:ascii="Courier New" w:hAnsi="Courier New" w:cs="Courier New"/>
          <w:sz w:val="24"/>
          <w:szCs w:val="24"/>
        </w:rPr>
        <w:t xml:space="preserve">associated interest. </w:t>
      </w:r>
    </w:p>
    <w:p w:rsidR="005E349E" w:rsidRDefault="005E349E" w:rsidP="005E349E">
      <w:pPr>
        <w:spacing w:after="0" w:line="480" w:lineRule="auto"/>
        <w:ind w:firstLine="720"/>
        <w:jc w:val="both"/>
        <w:rPr>
          <w:rFonts w:ascii="Courier New" w:hAnsi="Courier New" w:cs="Courier New"/>
          <w:sz w:val="24"/>
          <w:szCs w:val="24"/>
        </w:rPr>
      </w:pPr>
    </w:p>
    <w:p w:rsidR="00946BB8" w:rsidRPr="00946BB8" w:rsidRDefault="0034775B" w:rsidP="005E349E">
      <w:pPr>
        <w:spacing w:after="0" w:line="480" w:lineRule="auto"/>
        <w:ind w:firstLine="720"/>
        <w:jc w:val="both"/>
        <w:rPr>
          <w:rFonts w:ascii="Courier New" w:hAnsi="Courier New" w:cs="Courier New"/>
          <w:b/>
          <w:sz w:val="24"/>
          <w:szCs w:val="24"/>
        </w:rPr>
      </w:pPr>
      <w:r>
        <w:rPr>
          <w:rFonts w:ascii="Courier New" w:hAnsi="Courier New" w:cs="Courier New"/>
          <w:sz w:val="24"/>
          <w:szCs w:val="24"/>
        </w:rPr>
        <w:t xml:space="preserve"> </w:t>
      </w:r>
      <w:r w:rsidR="00946BB8">
        <w:rPr>
          <w:rFonts w:ascii="Courier New" w:hAnsi="Courier New" w:cs="Courier New"/>
          <w:sz w:val="24"/>
          <w:szCs w:val="24"/>
        </w:rPr>
        <w:tab/>
      </w:r>
      <w:r w:rsidR="00946BB8">
        <w:rPr>
          <w:rFonts w:ascii="Courier New" w:hAnsi="Courier New" w:cs="Courier New"/>
          <w:sz w:val="24"/>
          <w:szCs w:val="24"/>
        </w:rPr>
        <w:tab/>
      </w:r>
      <w:r w:rsidR="00946BB8">
        <w:rPr>
          <w:rFonts w:ascii="Courier New" w:hAnsi="Courier New" w:cs="Courier New"/>
          <w:sz w:val="24"/>
          <w:szCs w:val="24"/>
        </w:rPr>
        <w:tab/>
      </w:r>
      <w:r w:rsidR="00946BB8">
        <w:rPr>
          <w:rFonts w:ascii="Courier New" w:hAnsi="Courier New" w:cs="Courier New"/>
          <w:sz w:val="24"/>
          <w:szCs w:val="24"/>
        </w:rPr>
        <w:tab/>
        <w:t xml:space="preserve">   </w:t>
      </w:r>
      <w:r w:rsidR="00946BB8" w:rsidRPr="00946BB8">
        <w:rPr>
          <w:rFonts w:ascii="Courier New" w:hAnsi="Courier New" w:cs="Courier New"/>
          <w:b/>
          <w:sz w:val="24"/>
          <w:szCs w:val="24"/>
        </w:rPr>
        <w:t>OPINION</w:t>
      </w:r>
    </w:p>
    <w:p w:rsidR="003E01B0" w:rsidRPr="003E01B0" w:rsidRDefault="003E01B0" w:rsidP="005E349E">
      <w:pPr>
        <w:spacing w:after="0" w:line="480" w:lineRule="auto"/>
        <w:ind w:firstLine="720"/>
        <w:jc w:val="both"/>
        <w:rPr>
          <w:rFonts w:ascii="Courier New" w:eastAsia="Times New Roman" w:hAnsi="Courier New" w:cs="Courier New"/>
          <w:sz w:val="24"/>
          <w:szCs w:val="24"/>
        </w:rPr>
      </w:pPr>
      <w:r w:rsidRPr="003E01B0">
        <w:rPr>
          <w:rFonts w:ascii="Courier New" w:eastAsia="Times New Roman" w:hAnsi="Courier New" w:cs="Courier New"/>
          <w:sz w:val="24"/>
          <w:szCs w:val="24"/>
        </w:rPr>
        <w:t xml:space="preserve">Assessors are required to assess real estate at its “fair cash value.”  G.L. c. 59, § 38.  Fair cash value is defined as the price on which a willing seller and a willing buyer will agree if both of them are fully informed and under no compulsion.  </w:t>
      </w:r>
      <w:r w:rsidRPr="003E01B0">
        <w:rPr>
          <w:rFonts w:ascii="Courier New" w:eastAsia="Times New Roman" w:hAnsi="Courier New" w:cs="Courier New"/>
          <w:b/>
          <w:bCs/>
          <w:i/>
          <w:iCs/>
          <w:sz w:val="24"/>
          <w:szCs w:val="24"/>
        </w:rPr>
        <w:t xml:space="preserve">Boston Gas Co. v. Assessors of Boston, </w:t>
      </w:r>
      <w:r w:rsidRPr="003E01B0">
        <w:rPr>
          <w:rFonts w:ascii="Courier New" w:eastAsia="Times New Roman" w:hAnsi="Courier New" w:cs="Courier New"/>
          <w:sz w:val="24"/>
          <w:szCs w:val="24"/>
        </w:rPr>
        <w:t xml:space="preserve">334 Mass. 549, 566 (1956).  </w:t>
      </w:r>
    </w:p>
    <w:p w:rsidR="003E01B0" w:rsidRDefault="003E01B0" w:rsidP="003E01B0">
      <w:pPr>
        <w:spacing w:after="0" w:line="480" w:lineRule="auto"/>
        <w:ind w:firstLine="720"/>
        <w:jc w:val="both"/>
        <w:rPr>
          <w:rFonts w:ascii="Courier New" w:eastAsia="Times New Roman" w:hAnsi="Courier New" w:cs="Courier New"/>
          <w:sz w:val="24"/>
          <w:szCs w:val="24"/>
        </w:rPr>
      </w:pPr>
      <w:r w:rsidRPr="003E01B0">
        <w:rPr>
          <w:rFonts w:ascii="Courier New" w:eastAsia="Times New Roman" w:hAnsi="Courier New" w:cs="Courier New"/>
          <w:sz w:val="24"/>
          <w:szCs w:val="24"/>
        </w:rPr>
        <w:t xml:space="preserve">Generally, the burden of proof is upon the taxpayer to prove that the subject property has a lower value than that </w:t>
      </w:r>
      <w:r w:rsidRPr="003E01B0">
        <w:rPr>
          <w:rFonts w:ascii="Courier New" w:eastAsia="Times New Roman" w:hAnsi="Courier New" w:cs="Courier New"/>
          <w:sz w:val="24"/>
          <w:szCs w:val="24"/>
        </w:rPr>
        <w:lastRenderedPageBreak/>
        <w:t xml:space="preserve">assessed.  </w:t>
      </w:r>
      <w:r w:rsidRPr="003E01B0">
        <w:rPr>
          <w:rFonts w:ascii="Courier New" w:eastAsia="Times New Roman" w:hAnsi="Courier New" w:cs="Courier New"/>
          <w:b/>
          <w:i/>
          <w:sz w:val="24"/>
          <w:szCs w:val="24"/>
        </w:rPr>
        <w:t>Schlaiker v. Assessors of Great Barrington,</w:t>
      </w:r>
      <w:r w:rsidRPr="003E01B0">
        <w:rPr>
          <w:rFonts w:ascii="Courier New" w:eastAsia="Times New Roman" w:hAnsi="Courier New" w:cs="Courier New"/>
          <w:b/>
          <w:sz w:val="24"/>
          <w:szCs w:val="24"/>
        </w:rPr>
        <w:t xml:space="preserve"> </w:t>
      </w:r>
      <w:r w:rsidR="00CD0788">
        <w:rPr>
          <w:rFonts w:ascii="Courier New" w:eastAsia="Times New Roman" w:hAnsi="Courier New" w:cs="Courier New"/>
          <w:sz w:val="24"/>
          <w:szCs w:val="24"/>
        </w:rPr>
        <w:t xml:space="preserve">365 Mass. 243, 245 </w:t>
      </w:r>
      <w:r w:rsidRPr="003E01B0">
        <w:rPr>
          <w:rFonts w:ascii="Courier New" w:eastAsia="Times New Roman" w:hAnsi="Courier New" w:cs="Courier New"/>
          <w:sz w:val="24"/>
          <w:szCs w:val="24"/>
        </w:rPr>
        <w:t>(1974)</w:t>
      </w:r>
      <w:r w:rsidR="00C833CA">
        <w:rPr>
          <w:rFonts w:ascii="Courier New" w:eastAsia="Times New Roman" w:hAnsi="Courier New" w:cs="Courier New"/>
          <w:sz w:val="24"/>
          <w:szCs w:val="24"/>
        </w:rPr>
        <w:t xml:space="preserve"> </w:t>
      </w:r>
      <w:r w:rsidR="00CD0788">
        <w:rPr>
          <w:rFonts w:ascii="Courier New" w:eastAsia="Times New Roman" w:hAnsi="Courier New" w:cs="Courier New"/>
          <w:sz w:val="24"/>
          <w:szCs w:val="24"/>
        </w:rPr>
        <w:t>(</w:t>
      </w:r>
      <w:r w:rsidRPr="003E01B0">
        <w:rPr>
          <w:rFonts w:ascii="Courier New" w:eastAsia="Times New Roman" w:hAnsi="Courier New" w:cs="Courier New"/>
          <w:sz w:val="24"/>
          <w:szCs w:val="24"/>
        </w:rPr>
        <w:t xml:space="preserve">citing </w:t>
      </w:r>
      <w:r w:rsidRPr="003E01B0">
        <w:rPr>
          <w:rFonts w:ascii="Courier New" w:eastAsia="Times New Roman" w:hAnsi="Courier New" w:cs="Courier New"/>
          <w:b/>
          <w:i/>
          <w:sz w:val="24"/>
          <w:szCs w:val="24"/>
        </w:rPr>
        <w:t>Judson Freight Forwarding Co. v. Commonwealth</w:t>
      </w:r>
      <w:r w:rsidRPr="003E01B0">
        <w:rPr>
          <w:rFonts w:ascii="Courier New" w:eastAsia="Times New Roman" w:hAnsi="Courier New" w:cs="Courier New"/>
          <w:sz w:val="24"/>
          <w:szCs w:val="24"/>
        </w:rPr>
        <w:t>, 242 Mass. 47, 55 (1922)).  The assessment is presumed valid</w:t>
      </w:r>
      <w:r w:rsidR="00CD0788">
        <w:rPr>
          <w:rFonts w:ascii="Courier New" w:eastAsia="Times New Roman" w:hAnsi="Courier New" w:cs="Courier New"/>
          <w:sz w:val="24"/>
          <w:szCs w:val="24"/>
        </w:rPr>
        <w:t xml:space="preserve"> until the taxpayer sustains its</w:t>
      </w:r>
      <w:r w:rsidRPr="003E01B0">
        <w:rPr>
          <w:rFonts w:ascii="Courier New" w:eastAsia="Times New Roman" w:hAnsi="Courier New" w:cs="Courier New"/>
          <w:sz w:val="24"/>
          <w:szCs w:val="24"/>
        </w:rPr>
        <w:t xml:space="preserve"> burden of proving otherwise.  </w:t>
      </w:r>
      <w:r w:rsidRPr="003E01B0">
        <w:rPr>
          <w:rFonts w:ascii="Courier New" w:eastAsia="Times New Roman" w:hAnsi="Courier New" w:cs="Courier New"/>
          <w:b/>
          <w:i/>
          <w:sz w:val="24"/>
          <w:szCs w:val="24"/>
        </w:rPr>
        <w:t>General Electric Co. v. Assessors of Lynn</w:t>
      </w:r>
      <w:r w:rsidRPr="003E01B0">
        <w:rPr>
          <w:rFonts w:ascii="Courier New" w:eastAsia="Times New Roman" w:hAnsi="Courier New" w:cs="Courier New"/>
          <w:sz w:val="24"/>
          <w:szCs w:val="24"/>
        </w:rPr>
        <w:t>, 393 Mass. 591, 598 (1984) (quoting</w:t>
      </w:r>
      <w:r w:rsidRPr="003E01B0">
        <w:rPr>
          <w:rFonts w:ascii="Courier New" w:eastAsia="Times New Roman" w:hAnsi="Courier New" w:cs="Courier New"/>
          <w:i/>
          <w:sz w:val="24"/>
          <w:szCs w:val="24"/>
        </w:rPr>
        <w:t xml:space="preserve"> </w:t>
      </w:r>
      <w:r w:rsidRPr="003E01B0">
        <w:rPr>
          <w:rFonts w:ascii="Courier New" w:eastAsia="Times New Roman" w:hAnsi="Courier New" w:cs="Courier New"/>
          <w:b/>
          <w:i/>
          <w:sz w:val="24"/>
          <w:szCs w:val="24"/>
        </w:rPr>
        <w:t>Schlaiker</w:t>
      </w:r>
      <w:r w:rsidRPr="003E01B0">
        <w:rPr>
          <w:rFonts w:ascii="Courier New" w:eastAsia="Times New Roman" w:hAnsi="Courier New" w:cs="Courier New"/>
          <w:sz w:val="24"/>
          <w:szCs w:val="24"/>
        </w:rPr>
        <w:t xml:space="preserve">, 365 Mass. at 245).  </w:t>
      </w:r>
    </w:p>
    <w:p w:rsidR="00D4010A" w:rsidRDefault="00D4010A" w:rsidP="003E01B0">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In order to determine a property’</w:t>
      </w:r>
      <w:r w:rsidR="007F6BFD">
        <w:rPr>
          <w:rFonts w:ascii="Courier New" w:eastAsia="Times New Roman" w:hAnsi="Courier New" w:cs="Courier New"/>
          <w:sz w:val="24"/>
          <w:szCs w:val="24"/>
        </w:rPr>
        <w:t xml:space="preserve">s fair cash value, its </w:t>
      </w:r>
      <w:r>
        <w:rPr>
          <w:rFonts w:ascii="Courier New" w:eastAsia="Times New Roman" w:hAnsi="Courier New" w:cs="Courier New"/>
          <w:sz w:val="24"/>
          <w:szCs w:val="24"/>
        </w:rPr>
        <w:t>highest and best use</w:t>
      </w:r>
      <w:r w:rsidR="007F6BFD">
        <w:rPr>
          <w:rFonts w:ascii="Courier New" w:eastAsia="Times New Roman" w:hAnsi="Courier New" w:cs="Courier New"/>
          <w:sz w:val="24"/>
          <w:szCs w:val="24"/>
        </w:rPr>
        <w:t xml:space="preserve"> must first be ascertained</w:t>
      </w:r>
      <w:r w:rsidR="006C3D8D">
        <w:rPr>
          <w:rFonts w:ascii="Courier New" w:eastAsia="Times New Roman" w:hAnsi="Courier New" w:cs="Courier New"/>
          <w:sz w:val="24"/>
          <w:szCs w:val="24"/>
        </w:rPr>
        <w:t xml:space="preserve">. </w:t>
      </w:r>
      <w:r w:rsidR="006C3D8D" w:rsidRPr="006C3D8D">
        <w:rPr>
          <w:rFonts w:ascii="Courier New" w:hAnsi="Courier New" w:cs="Courier New"/>
          <w:i/>
          <w:sz w:val="24"/>
          <w:szCs w:val="24"/>
        </w:rPr>
        <w:t xml:space="preserve">See </w:t>
      </w:r>
      <w:r w:rsidR="006C3D8D" w:rsidRPr="006C3D8D">
        <w:rPr>
          <w:rFonts w:ascii="Courier New" w:hAnsi="Courier New" w:cs="Courier New"/>
          <w:b/>
          <w:i/>
          <w:sz w:val="24"/>
          <w:szCs w:val="24"/>
        </w:rPr>
        <w:t>Peterson v. Assessors of Boston</w:t>
      </w:r>
      <w:r w:rsidR="006C3D8D" w:rsidRPr="006C3D8D">
        <w:rPr>
          <w:rFonts w:ascii="Courier New" w:hAnsi="Courier New" w:cs="Courier New"/>
          <w:sz w:val="24"/>
          <w:szCs w:val="24"/>
        </w:rPr>
        <w:t xml:space="preserve">, 62 </w:t>
      </w:r>
      <w:r w:rsidR="00DD1B08">
        <w:rPr>
          <w:rFonts w:ascii="Courier New" w:hAnsi="Courier New" w:cs="Courier New"/>
          <w:sz w:val="24"/>
          <w:szCs w:val="24"/>
        </w:rPr>
        <w:t>Mass. App. Ct. 428, 429 (2004)</w:t>
      </w:r>
      <w:r w:rsidR="006C3D8D" w:rsidRPr="006C3D8D">
        <w:rPr>
          <w:rFonts w:ascii="Courier New" w:hAnsi="Courier New" w:cs="Courier New"/>
          <w:sz w:val="24"/>
          <w:szCs w:val="24"/>
        </w:rPr>
        <w:t>.</w:t>
      </w:r>
      <w:r w:rsidRPr="006C3D8D">
        <w:rPr>
          <w:rFonts w:ascii="Courier New" w:eastAsia="Times New Roman" w:hAnsi="Courier New" w:cs="Courier New"/>
          <w:sz w:val="24"/>
          <w:szCs w:val="24"/>
        </w:rPr>
        <w:t xml:space="preserve"> In the present appeals, the subject property’s actual use was as a </w:t>
      </w:r>
      <w:r>
        <w:rPr>
          <w:rFonts w:ascii="Courier New" w:eastAsia="Times New Roman" w:hAnsi="Courier New" w:cs="Courier New"/>
          <w:sz w:val="24"/>
          <w:szCs w:val="24"/>
        </w:rPr>
        <w:t xml:space="preserve">commercial office building.  The parties did not dispute that the subject property’s current use was its highest and best use, nor was there </w:t>
      </w:r>
      <w:r w:rsidR="002C7637">
        <w:rPr>
          <w:rFonts w:ascii="Courier New" w:eastAsia="Times New Roman" w:hAnsi="Courier New" w:cs="Courier New"/>
          <w:sz w:val="24"/>
          <w:szCs w:val="24"/>
        </w:rPr>
        <w:t xml:space="preserve">any </w:t>
      </w:r>
      <w:r>
        <w:rPr>
          <w:rFonts w:ascii="Courier New" w:eastAsia="Times New Roman" w:hAnsi="Courier New" w:cs="Courier New"/>
          <w:sz w:val="24"/>
          <w:szCs w:val="24"/>
        </w:rPr>
        <w:t xml:space="preserve">evidence to the contrary in the record.  Accordingly, the Board concluded that the subject property’s continued use as a commercial office building was its highest and best use.  </w:t>
      </w:r>
    </w:p>
    <w:p w:rsidR="003B2762" w:rsidRDefault="000B17F3" w:rsidP="000B17F3">
      <w:pPr>
        <w:spacing w:after="0" w:line="480" w:lineRule="auto"/>
        <w:ind w:firstLine="720"/>
        <w:jc w:val="both"/>
        <w:rPr>
          <w:rFonts w:ascii="Courier New" w:hAnsi="Courier New"/>
          <w:sz w:val="24"/>
          <w:szCs w:val="24"/>
        </w:rPr>
      </w:pPr>
      <w:r>
        <w:rPr>
          <w:rFonts w:ascii="Courier New" w:hAnsi="Courier New" w:cs="Courier New"/>
          <w:sz w:val="24"/>
          <w:szCs w:val="24"/>
        </w:rPr>
        <w:t>R</w:t>
      </w:r>
      <w:r w:rsidR="000107F7" w:rsidRPr="000D178A">
        <w:rPr>
          <w:rFonts w:ascii="Courier New" w:hAnsi="Courier New" w:cs="Courier New"/>
          <w:sz w:val="24"/>
          <w:szCs w:val="24"/>
        </w:rPr>
        <w:t xml:space="preserve">eal estate valuation experts, the Massachusetts courts, and this Board </w:t>
      </w:r>
      <w:r>
        <w:rPr>
          <w:rFonts w:ascii="Courier New" w:hAnsi="Courier New" w:cs="Courier New"/>
          <w:sz w:val="24"/>
          <w:szCs w:val="24"/>
        </w:rPr>
        <w:t xml:space="preserve">generally </w:t>
      </w:r>
      <w:r w:rsidR="000107F7" w:rsidRPr="000D178A">
        <w:rPr>
          <w:rFonts w:ascii="Courier New" w:hAnsi="Courier New" w:cs="Courier New"/>
          <w:sz w:val="24"/>
          <w:szCs w:val="24"/>
        </w:rPr>
        <w:t xml:space="preserve">rely upon three approaches to determine the fair cash value of property: income capitalization, sales comparison, and cost reproduction.  </w:t>
      </w:r>
      <w:r w:rsidR="000107F7" w:rsidRPr="000D178A">
        <w:rPr>
          <w:rFonts w:ascii="Courier New" w:hAnsi="Courier New" w:cs="Courier New"/>
          <w:b/>
          <w:bCs/>
          <w:i/>
          <w:iCs/>
          <w:sz w:val="24"/>
          <w:szCs w:val="24"/>
        </w:rPr>
        <w:t>Correia v. New Bedford Redevelopment Authority,</w:t>
      </w:r>
      <w:r w:rsidR="000107F7" w:rsidRPr="000D178A">
        <w:rPr>
          <w:rFonts w:ascii="Courier New" w:hAnsi="Courier New" w:cs="Courier New"/>
          <w:sz w:val="24"/>
          <w:szCs w:val="24"/>
        </w:rPr>
        <w:t xml:space="preserve"> 375 Mass. 360, 362 (1978).  </w:t>
      </w:r>
      <w:r>
        <w:rPr>
          <w:rFonts w:ascii="Courier New" w:hAnsi="Courier New" w:cs="Courier New"/>
          <w:sz w:val="24"/>
          <w:szCs w:val="24"/>
        </w:rPr>
        <w:t>However,</w:t>
      </w:r>
      <w:r w:rsidR="000D178A" w:rsidRPr="00807F52">
        <w:rPr>
          <w:rFonts w:ascii="Courier New" w:hAnsi="Courier New"/>
          <w:sz w:val="24"/>
          <w:szCs w:val="24"/>
        </w:rPr>
        <w:t xml:space="preserve"> “[t]he introduction of evidence concerning the value based on [cost] computations has been limited to special situations in which data cannot be reliably computed under the other two </w:t>
      </w:r>
      <w:r w:rsidR="000D178A" w:rsidRPr="00807F52">
        <w:rPr>
          <w:rFonts w:ascii="Courier New" w:hAnsi="Courier New"/>
          <w:sz w:val="24"/>
          <w:szCs w:val="24"/>
        </w:rPr>
        <w:lastRenderedPageBreak/>
        <w:t xml:space="preserve">methods,” </w:t>
      </w:r>
      <w:r w:rsidR="000D178A" w:rsidRPr="00807F52">
        <w:rPr>
          <w:rFonts w:ascii="Courier New" w:hAnsi="Courier New"/>
          <w:b/>
          <w:i/>
          <w:sz w:val="24"/>
          <w:szCs w:val="24"/>
        </w:rPr>
        <w:t>Correia,</w:t>
      </w:r>
      <w:r w:rsidR="000D178A" w:rsidRPr="00807F52">
        <w:rPr>
          <w:rFonts w:ascii="Courier New" w:hAnsi="Courier New"/>
          <w:sz w:val="24"/>
          <w:szCs w:val="24"/>
        </w:rPr>
        <w:t xml:space="preserve"> 375 Mass. at 362, and those situations may include when the property in question is a newer building or a special-purpose property.  </w:t>
      </w:r>
      <w:r w:rsidR="000D178A" w:rsidRPr="00CD0788">
        <w:rPr>
          <w:rFonts w:ascii="Courier New" w:hAnsi="Courier New"/>
          <w:i/>
          <w:sz w:val="24"/>
          <w:szCs w:val="24"/>
        </w:rPr>
        <w:t>See</w:t>
      </w:r>
      <w:r w:rsidR="000D178A" w:rsidRPr="00807F52">
        <w:rPr>
          <w:rFonts w:ascii="Courier New" w:hAnsi="Courier New"/>
          <w:sz w:val="24"/>
          <w:szCs w:val="24"/>
        </w:rPr>
        <w:t xml:space="preserve"> </w:t>
      </w:r>
      <w:r w:rsidR="000D178A" w:rsidRPr="000B17F3">
        <w:rPr>
          <w:rFonts w:ascii="Courier New" w:hAnsi="Courier New"/>
          <w:b/>
          <w:i/>
          <w:sz w:val="24"/>
          <w:szCs w:val="24"/>
        </w:rPr>
        <w:t>Digital 55 Middlesex, LLC v. Assessors of Billerica</w:t>
      </w:r>
      <w:r w:rsidR="000D178A" w:rsidRPr="00807F52">
        <w:rPr>
          <w:rFonts w:ascii="Courier New" w:hAnsi="Courier New"/>
          <w:sz w:val="24"/>
          <w:szCs w:val="24"/>
        </w:rPr>
        <w:t xml:space="preserve">, Mass. ATB Findings of Fact and Reports 2017-415, 449.  </w:t>
      </w:r>
      <w:r w:rsidR="003B2762">
        <w:rPr>
          <w:rFonts w:ascii="Courier New" w:hAnsi="Courier New"/>
          <w:sz w:val="24"/>
          <w:szCs w:val="24"/>
        </w:rPr>
        <w:t xml:space="preserve">Neither of those special situations was present here, as the subject property was not a special-purpose property and it was more than 30 years old as of the relevant dates of valuation.  </w:t>
      </w:r>
      <w:r w:rsidR="007F6BFD">
        <w:rPr>
          <w:rFonts w:ascii="Courier New" w:hAnsi="Courier New"/>
          <w:sz w:val="24"/>
          <w:szCs w:val="24"/>
        </w:rPr>
        <w:t xml:space="preserve">Accordingly, the Board </w:t>
      </w:r>
      <w:r w:rsidR="003B2762">
        <w:rPr>
          <w:rFonts w:ascii="Courier New" w:hAnsi="Courier New"/>
          <w:sz w:val="24"/>
          <w:szCs w:val="24"/>
        </w:rPr>
        <w:t>determined that the cost-reproduction approach was not a reliable methodology with which</w:t>
      </w:r>
      <w:r w:rsidR="007F6BFD">
        <w:rPr>
          <w:rFonts w:ascii="Courier New" w:hAnsi="Courier New"/>
          <w:sz w:val="24"/>
          <w:szCs w:val="24"/>
        </w:rPr>
        <w:t xml:space="preserve"> to value the subject property, and it therefore placed </w:t>
      </w:r>
      <w:r w:rsidR="00CD0788">
        <w:rPr>
          <w:rFonts w:ascii="Courier New" w:hAnsi="Courier New"/>
          <w:sz w:val="24"/>
          <w:szCs w:val="24"/>
        </w:rPr>
        <w:t xml:space="preserve">no weight on the cost </w:t>
      </w:r>
      <w:r w:rsidR="007F6BFD">
        <w:rPr>
          <w:rFonts w:ascii="Courier New" w:hAnsi="Courier New"/>
          <w:sz w:val="24"/>
          <w:szCs w:val="24"/>
        </w:rPr>
        <w:t xml:space="preserve">approach relied on by the assessors in setting the assessed values at issue.  </w:t>
      </w:r>
    </w:p>
    <w:p w:rsidR="000107F7" w:rsidRDefault="000107F7" w:rsidP="000B17F3">
      <w:pPr>
        <w:spacing w:after="0" w:line="480" w:lineRule="auto"/>
        <w:ind w:firstLine="720"/>
        <w:jc w:val="both"/>
        <w:rPr>
          <w:rFonts w:ascii="Courier New" w:hAnsi="Courier New" w:cs="Courier New"/>
          <w:sz w:val="24"/>
          <w:szCs w:val="24"/>
        </w:rPr>
      </w:pPr>
      <w:r w:rsidRPr="00807F52">
        <w:rPr>
          <w:rFonts w:ascii="Courier New" w:hAnsi="Courier New" w:cs="Courier New"/>
          <w:sz w:val="24"/>
          <w:szCs w:val="24"/>
        </w:rPr>
        <w:t xml:space="preserve">The use of the income-capitalization approach is appropriate when reliable market-sales data are not available.  </w:t>
      </w:r>
      <w:r w:rsidRPr="00807F52">
        <w:rPr>
          <w:rFonts w:ascii="Courier New" w:hAnsi="Courier New" w:cs="Courier New"/>
          <w:b/>
          <w:bCs/>
          <w:i/>
          <w:iCs/>
          <w:sz w:val="24"/>
          <w:szCs w:val="24"/>
        </w:rPr>
        <w:t>Assessors of Weymouth v. Tammy Brook Co.,</w:t>
      </w:r>
      <w:r w:rsidRPr="00807F52">
        <w:rPr>
          <w:rFonts w:ascii="Courier New" w:hAnsi="Courier New" w:cs="Courier New"/>
          <w:sz w:val="24"/>
          <w:szCs w:val="24"/>
        </w:rPr>
        <w:t xml:space="preserve"> 368 Mass. 810, 811 (1975); </w:t>
      </w:r>
      <w:r w:rsidRPr="00807F52">
        <w:rPr>
          <w:rFonts w:ascii="Courier New" w:hAnsi="Courier New" w:cs="Courier New"/>
          <w:b/>
          <w:bCs/>
          <w:i/>
          <w:iCs/>
          <w:sz w:val="24"/>
          <w:szCs w:val="24"/>
        </w:rPr>
        <w:t>Assessors of Lynnfield v. New England Oyster House,</w:t>
      </w:r>
      <w:r w:rsidRPr="00807F52">
        <w:rPr>
          <w:rFonts w:ascii="Courier New" w:hAnsi="Courier New" w:cs="Courier New"/>
          <w:sz w:val="24"/>
          <w:szCs w:val="24"/>
        </w:rPr>
        <w:t xml:space="preserve"> 362 Mass. 696, 701-02 (1972); </w:t>
      </w:r>
      <w:r w:rsidRPr="00807F52">
        <w:rPr>
          <w:rFonts w:ascii="Courier New" w:hAnsi="Courier New" w:cs="Courier New"/>
          <w:b/>
          <w:bCs/>
          <w:i/>
          <w:iCs/>
          <w:sz w:val="24"/>
          <w:szCs w:val="24"/>
        </w:rPr>
        <w:t>Assessors of Quincy v. Boston Consolidated Gas Co.,</w:t>
      </w:r>
      <w:r w:rsidRPr="00807F52">
        <w:rPr>
          <w:rFonts w:ascii="Courier New" w:hAnsi="Courier New" w:cs="Courier New"/>
          <w:sz w:val="24"/>
          <w:szCs w:val="24"/>
        </w:rPr>
        <w:t xml:space="preserve"> 309 Mass. 60, 67 (1941).  It is also recognized as an appropriate technique to use for valuing income-producing property.  </w:t>
      </w:r>
      <w:r w:rsidRPr="00807F52">
        <w:rPr>
          <w:rFonts w:ascii="Courier New" w:hAnsi="Courier New" w:cs="Courier New"/>
          <w:b/>
          <w:bCs/>
          <w:i/>
          <w:iCs/>
          <w:sz w:val="24"/>
          <w:szCs w:val="24"/>
        </w:rPr>
        <w:t xml:space="preserve">Taunton Redevelopment Associates v. Assessors of Taunton, </w:t>
      </w:r>
      <w:r w:rsidRPr="00807F52">
        <w:rPr>
          <w:rFonts w:ascii="Courier New" w:hAnsi="Courier New" w:cs="Courier New"/>
          <w:sz w:val="24"/>
          <w:szCs w:val="24"/>
        </w:rPr>
        <w:t>393 Mass. 293, 295 (1984).</w:t>
      </w:r>
      <w:r w:rsidR="0099066A">
        <w:rPr>
          <w:rFonts w:ascii="Courier New" w:hAnsi="Courier New" w:cs="Courier New"/>
          <w:sz w:val="24"/>
          <w:szCs w:val="24"/>
        </w:rPr>
        <w:t xml:space="preserve">  Because the subject property was </w:t>
      </w:r>
      <w:r w:rsidR="00FB48A4">
        <w:rPr>
          <w:rFonts w:ascii="Courier New" w:hAnsi="Courier New" w:cs="Courier New"/>
          <w:sz w:val="24"/>
          <w:szCs w:val="24"/>
        </w:rPr>
        <w:t xml:space="preserve">an income-producing property, the Board found and ruled that the income-capitalization approach was the </w:t>
      </w:r>
      <w:r w:rsidR="00FB48A4">
        <w:rPr>
          <w:rFonts w:ascii="Courier New" w:hAnsi="Courier New" w:cs="Courier New"/>
          <w:sz w:val="24"/>
          <w:szCs w:val="24"/>
        </w:rPr>
        <w:lastRenderedPageBreak/>
        <w:t xml:space="preserve">most reliable methodology with which to determine its fair cash value. </w:t>
      </w:r>
    </w:p>
    <w:p w:rsidR="00B63A1B" w:rsidRDefault="007F6BFD" w:rsidP="000B17F3">
      <w:pPr>
        <w:spacing w:after="0" w:line="480" w:lineRule="auto"/>
        <w:ind w:firstLine="720"/>
        <w:jc w:val="both"/>
        <w:rPr>
          <w:rFonts w:ascii="Courier New" w:hAnsi="Courier New" w:cs="Courier New"/>
          <w:sz w:val="24"/>
          <w:szCs w:val="24"/>
        </w:rPr>
      </w:pPr>
      <w:r>
        <w:rPr>
          <w:rFonts w:ascii="Courier New" w:hAnsi="Courier New" w:cs="Courier New"/>
          <w:sz w:val="24"/>
          <w:szCs w:val="24"/>
        </w:rPr>
        <w:t>The Board by and large adopted the income-valuation information and approach used by the assessors, as reflected on the subject property’</w:t>
      </w:r>
      <w:r w:rsidR="00837B77">
        <w:rPr>
          <w:rFonts w:ascii="Courier New" w:hAnsi="Courier New" w:cs="Courier New"/>
          <w:sz w:val="24"/>
          <w:szCs w:val="24"/>
        </w:rPr>
        <w:t xml:space="preserve">s income-valuation </w:t>
      </w:r>
      <w:r>
        <w:rPr>
          <w:rFonts w:ascii="Courier New" w:hAnsi="Courier New" w:cs="Courier New"/>
          <w:sz w:val="24"/>
          <w:szCs w:val="24"/>
        </w:rPr>
        <w:t>record cards for the fiscal years at issue</w:t>
      </w:r>
      <w:r w:rsidR="00B63A1B">
        <w:rPr>
          <w:rFonts w:ascii="Courier New" w:hAnsi="Courier New" w:cs="Courier New"/>
          <w:sz w:val="24"/>
          <w:szCs w:val="24"/>
        </w:rPr>
        <w:t xml:space="preserve">, which </w:t>
      </w:r>
      <w:r w:rsidR="00CD0788">
        <w:rPr>
          <w:rFonts w:ascii="Courier New" w:hAnsi="Courier New" w:cs="Courier New"/>
          <w:sz w:val="24"/>
          <w:szCs w:val="24"/>
        </w:rPr>
        <w:t xml:space="preserve">values </w:t>
      </w:r>
      <w:r w:rsidR="00B63A1B">
        <w:rPr>
          <w:rFonts w:ascii="Courier New" w:hAnsi="Courier New" w:cs="Courier New"/>
          <w:sz w:val="24"/>
          <w:szCs w:val="24"/>
        </w:rPr>
        <w:t xml:space="preserve">were </w:t>
      </w:r>
      <w:r>
        <w:rPr>
          <w:rFonts w:ascii="Courier New" w:hAnsi="Courier New" w:cs="Courier New"/>
          <w:sz w:val="24"/>
          <w:szCs w:val="24"/>
        </w:rPr>
        <w:t xml:space="preserve">$894,400 for fiscal year 2016 and $903,300 for fiscal year </w:t>
      </w:r>
      <w:r w:rsidR="00B63A1B">
        <w:rPr>
          <w:rFonts w:ascii="Courier New" w:hAnsi="Courier New" w:cs="Courier New"/>
          <w:sz w:val="24"/>
          <w:szCs w:val="24"/>
        </w:rPr>
        <w:t xml:space="preserve">2017, but </w:t>
      </w:r>
      <w:r w:rsidR="00A77352">
        <w:rPr>
          <w:rFonts w:ascii="Courier New" w:hAnsi="Courier New" w:cs="Courier New"/>
          <w:sz w:val="24"/>
          <w:szCs w:val="24"/>
        </w:rPr>
        <w:t xml:space="preserve">it </w:t>
      </w:r>
      <w:r w:rsidR="00B63A1B">
        <w:rPr>
          <w:rFonts w:ascii="Courier New" w:hAnsi="Courier New" w:cs="Courier New"/>
          <w:sz w:val="24"/>
          <w:szCs w:val="24"/>
        </w:rPr>
        <w:t xml:space="preserve">rounded those values to $900,000 for both years. </w:t>
      </w:r>
    </w:p>
    <w:p w:rsidR="001A0FF8" w:rsidRPr="00B63A1B" w:rsidRDefault="00B63A1B" w:rsidP="00B63A1B">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Board found that these values were also </w:t>
      </w:r>
      <w:r w:rsidR="007F6BFD">
        <w:rPr>
          <w:rFonts w:ascii="Courier New" w:hAnsi="Courier New" w:cs="Courier New"/>
          <w:sz w:val="24"/>
          <w:szCs w:val="24"/>
        </w:rPr>
        <w:t>supported by the subject property’s actual sale price of $850,000 in November of 2013, which was sufficiently proximate to the relevant valuation dates as to warrant consideration</w:t>
      </w:r>
      <w:r w:rsidR="007F6BFD" w:rsidRPr="00B80A09">
        <w:rPr>
          <w:rFonts w:ascii="Courier New" w:hAnsi="Courier New" w:cs="Courier New"/>
          <w:sz w:val="24"/>
          <w:szCs w:val="24"/>
        </w:rPr>
        <w:t xml:space="preserve">.  </w:t>
      </w:r>
      <w:r w:rsidR="00745A21" w:rsidRPr="00B80A09">
        <w:rPr>
          <w:rFonts w:ascii="Courier New" w:hAnsi="Courier New" w:cs="Courier New"/>
          <w:sz w:val="24"/>
          <w:szCs w:val="24"/>
        </w:rPr>
        <w:t xml:space="preserve">Usually, the actual sale of the subject property itself is “ʽvery strong evidence of fair market value, for [it] represent[s] what a buyer has been willing to pay to a seller for [the property under appeal].’”  </w:t>
      </w:r>
      <w:r w:rsidR="00745A21" w:rsidRPr="00B80A09">
        <w:rPr>
          <w:rFonts w:ascii="Courier New" w:hAnsi="Courier New" w:cs="Courier New"/>
          <w:b/>
          <w:i/>
          <w:sz w:val="24"/>
          <w:szCs w:val="24"/>
        </w:rPr>
        <w:t xml:space="preserve">New Boston Garden Corp. v. Assessors of Boston, </w:t>
      </w:r>
      <w:r w:rsidR="00745A21" w:rsidRPr="00B80A09">
        <w:rPr>
          <w:rFonts w:ascii="Courier New" w:hAnsi="Courier New" w:cs="Courier New"/>
          <w:sz w:val="24"/>
          <w:szCs w:val="24"/>
        </w:rPr>
        <w:t xml:space="preserve">383 Mass. 456, 469 (1981) (quoting </w:t>
      </w:r>
      <w:r w:rsidR="00745A21" w:rsidRPr="00B80A09">
        <w:rPr>
          <w:rFonts w:ascii="Courier New" w:hAnsi="Courier New" w:cs="Courier New"/>
          <w:b/>
          <w:i/>
          <w:sz w:val="24"/>
          <w:szCs w:val="24"/>
        </w:rPr>
        <w:t xml:space="preserve">First Nat’l Stores, Inc. v. Assessors of Somerville, </w:t>
      </w:r>
      <w:r w:rsidR="00745A21" w:rsidRPr="00B80A09">
        <w:rPr>
          <w:rFonts w:ascii="Courier New" w:hAnsi="Courier New" w:cs="Courier New"/>
          <w:sz w:val="24"/>
          <w:szCs w:val="24"/>
        </w:rPr>
        <w:t xml:space="preserve">358 Mass. 554, 560 (1971)).  </w:t>
      </w:r>
      <w:r w:rsidR="00745A21" w:rsidRPr="00980A81">
        <w:rPr>
          <w:rFonts w:ascii="Courier New" w:hAnsi="Courier New" w:cs="Courier New"/>
          <w:i/>
          <w:sz w:val="24"/>
          <w:szCs w:val="24"/>
        </w:rPr>
        <w:t>See also</w:t>
      </w:r>
      <w:r w:rsidR="00745A21" w:rsidRPr="00980A81">
        <w:rPr>
          <w:rFonts w:ascii="Courier New" w:hAnsi="Courier New" w:cs="Courier New"/>
          <w:sz w:val="24"/>
          <w:szCs w:val="24"/>
        </w:rPr>
        <w:t xml:space="preserve"> </w:t>
      </w:r>
      <w:r w:rsidR="00745A21" w:rsidRPr="00980A81">
        <w:rPr>
          <w:rFonts w:ascii="Courier New" w:hAnsi="Courier New" w:cs="Courier New"/>
          <w:b/>
          <w:i/>
          <w:sz w:val="24"/>
          <w:szCs w:val="24"/>
        </w:rPr>
        <w:t>Kane v. Assessors of Topsfield</w:t>
      </w:r>
      <w:r w:rsidR="00745A21" w:rsidRPr="00980A81">
        <w:rPr>
          <w:rFonts w:ascii="Courier New" w:hAnsi="Courier New" w:cs="Courier New"/>
          <w:sz w:val="24"/>
          <w:szCs w:val="24"/>
        </w:rPr>
        <w:t>, Mass. ATB Findings of Fact and Reports 2000-409, 4</w:t>
      </w:r>
      <w:r>
        <w:rPr>
          <w:rFonts w:ascii="Courier New" w:hAnsi="Courier New" w:cs="Courier New"/>
          <w:sz w:val="24"/>
          <w:szCs w:val="24"/>
        </w:rPr>
        <w:t xml:space="preserve">11.  The Board therefore found that the subject </w:t>
      </w:r>
      <w:r w:rsidR="00A77352">
        <w:rPr>
          <w:rFonts w:ascii="Courier New" w:hAnsi="Courier New" w:cs="Courier New"/>
          <w:sz w:val="24"/>
          <w:szCs w:val="24"/>
        </w:rPr>
        <w:t xml:space="preserve">property’s </w:t>
      </w:r>
      <w:r>
        <w:rPr>
          <w:rFonts w:ascii="Courier New" w:hAnsi="Courier New" w:cs="Courier New"/>
          <w:sz w:val="24"/>
          <w:szCs w:val="24"/>
        </w:rPr>
        <w:t>sale price of $850,000, along with the improvements put into the subject property as testified to by Mr. Birmbas, was conso</w:t>
      </w:r>
      <w:r w:rsidR="00CD0788">
        <w:rPr>
          <w:rFonts w:ascii="Courier New" w:hAnsi="Courier New" w:cs="Courier New"/>
          <w:sz w:val="24"/>
          <w:szCs w:val="24"/>
        </w:rPr>
        <w:t>nant with the Board’s</w:t>
      </w:r>
      <w:r>
        <w:rPr>
          <w:rFonts w:ascii="Courier New" w:hAnsi="Courier New" w:cs="Courier New"/>
          <w:sz w:val="24"/>
          <w:szCs w:val="24"/>
        </w:rPr>
        <w:t xml:space="preserve"> conc</w:t>
      </w:r>
      <w:r w:rsidR="00E145C4">
        <w:rPr>
          <w:rFonts w:ascii="Courier New" w:hAnsi="Courier New" w:cs="Courier New"/>
          <w:sz w:val="24"/>
          <w:szCs w:val="24"/>
        </w:rPr>
        <w:t>lusions as to f</w:t>
      </w:r>
      <w:r w:rsidR="00CD0788">
        <w:rPr>
          <w:rFonts w:ascii="Courier New" w:hAnsi="Courier New" w:cs="Courier New"/>
          <w:sz w:val="24"/>
          <w:szCs w:val="24"/>
        </w:rPr>
        <w:t xml:space="preserve">air cash value under the income-capitalization </w:t>
      </w:r>
      <w:r w:rsidR="00E145C4">
        <w:rPr>
          <w:rFonts w:ascii="Courier New" w:hAnsi="Courier New" w:cs="Courier New"/>
          <w:sz w:val="24"/>
          <w:szCs w:val="24"/>
        </w:rPr>
        <w:t xml:space="preserve">approach.  </w:t>
      </w:r>
    </w:p>
    <w:p w:rsidR="001A0FF8" w:rsidRDefault="001A0FF8" w:rsidP="001A0FF8">
      <w:pPr>
        <w:spacing w:after="0" w:line="480" w:lineRule="auto"/>
        <w:ind w:firstLine="720"/>
        <w:jc w:val="both"/>
        <w:rPr>
          <w:rFonts w:ascii="Courier New" w:eastAsia="Calibri" w:hAnsi="Courier New"/>
          <w:sz w:val="24"/>
          <w:szCs w:val="24"/>
        </w:rPr>
      </w:pPr>
      <w:r w:rsidRPr="001A0FF8">
        <w:rPr>
          <w:rFonts w:ascii="Courier New" w:eastAsia="Calibri" w:hAnsi="Courier New" w:cs="Courier New"/>
          <w:sz w:val="24"/>
          <w:szCs w:val="24"/>
        </w:rPr>
        <w:lastRenderedPageBreak/>
        <w:t xml:space="preserve">The Board is not required to believe the testimony of any particular witness or to adopt any particular method of valuation that an expert witness suggests.  Rather, the Board can accept those portions of the evidence that the Board determines have more convincing weight, and form its own independent judgment of fair market value.  </w:t>
      </w:r>
      <w:r w:rsidR="00CD0788">
        <w:rPr>
          <w:rFonts w:ascii="Courier New" w:eastAsia="Calibri" w:hAnsi="Courier New"/>
          <w:b/>
          <w:i/>
          <w:sz w:val="24"/>
          <w:szCs w:val="24"/>
        </w:rPr>
        <w:t xml:space="preserve">Foxboro Associates v. </w:t>
      </w:r>
      <w:r w:rsidRPr="001A0FF8">
        <w:rPr>
          <w:rFonts w:ascii="Courier New" w:eastAsia="Calibri" w:hAnsi="Courier New"/>
          <w:b/>
          <w:i/>
          <w:sz w:val="24"/>
          <w:szCs w:val="24"/>
        </w:rPr>
        <w:t>Assessors of Foxborough</w:t>
      </w:r>
      <w:r w:rsidRPr="001A0FF8">
        <w:rPr>
          <w:rFonts w:ascii="Courier New" w:eastAsia="Calibri" w:hAnsi="Courier New"/>
          <w:sz w:val="24"/>
          <w:szCs w:val="24"/>
        </w:rPr>
        <w:t>, 385 Mass. 679, 683 (1982)</w:t>
      </w:r>
      <w:r w:rsidRPr="001A0FF8">
        <w:rPr>
          <w:rFonts w:ascii="Courier New" w:eastAsia="Calibri" w:hAnsi="Courier New" w:cs="Courier New"/>
          <w:sz w:val="24"/>
          <w:szCs w:val="24"/>
        </w:rPr>
        <w:t xml:space="preserve">; </w:t>
      </w:r>
      <w:r w:rsidR="00A77352">
        <w:rPr>
          <w:rFonts w:ascii="Courier New" w:eastAsia="Calibri" w:hAnsi="Courier New"/>
          <w:b/>
          <w:i/>
          <w:sz w:val="24"/>
          <w:szCs w:val="24"/>
        </w:rPr>
        <w:t xml:space="preserve">New Boston Garden Corp., </w:t>
      </w:r>
      <w:r w:rsidR="00A77352">
        <w:rPr>
          <w:rFonts w:ascii="Courier New" w:eastAsia="Calibri" w:hAnsi="Courier New"/>
          <w:sz w:val="24"/>
          <w:szCs w:val="24"/>
        </w:rPr>
        <w:t>383 Mass. at 473</w:t>
      </w:r>
      <w:r w:rsidRPr="001A0FF8">
        <w:rPr>
          <w:rFonts w:ascii="Courier New" w:eastAsia="Calibri" w:hAnsi="Courier New" w:cs="Courier New"/>
          <w:sz w:val="24"/>
          <w:szCs w:val="24"/>
        </w:rPr>
        <w:t xml:space="preserve">; </w:t>
      </w:r>
      <w:r w:rsidRPr="001A0FF8">
        <w:rPr>
          <w:rFonts w:ascii="Courier New" w:eastAsia="Calibri" w:hAnsi="Courier New"/>
          <w:b/>
          <w:i/>
          <w:sz w:val="24"/>
          <w:szCs w:val="24"/>
        </w:rPr>
        <w:t xml:space="preserve">New England Oyster House, </w:t>
      </w:r>
      <w:r w:rsidRPr="001A0FF8">
        <w:rPr>
          <w:rFonts w:ascii="Courier New" w:eastAsia="Calibri" w:hAnsi="Courier New"/>
          <w:sz w:val="24"/>
          <w:szCs w:val="24"/>
        </w:rPr>
        <w:t>362 Mass. at 701-02</w:t>
      </w:r>
      <w:r w:rsidRPr="001A0FF8">
        <w:rPr>
          <w:rFonts w:ascii="Courier New" w:eastAsia="Calibri" w:hAnsi="Courier New" w:cs="Courier New"/>
          <w:sz w:val="24"/>
          <w:szCs w:val="24"/>
        </w:rPr>
        <w:t xml:space="preserve">; </w:t>
      </w:r>
      <w:r w:rsidRPr="001A0FF8">
        <w:rPr>
          <w:rFonts w:ascii="Courier New" w:eastAsia="Calibri" w:hAnsi="Courier New" w:cs="Courier New"/>
          <w:b/>
          <w:i/>
          <w:sz w:val="24"/>
          <w:szCs w:val="24"/>
        </w:rPr>
        <w:t>General Electric Co.</w:t>
      </w:r>
      <w:r w:rsidRPr="001A0FF8">
        <w:rPr>
          <w:rFonts w:ascii="Courier New" w:eastAsia="Calibri" w:hAnsi="Courier New" w:cs="Courier New"/>
          <w:i/>
          <w:sz w:val="24"/>
          <w:szCs w:val="24"/>
        </w:rPr>
        <w:t xml:space="preserve">, </w:t>
      </w:r>
      <w:r w:rsidRPr="001A0FF8">
        <w:rPr>
          <w:rFonts w:ascii="Courier New" w:eastAsia="Calibri" w:hAnsi="Courier New" w:cs="Courier New"/>
          <w:sz w:val="24"/>
          <w:szCs w:val="24"/>
        </w:rPr>
        <w:t xml:space="preserve">393 Mass. at 605; </w:t>
      </w:r>
      <w:r w:rsidRPr="001A0FF8">
        <w:rPr>
          <w:rFonts w:ascii="Courier New" w:eastAsia="Calibri" w:hAnsi="Courier New" w:cs="Courier New"/>
          <w:b/>
          <w:i/>
          <w:sz w:val="24"/>
          <w:szCs w:val="24"/>
        </w:rPr>
        <w:t>North American Philips Lighting Corp. v. Assessors of Lynn</w:t>
      </w:r>
      <w:r w:rsidRPr="001A0FF8">
        <w:rPr>
          <w:rFonts w:ascii="Courier New" w:eastAsia="Calibri" w:hAnsi="Courier New" w:cs="Courier New"/>
          <w:sz w:val="24"/>
          <w:szCs w:val="24"/>
        </w:rPr>
        <w:t>, 392</w:t>
      </w:r>
      <w:r w:rsidR="00C30568">
        <w:rPr>
          <w:rFonts w:ascii="Courier New" w:eastAsia="Calibri" w:hAnsi="Courier New" w:cs="Courier New"/>
          <w:sz w:val="24"/>
          <w:szCs w:val="24"/>
        </w:rPr>
        <w:t> </w:t>
      </w:r>
      <w:r w:rsidRPr="001A0FF8">
        <w:rPr>
          <w:rFonts w:ascii="Courier New" w:eastAsia="Calibri" w:hAnsi="Courier New" w:cs="Courier New"/>
          <w:sz w:val="24"/>
          <w:szCs w:val="24"/>
        </w:rPr>
        <w:t xml:space="preserve">Mass. 296, 300 (1984).  In evaluating the evidence before it in these appeals, the Board selected among the various elements of value and appropriately formed its own independent judgment of fair cash value.  </w:t>
      </w:r>
      <w:r w:rsidRPr="001A0FF8">
        <w:rPr>
          <w:rFonts w:ascii="Courier New" w:eastAsia="Calibri" w:hAnsi="Courier New" w:cs="Courier New"/>
          <w:b/>
          <w:bCs/>
          <w:i/>
          <w:iCs/>
          <w:sz w:val="24"/>
          <w:szCs w:val="24"/>
        </w:rPr>
        <w:t>General Electric Co.,</w:t>
      </w:r>
      <w:r w:rsidRPr="001A0FF8">
        <w:rPr>
          <w:rFonts w:ascii="Courier New" w:eastAsia="Calibri" w:hAnsi="Courier New" w:cs="Courier New"/>
          <w:sz w:val="24"/>
          <w:szCs w:val="24"/>
        </w:rPr>
        <w:t xml:space="preserve"> 393 Mass. at 605; </w:t>
      </w:r>
      <w:r w:rsidRPr="001A0FF8">
        <w:rPr>
          <w:rFonts w:ascii="Courier New" w:eastAsia="Calibri" w:hAnsi="Courier New" w:cs="Courier New"/>
          <w:b/>
          <w:bCs/>
          <w:i/>
          <w:iCs/>
          <w:sz w:val="24"/>
          <w:szCs w:val="24"/>
        </w:rPr>
        <w:t>North American Philips Lighting Corp.,</w:t>
      </w:r>
      <w:r w:rsidRPr="001A0FF8">
        <w:rPr>
          <w:rFonts w:ascii="Courier New" w:eastAsia="Calibri" w:hAnsi="Courier New" w:cs="Courier New"/>
          <w:sz w:val="24"/>
          <w:szCs w:val="24"/>
        </w:rPr>
        <w:t xml:space="preserve"> 392 Mass. at 300.  </w:t>
      </w:r>
      <w:r w:rsidRPr="001A0FF8">
        <w:rPr>
          <w:rFonts w:ascii="Courier New" w:eastAsia="Calibri" w:hAnsi="Courier New"/>
          <w:sz w:val="24"/>
          <w:szCs w:val="24"/>
        </w:rPr>
        <w:t xml:space="preserve">“The credibility of witnesses, the weight of the evidence, and inferences to be drawn from the evidence are matters for the Board.”  </w:t>
      </w:r>
      <w:r w:rsidRPr="001A0FF8">
        <w:rPr>
          <w:rFonts w:ascii="Courier New" w:eastAsia="Calibri" w:hAnsi="Courier New"/>
          <w:b/>
          <w:i/>
          <w:sz w:val="24"/>
          <w:szCs w:val="24"/>
        </w:rPr>
        <w:t>Cummington School of the Arts, Inc. v. Assessors of Cummington,</w:t>
      </w:r>
      <w:r w:rsidRPr="001A0FF8">
        <w:rPr>
          <w:rFonts w:ascii="Courier New" w:eastAsia="Calibri" w:hAnsi="Courier New"/>
          <w:sz w:val="24"/>
          <w:szCs w:val="24"/>
        </w:rPr>
        <w:t xml:space="preserve"> 373 Mass. 597, 605 (1977).</w:t>
      </w:r>
    </w:p>
    <w:p w:rsidR="00B63A1B" w:rsidRDefault="00B63A1B" w:rsidP="001A0FF8">
      <w:pPr>
        <w:spacing w:after="0" w:line="480" w:lineRule="auto"/>
        <w:ind w:firstLine="720"/>
        <w:jc w:val="both"/>
        <w:rPr>
          <w:rFonts w:ascii="Courier New" w:eastAsia="Calibri" w:hAnsi="Courier New"/>
          <w:sz w:val="24"/>
          <w:szCs w:val="24"/>
        </w:rPr>
      </w:pPr>
      <w:r>
        <w:rPr>
          <w:rFonts w:ascii="Courier New" w:eastAsia="Calibri" w:hAnsi="Courier New"/>
          <w:sz w:val="24"/>
          <w:szCs w:val="24"/>
        </w:rPr>
        <w:t xml:space="preserve">After considering the record in its totality, and exercising its own independent judgment, the Board found and ruled that the appellant met his burden of proving that the subject property’s assessed value exceeded its fair cash value for both of the fiscal years at issue, and it therefore decided </w:t>
      </w:r>
      <w:r>
        <w:rPr>
          <w:rFonts w:ascii="Courier New" w:eastAsia="Calibri" w:hAnsi="Courier New"/>
          <w:sz w:val="24"/>
          <w:szCs w:val="24"/>
        </w:rPr>
        <w:lastRenderedPageBreak/>
        <w:t xml:space="preserve">these appeals for the appellant.  Having determined that the fair cash value of the subject property was $900,000 for both of the fiscal years at issue, the Board granted </w:t>
      </w:r>
      <w:r w:rsidR="00BB01AC">
        <w:rPr>
          <w:rFonts w:ascii="Courier New" w:eastAsia="Calibri" w:hAnsi="Courier New"/>
          <w:sz w:val="24"/>
          <w:szCs w:val="24"/>
        </w:rPr>
        <w:t>abatement</w:t>
      </w:r>
      <w:r w:rsidR="00CD0788">
        <w:rPr>
          <w:rFonts w:ascii="Courier New" w:eastAsia="Calibri" w:hAnsi="Courier New"/>
          <w:sz w:val="24"/>
          <w:szCs w:val="24"/>
        </w:rPr>
        <w:t>s</w:t>
      </w:r>
      <w:r w:rsidR="00BB01AC">
        <w:rPr>
          <w:rFonts w:ascii="Courier New" w:eastAsia="Calibri" w:hAnsi="Courier New"/>
          <w:sz w:val="24"/>
          <w:szCs w:val="24"/>
        </w:rPr>
        <w:t xml:space="preserve"> in the amount</w:t>
      </w:r>
      <w:r w:rsidR="00CD0788">
        <w:rPr>
          <w:rFonts w:ascii="Courier New" w:eastAsia="Calibri" w:hAnsi="Courier New"/>
          <w:sz w:val="24"/>
          <w:szCs w:val="24"/>
        </w:rPr>
        <w:t>s</w:t>
      </w:r>
      <w:r w:rsidR="00BB01AC">
        <w:rPr>
          <w:rFonts w:ascii="Courier New" w:eastAsia="Calibri" w:hAnsi="Courier New"/>
          <w:sz w:val="24"/>
          <w:szCs w:val="24"/>
        </w:rPr>
        <w:t xml:space="preserve"> of $1,862.18 for fiscal year 2016 and $1,995.06 </w:t>
      </w:r>
      <w:r>
        <w:rPr>
          <w:rFonts w:ascii="Courier New" w:eastAsia="Calibri" w:hAnsi="Courier New"/>
          <w:sz w:val="24"/>
          <w:szCs w:val="24"/>
        </w:rPr>
        <w:t>for</w:t>
      </w:r>
      <w:r w:rsidR="00BB01AC">
        <w:rPr>
          <w:rFonts w:ascii="Courier New" w:eastAsia="Calibri" w:hAnsi="Courier New"/>
          <w:sz w:val="24"/>
          <w:szCs w:val="24"/>
        </w:rPr>
        <w:t xml:space="preserve"> fiscal year 2017, which amounts include </w:t>
      </w:r>
      <w:r>
        <w:rPr>
          <w:rFonts w:ascii="Courier New" w:eastAsia="Calibri" w:hAnsi="Courier New"/>
          <w:sz w:val="24"/>
          <w:szCs w:val="24"/>
        </w:rPr>
        <w:t>the Commu</w:t>
      </w:r>
      <w:r w:rsidR="00BB01AC">
        <w:rPr>
          <w:rFonts w:ascii="Courier New" w:eastAsia="Calibri" w:hAnsi="Courier New"/>
          <w:sz w:val="24"/>
          <w:szCs w:val="24"/>
        </w:rPr>
        <w:t>nity Pr</w:t>
      </w:r>
      <w:r w:rsidR="00CD0788">
        <w:rPr>
          <w:rFonts w:ascii="Courier New" w:eastAsia="Calibri" w:hAnsi="Courier New"/>
          <w:sz w:val="24"/>
          <w:szCs w:val="24"/>
        </w:rPr>
        <w:t xml:space="preserve">eservation Act surcharge, plus any </w:t>
      </w:r>
      <w:r w:rsidR="00BB01AC">
        <w:rPr>
          <w:rFonts w:ascii="Courier New" w:eastAsia="Calibri" w:hAnsi="Courier New"/>
          <w:sz w:val="24"/>
          <w:szCs w:val="24"/>
        </w:rPr>
        <w:t xml:space="preserve">associated interest.  </w:t>
      </w:r>
    </w:p>
    <w:p w:rsidR="001A0FF8" w:rsidRPr="003E01B0" w:rsidRDefault="001A0FF8" w:rsidP="003E01B0">
      <w:pPr>
        <w:spacing w:after="0" w:line="480" w:lineRule="auto"/>
        <w:ind w:firstLine="720"/>
        <w:jc w:val="both"/>
        <w:rPr>
          <w:rFonts w:ascii="Courier New" w:eastAsia="Times New Roman" w:hAnsi="Courier New" w:cs="Courier New"/>
          <w:sz w:val="24"/>
          <w:szCs w:val="24"/>
        </w:rPr>
      </w:pPr>
    </w:p>
    <w:p w:rsidR="00E96BF0" w:rsidRDefault="00C30568" w:rsidP="00E96BF0">
      <w:pPr>
        <w:ind w:left="3600" w:firstLine="720"/>
        <w:jc w:val="both"/>
        <w:rPr>
          <w:rFonts w:ascii="Courier New" w:hAnsi="Courier New"/>
          <w:b/>
        </w:rPr>
      </w:pPr>
      <w:r w:rsidRPr="00AE3DBC">
        <w:rPr>
          <w:rFonts w:ascii="Courier New" w:hAnsi="Courier New"/>
          <w:b/>
        </w:rPr>
        <w:t>THE</w:t>
      </w:r>
      <w:r>
        <w:rPr>
          <w:rFonts w:ascii="Courier New" w:hAnsi="Courier New"/>
        </w:rPr>
        <w:t xml:space="preserve"> </w:t>
      </w:r>
      <w:r w:rsidRPr="00DC5970">
        <w:rPr>
          <w:rFonts w:ascii="Courier New" w:hAnsi="Courier New"/>
          <w:b/>
        </w:rPr>
        <w:t>A</w:t>
      </w:r>
      <w:r w:rsidRPr="001610C2">
        <w:rPr>
          <w:rFonts w:ascii="Courier New" w:hAnsi="Courier New"/>
          <w:b/>
        </w:rPr>
        <w:t>PPELLATE TAX BOARD</w:t>
      </w:r>
    </w:p>
    <w:p w:rsidR="00E96BF0" w:rsidRDefault="00E96BF0" w:rsidP="00E96BF0">
      <w:pPr>
        <w:ind w:left="3600" w:firstLine="720"/>
        <w:jc w:val="both"/>
        <w:rPr>
          <w:rFonts w:ascii="Courier New" w:hAnsi="Courier New"/>
          <w:b/>
        </w:rPr>
      </w:pPr>
    </w:p>
    <w:p w:rsidR="00C30568" w:rsidRDefault="00C30568" w:rsidP="00C30568">
      <w:pPr>
        <w:ind w:left="2880"/>
        <w:jc w:val="both"/>
        <w:rPr>
          <w:rFonts w:ascii="Courier New" w:hAnsi="Courier New"/>
          <w:b/>
        </w:rPr>
      </w:pPr>
    </w:p>
    <w:p w:rsidR="00C30568" w:rsidRPr="001610C2" w:rsidRDefault="00C30568" w:rsidP="00E96BF0">
      <w:pPr>
        <w:spacing w:after="0"/>
        <w:ind w:left="2880" w:firstLine="720"/>
        <w:jc w:val="both"/>
        <w:rPr>
          <w:rFonts w:ascii="Courier New" w:hAnsi="Courier New"/>
          <w:b/>
        </w:rPr>
      </w:pPr>
      <w:r w:rsidRPr="001610C2">
        <w:rPr>
          <w:rFonts w:ascii="Courier New" w:hAnsi="Courier New"/>
          <w:b/>
        </w:rPr>
        <w:t>By:</w:t>
      </w:r>
      <w:r>
        <w:rPr>
          <w:rFonts w:ascii="Courier New" w:hAnsi="Courier New"/>
          <w:b/>
        </w:rPr>
        <w:t xml:space="preserve"> </w:t>
      </w:r>
      <w:r w:rsidRPr="001610C2">
        <w:rPr>
          <w:rFonts w:ascii="Courier New" w:hAnsi="Courier New"/>
          <w:b/>
        </w:rPr>
        <w:t>___________________</w:t>
      </w:r>
      <w:r>
        <w:rPr>
          <w:rFonts w:ascii="Courier New" w:hAnsi="Courier New"/>
          <w:b/>
        </w:rPr>
        <w:t>____</w:t>
      </w:r>
      <w:r w:rsidRPr="001610C2">
        <w:rPr>
          <w:rFonts w:ascii="Courier New" w:hAnsi="Courier New"/>
          <w:b/>
        </w:rPr>
        <w:t>_____</w:t>
      </w:r>
      <w:r>
        <w:rPr>
          <w:rFonts w:ascii="Courier New" w:hAnsi="Courier New"/>
          <w:b/>
        </w:rPr>
        <w:t>___</w:t>
      </w:r>
      <w:r w:rsidRPr="001610C2">
        <w:rPr>
          <w:rFonts w:ascii="Courier New" w:hAnsi="Courier New"/>
          <w:b/>
        </w:rPr>
        <w:t>__</w:t>
      </w:r>
      <w:r>
        <w:rPr>
          <w:rFonts w:ascii="Courier New" w:hAnsi="Courier New"/>
          <w:b/>
        </w:rPr>
        <w:t>___</w:t>
      </w:r>
    </w:p>
    <w:p w:rsidR="00C30568" w:rsidRDefault="00C30568" w:rsidP="00C30568">
      <w:pPr>
        <w:pStyle w:val="Heading1"/>
        <w:jc w:val="both"/>
      </w:pPr>
      <w:r>
        <w:tab/>
        <w:t xml:space="preserve">     </w:t>
      </w:r>
      <w:r w:rsidR="00E96BF0">
        <w:t>    </w:t>
      </w:r>
      <w:r>
        <w:t>Thomas W. Hammond, Jr., Chairman</w:t>
      </w:r>
    </w:p>
    <w:p w:rsidR="00C30568" w:rsidRPr="00505A6B" w:rsidRDefault="00C30568" w:rsidP="00C30568"/>
    <w:p w:rsidR="007C7DC6" w:rsidRDefault="007C7DC6" w:rsidP="007C7DC6">
      <w:pPr>
        <w:tabs>
          <w:tab w:val="left" w:pos="2352"/>
        </w:tabs>
        <w:spacing w:before="240" w:line="360" w:lineRule="auto"/>
        <w:jc w:val="both"/>
        <w:rPr>
          <w:rFonts w:ascii="Courier New" w:hAnsi="Courier New" w:cs="Courier New"/>
          <w:b/>
          <w:sz w:val="24"/>
          <w:szCs w:val="24"/>
        </w:rPr>
      </w:pPr>
    </w:p>
    <w:p w:rsidR="007C7DC6" w:rsidRDefault="007C7DC6" w:rsidP="007C7DC6">
      <w:pPr>
        <w:tabs>
          <w:tab w:val="left" w:pos="2352"/>
        </w:tabs>
        <w:spacing w:before="240" w:line="360" w:lineRule="auto"/>
        <w:jc w:val="both"/>
        <w:rPr>
          <w:rFonts w:ascii="Courier New" w:hAnsi="Courier New" w:cs="Courier New"/>
          <w:b/>
          <w:sz w:val="24"/>
          <w:szCs w:val="24"/>
        </w:rPr>
      </w:pPr>
    </w:p>
    <w:p w:rsidR="00DD2BE5" w:rsidRPr="00E96BF0" w:rsidRDefault="00DD2BE5" w:rsidP="00DD2BE5">
      <w:pPr>
        <w:tabs>
          <w:tab w:val="left" w:pos="2352"/>
        </w:tabs>
        <w:spacing w:before="240" w:line="360" w:lineRule="auto"/>
        <w:jc w:val="both"/>
        <w:rPr>
          <w:rFonts w:ascii="Courier New" w:hAnsi="Courier New" w:cs="Courier New"/>
          <w:b/>
          <w:sz w:val="24"/>
          <w:szCs w:val="24"/>
        </w:rPr>
      </w:pPr>
      <w:r w:rsidRPr="00E96BF0">
        <w:rPr>
          <w:rFonts w:ascii="Courier New" w:hAnsi="Courier New" w:cs="Courier New"/>
          <w:b/>
          <w:sz w:val="24"/>
          <w:szCs w:val="24"/>
        </w:rPr>
        <w:t>A true copy,</w:t>
      </w:r>
      <w:r>
        <w:rPr>
          <w:rFonts w:ascii="Courier New" w:hAnsi="Courier New" w:cs="Courier New"/>
          <w:b/>
          <w:sz w:val="24"/>
          <w:szCs w:val="24"/>
        </w:rPr>
        <w:tab/>
      </w:r>
    </w:p>
    <w:p w:rsidR="00DD2BE5" w:rsidRPr="00E96BF0" w:rsidRDefault="00DD2BE5" w:rsidP="00DD2BE5">
      <w:pPr>
        <w:spacing w:after="0"/>
        <w:jc w:val="both"/>
        <w:rPr>
          <w:rFonts w:ascii="Courier New" w:hAnsi="Courier New" w:cs="Courier New"/>
          <w:b/>
          <w:sz w:val="24"/>
          <w:szCs w:val="24"/>
        </w:rPr>
      </w:pPr>
      <w:r w:rsidRPr="00E96BF0">
        <w:rPr>
          <w:rFonts w:ascii="Courier New" w:hAnsi="Courier New" w:cs="Courier New"/>
          <w:b/>
          <w:sz w:val="24"/>
          <w:szCs w:val="24"/>
        </w:rPr>
        <w:t>Attest: ___________________</w:t>
      </w:r>
      <w:r>
        <w:rPr>
          <w:rFonts w:ascii="Courier New" w:hAnsi="Courier New" w:cs="Courier New"/>
          <w:b/>
          <w:sz w:val="24"/>
          <w:szCs w:val="24"/>
        </w:rPr>
        <w:t>_______</w:t>
      </w:r>
    </w:p>
    <w:p w:rsidR="00DD2BE5" w:rsidRPr="00807F52" w:rsidRDefault="00DD2BE5" w:rsidP="00DD2BE5">
      <w:pPr>
        <w:spacing w:after="0"/>
        <w:jc w:val="both"/>
        <w:rPr>
          <w:rFonts w:ascii="Courier New" w:hAnsi="Courier New" w:cs="Courier New"/>
          <w:sz w:val="24"/>
          <w:szCs w:val="24"/>
        </w:rPr>
      </w:pPr>
      <w:r>
        <w:rPr>
          <w:rFonts w:ascii="Courier New" w:hAnsi="Courier New" w:cs="Courier New"/>
          <w:b/>
          <w:sz w:val="24"/>
          <w:szCs w:val="24"/>
        </w:rPr>
        <w:t xml:space="preserve">          </w:t>
      </w:r>
      <w:r w:rsidRPr="00E96BF0">
        <w:rPr>
          <w:rFonts w:ascii="Courier New" w:hAnsi="Courier New" w:cs="Courier New"/>
          <w:b/>
          <w:sz w:val="24"/>
          <w:szCs w:val="24"/>
        </w:rPr>
        <w:t>Clerk of the Board</w:t>
      </w:r>
    </w:p>
    <w:p w:rsidR="00E96BF0" w:rsidRDefault="00E96BF0" w:rsidP="00E96BF0">
      <w:pPr>
        <w:tabs>
          <w:tab w:val="left" w:pos="2352"/>
        </w:tabs>
        <w:spacing w:before="240" w:line="360" w:lineRule="auto"/>
        <w:jc w:val="both"/>
        <w:rPr>
          <w:rFonts w:ascii="Courier New" w:hAnsi="Courier New" w:cs="Courier New"/>
          <w:b/>
          <w:sz w:val="24"/>
          <w:szCs w:val="24"/>
        </w:rPr>
      </w:pPr>
    </w:p>
    <w:sectPr w:rsidR="00E96BF0" w:rsidSect="007C7DC6">
      <w:footerReference w:type="default" r:id="rId8"/>
      <w:pgSz w:w="12240" w:h="15840"/>
      <w:pgMar w:top="1440" w:right="1440" w:bottom="1440" w:left="1440" w:header="720" w:footer="720" w:gutter="0"/>
      <w:pgNumType w:start="3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6F" w:rsidRDefault="00894B6F" w:rsidP="00894B6F">
      <w:pPr>
        <w:spacing w:after="0"/>
      </w:pPr>
      <w:r>
        <w:separator/>
      </w:r>
    </w:p>
  </w:endnote>
  <w:endnote w:type="continuationSeparator" w:id="0">
    <w:p w:rsidR="00894B6F" w:rsidRDefault="00894B6F" w:rsidP="00894B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sz w:val="24"/>
        <w:szCs w:val="24"/>
      </w:rPr>
      <w:id w:val="1790624763"/>
      <w:docPartObj>
        <w:docPartGallery w:val="Page Numbers (Bottom of Page)"/>
        <w:docPartUnique/>
      </w:docPartObj>
    </w:sdtPr>
    <w:sdtEndPr>
      <w:rPr>
        <w:noProof/>
      </w:rPr>
    </w:sdtEndPr>
    <w:sdtContent>
      <w:p w:rsidR="00894B6F" w:rsidRPr="007C7DC6" w:rsidRDefault="007C7DC6">
        <w:pPr>
          <w:pStyle w:val="Footer"/>
          <w:jc w:val="center"/>
          <w:rPr>
            <w:rFonts w:ascii="Courier New" w:hAnsi="Courier New" w:cs="Courier New"/>
            <w:b/>
            <w:sz w:val="24"/>
            <w:szCs w:val="24"/>
          </w:rPr>
        </w:pPr>
        <w:r w:rsidRPr="007C7DC6">
          <w:rPr>
            <w:rFonts w:ascii="Courier New" w:hAnsi="Courier New" w:cs="Courier New"/>
            <w:b/>
            <w:sz w:val="24"/>
            <w:szCs w:val="24"/>
          </w:rPr>
          <w:t>ATB 2018-</w:t>
        </w:r>
        <w:r w:rsidR="00894B6F" w:rsidRPr="007C7DC6">
          <w:rPr>
            <w:rFonts w:ascii="Courier New" w:hAnsi="Courier New" w:cs="Courier New"/>
            <w:b/>
            <w:sz w:val="24"/>
            <w:szCs w:val="24"/>
          </w:rPr>
          <w:fldChar w:fldCharType="begin"/>
        </w:r>
        <w:r w:rsidR="00894B6F" w:rsidRPr="007C7DC6">
          <w:rPr>
            <w:rFonts w:ascii="Courier New" w:hAnsi="Courier New" w:cs="Courier New"/>
            <w:b/>
            <w:sz w:val="24"/>
            <w:szCs w:val="24"/>
          </w:rPr>
          <w:instrText xml:space="preserve"> PAGE   \* MERGEFORMAT </w:instrText>
        </w:r>
        <w:r w:rsidR="00894B6F" w:rsidRPr="007C7DC6">
          <w:rPr>
            <w:rFonts w:ascii="Courier New" w:hAnsi="Courier New" w:cs="Courier New"/>
            <w:b/>
            <w:sz w:val="24"/>
            <w:szCs w:val="24"/>
          </w:rPr>
          <w:fldChar w:fldCharType="separate"/>
        </w:r>
        <w:r w:rsidR="00364EFF">
          <w:rPr>
            <w:rFonts w:ascii="Courier New" w:hAnsi="Courier New" w:cs="Courier New"/>
            <w:b/>
            <w:noProof/>
            <w:sz w:val="24"/>
            <w:szCs w:val="24"/>
          </w:rPr>
          <w:t>332</w:t>
        </w:r>
        <w:r w:rsidR="00894B6F" w:rsidRPr="007C7DC6">
          <w:rPr>
            <w:rFonts w:ascii="Courier New" w:hAnsi="Courier New" w:cs="Courier New"/>
            <w:b/>
            <w:noProof/>
            <w:sz w:val="24"/>
            <w:szCs w:val="24"/>
          </w:rPr>
          <w:fldChar w:fldCharType="end"/>
        </w:r>
      </w:p>
    </w:sdtContent>
  </w:sdt>
  <w:p w:rsidR="00894B6F" w:rsidRDefault="00894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6F" w:rsidRDefault="00894B6F" w:rsidP="00894B6F">
      <w:pPr>
        <w:spacing w:after="0"/>
      </w:pPr>
      <w:r>
        <w:separator/>
      </w:r>
    </w:p>
  </w:footnote>
  <w:footnote w:type="continuationSeparator" w:id="0">
    <w:p w:rsidR="00894B6F" w:rsidRDefault="00894B6F" w:rsidP="00894B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C9"/>
    <w:rsid w:val="00001F4E"/>
    <w:rsid w:val="000107F7"/>
    <w:rsid w:val="00030E7C"/>
    <w:rsid w:val="00045B0C"/>
    <w:rsid w:val="00057FED"/>
    <w:rsid w:val="000622FF"/>
    <w:rsid w:val="000B17F3"/>
    <w:rsid w:val="000C2F0E"/>
    <w:rsid w:val="000D178A"/>
    <w:rsid w:val="0011673C"/>
    <w:rsid w:val="0012226D"/>
    <w:rsid w:val="00131C04"/>
    <w:rsid w:val="001323F4"/>
    <w:rsid w:val="00154FF8"/>
    <w:rsid w:val="0016558B"/>
    <w:rsid w:val="001771D3"/>
    <w:rsid w:val="00187A34"/>
    <w:rsid w:val="00187C91"/>
    <w:rsid w:val="001969D5"/>
    <w:rsid w:val="001A061F"/>
    <w:rsid w:val="001A0FF8"/>
    <w:rsid w:val="00226C5E"/>
    <w:rsid w:val="002A44CD"/>
    <w:rsid w:val="002C4C73"/>
    <w:rsid w:val="002C5C7A"/>
    <w:rsid w:val="002C7637"/>
    <w:rsid w:val="002D030E"/>
    <w:rsid w:val="002E0726"/>
    <w:rsid w:val="003031C7"/>
    <w:rsid w:val="00312577"/>
    <w:rsid w:val="003170AB"/>
    <w:rsid w:val="00325193"/>
    <w:rsid w:val="0034775B"/>
    <w:rsid w:val="003528C1"/>
    <w:rsid w:val="00364EFF"/>
    <w:rsid w:val="003B2762"/>
    <w:rsid w:val="003E01B0"/>
    <w:rsid w:val="003E1BFC"/>
    <w:rsid w:val="003F2DD2"/>
    <w:rsid w:val="003F666E"/>
    <w:rsid w:val="00400717"/>
    <w:rsid w:val="00417559"/>
    <w:rsid w:val="00431BF9"/>
    <w:rsid w:val="004457B6"/>
    <w:rsid w:val="00447C10"/>
    <w:rsid w:val="00457FAB"/>
    <w:rsid w:val="004A02CF"/>
    <w:rsid w:val="004C32D9"/>
    <w:rsid w:val="004C52A6"/>
    <w:rsid w:val="004E0720"/>
    <w:rsid w:val="004F6627"/>
    <w:rsid w:val="005100A4"/>
    <w:rsid w:val="00515FEA"/>
    <w:rsid w:val="00525648"/>
    <w:rsid w:val="00541D21"/>
    <w:rsid w:val="005606BC"/>
    <w:rsid w:val="00581F4F"/>
    <w:rsid w:val="005928C8"/>
    <w:rsid w:val="005A2057"/>
    <w:rsid w:val="005A5DDC"/>
    <w:rsid w:val="005C641D"/>
    <w:rsid w:val="005E349E"/>
    <w:rsid w:val="00620ECA"/>
    <w:rsid w:val="0064050D"/>
    <w:rsid w:val="00651C31"/>
    <w:rsid w:val="006B47CD"/>
    <w:rsid w:val="006C3D8D"/>
    <w:rsid w:val="006C7B07"/>
    <w:rsid w:val="0073226B"/>
    <w:rsid w:val="00745A21"/>
    <w:rsid w:val="00752323"/>
    <w:rsid w:val="00752E45"/>
    <w:rsid w:val="007A2DA3"/>
    <w:rsid w:val="007C077A"/>
    <w:rsid w:val="007C7DC6"/>
    <w:rsid w:val="007D1F51"/>
    <w:rsid w:val="007F6BFD"/>
    <w:rsid w:val="00807F52"/>
    <w:rsid w:val="008153EC"/>
    <w:rsid w:val="00821D7C"/>
    <w:rsid w:val="00826728"/>
    <w:rsid w:val="008300FC"/>
    <w:rsid w:val="00837B77"/>
    <w:rsid w:val="00847C87"/>
    <w:rsid w:val="00864A7D"/>
    <w:rsid w:val="00894B6F"/>
    <w:rsid w:val="008A3CDC"/>
    <w:rsid w:val="008A52CB"/>
    <w:rsid w:val="008C5CE1"/>
    <w:rsid w:val="008D1DB0"/>
    <w:rsid w:val="008E6293"/>
    <w:rsid w:val="00903B71"/>
    <w:rsid w:val="00916C4F"/>
    <w:rsid w:val="0092213E"/>
    <w:rsid w:val="0092530A"/>
    <w:rsid w:val="0093226A"/>
    <w:rsid w:val="009408F8"/>
    <w:rsid w:val="00946BB8"/>
    <w:rsid w:val="00980A81"/>
    <w:rsid w:val="009857C9"/>
    <w:rsid w:val="00986697"/>
    <w:rsid w:val="0099066A"/>
    <w:rsid w:val="009A5C96"/>
    <w:rsid w:val="009D2B61"/>
    <w:rsid w:val="009F1D4E"/>
    <w:rsid w:val="00A1331A"/>
    <w:rsid w:val="00A305BB"/>
    <w:rsid w:val="00A46B4F"/>
    <w:rsid w:val="00A728D3"/>
    <w:rsid w:val="00A77352"/>
    <w:rsid w:val="00AD7A83"/>
    <w:rsid w:val="00AE4D39"/>
    <w:rsid w:val="00AF2EE3"/>
    <w:rsid w:val="00B03206"/>
    <w:rsid w:val="00B2476C"/>
    <w:rsid w:val="00B3459A"/>
    <w:rsid w:val="00B63A1B"/>
    <w:rsid w:val="00B705D1"/>
    <w:rsid w:val="00B80A09"/>
    <w:rsid w:val="00BB01AC"/>
    <w:rsid w:val="00BB43A7"/>
    <w:rsid w:val="00BC7A73"/>
    <w:rsid w:val="00BD00C6"/>
    <w:rsid w:val="00BD5FE6"/>
    <w:rsid w:val="00BF489F"/>
    <w:rsid w:val="00C2736E"/>
    <w:rsid w:val="00C30568"/>
    <w:rsid w:val="00C36BBA"/>
    <w:rsid w:val="00C438F1"/>
    <w:rsid w:val="00C833CA"/>
    <w:rsid w:val="00CA28AD"/>
    <w:rsid w:val="00CA2A46"/>
    <w:rsid w:val="00CD0788"/>
    <w:rsid w:val="00CE6B13"/>
    <w:rsid w:val="00CF435C"/>
    <w:rsid w:val="00D2721E"/>
    <w:rsid w:val="00D300AF"/>
    <w:rsid w:val="00D4010A"/>
    <w:rsid w:val="00D52E06"/>
    <w:rsid w:val="00D6362C"/>
    <w:rsid w:val="00D65FD2"/>
    <w:rsid w:val="00D75397"/>
    <w:rsid w:val="00D800A1"/>
    <w:rsid w:val="00D90D51"/>
    <w:rsid w:val="00D94258"/>
    <w:rsid w:val="00DB684A"/>
    <w:rsid w:val="00DC6EA0"/>
    <w:rsid w:val="00DD1B08"/>
    <w:rsid w:val="00DD23AE"/>
    <w:rsid w:val="00DD2BE5"/>
    <w:rsid w:val="00E145C4"/>
    <w:rsid w:val="00E60966"/>
    <w:rsid w:val="00E70272"/>
    <w:rsid w:val="00E84B59"/>
    <w:rsid w:val="00E94A10"/>
    <w:rsid w:val="00E96BF0"/>
    <w:rsid w:val="00EC0828"/>
    <w:rsid w:val="00EC5820"/>
    <w:rsid w:val="00F065D3"/>
    <w:rsid w:val="00F1770E"/>
    <w:rsid w:val="00F24418"/>
    <w:rsid w:val="00F438C7"/>
    <w:rsid w:val="00F6238E"/>
    <w:rsid w:val="00F70C4A"/>
    <w:rsid w:val="00F8297B"/>
    <w:rsid w:val="00FA5639"/>
    <w:rsid w:val="00FA6E3A"/>
    <w:rsid w:val="00FB1F6D"/>
    <w:rsid w:val="00FB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C9"/>
    <w:pPr>
      <w:spacing w:after="160" w:line="240" w:lineRule="auto"/>
    </w:pPr>
    <w:rPr>
      <w:rFonts w:ascii="Times New Roman" w:hAnsi="Times New Roman" w:cs="Times New Roman"/>
    </w:rPr>
  </w:style>
  <w:style w:type="paragraph" w:styleId="Heading1">
    <w:name w:val="heading 1"/>
    <w:basedOn w:val="Normal"/>
    <w:next w:val="Normal"/>
    <w:link w:val="Heading1Char"/>
    <w:qFormat/>
    <w:rsid w:val="00C30568"/>
    <w:pPr>
      <w:keepNext/>
      <w:spacing w:after="0"/>
      <w:ind w:left="2880" w:hanging="2880"/>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B6F"/>
    <w:pPr>
      <w:tabs>
        <w:tab w:val="center" w:pos="4680"/>
        <w:tab w:val="right" w:pos="9360"/>
      </w:tabs>
      <w:spacing w:after="0"/>
    </w:pPr>
  </w:style>
  <w:style w:type="character" w:customStyle="1" w:styleId="HeaderChar">
    <w:name w:val="Header Char"/>
    <w:basedOn w:val="DefaultParagraphFont"/>
    <w:link w:val="Header"/>
    <w:uiPriority w:val="99"/>
    <w:rsid w:val="00894B6F"/>
    <w:rPr>
      <w:rFonts w:ascii="Times New Roman" w:hAnsi="Times New Roman" w:cs="Times New Roman"/>
    </w:rPr>
  </w:style>
  <w:style w:type="paragraph" w:styleId="Footer">
    <w:name w:val="footer"/>
    <w:basedOn w:val="Normal"/>
    <w:link w:val="FooterChar"/>
    <w:uiPriority w:val="99"/>
    <w:unhideWhenUsed/>
    <w:rsid w:val="00894B6F"/>
    <w:pPr>
      <w:tabs>
        <w:tab w:val="center" w:pos="4680"/>
        <w:tab w:val="right" w:pos="9360"/>
      </w:tabs>
      <w:spacing w:after="0"/>
    </w:pPr>
  </w:style>
  <w:style w:type="character" w:customStyle="1" w:styleId="FooterChar">
    <w:name w:val="Footer Char"/>
    <w:basedOn w:val="DefaultParagraphFont"/>
    <w:link w:val="Footer"/>
    <w:uiPriority w:val="99"/>
    <w:rsid w:val="00894B6F"/>
    <w:rPr>
      <w:rFonts w:ascii="Times New Roman" w:hAnsi="Times New Roman" w:cs="Times New Roman"/>
    </w:rPr>
  </w:style>
  <w:style w:type="table" w:styleId="TableGrid">
    <w:name w:val="Table Grid"/>
    <w:basedOn w:val="TableNormal"/>
    <w:uiPriority w:val="59"/>
    <w:rsid w:val="00E8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30568"/>
    <w:rPr>
      <w:rFonts w:ascii="Courier New" w:eastAsia="Times New Roman" w:hAnsi="Courier New" w:cs="Courier New"/>
      <w:b/>
      <w:bCs/>
      <w:sz w:val="24"/>
      <w:szCs w:val="24"/>
    </w:rPr>
  </w:style>
  <w:style w:type="paragraph" w:styleId="BalloonText">
    <w:name w:val="Balloon Text"/>
    <w:basedOn w:val="Normal"/>
    <w:link w:val="BalloonTextChar"/>
    <w:uiPriority w:val="99"/>
    <w:semiHidden/>
    <w:unhideWhenUsed/>
    <w:rsid w:val="00BB43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C9"/>
    <w:pPr>
      <w:spacing w:after="160" w:line="240" w:lineRule="auto"/>
    </w:pPr>
    <w:rPr>
      <w:rFonts w:ascii="Times New Roman" w:hAnsi="Times New Roman" w:cs="Times New Roman"/>
    </w:rPr>
  </w:style>
  <w:style w:type="paragraph" w:styleId="Heading1">
    <w:name w:val="heading 1"/>
    <w:basedOn w:val="Normal"/>
    <w:next w:val="Normal"/>
    <w:link w:val="Heading1Char"/>
    <w:qFormat/>
    <w:rsid w:val="00C30568"/>
    <w:pPr>
      <w:keepNext/>
      <w:spacing w:after="0"/>
      <w:ind w:left="2880" w:hanging="2880"/>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B6F"/>
    <w:pPr>
      <w:tabs>
        <w:tab w:val="center" w:pos="4680"/>
        <w:tab w:val="right" w:pos="9360"/>
      </w:tabs>
      <w:spacing w:after="0"/>
    </w:pPr>
  </w:style>
  <w:style w:type="character" w:customStyle="1" w:styleId="HeaderChar">
    <w:name w:val="Header Char"/>
    <w:basedOn w:val="DefaultParagraphFont"/>
    <w:link w:val="Header"/>
    <w:uiPriority w:val="99"/>
    <w:rsid w:val="00894B6F"/>
    <w:rPr>
      <w:rFonts w:ascii="Times New Roman" w:hAnsi="Times New Roman" w:cs="Times New Roman"/>
    </w:rPr>
  </w:style>
  <w:style w:type="paragraph" w:styleId="Footer">
    <w:name w:val="footer"/>
    <w:basedOn w:val="Normal"/>
    <w:link w:val="FooterChar"/>
    <w:uiPriority w:val="99"/>
    <w:unhideWhenUsed/>
    <w:rsid w:val="00894B6F"/>
    <w:pPr>
      <w:tabs>
        <w:tab w:val="center" w:pos="4680"/>
        <w:tab w:val="right" w:pos="9360"/>
      </w:tabs>
      <w:spacing w:after="0"/>
    </w:pPr>
  </w:style>
  <w:style w:type="character" w:customStyle="1" w:styleId="FooterChar">
    <w:name w:val="Footer Char"/>
    <w:basedOn w:val="DefaultParagraphFont"/>
    <w:link w:val="Footer"/>
    <w:uiPriority w:val="99"/>
    <w:rsid w:val="00894B6F"/>
    <w:rPr>
      <w:rFonts w:ascii="Times New Roman" w:hAnsi="Times New Roman" w:cs="Times New Roman"/>
    </w:rPr>
  </w:style>
  <w:style w:type="table" w:styleId="TableGrid">
    <w:name w:val="Table Grid"/>
    <w:basedOn w:val="TableNormal"/>
    <w:uiPriority w:val="59"/>
    <w:rsid w:val="00E8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30568"/>
    <w:rPr>
      <w:rFonts w:ascii="Courier New" w:eastAsia="Times New Roman" w:hAnsi="Courier New" w:cs="Courier New"/>
      <w:b/>
      <w:bCs/>
      <w:sz w:val="24"/>
      <w:szCs w:val="24"/>
    </w:rPr>
  </w:style>
  <w:style w:type="paragraph" w:styleId="BalloonText">
    <w:name w:val="Balloon Text"/>
    <w:basedOn w:val="Normal"/>
    <w:link w:val="BalloonTextChar"/>
    <w:uiPriority w:val="99"/>
    <w:semiHidden/>
    <w:unhideWhenUsed/>
    <w:rsid w:val="00BB43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19539-0E44-4176-A56B-A72961CA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2018-07-16T17:31:00Z</cp:lastPrinted>
  <dcterms:created xsi:type="dcterms:W3CDTF">2018-07-17T14:09:00Z</dcterms:created>
  <dcterms:modified xsi:type="dcterms:W3CDTF">2018-07-17T14:09:00Z</dcterms:modified>
</cp:coreProperties>
</file>