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3C683D" w14:textId="77777777" w:rsidR="0013588F" w:rsidRPr="00E91641" w:rsidRDefault="0013588F" w:rsidP="00B57003">
      <w:pPr>
        <w:jc w:val="center"/>
        <w:rPr>
          <w:rFonts w:ascii="Courier New" w:hAnsi="Courier New" w:cs="Courier New"/>
          <w:b/>
        </w:rPr>
      </w:pPr>
      <w:bookmarkStart w:id="0" w:name="_GoBack"/>
      <w:bookmarkEnd w:id="0"/>
      <w:r w:rsidRPr="00E91641">
        <w:rPr>
          <w:rFonts w:ascii="Courier New" w:hAnsi="Courier New" w:cs="Courier New"/>
          <w:b/>
        </w:rPr>
        <w:t>COMMONWEALTH OF MASSACHUSETTS</w:t>
      </w:r>
    </w:p>
    <w:p w14:paraId="1E77DD9B" w14:textId="77777777" w:rsidR="0013588F" w:rsidRPr="00E91641" w:rsidRDefault="0013588F" w:rsidP="00B57003">
      <w:pPr>
        <w:jc w:val="center"/>
        <w:rPr>
          <w:rFonts w:ascii="Courier New" w:hAnsi="Courier New" w:cs="Courier New"/>
          <w:b/>
        </w:rPr>
      </w:pPr>
    </w:p>
    <w:p w14:paraId="777D3715" w14:textId="77777777" w:rsidR="0013588F" w:rsidRPr="00E91641" w:rsidRDefault="0013588F" w:rsidP="00B57003">
      <w:pPr>
        <w:jc w:val="center"/>
        <w:rPr>
          <w:rFonts w:ascii="Courier New" w:hAnsi="Courier New" w:cs="Courier New"/>
          <w:b/>
        </w:rPr>
      </w:pPr>
      <w:r w:rsidRPr="00E91641">
        <w:rPr>
          <w:rFonts w:ascii="Courier New" w:hAnsi="Courier New" w:cs="Courier New"/>
          <w:b/>
        </w:rPr>
        <w:t>APPELLATE TAX BOARD</w:t>
      </w:r>
    </w:p>
    <w:p w14:paraId="19B70E2D" w14:textId="77777777" w:rsidR="0013588F" w:rsidRPr="00E91641" w:rsidRDefault="0013588F" w:rsidP="00B57003">
      <w:pPr>
        <w:jc w:val="both"/>
        <w:rPr>
          <w:rFonts w:ascii="Courier New" w:hAnsi="Courier New" w:cs="Courier New"/>
          <w:b/>
        </w:rPr>
      </w:pPr>
    </w:p>
    <w:p w14:paraId="1EA79D68" w14:textId="77777777" w:rsidR="0013588F" w:rsidRPr="00E91641" w:rsidRDefault="0013588F" w:rsidP="00B57003">
      <w:pPr>
        <w:jc w:val="both"/>
        <w:rPr>
          <w:rFonts w:ascii="Courier New" w:hAnsi="Courier New" w:cs="Courier New"/>
          <w:b/>
        </w:rPr>
      </w:pPr>
    </w:p>
    <w:p w14:paraId="1F4E5615" w14:textId="4643EC32" w:rsidR="0013588F" w:rsidRDefault="0013588F" w:rsidP="00B57003">
      <w:pPr>
        <w:jc w:val="both"/>
        <w:rPr>
          <w:rFonts w:ascii="Courier New" w:hAnsi="Courier New" w:cs="Courier New"/>
          <w:b/>
        </w:rPr>
      </w:pPr>
      <w:r>
        <w:rPr>
          <w:rFonts w:ascii="Courier New" w:hAnsi="Courier New" w:cs="Courier New"/>
          <w:b/>
        </w:rPr>
        <w:t>BENJAMIN BIRNIE</w:t>
      </w:r>
      <w:r w:rsidRPr="00E91641">
        <w:rPr>
          <w:rFonts w:ascii="Courier New" w:hAnsi="Courier New" w:cs="Courier New"/>
          <w:b/>
        </w:rPr>
        <w:t xml:space="preserve">       </w:t>
      </w:r>
      <w:r w:rsidR="002F577F">
        <w:rPr>
          <w:rFonts w:ascii="Courier New" w:hAnsi="Courier New" w:cs="Courier New"/>
          <w:b/>
        </w:rPr>
        <w:tab/>
        <w:t xml:space="preserve">   </w:t>
      </w:r>
      <w:r w:rsidR="00B807FD">
        <w:rPr>
          <w:rFonts w:ascii="Courier New" w:hAnsi="Courier New" w:cs="Courier New"/>
          <w:b/>
        </w:rPr>
        <w:tab/>
      </w:r>
      <w:r w:rsidRPr="00E91641">
        <w:rPr>
          <w:rFonts w:ascii="Courier New" w:hAnsi="Courier New" w:cs="Courier New"/>
          <w:b/>
        </w:rPr>
        <w:t xml:space="preserve">v.      </w:t>
      </w:r>
      <w:r w:rsidR="00B807FD">
        <w:rPr>
          <w:rFonts w:ascii="Courier New" w:hAnsi="Courier New" w:cs="Courier New"/>
          <w:b/>
        </w:rPr>
        <w:tab/>
      </w:r>
      <w:r>
        <w:rPr>
          <w:rFonts w:ascii="Courier New" w:hAnsi="Courier New" w:cs="Courier New"/>
          <w:b/>
        </w:rPr>
        <w:t xml:space="preserve">BOARD OF ASSESSORS OF </w:t>
      </w:r>
      <w:r w:rsidR="00CA0D97">
        <w:rPr>
          <w:rFonts w:ascii="Courier New" w:hAnsi="Courier New" w:cs="Courier New"/>
          <w:b/>
        </w:rPr>
        <w:tab/>
      </w:r>
      <w:r w:rsidR="00CA0D97">
        <w:rPr>
          <w:rFonts w:ascii="Courier New" w:hAnsi="Courier New" w:cs="Courier New"/>
          <w:b/>
        </w:rPr>
        <w:tab/>
      </w:r>
      <w:r w:rsidR="00CA0D97">
        <w:rPr>
          <w:rFonts w:ascii="Courier New" w:hAnsi="Courier New" w:cs="Courier New"/>
          <w:b/>
        </w:rPr>
        <w:tab/>
      </w:r>
      <w:r w:rsidR="00CA0D97">
        <w:rPr>
          <w:rFonts w:ascii="Courier New" w:hAnsi="Courier New" w:cs="Courier New"/>
          <w:b/>
        </w:rPr>
        <w:tab/>
      </w:r>
      <w:r w:rsidR="00CA0D97">
        <w:rPr>
          <w:rFonts w:ascii="Courier New" w:hAnsi="Courier New" w:cs="Courier New"/>
          <w:b/>
        </w:rPr>
        <w:tab/>
      </w:r>
      <w:r w:rsidR="00CA0D97">
        <w:rPr>
          <w:rFonts w:ascii="Courier New" w:hAnsi="Courier New" w:cs="Courier New"/>
          <w:b/>
        </w:rPr>
        <w:tab/>
      </w:r>
      <w:r w:rsidR="00CA0D97">
        <w:rPr>
          <w:rFonts w:ascii="Courier New" w:hAnsi="Courier New" w:cs="Courier New"/>
          <w:b/>
        </w:rPr>
        <w:tab/>
        <w:t xml:space="preserve">  </w:t>
      </w:r>
      <w:r w:rsidR="00B807FD">
        <w:rPr>
          <w:rFonts w:ascii="Courier New" w:hAnsi="Courier New" w:cs="Courier New"/>
          <w:b/>
        </w:rPr>
        <w:tab/>
      </w:r>
      <w:r w:rsidR="00CA0D97">
        <w:rPr>
          <w:rFonts w:ascii="Courier New" w:hAnsi="Courier New" w:cs="Courier New"/>
          <w:b/>
        </w:rPr>
        <w:t xml:space="preserve"> </w:t>
      </w:r>
      <w:r w:rsidR="00B807FD">
        <w:rPr>
          <w:rFonts w:ascii="Courier New" w:hAnsi="Courier New" w:cs="Courier New"/>
          <w:b/>
        </w:rPr>
        <w:t xml:space="preserve">   </w:t>
      </w:r>
      <w:r w:rsidR="002F577F">
        <w:rPr>
          <w:rFonts w:ascii="Courier New" w:hAnsi="Courier New" w:cs="Courier New"/>
          <w:b/>
        </w:rPr>
        <w:t xml:space="preserve"> </w:t>
      </w:r>
      <w:r w:rsidR="00D66840">
        <w:rPr>
          <w:rFonts w:ascii="Courier New" w:hAnsi="Courier New" w:cs="Courier New"/>
          <w:b/>
        </w:rPr>
        <w:t>THE CITY OF WORCESTE</w:t>
      </w:r>
      <w:r>
        <w:rPr>
          <w:rFonts w:ascii="Courier New" w:hAnsi="Courier New" w:cs="Courier New"/>
          <w:b/>
        </w:rPr>
        <w:t>R</w:t>
      </w:r>
    </w:p>
    <w:p w14:paraId="2B630F36" w14:textId="77777777" w:rsidR="002F0627" w:rsidRDefault="002F0627" w:rsidP="00B57003">
      <w:pPr>
        <w:jc w:val="both"/>
        <w:rPr>
          <w:rFonts w:ascii="Courier New" w:hAnsi="Courier New" w:cs="Courier New"/>
        </w:rPr>
      </w:pPr>
    </w:p>
    <w:p w14:paraId="5E52F51E" w14:textId="540AA550" w:rsidR="0013588F" w:rsidRDefault="006B34EE" w:rsidP="00B57003">
      <w:pPr>
        <w:jc w:val="both"/>
        <w:rPr>
          <w:rFonts w:ascii="Courier New" w:hAnsi="Courier New" w:cs="Courier New"/>
        </w:rPr>
      </w:pPr>
      <w:r>
        <w:rPr>
          <w:rFonts w:ascii="Courier New" w:hAnsi="Courier New" w:cs="Courier New"/>
        </w:rPr>
        <w:t>Docket No. F325133</w:t>
      </w:r>
      <w:r w:rsidR="0013588F">
        <w:rPr>
          <w:rFonts w:ascii="Courier New" w:hAnsi="Courier New" w:cs="Courier New"/>
        </w:rPr>
        <w:t xml:space="preserve">                 </w:t>
      </w:r>
      <w:r w:rsidR="00EA14BC">
        <w:rPr>
          <w:rFonts w:ascii="Courier New" w:hAnsi="Courier New" w:cs="Courier New"/>
        </w:rPr>
        <w:tab/>
      </w:r>
      <w:r w:rsidR="0013588F">
        <w:rPr>
          <w:rFonts w:ascii="Courier New" w:hAnsi="Courier New" w:cs="Courier New"/>
        </w:rPr>
        <w:t>Promulgated:</w:t>
      </w:r>
    </w:p>
    <w:p w14:paraId="1DA8EC67" w14:textId="3E83B7FA" w:rsidR="0013588F" w:rsidRDefault="006B34EE" w:rsidP="00B57003">
      <w:pPr>
        <w:jc w:val="both"/>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w:t>
      </w:r>
      <w:r w:rsidR="00EA14BC">
        <w:rPr>
          <w:rFonts w:ascii="Courier New" w:hAnsi="Courier New" w:cs="Courier New"/>
        </w:rPr>
        <w:tab/>
      </w:r>
      <w:r w:rsidR="00BC1125">
        <w:rPr>
          <w:rFonts w:ascii="Courier New" w:hAnsi="Courier New" w:cs="Courier New"/>
        </w:rPr>
        <w:t>June 6, 2018</w:t>
      </w:r>
      <w:r w:rsidR="00EA14BC">
        <w:rPr>
          <w:rFonts w:ascii="Courier New" w:hAnsi="Courier New" w:cs="Courier New"/>
        </w:rPr>
        <w:t xml:space="preserve"> </w:t>
      </w:r>
    </w:p>
    <w:p w14:paraId="7481E855" w14:textId="77777777" w:rsidR="0013588F" w:rsidRDefault="0013588F" w:rsidP="00B57003">
      <w:pPr>
        <w:spacing w:line="480" w:lineRule="auto"/>
        <w:jc w:val="both"/>
        <w:rPr>
          <w:rFonts w:ascii="Courier New" w:hAnsi="Courier New" w:cs="Courier New"/>
        </w:rPr>
      </w:pPr>
      <w:r>
        <w:rPr>
          <w:rFonts w:ascii="Courier New" w:hAnsi="Courier New" w:cs="Courier New"/>
        </w:rPr>
        <w:tab/>
      </w:r>
    </w:p>
    <w:p w14:paraId="2232A636" w14:textId="64BD3106" w:rsidR="00582066" w:rsidRDefault="0013588F" w:rsidP="00582066">
      <w:pPr>
        <w:spacing w:line="480" w:lineRule="auto"/>
        <w:jc w:val="both"/>
        <w:rPr>
          <w:rFonts w:ascii="Courier New" w:hAnsi="Courier New" w:cs="Courier New"/>
        </w:rPr>
      </w:pPr>
      <w:r>
        <w:rPr>
          <w:rFonts w:ascii="Courier New" w:hAnsi="Courier New" w:cs="Courier New"/>
        </w:rPr>
        <w:tab/>
        <w:t>This is an appeal filed under the formal procedure</w:t>
      </w:r>
      <w:r w:rsidR="00723EFE">
        <w:rPr>
          <w:rFonts w:ascii="Courier New" w:hAnsi="Courier New" w:cs="Courier New"/>
        </w:rPr>
        <w:t xml:space="preserve"> pursuant to G.L. c. 58A, §7 and G.L. c. 59, §§ 64 and 65 from the refusal of the </w:t>
      </w:r>
      <w:r w:rsidR="006D5212">
        <w:rPr>
          <w:rFonts w:ascii="Courier New" w:hAnsi="Courier New" w:cs="Courier New"/>
        </w:rPr>
        <w:t>Board of Assessors of the City of Worcester (“appellee” or “assessors”)</w:t>
      </w:r>
      <w:r w:rsidR="00723EFE">
        <w:rPr>
          <w:rFonts w:ascii="Courier New" w:hAnsi="Courier New" w:cs="Courier New"/>
        </w:rPr>
        <w:t xml:space="preserve"> </w:t>
      </w:r>
      <w:r w:rsidR="0085262A">
        <w:rPr>
          <w:rFonts w:ascii="Courier New" w:hAnsi="Courier New" w:cs="Courier New"/>
        </w:rPr>
        <w:t xml:space="preserve">to abate </w:t>
      </w:r>
      <w:r w:rsidR="000A4E9D">
        <w:rPr>
          <w:rFonts w:ascii="Courier New" w:hAnsi="Courier New" w:cs="Courier New"/>
        </w:rPr>
        <w:t>tax</w:t>
      </w:r>
      <w:r w:rsidR="006D5212">
        <w:rPr>
          <w:rFonts w:ascii="Courier New" w:hAnsi="Courier New" w:cs="Courier New"/>
        </w:rPr>
        <w:t>es</w:t>
      </w:r>
      <w:r w:rsidR="000A4E9D">
        <w:rPr>
          <w:rFonts w:ascii="Courier New" w:hAnsi="Courier New" w:cs="Courier New"/>
        </w:rPr>
        <w:t xml:space="preserve"> on certain real estate </w:t>
      </w:r>
      <w:r w:rsidR="006D5212">
        <w:rPr>
          <w:rFonts w:ascii="Courier New" w:hAnsi="Courier New" w:cs="Courier New"/>
        </w:rPr>
        <w:t>located in Worcester</w:t>
      </w:r>
      <w:r w:rsidR="000A4E9D">
        <w:rPr>
          <w:rFonts w:ascii="Courier New" w:hAnsi="Courier New" w:cs="Courier New"/>
        </w:rPr>
        <w:t xml:space="preserve"> </w:t>
      </w:r>
      <w:r w:rsidR="00B40C33">
        <w:rPr>
          <w:rFonts w:ascii="Courier New" w:hAnsi="Courier New" w:cs="Courier New"/>
        </w:rPr>
        <w:t>co-</w:t>
      </w:r>
      <w:r w:rsidR="000A4E9D">
        <w:rPr>
          <w:rFonts w:ascii="Courier New" w:hAnsi="Courier New" w:cs="Courier New"/>
        </w:rPr>
        <w:t>owned by and assessed to</w:t>
      </w:r>
      <w:r w:rsidR="006D5212">
        <w:rPr>
          <w:rFonts w:ascii="Courier New" w:hAnsi="Courier New" w:cs="Courier New"/>
        </w:rPr>
        <w:t xml:space="preserve"> </w:t>
      </w:r>
      <w:r w:rsidR="000A4E9D">
        <w:rPr>
          <w:rFonts w:ascii="Courier New" w:hAnsi="Courier New" w:cs="Courier New"/>
        </w:rPr>
        <w:t>Benjamin Birnie</w:t>
      </w:r>
      <w:r w:rsidR="00B40C33">
        <w:rPr>
          <w:rFonts w:ascii="Courier New" w:hAnsi="Courier New" w:cs="Courier New"/>
        </w:rPr>
        <w:t xml:space="preserve"> (“appellant”)</w:t>
      </w:r>
      <w:r w:rsidR="006D5212">
        <w:rPr>
          <w:rFonts w:ascii="Courier New" w:hAnsi="Courier New" w:cs="Courier New"/>
        </w:rPr>
        <w:t>,</w:t>
      </w:r>
      <w:r w:rsidR="000A4E9D">
        <w:rPr>
          <w:rFonts w:ascii="Courier New" w:hAnsi="Courier New" w:cs="Courier New"/>
        </w:rPr>
        <w:t xml:space="preserve"> under </w:t>
      </w:r>
      <w:r w:rsidR="000A4E9D" w:rsidRPr="004F33FB">
        <w:rPr>
          <w:rFonts w:ascii="Courier New" w:hAnsi="Courier New" w:cs="Courier New"/>
        </w:rPr>
        <w:t xml:space="preserve">G.L. c. 59, </w:t>
      </w:r>
      <w:r w:rsidR="00A73ECA" w:rsidRPr="004F33FB">
        <w:rPr>
          <w:rFonts w:ascii="Courier New" w:hAnsi="Courier New" w:cs="Courier New"/>
        </w:rPr>
        <w:t>§</w:t>
      </w:r>
      <w:r w:rsidR="000A4E9D" w:rsidRPr="004F33FB">
        <w:rPr>
          <w:rFonts w:ascii="Courier New" w:hAnsi="Courier New" w:cs="Courier New"/>
        </w:rPr>
        <w:t>§</w:t>
      </w:r>
      <w:r w:rsidR="00A73ECA" w:rsidRPr="004F33FB">
        <w:rPr>
          <w:rFonts w:ascii="Courier New" w:hAnsi="Courier New" w:cs="Courier New"/>
        </w:rPr>
        <w:t xml:space="preserve"> </w:t>
      </w:r>
      <w:r w:rsidR="000A4E9D" w:rsidRPr="004F33FB">
        <w:rPr>
          <w:rFonts w:ascii="Courier New" w:hAnsi="Courier New" w:cs="Courier New"/>
        </w:rPr>
        <w:t>11 and 38</w:t>
      </w:r>
      <w:r w:rsidR="000A4E9D">
        <w:rPr>
          <w:rFonts w:ascii="Courier New" w:hAnsi="Courier New" w:cs="Courier New"/>
        </w:rPr>
        <w:t>, for fiscal year 2014.</w:t>
      </w:r>
    </w:p>
    <w:p w14:paraId="36BAF892" w14:textId="07CD9D49" w:rsidR="00434AE7" w:rsidRDefault="00582066" w:rsidP="00582066">
      <w:pPr>
        <w:spacing w:line="480" w:lineRule="auto"/>
        <w:jc w:val="both"/>
        <w:rPr>
          <w:rFonts w:ascii="Courier New" w:hAnsi="Courier New" w:cs="Courier New"/>
        </w:rPr>
      </w:pPr>
      <w:r>
        <w:rPr>
          <w:rFonts w:ascii="Courier New" w:hAnsi="Courier New" w:cs="Courier New"/>
        </w:rPr>
        <w:tab/>
      </w:r>
      <w:r w:rsidR="00463264">
        <w:rPr>
          <w:rFonts w:ascii="Courier New" w:hAnsi="Courier New" w:cs="Courier New"/>
        </w:rPr>
        <w:t xml:space="preserve">Commissioner </w:t>
      </w:r>
      <w:r w:rsidR="000D7A52">
        <w:rPr>
          <w:rFonts w:ascii="Courier New" w:hAnsi="Courier New" w:cs="Courier New"/>
        </w:rPr>
        <w:t xml:space="preserve">Chmielinski heard this appeal. </w:t>
      </w:r>
      <w:r w:rsidR="00453DB8">
        <w:rPr>
          <w:rFonts w:ascii="Courier New" w:hAnsi="Courier New" w:cs="Courier New"/>
        </w:rPr>
        <w:t xml:space="preserve">Chairman Hammond and Commissioners Scharaffa, Rose, and Good joined him in </w:t>
      </w:r>
      <w:r w:rsidR="006D5212">
        <w:rPr>
          <w:rFonts w:ascii="Courier New" w:hAnsi="Courier New" w:cs="Courier New"/>
        </w:rPr>
        <w:t xml:space="preserve">the </w:t>
      </w:r>
      <w:r w:rsidR="00453DB8">
        <w:rPr>
          <w:rFonts w:ascii="Courier New" w:hAnsi="Courier New" w:cs="Courier New"/>
        </w:rPr>
        <w:t xml:space="preserve">decision for the appellee. </w:t>
      </w:r>
      <w:r w:rsidR="000A4E9D">
        <w:rPr>
          <w:rFonts w:ascii="Courier New" w:hAnsi="Courier New" w:cs="Courier New"/>
        </w:rPr>
        <w:t xml:space="preserve"> </w:t>
      </w:r>
    </w:p>
    <w:p w14:paraId="342885E6" w14:textId="18CEFBF1" w:rsidR="0016058A" w:rsidRDefault="0016058A" w:rsidP="00582066">
      <w:pPr>
        <w:spacing w:line="480" w:lineRule="auto"/>
        <w:jc w:val="both"/>
        <w:rPr>
          <w:rFonts w:ascii="Courier New" w:hAnsi="Courier New" w:cs="Courier New"/>
        </w:rPr>
      </w:pPr>
      <w:r>
        <w:rPr>
          <w:rFonts w:ascii="Courier New" w:hAnsi="Courier New" w:cs="Courier New"/>
        </w:rPr>
        <w:tab/>
        <w:t xml:space="preserve">These findings of fact and report are made pursuant to </w:t>
      </w:r>
      <w:r w:rsidR="006D5212">
        <w:rPr>
          <w:rFonts w:ascii="Courier New" w:hAnsi="Courier New" w:cs="Courier New"/>
        </w:rPr>
        <w:t xml:space="preserve">a </w:t>
      </w:r>
      <w:r>
        <w:rPr>
          <w:rFonts w:ascii="Courier New" w:hAnsi="Courier New" w:cs="Courier New"/>
        </w:rPr>
        <w:t>request by the appellant under G.L.</w:t>
      </w:r>
      <w:r w:rsidR="00242821">
        <w:rPr>
          <w:rFonts w:ascii="Courier New" w:hAnsi="Courier New" w:cs="Courier New"/>
        </w:rPr>
        <w:t xml:space="preserve"> c. 58A, §</w:t>
      </w:r>
      <w:r w:rsidR="00D01EC7">
        <w:rPr>
          <w:rFonts w:ascii="Courier New" w:hAnsi="Courier New" w:cs="Courier New"/>
        </w:rPr>
        <w:t xml:space="preserve"> </w:t>
      </w:r>
      <w:r w:rsidR="00242821">
        <w:rPr>
          <w:rFonts w:ascii="Courier New" w:hAnsi="Courier New" w:cs="Courier New"/>
        </w:rPr>
        <w:t xml:space="preserve">13 and 831 CMR 1.32. </w:t>
      </w:r>
    </w:p>
    <w:p w14:paraId="33DF659C" w14:textId="77777777" w:rsidR="00242821" w:rsidRDefault="00242821" w:rsidP="00582066">
      <w:pPr>
        <w:spacing w:line="480" w:lineRule="auto"/>
        <w:jc w:val="both"/>
        <w:rPr>
          <w:rFonts w:ascii="Courier New" w:hAnsi="Courier New" w:cs="Courier New"/>
        </w:rPr>
      </w:pPr>
    </w:p>
    <w:p w14:paraId="5BD6E702" w14:textId="7661E8C0" w:rsidR="00242821" w:rsidRDefault="00242821" w:rsidP="00B42C5A">
      <w:pPr>
        <w:spacing w:line="480" w:lineRule="auto"/>
        <w:ind w:firstLine="720"/>
        <w:rPr>
          <w:rFonts w:ascii="Courier New" w:hAnsi="Courier New" w:cs="Courier New"/>
        </w:rPr>
      </w:pPr>
      <w:r w:rsidRPr="00813A81">
        <w:rPr>
          <w:rFonts w:ascii="Courier New" w:hAnsi="Courier New" w:cs="Courier New"/>
          <w:i/>
        </w:rPr>
        <w:t>Benjamin Birnie, pro se</w:t>
      </w:r>
      <w:r>
        <w:rPr>
          <w:rFonts w:ascii="Courier New" w:hAnsi="Courier New" w:cs="Courier New"/>
        </w:rPr>
        <w:t>, for the appellant.</w:t>
      </w:r>
    </w:p>
    <w:p w14:paraId="1C5B8239" w14:textId="455CC819" w:rsidR="00813A81" w:rsidRDefault="00B42C5A" w:rsidP="00B40C33">
      <w:pPr>
        <w:spacing w:line="480" w:lineRule="auto"/>
        <w:rPr>
          <w:rFonts w:ascii="Courier New" w:hAnsi="Courier New" w:cs="Courier New"/>
        </w:rPr>
      </w:pPr>
      <w:r>
        <w:rPr>
          <w:rFonts w:ascii="Courier New" w:hAnsi="Courier New" w:cs="Courier New"/>
          <w:i/>
        </w:rPr>
        <w:t xml:space="preserve">     </w:t>
      </w:r>
      <w:r w:rsidR="004D477C" w:rsidRPr="00451366">
        <w:rPr>
          <w:rFonts w:ascii="Courier New" w:hAnsi="Courier New" w:cs="Courier New"/>
          <w:i/>
        </w:rPr>
        <w:t xml:space="preserve">John F. O’Day, Jr., </w:t>
      </w:r>
      <w:r w:rsidR="004D477C" w:rsidRPr="006D5212">
        <w:rPr>
          <w:rFonts w:ascii="Courier New" w:hAnsi="Courier New" w:cs="Courier New"/>
        </w:rPr>
        <w:t>Esq.</w:t>
      </w:r>
      <w:r w:rsidR="004D477C">
        <w:rPr>
          <w:rFonts w:ascii="Courier New" w:hAnsi="Courier New" w:cs="Courier New"/>
        </w:rPr>
        <w:t xml:space="preserve"> for the appellee.</w:t>
      </w:r>
    </w:p>
    <w:p w14:paraId="5E692A37" w14:textId="77777777" w:rsidR="00242821" w:rsidRDefault="00242821" w:rsidP="00A11F15">
      <w:pPr>
        <w:spacing w:line="480" w:lineRule="auto"/>
        <w:jc w:val="center"/>
        <w:rPr>
          <w:rFonts w:ascii="Courier New" w:hAnsi="Courier New" w:cs="Courier New"/>
        </w:rPr>
      </w:pPr>
    </w:p>
    <w:p w14:paraId="137546D8" w14:textId="77777777" w:rsidR="00B42C5A" w:rsidRDefault="00B42C5A" w:rsidP="00A11F15">
      <w:pPr>
        <w:spacing w:line="480" w:lineRule="auto"/>
        <w:jc w:val="center"/>
        <w:rPr>
          <w:rFonts w:ascii="Courier New" w:hAnsi="Courier New" w:cs="Courier New"/>
          <w:b/>
        </w:rPr>
      </w:pPr>
    </w:p>
    <w:p w14:paraId="10B0BD74" w14:textId="152B8531" w:rsidR="00722329" w:rsidRDefault="00A11F15" w:rsidP="00A11F15">
      <w:pPr>
        <w:spacing w:line="480" w:lineRule="auto"/>
        <w:jc w:val="center"/>
        <w:rPr>
          <w:rFonts w:ascii="Courier New" w:hAnsi="Courier New" w:cs="Courier New"/>
          <w:b/>
        </w:rPr>
      </w:pPr>
      <w:r w:rsidRPr="00A11F15">
        <w:rPr>
          <w:rFonts w:ascii="Courier New" w:hAnsi="Courier New" w:cs="Courier New"/>
          <w:b/>
        </w:rPr>
        <w:lastRenderedPageBreak/>
        <w:t>FINDINGS OF FACT AND REPORT</w:t>
      </w:r>
    </w:p>
    <w:p w14:paraId="41A16F89" w14:textId="77777777" w:rsidR="00B42C5A" w:rsidRPr="00A11F15" w:rsidRDefault="00B42C5A" w:rsidP="00A11F15">
      <w:pPr>
        <w:spacing w:line="480" w:lineRule="auto"/>
        <w:jc w:val="center"/>
        <w:rPr>
          <w:rFonts w:ascii="Courier New" w:hAnsi="Courier New" w:cs="Courier New"/>
          <w:b/>
        </w:rPr>
      </w:pPr>
    </w:p>
    <w:p w14:paraId="3669632F" w14:textId="294E7B2A" w:rsidR="00E73FAC" w:rsidRDefault="00007443" w:rsidP="006B29DC">
      <w:pPr>
        <w:spacing w:line="480" w:lineRule="auto"/>
        <w:jc w:val="both"/>
        <w:rPr>
          <w:rFonts w:ascii="Courier New" w:hAnsi="Courier New" w:cs="Courier New"/>
        </w:rPr>
      </w:pPr>
      <w:r>
        <w:rPr>
          <w:rFonts w:ascii="Courier New" w:hAnsi="Courier New" w:cs="Courier New"/>
        </w:rPr>
        <w:tab/>
      </w:r>
      <w:r w:rsidR="00E73FAC">
        <w:rPr>
          <w:rFonts w:ascii="Courier New" w:hAnsi="Courier New" w:cs="Courier New"/>
        </w:rPr>
        <w:t xml:space="preserve">On the basis of testimony and exhibits </w:t>
      </w:r>
      <w:r w:rsidR="00B40C33">
        <w:rPr>
          <w:rFonts w:ascii="Courier New" w:hAnsi="Courier New" w:cs="Courier New"/>
        </w:rPr>
        <w:t>entered into evidence</w:t>
      </w:r>
      <w:r w:rsidR="00E73FAC">
        <w:rPr>
          <w:rFonts w:ascii="Courier New" w:hAnsi="Courier New" w:cs="Courier New"/>
        </w:rPr>
        <w:t xml:space="preserve"> at the hearing of this appeal, the Appellate Tax Board (“Board”) made the following findings of fact. </w:t>
      </w:r>
    </w:p>
    <w:p w14:paraId="7B8B0AF7" w14:textId="490E9BB5" w:rsidR="00007443" w:rsidRDefault="00E73FAC" w:rsidP="006B29DC">
      <w:pPr>
        <w:spacing w:line="480" w:lineRule="auto"/>
        <w:jc w:val="both"/>
        <w:rPr>
          <w:rFonts w:ascii="Courier New" w:hAnsi="Courier New" w:cs="Courier New"/>
        </w:rPr>
      </w:pPr>
      <w:r>
        <w:rPr>
          <w:rFonts w:ascii="Courier New" w:hAnsi="Courier New" w:cs="Courier New"/>
        </w:rPr>
        <w:tab/>
      </w:r>
      <w:r w:rsidR="00D13EEB">
        <w:rPr>
          <w:rFonts w:ascii="Courier New" w:hAnsi="Courier New" w:cs="Courier New"/>
        </w:rPr>
        <w:t xml:space="preserve">On </w:t>
      </w:r>
      <w:r w:rsidR="005653F3">
        <w:rPr>
          <w:rFonts w:ascii="Courier New" w:hAnsi="Courier New" w:cs="Courier New"/>
        </w:rPr>
        <w:t>September 14, 2012,</w:t>
      </w:r>
      <w:r w:rsidR="0049025F">
        <w:rPr>
          <w:rFonts w:ascii="Courier New" w:hAnsi="Courier New" w:cs="Courier New"/>
        </w:rPr>
        <w:t xml:space="preserve"> </w:t>
      </w:r>
      <w:r w:rsidR="00045550">
        <w:rPr>
          <w:rFonts w:ascii="Courier New" w:hAnsi="Courier New" w:cs="Courier New"/>
        </w:rPr>
        <w:t xml:space="preserve">the </w:t>
      </w:r>
      <w:r w:rsidR="0049025F">
        <w:rPr>
          <w:rFonts w:ascii="Courier New" w:hAnsi="Courier New" w:cs="Courier New"/>
        </w:rPr>
        <w:t xml:space="preserve">appellant and Suellen Fischer </w:t>
      </w:r>
      <w:r w:rsidR="009472C2">
        <w:rPr>
          <w:rFonts w:ascii="Courier New" w:hAnsi="Courier New" w:cs="Courier New"/>
        </w:rPr>
        <w:t xml:space="preserve">purchased </w:t>
      </w:r>
      <w:r w:rsidR="00ED2F0E">
        <w:rPr>
          <w:rFonts w:ascii="Courier New" w:hAnsi="Courier New" w:cs="Courier New"/>
        </w:rPr>
        <w:t xml:space="preserve">an improved 0.36-acre parcel of real estate </w:t>
      </w:r>
      <w:r w:rsidR="007E760D">
        <w:rPr>
          <w:rFonts w:ascii="Courier New" w:hAnsi="Courier New" w:cs="Courier New"/>
        </w:rPr>
        <w:t xml:space="preserve">located at </w:t>
      </w:r>
      <w:r w:rsidR="00702E0C">
        <w:rPr>
          <w:rFonts w:ascii="Courier New" w:hAnsi="Courier New" w:cs="Courier New"/>
        </w:rPr>
        <w:t>6 Wheeler Avenue in Worcester</w:t>
      </w:r>
      <w:r w:rsidR="00D773FB">
        <w:rPr>
          <w:rFonts w:ascii="Courier New" w:hAnsi="Courier New" w:cs="Courier New"/>
        </w:rPr>
        <w:t xml:space="preserve"> (“Subject Property”)</w:t>
      </w:r>
      <w:r w:rsidR="00ED2F0E">
        <w:rPr>
          <w:rFonts w:ascii="Courier New" w:hAnsi="Courier New" w:cs="Courier New"/>
        </w:rPr>
        <w:t xml:space="preserve"> </w:t>
      </w:r>
      <w:r w:rsidR="00D773FB">
        <w:rPr>
          <w:rFonts w:ascii="Courier New" w:hAnsi="Courier New" w:cs="Courier New"/>
        </w:rPr>
        <w:t>for $530,000</w:t>
      </w:r>
      <w:r w:rsidR="00BE2D31">
        <w:rPr>
          <w:rFonts w:ascii="Courier New" w:hAnsi="Courier New" w:cs="Courier New"/>
        </w:rPr>
        <w:t xml:space="preserve"> in an arms</w:t>
      </w:r>
      <w:r w:rsidR="00635BC8">
        <w:rPr>
          <w:rFonts w:ascii="Courier New" w:hAnsi="Courier New" w:cs="Courier New"/>
        </w:rPr>
        <w:t>’</w:t>
      </w:r>
      <w:r w:rsidR="00BE2D31">
        <w:rPr>
          <w:rFonts w:ascii="Courier New" w:hAnsi="Courier New" w:cs="Courier New"/>
        </w:rPr>
        <w:t>-length transaction</w:t>
      </w:r>
      <w:r w:rsidR="00D773FB">
        <w:rPr>
          <w:rFonts w:ascii="Courier New" w:hAnsi="Courier New" w:cs="Courier New"/>
        </w:rPr>
        <w:t xml:space="preserve">. </w:t>
      </w:r>
      <w:r w:rsidR="00157464">
        <w:rPr>
          <w:rFonts w:ascii="Courier New" w:hAnsi="Courier New" w:cs="Courier New"/>
        </w:rPr>
        <w:t xml:space="preserve">The Subject Property </w:t>
      </w:r>
      <w:r w:rsidR="00252F7F">
        <w:rPr>
          <w:rFonts w:ascii="Courier New" w:hAnsi="Courier New" w:cs="Courier New"/>
        </w:rPr>
        <w:t>i</w:t>
      </w:r>
      <w:r w:rsidR="004579EF">
        <w:rPr>
          <w:rFonts w:ascii="Courier New" w:hAnsi="Courier New" w:cs="Courier New"/>
        </w:rPr>
        <w:t>s</w:t>
      </w:r>
      <w:r w:rsidR="0006539D">
        <w:rPr>
          <w:rFonts w:ascii="Courier New" w:hAnsi="Courier New" w:cs="Courier New"/>
        </w:rPr>
        <w:t xml:space="preserve"> </w:t>
      </w:r>
      <w:r w:rsidR="005767BA">
        <w:rPr>
          <w:rFonts w:ascii="Courier New" w:hAnsi="Courier New" w:cs="Courier New"/>
        </w:rPr>
        <w:t>improved with a</w:t>
      </w:r>
      <w:r w:rsidR="00607077">
        <w:rPr>
          <w:rFonts w:ascii="Courier New" w:hAnsi="Courier New" w:cs="Courier New"/>
        </w:rPr>
        <w:t xml:space="preserve"> </w:t>
      </w:r>
      <w:r w:rsidR="00E42369" w:rsidRPr="00AC382B">
        <w:rPr>
          <w:rFonts w:ascii="Courier New" w:hAnsi="Courier New" w:cs="Courier New"/>
        </w:rPr>
        <w:t>two-story</w:t>
      </w:r>
      <w:r w:rsidR="001467FF">
        <w:rPr>
          <w:rFonts w:ascii="Courier New" w:hAnsi="Courier New" w:cs="Courier New"/>
        </w:rPr>
        <w:t>,</w:t>
      </w:r>
      <w:r w:rsidR="00E42369" w:rsidRPr="00AC382B">
        <w:rPr>
          <w:rFonts w:ascii="Courier New" w:hAnsi="Courier New" w:cs="Courier New"/>
        </w:rPr>
        <w:t xml:space="preserve"> </w:t>
      </w:r>
      <w:r w:rsidR="00635BC8">
        <w:rPr>
          <w:rFonts w:ascii="Courier New" w:hAnsi="Courier New" w:cs="Courier New"/>
        </w:rPr>
        <w:t>C</w:t>
      </w:r>
      <w:r w:rsidR="00607077" w:rsidRPr="00AC382B">
        <w:rPr>
          <w:rFonts w:ascii="Courier New" w:hAnsi="Courier New" w:cs="Courier New"/>
        </w:rPr>
        <w:t>olonial</w:t>
      </w:r>
      <w:r w:rsidR="001467FF">
        <w:rPr>
          <w:rFonts w:ascii="Courier New" w:hAnsi="Courier New" w:cs="Courier New"/>
        </w:rPr>
        <w:t>-</w:t>
      </w:r>
      <w:r w:rsidR="00607077" w:rsidRPr="00AC382B">
        <w:rPr>
          <w:rFonts w:ascii="Courier New" w:hAnsi="Courier New" w:cs="Courier New"/>
        </w:rPr>
        <w:t>style</w:t>
      </w:r>
      <w:r w:rsidR="003279BE">
        <w:rPr>
          <w:rFonts w:ascii="Courier New" w:hAnsi="Courier New" w:cs="Courier New"/>
        </w:rPr>
        <w:t>,</w:t>
      </w:r>
      <w:r w:rsidR="005767BA" w:rsidRPr="00AC382B">
        <w:rPr>
          <w:rFonts w:ascii="Courier New" w:hAnsi="Courier New" w:cs="Courier New"/>
        </w:rPr>
        <w:t xml:space="preserve"> </w:t>
      </w:r>
      <w:r w:rsidR="00883457" w:rsidRPr="00AC382B">
        <w:rPr>
          <w:rFonts w:ascii="Courier New" w:hAnsi="Courier New" w:cs="Courier New"/>
        </w:rPr>
        <w:t>single-family residence</w:t>
      </w:r>
      <w:r w:rsidR="004579EF">
        <w:rPr>
          <w:rFonts w:ascii="Courier New" w:hAnsi="Courier New" w:cs="Courier New"/>
        </w:rPr>
        <w:t xml:space="preserve"> that </w:t>
      </w:r>
      <w:r w:rsidR="00DC4338">
        <w:rPr>
          <w:rFonts w:ascii="Courier New" w:hAnsi="Courier New" w:cs="Courier New"/>
        </w:rPr>
        <w:t>contains</w:t>
      </w:r>
      <w:r w:rsidR="00A03C2C">
        <w:rPr>
          <w:rFonts w:ascii="Courier New" w:hAnsi="Courier New" w:cs="Courier New"/>
        </w:rPr>
        <w:t xml:space="preserve"> </w:t>
      </w:r>
      <w:r w:rsidR="00317854">
        <w:rPr>
          <w:rFonts w:ascii="Courier New" w:hAnsi="Courier New" w:cs="Courier New"/>
        </w:rPr>
        <w:t>3,534 square feet of living area</w:t>
      </w:r>
      <w:r w:rsidR="007E6498">
        <w:rPr>
          <w:rFonts w:ascii="Courier New" w:hAnsi="Courier New" w:cs="Courier New"/>
        </w:rPr>
        <w:t>, including five bedrooms</w:t>
      </w:r>
      <w:r w:rsidR="004579EF">
        <w:rPr>
          <w:rFonts w:ascii="Courier New" w:hAnsi="Courier New" w:cs="Courier New"/>
        </w:rPr>
        <w:t>,</w:t>
      </w:r>
      <w:r w:rsidR="007E6498">
        <w:rPr>
          <w:rFonts w:ascii="Courier New" w:hAnsi="Courier New" w:cs="Courier New"/>
        </w:rPr>
        <w:t xml:space="preserve"> </w:t>
      </w:r>
      <w:r w:rsidR="006D5212">
        <w:rPr>
          <w:rFonts w:ascii="Courier New" w:hAnsi="Courier New" w:cs="Courier New"/>
        </w:rPr>
        <w:t>four</w:t>
      </w:r>
      <w:r w:rsidR="007E6498">
        <w:rPr>
          <w:rFonts w:ascii="Courier New" w:hAnsi="Courier New" w:cs="Courier New"/>
        </w:rPr>
        <w:t xml:space="preserve"> full bathrooms</w:t>
      </w:r>
      <w:r w:rsidR="004579EF">
        <w:rPr>
          <w:rFonts w:ascii="Courier New" w:hAnsi="Courier New" w:cs="Courier New"/>
        </w:rPr>
        <w:t xml:space="preserve"> and central air conditioning</w:t>
      </w:r>
      <w:r w:rsidR="007E6498">
        <w:rPr>
          <w:rFonts w:ascii="Courier New" w:hAnsi="Courier New" w:cs="Courier New"/>
        </w:rPr>
        <w:t xml:space="preserve">. </w:t>
      </w:r>
      <w:r w:rsidR="00BD434C">
        <w:rPr>
          <w:rFonts w:ascii="Courier New" w:hAnsi="Courier New" w:cs="Courier New"/>
        </w:rPr>
        <w:t>T</w:t>
      </w:r>
      <w:r w:rsidR="007473E2">
        <w:rPr>
          <w:rFonts w:ascii="Courier New" w:hAnsi="Courier New" w:cs="Courier New"/>
        </w:rPr>
        <w:t xml:space="preserve">he </w:t>
      </w:r>
      <w:r w:rsidR="004579EF">
        <w:rPr>
          <w:rFonts w:ascii="Courier New" w:hAnsi="Courier New" w:cs="Courier New"/>
        </w:rPr>
        <w:t xml:space="preserve">residence </w:t>
      </w:r>
      <w:r w:rsidR="00B2032A">
        <w:rPr>
          <w:rFonts w:ascii="Courier New" w:hAnsi="Courier New" w:cs="Courier New"/>
        </w:rPr>
        <w:t xml:space="preserve">underwent a kitchen </w:t>
      </w:r>
      <w:r w:rsidR="007052AB">
        <w:rPr>
          <w:rFonts w:ascii="Courier New" w:hAnsi="Courier New" w:cs="Courier New"/>
        </w:rPr>
        <w:t>remodeling</w:t>
      </w:r>
      <w:r w:rsidR="004579EF">
        <w:rPr>
          <w:rFonts w:ascii="Courier New" w:hAnsi="Courier New" w:cs="Courier New"/>
        </w:rPr>
        <w:t xml:space="preserve"> not long before the assessment date</w:t>
      </w:r>
      <w:r w:rsidR="00B40C33">
        <w:rPr>
          <w:rFonts w:ascii="Courier New" w:hAnsi="Courier New" w:cs="Courier New"/>
        </w:rPr>
        <w:t xml:space="preserve"> relevant to this appeal</w:t>
      </w:r>
      <w:r w:rsidR="004579EF">
        <w:rPr>
          <w:rFonts w:ascii="Courier New" w:hAnsi="Courier New" w:cs="Courier New"/>
        </w:rPr>
        <w:t xml:space="preserve"> and </w:t>
      </w:r>
      <w:r w:rsidR="001467FF">
        <w:rPr>
          <w:rFonts w:ascii="Courier New" w:hAnsi="Courier New" w:cs="Courier New"/>
        </w:rPr>
        <w:t xml:space="preserve">the residence </w:t>
      </w:r>
      <w:r w:rsidR="004579EF">
        <w:rPr>
          <w:rFonts w:ascii="Courier New" w:hAnsi="Courier New" w:cs="Courier New"/>
        </w:rPr>
        <w:t xml:space="preserve">is in </w:t>
      </w:r>
      <w:r w:rsidR="001467FF">
        <w:rPr>
          <w:rFonts w:ascii="Courier New" w:hAnsi="Courier New" w:cs="Courier New"/>
        </w:rPr>
        <w:t>overall very good</w:t>
      </w:r>
      <w:r w:rsidR="006111FD">
        <w:rPr>
          <w:rFonts w:ascii="Courier New" w:hAnsi="Courier New" w:cs="Courier New"/>
        </w:rPr>
        <w:t xml:space="preserve"> condition. </w:t>
      </w:r>
      <w:r w:rsidR="00353B99">
        <w:rPr>
          <w:rFonts w:ascii="Courier New" w:hAnsi="Courier New" w:cs="Courier New"/>
        </w:rPr>
        <w:t xml:space="preserve"> </w:t>
      </w:r>
      <w:r w:rsidR="0007626A">
        <w:rPr>
          <w:rFonts w:ascii="Courier New" w:hAnsi="Courier New" w:cs="Courier New"/>
        </w:rPr>
        <w:t xml:space="preserve"> </w:t>
      </w:r>
      <w:r w:rsidR="00317854">
        <w:rPr>
          <w:rFonts w:ascii="Courier New" w:hAnsi="Courier New" w:cs="Courier New"/>
        </w:rPr>
        <w:t xml:space="preserve"> </w:t>
      </w:r>
    </w:p>
    <w:p w14:paraId="0D3DA385" w14:textId="2C36128E" w:rsidR="00683790" w:rsidRDefault="00865321" w:rsidP="006B29DC">
      <w:pPr>
        <w:spacing w:line="480" w:lineRule="auto"/>
        <w:jc w:val="both"/>
        <w:rPr>
          <w:rFonts w:ascii="Courier New" w:hAnsi="Courier New" w:cs="Courier New"/>
        </w:rPr>
      </w:pPr>
      <w:r>
        <w:rPr>
          <w:rFonts w:ascii="Courier New" w:hAnsi="Courier New" w:cs="Courier New"/>
        </w:rPr>
        <w:tab/>
      </w:r>
      <w:r w:rsidR="00FB1935">
        <w:rPr>
          <w:rFonts w:ascii="Courier New" w:hAnsi="Courier New" w:cs="Courier New"/>
        </w:rPr>
        <w:t>For fiscal year 2014</w:t>
      </w:r>
      <w:r w:rsidR="005B027D">
        <w:rPr>
          <w:rFonts w:ascii="Courier New" w:hAnsi="Courier New" w:cs="Courier New"/>
        </w:rPr>
        <w:t xml:space="preserve">, </w:t>
      </w:r>
      <w:r w:rsidR="00E33440">
        <w:rPr>
          <w:rFonts w:ascii="Courier New" w:hAnsi="Courier New" w:cs="Courier New"/>
        </w:rPr>
        <w:t>the assessors valued the Subject Property at $</w:t>
      </w:r>
      <w:r w:rsidR="00BE1910">
        <w:rPr>
          <w:rFonts w:ascii="Courier New" w:hAnsi="Courier New" w:cs="Courier New"/>
        </w:rPr>
        <w:t xml:space="preserve">525,700 and assessed a tax thereon, at the rate of </w:t>
      </w:r>
      <w:r w:rsidR="00CF1C5D">
        <w:rPr>
          <w:rFonts w:ascii="Courier New" w:hAnsi="Courier New" w:cs="Courier New"/>
        </w:rPr>
        <w:t xml:space="preserve">$19.54 per thousand, </w:t>
      </w:r>
      <w:r w:rsidR="003C438E">
        <w:rPr>
          <w:rFonts w:ascii="Courier New" w:hAnsi="Courier New" w:cs="Courier New"/>
        </w:rPr>
        <w:t xml:space="preserve">in the </w:t>
      </w:r>
      <w:r w:rsidR="00267A00">
        <w:rPr>
          <w:rFonts w:ascii="Courier New" w:hAnsi="Courier New" w:cs="Courier New"/>
        </w:rPr>
        <w:t xml:space="preserve">total </w:t>
      </w:r>
      <w:r w:rsidR="003C438E">
        <w:rPr>
          <w:rFonts w:ascii="Courier New" w:hAnsi="Courier New" w:cs="Courier New"/>
        </w:rPr>
        <w:t xml:space="preserve">amount of </w:t>
      </w:r>
      <w:r w:rsidR="00417D30">
        <w:rPr>
          <w:rFonts w:ascii="Courier New" w:hAnsi="Courier New" w:cs="Courier New"/>
        </w:rPr>
        <w:t>$</w:t>
      </w:r>
      <w:r w:rsidR="00267A00">
        <w:rPr>
          <w:rFonts w:ascii="Courier New" w:hAnsi="Courier New" w:cs="Courier New"/>
        </w:rPr>
        <w:t>10,272.18.</w:t>
      </w:r>
      <w:r w:rsidR="00ED0F53">
        <w:rPr>
          <w:rStyle w:val="FootnoteReference"/>
          <w:rFonts w:ascii="Courier New" w:hAnsi="Courier New" w:cs="Courier New"/>
        </w:rPr>
        <w:footnoteReference w:id="1"/>
      </w:r>
      <w:r w:rsidR="009539A0">
        <w:rPr>
          <w:rFonts w:ascii="Courier New" w:hAnsi="Courier New" w:cs="Courier New"/>
        </w:rPr>
        <w:t xml:space="preserve"> </w:t>
      </w:r>
      <w:r w:rsidR="00462AE1">
        <w:rPr>
          <w:rFonts w:ascii="Courier New" w:hAnsi="Courier New" w:cs="Courier New"/>
        </w:rPr>
        <w:t xml:space="preserve">The tax due was timely paid </w:t>
      </w:r>
      <w:r w:rsidR="004579EF">
        <w:rPr>
          <w:rFonts w:ascii="Courier New" w:hAnsi="Courier New" w:cs="Courier New"/>
        </w:rPr>
        <w:t xml:space="preserve">and </w:t>
      </w:r>
      <w:r w:rsidR="00C40316">
        <w:rPr>
          <w:rFonts w:ascii="Courier New" w:hAnsi="Courier New" w:cs="Courier New"/>
        </w:rPr>
        <w:t xml:space="preserve">in accordance with </w:t>
      </w:r>
      <w:r w:rsidR="00C40316" w:rsidRPr="00AE3924">
        <w:rPr>
          <w:rFonts w:ascii="Courier New" w:hAnsi="Courier New" w:cs="Courier New"/>
        </w:rPr>
        <w:t>G.L. c. 59, §</w:t>
      </w:r>
      <w:r w:rsidR="004579EF">
        <w:rPr>
          <w:rFonts w:ascii="Courier New" w:hAnsi="Courier New" w:cs="Courier New"/>
        </w:rPr>
        <w:t xml:space="preserve"> </w:t>
      </w:r>
      <w:r w:rsidR="00C40316" w:rsidRPr="00AE3924">
        <w:rPr>
          <w:rFonts w:ascii="Courier New" w:hAnsi="Courier New" w:cs="Courier New"/>
        </w:rPr>
        <w:t>59</w:t>
      </w:r>
      <w:r w:rsidR="00C40316">
        <w:rPr>
          <w:rFonts w:ascii="Courier New" w:hAnsi="Courier New" w:cs="Courier New"/>
        </w:rPr>
        <w:t>, the appellant</w:t>
      </w:r>
      <w:r w:rsidR="004579EF">
        <w:rPr>
          <w:rFonts w:ascii="Courier New" w:hAnsi="Courier New" w:cs="Courier New"/>
        </w:rPr>
        <w:t xml:space="preserve"> </w:t>
      </w:r>
      <w:r w:rsidR="00C40316">
        <w:rPr>
          <w:rFonts w:ascii="Courier New" w:hAnsi="Courier New" w:cs="Courier New"/>
        </w:rPr>
        <w:t xml:space="preserve">filed an </w:t>
      </w:r>
      <w:r w:rsidR="00D01EC7">
        <w:rPr>
          <w:rFonts w:ascii="Courier New" w:hAnsi="Courier New" w:cs="Courier New"/>
        </w:rPr>
        <w:t xml:space="preserve">abatement application </w:t>
      </w:r>
      <w:r w:rsidR="00D1401B">
        <w:rPr>
          <w:rFonts w:ascii="Courier New" w:hAnsi="Courier New" w:cs="Courier New"/>
        </w:rPr>
        <w:t>with the assessors.</w:t>
      </w:r>
      <w:r w:rsidR="00344B35">
        <w:rPr>
          <w:rFonts w:ascii="Courier New" w:hAnsi="Courier New" w:cs="Courier New"/>
        </w:rPr>
        <w:t xml:space="preserve"> </w:t>
      </w:r>
      <w:r w:rsidR="006B7868">
        <w:rPr>
          <w:rFonts w:ascii="Courier New" w:hAnsi="Courier New" w:cs="Courier New"/>
        </w:rPr>
        <w:t xml:space="preserve">The assessors denied the abatement application on </w:t>
      </w:r>
      <w:r w:rsidR="00FF7B8C">
        <w:rPr>
          <w:rFonts w:ascii="Courier New" w:hAnsi="Courier New" w:cs="Courier New"/>
        </w:rPr>
        <w:t>April 28, 2014</w:t>
      </w:r>
      <w:r w:rsidR="004579EF">
        <w:rPr>
          <w:rFonts w:ascii="Courier New" w:hAnsi="Courier New" w:cs="Courier New"/>
        </w:rPr>
        <w:t xml:space="preserve"> and t</w:t>
      </w:r>
      <w:r w:rsidR="00B63E49">
        <w:rPr>
          <w:rFonts w:ascii="Courier New" w:hAnsi="Courier New" w:cs="Courier New"/>
        </w:rPr>
        <w:t xml:space="preserve">he appellant seasonably filed </w:t>
      </w:r>
      <w:r w:rsidR="0060416E">
        <w:rPr>
          <w:rFonts w:ascii="Courier New" w:hAnsi="Courier New" w:cs="Courier New"/>
        </w:rPr>
        <w:t>t</w:t>
      </w:r>
      <w:r w:rsidR="00B63E49">
        <w:rPr>
          <w:rFonts w:ascii="Courier New" w:hAnsi="Courier New" w:cs="Courier New"/>
        </w:rPr>
        <w:t xml:space="preserve">his appeal with the Board on </w:t>
      </w:r>
      <w:r w:rsidR="00416465">
        <w:rPr>
          <w:rFonts w:ascii="Courier New" w:hAnsi="Courier New" w:cs="Courier New"/>
        </w:rPr>
        <w:lastRenderedPageBreak/>
        <w:t xml:space="preserve">July 23, </w:t>
      </w:r>
      <w:r w:rsidR="00BF1756">
        <w:rPr>
          <w:rFonts w:ascii="Courier New" w:hAnsi="Courier New" w:cs="Courier New"/>
        </w:rPr>
        <w:t xml:space="preserve">2014. </w:t>
      </w:r>
      <w:r w:rsidR="00F9687E">
        <w:rPr>
          <w:rFonts w:ascii="Courier New" w:hAnsi="Courier New" w:cs="Courier New"/>
        </w:rPr>
        <w:t>On the basis of these facts, the Board found and ruled that it had jurisdiction to hear</w:t>
      </w:r>
      <w:r w:rsidR="004579EF">
        <w:rPr>
          <w:rFonts w:ascii="Courier New" w:hAnsi="Courier New" w:cs="Courier New"/>
        </w:rPr>
        <w:t xml:space="preserve"> and decide</w:t>
      </w:r>
      <w:r w:rsidR="00F9687E">
        <w:rPr>
          <w:rFonts w:ascii="Courier New" w:hAnsi="Courier New" w:cs="Courier New"/>
        </w:rPr>
        <w:t xml:space="preserve"> th</w:t>
      </w:r>
      <w:r w:rsidR="004579EF">
        <w:rPr>
          <w:rFonts w:ascii="Courier New" w:hAnsi="Courier New" w:cs="Courier New"/>
        </w:rPr>
        <w:t>e</w:t>
      </w:r>
      <w:r w:rsidR="00F9687E">
        <w:rPr>
          <w:rFonts w:ascii="Courier New" w:hAnsi="Courier New" w:cs="Courier New"/>
        </w:rPr>
        <w:t xml:space="preserve"> appeal. </w:t>
      </w:r>
    </w:p>
    <w:p w14:paraId="130CF3AA" w14:textId="2D70705F" w:rsidR="00252F7F" w:rsidRDefault="001607AB" w:rsidP="001607AB">
      <w:pPr>
        <w:spacing w:line="480" w:lineRule="auto"/>
        <w:ind w:firstLine="720"/>
        <w:jc w:val="both"/>
        <w:rPr>
          <w:rFonts w:ascii="Courier New" w:hAnsi="Courier New" w:cs="Courier New"/>
        </w:rPr>
      </w:pPr>
      <w:r>
        <w:rPr>
          <w:rFonts w:ascii="Courier New" w:hAnsi="Courier New" w:cs="Courier New"/>
        </w:rPr>
        <w:t xml:space="preserve">The appellant </w:t>
      </w:r>
      <w:r w:rsidR="000E24D3">
        <w:rPr>
          <w:rFonts w:ascii="Courier New" w:hAnsi="Courier New" w:cs="Courier New"/>
        </w:rPr>
        <w:t xml:space="preserve">stipulated that the </w:t>
      </w:r>
      <w:r w:rsidR="00B40C33">
        <w:rPr>
          <w:rFonts w:ascii="Courier New" w:hAnsi="Courier New" w:cs="Courier New"/>
        </w:rPr>
        <w:t>S</w:t>
      </w:r>
      <w:r w:rsidR="000E24D3">
        <w:rPr>
          <w:rFonts w:ascii="Courier New" w:hAnsi="Courier New" w:cs="Courier New"/>
        </w:rPr>
        <w:t xml:space="preserve">ubject </w:t>
      </w:r>
      <w:r w:rsidR="00B40C33">
        <w:rPr>
          <w:rFonts w:ascii="Courier New" w:hAnsi="Courier New" w:cs="Courier New"/>
        </w:rPr>
        <w:t>P</w:t>
      </w:r>
      <w:r w:rsidR="000E24D3">
        <w:rPr>
          <w:rFonts w:ascii="Courier New" w:hAnsi="Courier New" w:cs="Courier New"/>
        </w:rPr>
        <w:t>roperty’s assessed value for fiscal year 2014 did not exceed its fair cash value.</w:t>
      </w:r>
      <w:r w:rsidR="00D01EC7">
        <w:rPr>
          <w:rStyle w:val="FootnoteReference"/>
          <w:rFonts w:ascii="Courier New" w:hAnsi="Courier New" w:cs="Courier New"/>
        </w:rPr>
        <w:footnoteReference w:id="2"/>
      </w:r>
      <w:r w:rsidR="000E24D3">
        <w:rPr>
          <w:rFonts w:ascii="Courier New" w:hAnsi="Courier New" w:cs="Courier New"/>
        </w:rPr>
        <w:t xml:space="preserve"> </w:t>
      </w:r>
      <w:r w:rsidR="00BA7CB5">
        <w:rPr>
          <w:rFonts w:ascii="Courier New" w:hAnsi="Courier New" w:cs="Courier New"/>
        </w:rPr>
        <w:t>Rather,</w:t>
      </w:r>
      <w:r w:rsidR="000E24D3">
        <w:rPr>
          <w:rFonts w:ascii="Courier New" w:hAnsi="Courier New" w:cs="Courier New"/>
        </w:rPr>
        <w:t xml:space="preserve"> the appellant </w:t>
      </w:r>
      <w:r w:rsidR="00BA7CB5">
        <w:rPr>
          <w:rFonts w:ascii="Courier New" w:hAnsi="Courier New" w:cs="Courier New"/>
        </w:rPr>
        <w:t xml:space="preserve">focused solely on the argument that the </w:t>
      </w:r>
      <w:r w:rsidR="000E24D3">
        <w:rPr>
          <w:rFonts w:ascii="Courier New" w:hAnsi="Courier New" w:cs="Courier New"/>
        </w:rPr>
        <w:t xml:space="preserve">Subject </w:t>
      </w:r>
      <w:r w:rsidR="00252F7F">
        <w:rPr>
          <w:rFonts w:ascii="Courier New" w:hAnsi="Courier New" w:cs="Courier New"/>
        </w:rPr>
        <w:t>P</w:t>
      </w:r>
      <w:r w:rsidR="000E24D3">
        <w:rPr>
          <w:rFonts w:ascii="Courier New" w:hAnsi="Courier New" w:cs="Courier New"/>
        </w:rPr>
        <w:t>roperty had been disproportionately assessed</w:t>
      </w:r>
      <w:r w:rsidR="00252F7F">
        <w:rPr>
          <w:rFonts w:ascii="Courier New" w:hAnsi="Courier New" w:cs="Courier New"/>
        </w:rPr>
        <w:t xml:space="preserve"> for fiscal year 2014. In support of this argument, the appellant submitted property record cards</w:t>
      </w:r>
      <w:r w:rsidR="000E24D3">
        <w:rPr>
          <w:rFonts w:ascii="Courier New" w:hAnsi="Courier New" w:cs="Courier New"/>
        </w:rPr>
        <w:t xml:space="preserve"> </w:t>
      </w:r>
      <w:r w:rsidR="00252F7F">
        <w:rPr>
          <w:rFonts w:ascii="Courier New" w:hAnsi="Courier New" w:cs="Courier New"/>
        </w:rPr>
        <w:t xml:space="preserve">for five properties located on the same street as the </w:t>
      </w:r>
      <w:r w:rsidR="00D01EC7">
        <w:rPr>
          <w:rFonts w:ascii="Courier New" w:hAnsi="Courier New" w:cs="Courier New"/>
        </w:rPr>
        <w:t>S</w:t>
      </w:r>
      <w:r w:rsidR="00252F7F">
        <w:rPr>
          <w:rFonts w:ascii="Courier New" w:hAnsi="Courier New" w:cs="Courier New"/>
        </w:rPr>
        <w:t xml:space="preserve">ubject </w:t>
      </w:r>
      <w:r w:rsidR="00D01EC7">
        <w:rPr>
          <w:rFonts w:ascii="Courier New" w:hAnsi="Courier New" w:cs="Courier New"/>
        </w:rPr>
        <w:t>P</w:t>
      </w:r>
      <w:r w:rsidR="00252F7F">
        <w:rPr>
          <w:rFonts w:ascii="Courier New" w:hAnsi="Courier New" w:cs="Courier New"/>
        </w:rPr>
        <w:t>roperty. The appellant emphasized that not one of these properties</w:t>
      </w:r>
      <w:r w:rsidR="00BA7CB5">
        <w:rPr>
          <w:rFonts w:ascii="Courier New" w:hAnsi="Courier New" w:cs="Courier New"/>
        </w:rPr>
        <w:t>’</w:t>
      </w:r>
      <w:r w:rsidR="00252F7F">
        <w:rPr>
          <w:rFonts w:ascii="Courier New" w:hAnsi="Courier New" w:cs="Courier New"/>
        </w:rPr>
        <w:t xml:space="preserve"> assessed values had risen nearly as much as the </w:t>
      </w:r>
      <w:r w:rsidR="00635BC8">
        <w:rPr>
          <w:rFonts w:ascii="Courier New" w:hAnsi="Courier New" w:cs="Courier New"/>
        </w:rPr>
        <w:t>S</w:t>
      </w:r>
      <w:r w:rsidR="00252F7F">
        <w:rPr>
          <w:rFonts w:ascii="Courier New" w:hAnsi="Courier New" w:cs="Courier New"/>
        </w:rPr>
        <w:t>ubject Property’s assessed value between fiscal year 2013 and 2014</w:t>
      </w:r>
      <w:r w:rsidR="00BA7CB5">
        <w:rPr>
          <w:rFonts w:ascii="Courier New" w:hAnsi="Courier New" w:cs="Courier New"/>
        </w:rPr>
        <w:t xml:space="preserve">. This emergent disparity, according to the appellant, </w:t>
      </w:r>
      <w:r w:rsidR="000F5B6B">
        <w:rPr>
          <w:rFonts w:ascii="Courier New" w:hAnsi="Courier New" w:cs="Courier New"/>
        </w:rPr>
        <w:t>reflected disproportionate assessment of the Subject Property.</w:t>
      </w:r>
      <w:r w:rsidR="00252F7F">
        <w:rPr>
          <w:rFonts w:ascii="Courier New" w:hAnsi="Courier New" w:cs="Courier New"/>
        </w:rPr>
        <w:t xml:space="preserve"> </w:t>
      </w:r>
    </w:p>
    <w:p w14:paraId="5D95A22D" w14:textId="2824BF77" w:rsidR="00192061" w:rsidRDefault="00252F7F" w:rsidP="000F5B6B">
      <w:pPr>
        <w:spacing w:line="480" w:lineRule="auto"/>
        <w:ind w:firstLine="720"/>
        <w:jc w:val="both"/>
        <w:rPr>
          <w:rFonts w:ascii="Courier New" w:hAnsi="Courier New" w:cs="Courier New"/>
        </w:rPr>
      </w:pPr>
      <w:r>
        <w:rPr>
          <w:rFonts w:ascii="Courier New" w:hAnsi="Courier New" w:cs="Courier New"/>
        </w:rPr>
        <w:t xml:space="preserve">The </w:t>
      </w:r>
      <w:r w:rsidR="001D5BC8">
        <w:rPr>
          <w:rFonts w:ascii="Courier New" w:hAnsi="Courier New" w:cs="Courier New"/>
        </w:rPr>
        <w:t xml:space="preserve">appellant’s chosen </w:t>
      </w:r>
      <w:r>
        <w:rPr>
          <w:rFonts w:ascii="Courier New" w:hAnsi="Courier New" w:cs="Courier New"/>
        </w:rPr>
        <w:t xml:space="preserve">properties </w:t>
      </w:r>
      <w:r w:rsidR="000F5B6B">
        <w:rPr>
          <w:rFonts w:ascii="Courier New" w:hAnsi="Courier New" w:cs="Courier New"/>
        </w:rPr>
        <w:t>we</w:t>
      </w:r>
      <w:r>
        <w:rPr>
          <w:rFonts w:ascii="Courier New" w:hAnsi="Courier New" w:cs="Courier New"/>
        </w:rPr>
        <w:t>re similar to the Subject Property in certain respects including</w:t>
      </w:r>
      <w:r w:rsidR="00D01EC7">
        <w:rPr>
          <w:rFonts w:ascii="Courier New" w:hAnsi="Courier New" w:cs="Courier New"/>
        </w:rPr>
        <w:t xml:space="preserve"> location,</w:t>
      </w:r>
      <w:r>
        <w:rPr>
          <w:rFonts w:ascii="Courier New" w:hAnsi="Courier New" w:cs="Courier New"/>
        </w:rPr>
        <w:t xml:space="preserve"> dwelling size and style</w:t>
      </w:r>
      <w:r w:rsidR="001467FF">
        <w:rPr>
          <w:rFonts w:ascii="Courier New" w:hAnsi="Courier New" w:cs="Courier New"/>
        </w:rPr>
        <w:t>,</w:t>
      </w:r>
      <w:r>
        <w:rPr>
          <w:rFonts w:ascii="Courier New" w:hAnsi="Courier New" w:cs="Courier New"/>
        </w:rPr>
        <w:t xml:space="preserve"> </w:t>
      </w:r>
      <w:r w:rsidR="00D01EC7">
        <w:rPr>
          <w:rFonts w:ascii="Courier New" w:hAnsi="Courier New" w:cs="Courier New"/>
        </w:rPr>
        <w:t>and</w:t>
      </w:r>
      <w:r w:rsidR="00B0108A">
        <w:rPr>
          <w:rFonts w:ascii="Courier New" w:hAnsi="Courier New" w:cs="Courier New"/>
        </w:rPr>
        <w:t xml:space="preserve"> </w:t>
      </w:r>
      <w:r>
        <w:rPr>
          <w:rFonts w:ascii="Courier New" w:hAnsi="Courier New" w:cs="Courier New"/>
        </w:rPr>
        <w:t xml:space="preserve">lot size. </w:t>
      </w:r>
      <w:r w:rsidR="00D01EC7">
        <w:rPr>
          <w:rFonts w:ascii="Courier New" w:hAnsi="Courier New" w:cs="Courier New"/>
        </w:rPr>
        <w:t xml:space="preserve">Based on these and other similarities, the Board found that the properties were </w:t>
      </w:r>
      <w:r w:rsidR="001467FF">
        <w:rPr>
          <w:rFonts w:ascii="Courier New" w:hAnsi="Courier New" w:cs="Courier New"/>
        </w:rPr>
        <w:t xml:space="preserve">generally </w:t>
      </w:r>
      <w:r w:rsidR="00D01EC7">
        <w:rPr>
          <w:rFonts w:ascii="Courier New" w:hAnsi="Courier New" w:cs="Courier New"/>
        </w:rPr>
        <w:t>comparable to the Subject Property. Regardless, t</w:t>
      </w:r>
      <w:r>
        <w:rPr>
          <w:rFonts w:ascii="Courier New" w:hAnsi="Courier New" w:cs="Courier New"/>
        </w:rPr>
        <w:t xml:space="preserve">he </w:t>
      </w:r>
      <w:r w:rsidR="00D01EC7">
        <w:rPr>
          <w:rFonts w:ascii="Courier New" w:hAnsi="Courier New" w:cs="Courier New"/>
        </w:rPr>
        <w:t xml:space="preserve">comparable </w:t>
      </w:r>
      <w:r>
        <w:rPr>
          <w:rFonts w:ascii="Courier New" w:hAnsi="Courier New" w:cs="Courier New"/>
        </w:rPr>
        <w:t xml:space="preserve">properties </w:t>
      </w:r>
      <w:r w:rsidR="000F5B6B">
        <w:rPr>
          <w:rFonts w:ascii="Courier New" w:hAnsi="Courier New" w:cs="Courier New"/>
        </w:rPr>
        <w:t>we</w:t>
      </w:r>
      <w:r>
        <w:rPr>
          <w:rFonts w:ascii="Courier New" w:hAnsi="Courier New" w:cs="Courier New"/>
        </w:rPr>
        <w:t>re also distinct from the Subject Property in other respects</w:t>
      </w:r>
      <w:r w:rsidR="000F5B6B">
        <w:rPr>
          <w:rFonts w:ascii="Courier New" w:hAnsi="Courier New" w:cs="Courier New"/>
        </w:rPr>
        <w:t xml:space="preserve">. </w:t>
      </w:r>
      <w:r w:rsidR="00D01EC7">
        <w:rPr>
          <w:rFonts w:ascii="Courier New" w:hAnsi="Courier New" w:cs="Courier New"/>
        </w:rPr>
        <w:t xml:space="preserve">In particular, </w:t>
      </w:r>
      <w:r w:rsidR="001D5BC8">
        <w:rPr>
          <w:rFonts w:ascii="Courier New" w:hAnsi="Courier New" w:cs="Courier New"/>
        </w:rPr>
        <w:t xml:space="preserve">none of the </w:t>
      </w:r>
      <w:r w:rsidR="00D01EC7">
        <w:rPr>
          <w:rFonts w:ascii="Courier New" w:hAnsi="Courier New" w:cs="Courier New"/>
        </w:rPr>
        <w:t xml:space="preserve">comparable </w:t>
      </w:r>
      <w:r w:rsidR="001D5BC8">
        <w:rPr>
          <w:rFonts w:ascii="Courier New" w:hAnsi="Courier New" w:cs="Courier New"/>
        </w:rPr>
        <w:t xml:space="preserve">properties had </w:t>
      </w:r>
      <w:r w:rsidR="001D5BC8">
        <w:rPr>
          <w:rFonts w:ascii="Courier New" w:hAnsi="Courier New" w:cs="Courier New"/>
        </w:rPr>
        <w:lastRenderedPageBreak/>
        <w:t>un</w:t>
      </w:r>
      <w:r w:rsidR="000F5B6B">
        <w:rPr>
          <w:rFonts w:ascii="Courier New" w:hAnsi="Courier New" w:cs="Courier New"/>
        </w:rPr>
        <w:t>der</w:t>
      </w:r>
      <w:r w:rsidR="001D5BC8">
        <w:rPr>
          <w:rFonts w:ascii="Courier New" w:hAnsi="Courier New" w:cs="Courier New"/>
        </w:rPr>
        <w:t>gone</w:t>
      </w:r>
      <w:r w:rsidR="000F5B6B">
        <w:rPr>
          <w:rFonts w:ascii="Courier New" w:hAnsi="Courier New" w:cs="Courier New"/>
        </w:rPr>
        <w:t xml:space="preserve"> a recent renovation as had the Subject Property.</w:t>
      </w:r>
      <w:r w:rsidR="001467FF">
        <w:rPr>
          <w:rFonts w:ascii="Courier New" w:hAnsi="Courier New" w:cs="Courier New"/>
        </w:rPr>
        <w:t xml:space="preserve"> </w:t>
      </w:r>
      <w:r w:rsidR="000F5B6B">
        <w:rPr>
          <w:rFonts w:ascii="Courier New" w:hAnsi="Courier New" w:cs="Courier New"/>
        </w:rPr>
        <w:t>T</w:t>
      </w:r>
      <w:r>
        <w:rPr>
          <w:rFonts w:ascii="Courier New" w:hAnsi="Courier New" w:cs="Courier New"/>
        </w:rPr>
        <w:t xml:space="preserve">he appellant did not account for </w:t>
      </w:r>
      <w:r w:rsidR="002C58ED">
        <w:rPr>
          <w:rFonts w:ascii="Courier New" w:hAnsi="Courier New" w:cs="Courier New"/>
        </w:rPr>
        <w:t>th</w:t>
      </w:r>
      <w:r w:rsidR="00BA7CB5">
        <w:rPr>
          <w:rFonts w:ascii="Courier New" w:hAnsi="Courier New" w:cs="Courier New"/>
        </w:rPr>
        <w:t>is</w:t>
      </w:r>
      <w:r w:rsidR="002C58ED">
        <w:rPr>
          <w:rFonts w:ascii="Courier New" w:hAnsi="Courier New" w:cs="Courier New"/>
        </w:rPr>
        <w:t xml:space="preserve"> </w:t>
      </w:r>
      <w:r w:rsidR="00D01EC7">
        <w:rPr>
          <w:rFonts w:ascii="Courier New" w:hAnsi="Courier New" w:cs="Courier New"/>
        </w:rPr>
        <w:t xml:space="preserve">distinction in his </w:t>
      </w:r>
      <w:r w:rsidR="000F5B6B">
        <w:rPr>
          <w:rFonts w:ascii="Courier New" w:hAnsi="Courier New" w:cs="Courier New"/>
        </w:rPr>
        <w:t>analysis.</w:t>
      </w:r>
    </w:p>
    <w:p w14:paraId="6D2E7157" w14:textId="2FC93435" w:rsidR="000E24D3" w:rsidRDefault="00192061" w:rsidP="000F5B6B">
      <w:pPr>
        <w:spacing w:line="480" w:lineRule="auto"/>
        <w:ind w:firstLine="720"/>
        <w:jc w:val="both"/>
        <w:rPr>
          <w:rFonts w:ascii="Courier New" w:hAnsi="Courier New" w:cs="Courier New"/>
        </w:rPr>
      </w:pPr>
      <w:r>
        <w:rPr>
          <w:rFonts w:ascii="Courier New" w:hAnsi="Courier New" w:cs="Courier New"/>
        </w:rPr>
        <w:t>For their part, the assessors relied on the presumed validity of the assessment.</w:t>
      </w:r>
      <w:r w:rsidR="000F5B6B">
        <w:rPr>
          <w:rFonts w:ascii="Courier New" w:hAnsi="Courier New" w:cs="Courier New"/>
        </w:rPr>
        <w:t xml:space="preserve"> </w:t>
      </w:r>
    </w:p>
    <w:p w14:paraId="0138BC07" w14:textId="7352C99D" w:rsidR="00B6277E" w:rsidRPr="00252F7F" w:rsidRDefault="00252F7F" w:rsidP="000F5B6B">
      <w:pPr>
        <w:tabs>
          <w:tab w:val="left" w:pos="3675"/>
          <w:tab w:val="center" w:pos="4680"/>
        </w:tabs>
        <w:spacing w:line="480" w:lineRule="auto"/>
        <w:jc w:val="both"/>
        <w:rPr>
          <w:rFonts w:ascii="Courier New" w:hAnsi="Courier New" w:cs="Courier New"/>
          <w:b/>
        </w:rPr>
      </w:pPr>
      <w:r>
        <w:rPr>
          <w:rFonts w:ascii="Courier New" w:hAnsi="Courier New" w:cs="Courier New"/>
          <w:b/>
        </w:rPr>
        <w:t xml:space="preserve">     </w:t>
      </w:r>
      <w:r w:rsidRPr="00252F7F">
        <w:rPr>
          <w:rFonts w:ascii="Courier New" w:hAnsi="Courier New" w:cs="Courier New"/>
        </w:rPr>
        <w:t xml:space="preserve">Based on the foregoing, the Board found and ruled that </w:t>
      </w:r>
      <w:r>
        <w:rPr>
          <w:rFonts w:ascii="Courier New" w:hAnsi="Courier New" w:cs="Courier New"/>
        </w:rPr>
        <w:t xml:space="preserve">the appellant failed to sustain his burden of demonstrating his entitlement to an abatement. Accordingly, the </w:t>
      </w:r>
      <w:r w:rsidR="00D86C59">
        <w:rPr>
          <w:rFonts w:ascii="Courier New" w:hAnsi="Courier New" w:cs="Courier New"/>
        </w:rPr>
        <w:t>B</w:t>
      </w:r>
      <w:r>
        <w:rPr>
          <w:rFonts w:ascii="Courier New" w:hAnsi="Courier New" w:cs="Courier New"/>
        </w:rPr>
        <w:t>oard issued a decision for the appellee in this appeal.</w:t>
      </w:r>
      <w:r w:rsidR="00B6277E" w:rsidRPr="00252F7F">
        <w:rPr>
          <w:rFonts w:ascii="Courier New" w:hAnsi="Courier New" w:cs="Courier New"/>
          <w:b/>
        </w:rPr>
        <w:tab/>
      </w:r>
    </w:p>
    <w:p w14:paraId="356DB9B2" w14:textId="77777777" w:rsidR="000F5B6B" w:rsidRDefault="000F5B6B" w:rsidP="000F5B6B">
      <w:pPr>
        <w:tabs>
          <w:tab w:val="left" w:pos="3675"/>
          <w:tab w:val="center" w:pos="4680"/>
        </w:tabs>
        <w:spacing w:line="480" w:lineRule="auto"/>
        <w:jc w:val="both"/>
        <w:rPr>
          <w:rFonts w:ascii="Courier New" w:hAnsi="Courier New" w:cs="Courier New"/>
          <w:b/>
        </w:rPr>
      </w:pPr>
    </w:p>
    <w:p w14:paraId="49879DBC" w14:textId="240E2562" w:rsidR="00683790" w:rsidRPr="00683790" w:rsidRDefault="00683790" w:rsidP="000F5B6B">
      <w:pPr>
        <w:tabs>
          <w:tab w:val="left" w:pos="3675"/>
          <w:tab w:val="center" w:pos="4680"/>
        </w:tabs>
        <w:spacing w:line="480" w:lineRule="auto"/>
        <w:jc w:val="center"/>
        <w:rPr>
          <w:rFonts w:ascii="Courier New" w:hAnsi="Courier New" w:cs="Courier New"/>
          <w:b/>
        </w:rPr>
      </w:pPr>
      <w:r w:rsidRPr="00683790">
        <w:rPr>
          <w:rFonts w:ascii="Courier New" w:hAnsi="Courier New" w:cs="Courier New"/>
          <w:b/>
        </w:rPr>
        <w:t>OPINION</w:t>
      </w:r>
    </w:p>
    <w:p w14:paraId="4D79C159" w14:textId="77777777" w:rsidR="000F5B6B" w:rsidRDefault="000F5B6B" w:rsidP="000F5B6B">
      <w:pPr>
        <w:spacing w:line="480" w:lineRule="auto"/>
        <w:jc w:val="both"/>
        <w:rPr>
          <w:rFonts w:ascii="Courier New" w:hAnsi="Courier New" w:cs="Courier New"/>
        </w:rPr>
      </w:pPr>
    </w:p>
    <w:p w14:paraId="1C2E6743" w14:textId="50784825" w:rsidR="005F22FE" w:rsidRDefault="001E26CA" w:rsidP="000F5B6B">
      <w:pPr>
        <w:spacing w:line="480" w:lineRule="auto"/>
        <w:jc w:val="both"/>
        <w:rPr>
          <w:rFonts w:ascii="Courier New" w:hAnsi="Courier New" w:cs="Courier New"/>
        </w:rPr>
      </w:pPr>
      <w:r>
        <w:rPr>
          <w:rFonts w:ascii="Courier New" w:hAnsi="Courier New" w:cs="Courier New"/>
        </w:rPr>
        <w:tab/>
      </w:r>
      <w:r w:rsidR="005F22FE">
        <w:rPr>
          <w:rFonts w:ascii="Courier New" w:hAnsi="Courier New" w:cs="Courier New"/>
        </w:rPr>
        <w:t xml:space="preserve">Assessors </w:t>
      </w:r>
      <w:r w:rsidR="00B139B6">
        <w:rPr>
          <w:rFonts w:ascii="Courier New" w:hAnsi="Courier New" w:cs="Courier New"/>
        </w:rPr>
        <w:t>must</w:t>
      </w:r>
      <w:r w:rsidR="005F22FE">
        <w:rPr>
          <w:rFonts w:ascii="Courier New" w:hAnsi="Courier New" w:cs="Courier New"/>
        </w:rPr>
        <w:t xml:space="preserve"> assess real estate at its fair cash value as of the first day of January of the year preceding the fiscal year at issue.  G.L. c. 59</w:t>
      </w:r>
      <w:r w:rsidR="003279BE">
        <w:rPr>
          <w:rFonts w:ascii="Courier New" w:hAnsi="Courier New" w:cs="Courier New"/>
        </w:rPr>
        <w:t>,</w:t>
      </w:r>
      <w:r w:rsidR="005F22FE">
        <w:rPr>
          <w:rFonts w:ascii="Courier New" w:hAnsi="Courier New" w:cs="Courier New"/>
        </w:rPr>
        <w:t xml:space="preserve"> §§ 11 and 38. Fair cash value is the price upon which a willing buyer and a willing seller would agree if both are fully informed and neither is under compulsion. </w:t>
      </w:r>
      <w:r w:rsidR="005F22FE">
        <w:rPr>
          <w:rFonts w:ascii="Courier New" w:hAnsi="Courier New" w:cs="Courier New"/>
          <w:b/>
          <w:i/>
        </w:rPr>
        <w:t>Boston Gas Co. v. Assessors of Boston</w:t>
      </w:r>
      <w:r w:rsidR="005F22FE">
        <w:rPr>
          <w:rFonts w:ascii="Courier New" w:hAnsi="Courier New" w:cs="Courier New"/>
          <w:b/>
        </w:rPr>
        <w:t>,</w:t>
      </w:r>
      <w:r w:rsidR="005F22FE">
        <w:rPr>
          <w:rFonts w:ascii="Courier New" w:hAnsi="Courier New" w:cs="Courier New"/>
        </w:rPr>
        <w:t xml:space="preserve"> 334 Mass. 549, 566 (1956).</w:t>
      </w:r>
    </w:p>
    <w:p w14:paraId="3B3C3960" w14:textId="328D0CC4" w:rsidR="005F22FE" w:rsidRDefault="005F22FE" w:rsidP="000F5B6B">
      <w:pPr>
        <w:spacing w:line="480" w:lineRule="auto"/>
        <w:ind w:firstLine="720"/>
        <w:jc w:val="both"/>
        <w:rPr>
          <w:rFonts w:ascii="Courier New" w:hAnsi="Courier New" w:cs="Courier New"/>
        </w:rPr>
      </w:pPr>
      <w:r>
        <w:rPr>
          <w:rFonts w:ascii="Courier New" w:hAnsi="Courier New" w:cs="Courier New"/>
        </w:rPr>
        <w:t xml:space="preserve">The burden of proof is on </w:t>
      </w:r>
      <w:r w:rsidR="000F5B6B">
        <w:rPr>
          <w:rFonts w:ascii="Courier New" w:hAnsi="Courier New" w:cs="Courier New"/>
        </w:rPr>
        <w:t>a</w:t>
      </w:r>
      <w:r>
        <w:rPr>
          <w:rFonts w:ascii="Courier New" w:hAnsi="Courier New" w:cs="Courier New"/>
        </w:rPr>
        <w:t xml:space="preserve"> taxpayer to make out a right to an abatement. </w:t>
      </w:r>
      <w:r>
        <w:rPr>
          <w:rFonts w:ascii="Courier New" w:hAnsi="Courier New" w:cs="Courier New"/>
          <w:b/>
          <w:i/>
        </w:rPr>
        <w:t>Schlaiker v. Assessors of Great Barrington</w:t>
      </w:r>
      <w:r>
        <w:rPr>
          <w:rFonts w:ascii="Courier New" w:hAnsi="Courier New" w:cs="Courier New"/>
          <w:b/>
        </w:rPr>
        <w:t xml:space="preserve">, </w:t>
      </w:r>
      <w:r>
        <w:rPr>
          <w:rFonts w:ascii="Courier New" w:hAnsi="Courier New" w:cs="Courier New"/>
        </w:rPr>
        <w:t>365</w:t>
      </w:r>
      <w:r w:rsidR="00B42C5A">
        <w:rPr>
          <w:rFonts w:ascii="Courier New" w:hAnsi="Courier New" w:cs="Courier New"/>
        </w:rPr>
        <w:t> </w:t>
      </w:r>
      <w:r>
        <w:rPr>
          <w:rFonts w:ascii="Courier New" w:hAnsi="Courier New" w:cs="Courier New"/>
        </w:rPr>
        <w:t xml:space="preserve">Mass. 243, 245 (1974). </w:t>
      </w:r>
      <w:r w:rsidR="00D01EC7">
        <w:rPr>
          <w:rFonts w:ascii="Courier New" w:hAnsi="Courier New" w:cs="Courier New"/>
        </w:rPr>
        <w:t>A</w:t>
      </w:r>
      <w:r>
        <w:rPr>
          <w:rFonts w:ascii="Courier New" w:hAnsi="Courier New" w:cs="Courier New"/>
        </w:rPr>
        <w:t xml:space="preserve"> taxpayer may sustain this burden by introducing affirmative evidence of fair cash value, or by proving that the assessors erred in their method of valuation.  </w:t>
      </w:r>
      <w:r>
        <w:rPr>
          <w:rFonts w:ascii="Courier New" w:hAnsi="Courier New" w:cs="Courier New"/>
          <w:b/>
          <w:i/>
        </w:rPr>
        <w:t>General Electric Co. v. Assessors of Lynn</w:t>
      </w:r>
      <w:r>
        <w:rPr>
          <w:rFonts w:ascii="Courier New" w:hAnsi="Courier New" w:cs="Courier New"/>
          <w:b/>
        </w:rPr>
        <w:t>,</w:t>
      </w:r>
      <w:r>
        <w:rPr>
          <w:rFonts w:ascii="Courier New" w:hAnsi="Courier New" w:cs="Courier New"/>
        </w:rPr>
        <w:t xml:space="preserve"> 393 Mass. 591, 600 </w:t>
      </w:r>
      <w:r>
        <w:rPr>
          <w:rFonts w:ascii="Courier New" w:hAnsi="Courier New" w:cs="Courier New"/>
        </w:rPr>
        <w:lastRenderedPageBreak/>
        <w:t xml:space="preserve">(1984). </w:t>
      </w:r>
      <w:r w:rsidRPr="000C0662">
        <w:rPr>
          <w:rFonts w:ascii="Courier New" w:hAnsi="Courier New" w:cs="Courier New"/>
        </w:rPr>
        <w:t>“The introduction of ample and substantial evidence in this regard may pro</w:t>
      </w:r>
      <w:r>
        <w:rPr>
          <w:rFonts w:ascii="Courier New" w:hAnsi="Courier New" w:cs="Courier New"/>
        </w:rPr>
        <w:t xml:space="preserve">vide adequate support for </w:t>
      </w:r>
      <w:r w:rsidRPr="000C0662">
        <w:rPr>
          <w:rFonts w:ascii="Courier New" w:hAnsi="Courier New" w:cs="Courier New"/>
        </w:rPr>
        <w:t xml:space="preserve">abatement.” </w:t>
      </w:r>
      <w:r w:rsidRPr="000C0662">
        <w:rPr>
          <w:rFonts w:ascii="Courier New" w:hAnsi="Courier New" w:cs="Courier New"/>
          <w:b/>
          <w:bCs/>
          <w:i/>
          <w:iCs/>
        </w:rPr>
        <w:t xml:space="preserve">Chouinard v. Assessors of </w:t>
      </w:r>
      <w:smartTag w:uri="urn:schemas-microsoft-com:office:smarttags" w:element="City">
        <w:smartTag w:uri="urn:schemas-microsoft-com:office:smarttags" w:element="place">
          <w:r w:rsidRPr="000C0662">
            <w:rPr>
              <w:rFonts w:ascii="Courier New" w:hAnsi="Courier New" w:cs="Courier New"/>
              <w:b/>
              <w:bCs/>
              <w:i/>
              <w:iCs/>
            </w:rPr>
            <w:t>Natick</w:t>
          </w:r>
        </w:smartTag>
      </w:smartTag>
      <w:r w:rsidRPr="000C0662">
        <w:rPr>
          <w:rFonts w:ascii="Courier New" w:hAnsi="Courier New" w:cs="Courier New"/>
        </w:rPr>
        <w:t xml:space="preserve">, </w:t>
      </w:r>
      <w:r>
        <w:rPr>
          <w:rFonts w:ascii="Courier New" w:hAnsi="Courier New" w:cs="Courier New"/>
        </w:rPr>
        <w:t xml:space="preserve">Mass. </w:t>
      </w:r>
      <w:r w:rsidRPr="000C0662">
        <w:rPr>
          <w:rFonts w:ascii="Courier New" w:hAnsi="Courier New" w:cs="Courier New"/>
        </w:rPr>
        <w:t xml:space="preserve">ATB Findings of Fact and Reports 1998-299, 307-08 (citing </w:t>
      </w:r>
      <w:r w:rsidRPr="000C0662">
        <w:rPr>
          <w:rFonts w:ascii="Courier New" w:hAnsi="Courier New" w:cs="Courier New"/>
          <w:b/>
          <w:bCs/>
          <w:i/>
          <w:iCs/>
        </w:rPr>
        <w:t>Garvey v. Assessors of West Newbury</w:t>
      </w:r>
      <w:r w:rsidRPr="000C0662">
        <w:rPr>
          <w:rFonts w:ascii="Courier New" w:hAnsi="Courier New" w:cs="Courier New"/>
        </w:rPr>
        <w:t xml:space="preserve">, </w:t>
      </w:r>
      <w:r>
        <w:rPr>
          <w:rFonts w:ascii="Courier New" w:hAnsi="Courier New" w:cs="Courier New"/>
        </w:rPr>
        <w:t xml:space="preserve">Mass. </w:t>
      </w:r>
      <w:r w:rsidRPr="000C0662">
        <w:rPr>
          <w:rFonts w:ascii="Courier New" w:hAnsi="Courier New" w:cs="Courier New"/>
        </w:rPr>
        <w:t xml:space="preserve">ATB Findings of Fact and Reports 1995-129, 135-36; </w:t>
      </w:r>
      <w:r w:rsidRPr="000C0662">
        <w:rPr>
          <w:rFonts w:ascii="Courier New" w:hAnsi="Courier New" w:cs="Courier New"/>
          <w:b/>
          <w:bCs/>
          <w:i/>
          <w:iCs/>
        </w:rPr>
        <w:t>Swartz v. Assessors of Tisbury</w:t>
      </w:r>
      <w:r w:rsidRPr="000C0662">
        <w:rPr>
          <w:rFonts w:ascii="Courier New" w:hAnsi="Courier New" w:cs="Courier New"/>
        </w:rPr>
        <w:t xml:space="preserve">, </w:t>
      </w:r>
      <w:r>
        <w:rPr>
          <w:rFonts w:ascii="Courier New" w:hAnsi="Courier New" w:cs="Courier New"/>
        </w:rPr>
        <w:t xml:space="preserve">Mass. </w:t>
      </w:r>
      <w:r w:rsidRPr="000C0662">
        <w:rPr>
          <w:rFonts w:ascii="Courier New" w:hAnsi="Courier New" w:cs="Courier New"/>
        </w:rPr>
        <w:t xml:space="preserve">ATB Findings of Fact and Reports 1993-271, 279-80). </w:t>
      </w:r>
      <w:r>
        <w:rPr>
          <w:rFonts w:ascii="Courier New" w:hAnsi="Courier New" w:cs="Courier New"/>
        </w:rPr>
        <w:t xml:space="preserve">Further, an assessment is presumed to be valid unless the taxpayer is able to sustain his or her burden of proving otherwise. </w:t>
      </w:r>
      <w:r>
        <w:rPr>
          <w:rFonts w:ascii="Courier New" w:hAnsi="Courier New" w:cs="Courier New"/>
          <w:b/>
          <w:i/>
        </w:rPr>
        <w:t>Schlaiker</w:t>
      </w:r>
      <w:r>
        <w:rPr>
          <w:rFonts w:ascii="Courier New" w:hAnsi="Courier New" w:cs="Courier New"/>
          <w:b/>
        </w:rPr>
        <w:t xml:space="preserve">, </w:t>
      </w:r>
      <w:r>
        <w:rPr>
          <w:rFonts w:ascii="Courier New" w:hAnsi="Courier New" w:cs="Courier New"/>
        </w:rPr>
        <w:t>365 Mass. at 245</w:t>
      </w:r>
      <w:r>
        <w:rPr>
          <w:rFonts w:ascii="Courier New" w:hAnsi="Courier New" w:cs="Courier New"/>
          <w:b/>
          <w:i/>
        </w:rPr>
        <w:t>.</w:t>
      </w:r>
      <w:r>
        <w:rPr>
          <w:rFonts w:ascii="Courier New" w:hAnsi="Courier New" w:cs="Courier New"/>
        </w:rPr>
        <w:t xml:space="preserve">  </w:t>
      </w:r>
    </w:p>
    <w:p w14:paraId="55B74C41" w14:textId="0E029D95" w:rsidR="002D0A2B" w:rsidRDefault="00B139B6" w:rsidP="00B139B6">
      <w:pPr>
        <w:spacing w:line="480" w:lineRule="auto"/>
        <w:jc w:val="both"/>
        <w:rPr>
          <w:rFonts w:ascii="Courier New" w:hAnsi="Courier New" w:cs="Courier New"/>
        </w:rPr>
      </w:pPr>
      <w:r>
        <w:rPr>
          <w:rFonts w:ascii="Courier New" w:hAnsi="Courier New" w:cs="Courier New"/>
        </w:rPr>
        <w:tab/>
        <w:t>I</w:t>
      </w:r>
      <w:r w:rsidR="00C057F0" w:rsidRPr="00CB7F2E">
        <w:rPr>
          <w:rFonts w:ascii="Courier New" w:hAnsi="Courier New" w:cs="Courier New"/>
        </w:rPr>
        <w:t>n th</w:t>
      </w:r>
      <w:r w:rsidR="007F76D6">
        <w:rPr>
          <w:rFonts w:ascii="Courier New" w:hAnsi="Courier New" w:cs="Courier New"/>
        </w:rPr>
        <w:t>e present</w:t>
      </w:r>
      <w:r w:rsidR="00C057F0" w:rsidRPr="00CB7F2E">
        <w:rPr>
          <w:rFonts w:ascii="Courier New" w:hAnsi="Courier New" w:cs="Courier New"/>
        </w:rPr>
        <w:t xml:space="preserve"> appeal, </w:t>
      </w:r>
      <w:r w:rsidR="005A2D76">
        <w:rPr>
          <w:rFonts w:ascii="Courier New" w:hAnsi="Courier New" w:cs="Courier New"/>
        </w:rPr>
        <w:t xml:space="preserve">the appellant </w:t>
      </w:r>
      <w:r w:rsidR="00E83557">
        <w:rPr>
          <w:rFonts w:ascii="Courier New" w:hAnsi="Courier New" w:cs="Courier New"/>
        </w:rPr>
        <w:t xml:space="preserve">did not </w:t>
      </w:r>
      <w:r>
        <w:rPr>
          <w:rFonts w:ascii="Courier New" w:hAnsi="Courier New" w:cs="Courier New"/>
        </w:rPr>
        <w:t xml:space="preserve">submit affirmative evidence of the </w:t>
      </w:r>
      <w:r w:rsidR="000F5B6B">
        <w:rPr>
          <w:rFonts w:ascii="Courier New" w:hAnsi="Courier New" w:cs="Courier New"/>
        </w:rPr>
        <w:t>S</w:t>
      </w:r>
      <w:r>
        <w:rPr>
          <w:rFonts w:ascii="Courier New" w:hAnsi="Courier New" w:cs="Courier New"/>
        </w:rPr>
        <w:t xml:space="preserve">ubject </w:t>
      </w:r>
      <w:r w:rsidR="000F5B6B">
        <w:rPr>
          <w:rFonts w:ascii="Courier New" w:hAnsi="Courier New" w:cs="Courier New"/>
        </w:rPr>
        <w:t>P</w:t>
      </w:r>
      <w:r>
        <w:rPr>
          <w:rFonts w:ascii="Courier New" w:hAnsi="Courier New" w:cs="Courier New"/>
        </w:rPr>
        <w:t xml:space="preserve">roperty’s fair cash value, as he </w:t>
      </w:r>
      <w:r w:rsidR="000E24D3">
        <w:rPr>
          <w:rFonts w:ascii="Courier New" w:hAnsi="Courier New" w:cs="Courier New"/>
        </w:rPr>
        <w:t xml:space="preserve">had </w:t>
      </w:r>
      <w:r w:rsidR="00E83557">
        <w:rPr>
          <w:rFonts w:ascii="Courier New" w:hAnsi="Courier New" w:cs="Courier New"/>
        </w:rPr>
        <w:t xml:space="preserve">explicitly and reasonably conceded that </w:t>
      </w:r>
      <w:r w:rsidR="007F76D6">
        <w:rPr>
          <w:rFonts w:ascii="Courier New" w:hAnsi="Courier New" w:cs="Courier New"/>
        </w:rPr>
        <w:t xml:space="preserve">the property’s assessed value did not exceed its fair cash value on the relevant assessment date. </w:t>
      </w:r>
      <w:r>
        <w:rPr>
          <w:rFonts w:ascii="Courier New" w:hAnsi="Courier New" w:cs="Courier New"/>
        </w:rPr>
        <w:t>Instead, t</w:t>
      </w:r>
      <w:r w:rsidR="00B608B4">
        <w:rPr>
          <w:rFonts w:ascii="Courier New" w:hAnsi="Courier New" w:cs="Courier New"/>
        </w:rPr>
        <w:t>he appellant</w:t>
      </w:r>
      <w:r w:rsidR="00E83557">
        <w:rPr>
          <w:rFonts w:ascii="Courier New" w:hAnsi="Courier New" w:cs="Courier New"/>
        </w:rPr>
        <w:t>’s case was based</w:t>
      </w:r>
      <w:r w:rsidR="00B608B4">
        <w:rPr>
          <w:rFonts w:ascii="Courier New" w:hAnsi="Courier New" w:cs="Courier New"/>
        </w:rPr>
        <w:t xml:space="preserve"> </w:t>
      </w:r>
      <w:r w:rsidR="00E83557">
        <w:rPr>
          <w:rFonts w:ascii="Courier New" w:hAnsi="Courier New" w:cs="Courier New"/>
        </w:rPr>
        <w:t xml:space="preserve">exclusively on his argument </w:t>
      </w:r>
      <w:r w:rsidR="00B608B4">
        <w:rPr>
          <w:rFonts w:ascii="Courier New" w:hAnsi="Courier New" w:cs="Courier New"/>
        </w:rPr>
        <w:t xml:space="preserve">that the Subject Property </w:t>
      </w:r>
      <w:r>
        <w:rPr>
          <w:rFonts w:ascii="Courier New" w:hAnsi="Courier New" w:cs="Courier New"/>
        </w:rPr>
        <w:t xml:space="preserve">had been </w:t>
      </w:r>
      <w:r w:rsidR="00B608B4">
        <w:rPr>
          <w:rFonts w:ascii="Courier New" w:hAnsi="Courier New" w:cs="Courier New"/>
        </w:rPr>
        <w:t>disproportionately assessed</w:t>
      </w:r>
      <w:r w:rsidR="002D0A2B">
        <w:rPr>
          <w:rFonts w:ascii="Courier New" w:hAnsi="Courier New" w:cs="Courier New"/>
        </w:rPr>
        <w:t>.</w:t>
      </w:r>
    </w:p>
    <w:p w14:paraId="4220C3A3" w14:textId="642CC8A2" w:rsidR="00165D55" w:rsidRPr="00C43746" w:rsidRDefault="00986E79" w:rsidP="00CF560B">
      <w:pPr>
        <w:pStyle w:val="FootnoteText"/>
        <w:spacing w:line="480" w:lineRule="auto"/>
        <w:jc w:val="both"/>
        <w:rPr>
          <w:rFonts w:ascii="Courier New" w:hAnsi="Courier New" w:cs="Courier New"/>
          <w:b/>
        </w:rPr>
      </w:pPr>
      <w:r>
        <w:rPr>
          <w:rFonts w:ascii="Courier New" w:hAnsi="Courier New" w:cs="Courier New"/>
        </w:rPr>
        <w:tab/>
      </w:r>
      <w:r w:rsidR="00B608B4" w:rsidRPr="0088143A">
        <w:rPr>
          <w:rFonts w:ascii="Courier New" w:hAnsi="Courier New" w:cs="Courier New"/>
        </w:rPr>
        <w:t>To prevail on a disproportionate assessment claim “a taxpayer must show that there is an ‘intentional policy or scheme of valuing properties or classes of property at a lower percentage’ of fair cash value than the taxpayer’s property.”</w:t>
      </w:r>
      <w:r w:rsidR="00B608B4">
        <w:rPr>
          <w:rFonts w:ascii="Courier New" w:hAnsi="Courier New" w:cs="Courier New"/>
        </w:rPr>
        <w:t xml:space="preserve"> </w:t>
      </w:r>
      <w:r w:rsidR="00B608B4" w:rsidRPr="00333CC7">
        <w:rPr>
          <w:rFonts w:ascii="Courier New" w:hAnsi="Courier New" w:cs="Courier New"/>
          <w:b/>
          <w:i/>
        </w:rPr>
        <w:t>Brown v. Assessors of Brookline</w:t>
      </w:r>
      <w:r w:rsidR="00B608B4" w:rsidRPr="00CD2507">
        <w:rPr>
          <w:rFonts w:ascii="Courier New" w:hAnsi="Courier New" w:cs="Courier New"/>
          <w:b/>
        </w:rPr>
        <w:t xml:space="preserve">, </w:t>
      </w:r>
      <w:r w:rsidR="00B608B4" w:rsidRPr="00333CC7">
        <w:rPr>
          <w:rFonts w:ascii="Courier New" w:hAnsi="Courier New" w:cs="Courier New"/>
        </w:rPr>
        <w:t>43 Mass. App. Ct. 327, 328 (1997)(quoting</w:t>
      </w:r>
      <w:r w:rsidR="00B608B4" w:rsidRPr="00F64589">
        <w:rPr>
          <w:rFonts w:ascii="Courier New" w:hAnsi="Courier New" w:cs="Courier New"/>
          <w:b/>
        </w:rPr>
        <w:t xml:space="preserve"> </w:t>
      </w:r>
      <w:r w:rsidR="00B608B4" w:rsidRPr="00333CC7">
        <w:rPr>
          <w:rFonts w:ascii="Courier New" w:hAnsi="Courier New" w:cs="Courier New"/>
          <w:b/>
          <w:i/>
        </w:rPr>
        <w:t>Shoppers’ World, Inc. v. Assessors of Framingham</w:t>
      </w:r>
      <w:r w:rsidR="00B608B4" w:rsidRPr="00F64589">
        <w:rPr>
          <w:rFonts w:ascii="Courier New" w:hAnsi="Courier New" w:cs="Courier New"/>
          <w:b/>
        </w:rPr>
        <w:t xml:space="preserve">, </w:t>
      </w:r>
      <w:r w:rsidR="00B608B4" w:rsidRPr="00333CC7">
        <w:rPr>
          <w:rFonts w:ascii="Courier New" w:hAnsi="Courier New" w:cs="Courier New"/>
        </w:rPr>
        <w:t>348 Mass. 366, 377 (1965))</w:t>
      </w:r>
      <w:r w:rsidR="00B608B4" w:rsidRPr="00F64589">
        <w:rPr>
          <w:rFonts w:ascii="Courier New" w:hAnsi="Courier New" w:cs="Courier New"/>
          <w:b/>
        </w:rPr>
        <w:t>.</w:t>
      </w:r>
      <w:r w:rsidR="00333CC7">
        <w:rPr>
          <w:rFonts w:ascii="Courier New" w:hAnsi="Courier New" w:cs="Courier New"/>
          <w:b/>
        </w:rPr>
        <w:t xml:space="preserve"> </w:t>
      </w:r>
      <w:r w:rsidR="00333CC7" w:rsidRPr="00333CC7">
        <w:rPr>
          <w:rFonts w:ascii="Courier New" w:hAnsi="Courier New" w:cs="Courier New"/>
          <w:i/>
        </w:rPr>
        <w:t>See also</w:t>
      </w:r>
      <w:r w:rsidR="00333CC7">
        <w:rPr>
          <w:rFonts w:ascii="Courier New" w:hAnsi="Courier New" w:cs="Courier New"/>
          <w:b/>
        </w:rPr>
        <w:t xml:space="preserve"> </w:t>
      </w:r>
      <w:r w:rsidR="00333CC7" w:rsidRPr="00333CC7">
        <w:rPr>
          <w:rFonts w:ascii="Courier New" w:hAnsi="Courier New" w:cs="Courier New"/>
          <w:b/>
          <w:i/>
        </w:rPr>
        <w:t>Benjamin Birnie v.  Assessors of Stockbridge</w:t>
      </w:r>
      <w:r w:rsidR="00333CC7" w:rsidRPr="003B099B">
        <w:rPr>
          <w:rFonts w:ascii="Courier New" w:hAnsi="Courier New" w:cs="Courier New"/>
          <w:b/>
        </w:rPr>
        <w:t xml:space="preserve">, </w:t>
      </w:r>
      <w:r w:rsidR="00333CC7" w:rsidRPr="00333CC7">
        <w:rPr>
          <w:rFonts w:ascii="Courier New" w:hAnsi="Courier New" w:cs="Courier New"/>
        </w:rPr>
        <w:t xml:space="preserve">Mass. ATB Findings of Fact and Reports </w:t>
      </w:r>
      <w:r w:rsidR="00333CC7" w:rsidRPr="00333CC7">
        <w:rPr>
          <w:rFonts w:ascii="Courier New" w:hAnsi="Courier New" w:cs="Courier New"/>
        </w:rPr>
        <w:lastRenderedPageBreak/>
        <w:t>2010-64, 73 (quoting</w:t>
      </w:r>
      <w:r w:rsidR="00333CC7" w:rsidRPr="00255792">
        <w:rPr>
          <w:rFonts w:ascii="Courier New" w:hAnsi="Courier New" w:cs="Courier New"/>
          <w:b/>
        </w:rPr>
        <w:t xml:space="preserve"> </w:t>
      </w:r>
      <w:r w:rsidR="00333CC7" w:rsidRPr="00333CC7">
        <w:rPr>
          <w:rFonts w:ascii="Courier New" w:hAnsi="Courier New" w:cs="Courier New"/>
          <w:b/>
          <w:i/>
        </w:rPr>
        <w:t>Stilson v. Assessors of Gloucester</w:t>
      </w:r>
      <w:r w:rsidR="00333CC7" w:rsidRPr="001A1550">
        <w:rPr>
          <w:rFonts w:ascii="Courier New" w:hAnsi="Courier New" w:cs="Courier New"/>
          <w:b/>
        </w:rPr>
        <w:t xml:space="preserve">, </w:t>
      </w:r>
      <w:r w:rsidR="00333CC7" w:rsidRPr="00D01EC7">
        <w:rPr>
          <w:rFonts w:ascii="Courier New" w:hAnsi="Courier New" w:cs="Courier New"/>
        </w:rPr>
        <w:t>385</w:t>
      </w:r>
      <w:r w:rsidR="00FA76C3">
        <w:rPr>
          <w:rFonts w:ascii="Courier New" w:hAnsi="Courier New" w:cs="Courier New"/>
        </w:rPr>
        <w:t> </w:t>
      </w:r>
      <w:r w:rsidR="00333CC7" w:rsidRPr="00D01EC7">
        <w:rPr>
          <w:rFonts w:ascii="Courier New" w:hAnsi="Courier New" w:cs="Courier New"/>
        </w:rPr>
        <w:t>Mass. 724, 727-28 (1982)</w:t>
      </w:r>
      <w:r w:rsidR="00333CC7" w:rsidRPr="00333CC7">
        <w:rPr>
          <w:rFonts w:ascii="Courier New" w:hAnsi="Courier New" w:cs="Courier New"/>
        </w:rPr>
        <w:t>(</w:t>
      </w:r>
      <w:r w:rsidR="00B608B4" w:rsidRPr="003B099B">
        <w:rPr>
          <w:rFonts w:ascii="Courier New" w:hAnsi="Courier New" w:cs="Courier New"/>
        </w:rPr>
        <w:t>The taxpayer bears the burden of proving that the assessors “employed a ‘deliberate scheme’</w:t>
      </w:r>
      <w:r w:rsidR="00333CC7">
        <w:rPr>
          <w:rFonts w:ascii="Courier New" w:hAnsi="Courier New" w:cs="Courier New"/>
        </w:rPr>
        <w:t xml:space="preserve"> . . .</w:t>
      </w:r>
      <w:r w:rsidR="00B608B4" w:rsidRPr="003B099B">
        <w:rPr>
          <w:rFonts w:ascii="Courier New" w:hAnsi="Courier New" w:cs="Courier New"/>
        </w:rPr>
        <w:t xml:space="preserve"> whereby they ‘systematically assessed properties or a class of properties at a lower percentage of fair cash value than the percentage applied to the taxpayer’s property.’”</w:t>
      </w:r>
      <w:r w:rsidR="00333CC7">
        <w:rPr>
          <w:rFonts w:ascii="Courier New" w:hAnsi="Courier New" w:cs="Courier New"/>
        </w:rPr>
        <w:t>)</w:t>
      </w:r>
      <w:r w:rsidR="003279BE">
        <w:rPr>
          <w:rFonts w:ascii="Courier New" w:hAnsi="Courier New" w:cs="Courier New"/>
        </w:rPr>
        <w:t>).</w:t>
      </w:r>
      <w:r w:rsidR="00B608B4" w:rsidRPr="003B099B">
        <w:rPr>
          <w:rFonts w:ascii="Courier New" w:hAnsi="Courier New" w:cs="Courier New"/>
        </w:rPr>
        <w:t xml:space="preserve"> </w:t>
      </w:r>
      <w:r w:rsidR="00B608B4" w:rsidRPr="00F7482B">
        <w:rPr>
          <w:rFonts w:ascii="Courier New" w:hAnsi="Courier New" w:cs="Courier New"/>
        </w:rPr>
        <w:t xml:space="preserve">Further, the taxpayer must provide examples </w:t>
      </w:r>
      <w:r w:rsidR="00FE2E50" w:rsidRPr="00F7482B">
        <w:rPr>
          <w:rFonts w:ascii="Courier New" w:hAnsi="Courier New" w:cs="Courier New"/>
        </w:rPr>
        <w:t xml:space="preserve">of </w:t>
      </w:r>
      <w:r w:rsidR="00B608B4" w:rsidRPr="00F7482B">
        <w:rPr>
          <w:rFonts w:ascii="Courier New" w:hAnsi="Courier New" w:cs="Courier New"/>
        </w:rPr>
        <w:t xml:space="preserve">comparable properties to prove </w:t>
      </w:r>
      <w:r w:rsidR="00B0108A">
        <w:rPr>
          <w:rFonts w:ascii="Courier New" w:hAnsi="Courier New" w:cs="Courier New"/>
        </w:rPr>
        <w:t>that</w:t>
      </w:r>
      <w:r w:rsidR="00B608B4" w:rsidRPr="00F7482B">
        <w:rPr>
          <w:rFonts w:ascii="Courier New" w:hAnsi="Courier New" w:cs="Courier New"/>
        </w:rPr>
        <w:t xml:space="preserve"> disproportionate assessment occurred and the “number of properties and the pattern of assessments to fair cash value must have sufficient statistical validity</w:t>
      </w:r>
      <w:r w:rsidR="00D27A9B">
        <w:rPr>
          <w:rFonts w:ascii="Courier New" w:hAnsi="Courier New" w:cs="Courier New"/>
        </w:rPr>
        <w:t xml:space="preserve"> . . . </w:t>
      </w:r>
      <w:r w:rsidR="00B608B4" w:rsidRPr="00F7482B">
        <w:rPr>
          <w:rFonts w:ascii="Courier New" w:hAnsi="Courier New" w:cs="Courier New"/>
        </w:rPr>
        <w:t>to warrant the inference.”</w:t>
      </w:r>
      <w:r w:rsidR="00B608B4" w:rsidRPr="0015650D">
        <w:rPr>
          <w:rFonts w:ascii="Courier New" w:hAnsi="Courier New" w:cs="Courier New"/>
          <w:b/>
        </w:rPr>
        <w:t xml:space="preserve"> </w:t>
      </w:r>
      <w:r w:rsidR="0020757C">
        <w:rPr>
          <w:rFonts w:ascii="Courier New" w:hAnsi="Courier New" w:cs="Courier New"/>
          <w:b/>
        </w:rPr>
        <w:t xml:space="preserve"> </w:t>
      </w:r>
      <w:r w:rsidR="00B0108A" w:rsidRPr="00333CC7">
        <w:rPr>
          <w:rFonts w:ascii="Courier New" w:hAnsi="Courier New" w:cs="Courier New"/>
          <w:b/>
          <w:i/>
        </w:rPr>
        <w:t>Benjamin Birnie</w:t>
      </w:r>
      <w:r w:rsidR="00B0108A" w:rsidRPr="003B099B">
        <w:rPr>
          <w:rFonts w:ascii="Courier New" w:hAnsi="Courier New" w:cs="Courier New"/>
          <w:b/>
        </w:rPr>
        <w:t xml:space="preserve">, </w:t>
      </w:r>
      <w:r w:rsidR="00B0108A" w:rsidRPr="00333CC7">
        <w:rPr>
          <w:rFonts w:ascii="Courier New" w:hAnsi="Courier New" w:cs="Courier New"/>
        </w:rPr>
        <w:t xml:space="preserve">Mass. ATB Findings of Fact and Reports </w:t>
      </w:r>
      <w:r w:rsidR="003279BE">
        <w:rPr>
          <w:rFonts w:ascii="Courier New" w:hAnsi="Courier New" w:cs="Courier New"/>
        </w:rPr>
        <w:t xml:space="preserve">at </w:t>
      </w:r>
      <w:r w:rsidR="00B0108A" w:rsidRPr="00333CC7">
        <w:rPr>
          <w:rFonts w:ascii="Courier New" w:hAnsi="Courier New" w:cs="Courier New"/>
        </w:rPr>
        <w:t>2010</w:t>
      </w:r>
      <w:r w:rsidR="003279BE">
        <w:rPr>
          <w:rFonts w:ascii="Courier New" w:hAnsi="Courier New" w:cs="Courier New"/>
        </w:rPr>
        <w:t>-</w:t>
      </w:r>
      <w:r w:rsidR="00F7482B" w:rsidRPr="00B0108A">
        <w:rPr>
          <w:rFonts w:ascii="Courier New" w:hAnsi="Courier New" w:cs="Courier New"/>
        </w:rPr>
        <w:t>74</w:t>
      </w:r>
      <w:r w:rsidR="00B608B4" w:rsidRPr="00F7482B">
        <w:rPr>
          <w:rFonts w:ascii="Courier New" w:hAnsi="Courier New" w:cs="Courier New"/>
          <w:b/>
        </w:rPr>
        <w:t>.</w:t>
      </w:r>
      <w:r w:rsidR="00B608B4">
        <w:rPr>
          <w:rFonts w:ascii="Courier New" w:hAnsi="Courier New" w:cs="Courier New"/>
          <w:b/>
        </w:rPr>
        <w:t xml:space="preserve">  </w:t>
      </w:r>
    </w:p>
    <w:p w14:paraId="68F8471D" w14:textId="68ED62B3" w:rsidR="0045228C" w:rsidRDefault="00696D9A" w:rsidP="00FC7548">
      <w:pPr>
        <w:spacing w:line="480" w:lineRule="auto"/>
        <w:jc w:val="both"/>
        <w:rPr>
          <w:rFonts w:ascii="Courier New" w:hAnsi="Courier New" w:cs="Courier New"/>
        </w:rPr>
      </w:pPr>
      <w:r>
        <w:rPr>
          <w:rFonts w:ascii="Courier New" w:hAnsi="Courier New" w:cs="Courier New"/>
        </w:rPr>
        <w:tab/>
      </w:r>
      <w:r w:rsidR="001607AB">
        <w:rPr>
          <w:rFonts w:ascii="Courier New" w:hAnsi="Courier New" w:cs="Courier New"/>
        </w:rPr>
        <w:t xml:space="preserve">To support his </w:t>
      </w:r>
      <w:r w:rsidR="00E83557">
        <w:rPr>
          <w:rFonts w:ascii="Courier New" w:hAnsi="Courier New" w:cs="Courier New"/>
        </w:rPr>
        <w:t>claim of disproportionate assessment</w:t>
      </w:r>
      <w:r w:rsidR="001607AB">
        <w:rPr>
          <w:rFonts w:ascii="Courier New" w:hAnsi="Courier New" w:cs="Courier New"/>
        </w:rPr>
        <w:t xml:space="preserve">, </w:t>
      </w:r>
      <w:r w:rsidR="00D86C59" w:rsidRPr="005C64C6">
        <w:rPr>
          <w:rFonts w:ascii="Courier New" w:hAnsi="Courier New" w:cs="Courier New"/>
        </w:rPr>
        <w:t xml:space="preserve">the appellant </w:t>
      </w:r>
      <w:r w:rsidR="00D86C59">
        <w:rPr>
          <w:rFonts w:ascii="Courier New" w:hAnsi="Courier New" w:cs="Courier New"/>
        </w:rPr>
        <w:t xml:space="preserve">presented the assessed values of five properties </w:t>
      </w:r>
      <w:r w:rsidR="00D01EC7">
        <w:rPr>
          <w:rFonts w:ascii="Courier New" w:hAnsi="Courier New" w:cs="Courier New"/>
        </w:rPr>
        <w:t xml:space="preserve">that the </w:t>
      </w:r>
      <w:r w:rsidR="00B40C33">
        <w:rPr>
          <w:rFonts w:ascii="Courier New" w:hAnsi="Courier New" w:cs="Courier New"/>
        </w:rPr>
        <w:t>B</w:t>
      </w:r>
      <w:r w:rsidR="00D01EC7">
        <w:rPr>
          <w:rFonts w:ascii="Courier New" w:hAnsi="Courier New" w:cs="Courier New"/>
        </w:rPr>
        <w:t xml:space="preserve">oard found were </w:t>
      </w:r>
      <w:r w:rsidR="000E6885">
        <w:rPr>
          <w:rFonts w:ascii="Courier New" w:hAnsi="Courier New" w:cs="Courier New"/>
        </w:rPr>
        <w:t xml:space="preserve">generally </w:t>
      </w:r>
      <w:r w:rsidR="00D01EC7">
        <w:rPr>
          <w:rFonts w:ascii="Courier New" w:hAnsi="Courier New" w:cs="Courier New"/>
        </w:rPr>
        <w:t xml:space="preserve">comparable to the </w:t>
      </w:r>
      <w:r w:rsidR="003279BE">
        <w:rPr>
          <w:rFonts w:ascii="Courier New" w:hAnsi="Courier New" w:cs="Courier New"/>
        </w:rPr>
        <w:t>S</w:t>
      </w:r>
      <w:r w:rsidR="00D01EC7">
        <w:rPr>
          <w:rFonts w:ascii="Courier New" w:hAnsi="Courier New" w:cs="Courier New"/>
        </w:rPr>
        <w:t xml:space="preserve">ubject </w:t>
      </w:r>
      <w:r w:rsidR="003279BE">
        <w:rPr>
          <w:rFonts w:ascii="Courier New" w:hAnsi="Courier New" w:cs="Courier New"/>
        </w:rPr>
        <w:t>P</w:t>
      </w:r>
      <w:r w:rsidR="00D01EC7">
        <w:rPr>
          <w:rFonts w:ascii="Courier New" w:hAnsi="Courier New" w:cs="Courier New"/>
        </w:rPr>
        <w:t>roperty</w:t>
      </w:r>
      <w:r w:rsidR="00D86C59">
        <w:rPr>
          <w:rFonts w:ascii="Courier New" w:hAnsi="Courier New" w:cs="Courier New"/>
        </w:rPr>
        <w:t xml:space="preserve">. </w:t>
      </w:r>
      <w:r w:rsidR="00D86C59" w:rsidRPr="005C64C6">
        <w:rPr>
          <w:rFonts w:ascii="Courier New" w:hAnsi="Courier New" w:cs="Courier New"/>
        </w:rPr>
        <w:t>The appellant</w:t>
      </w:r>
      <w:r w:rsidR="00D86C59">
        <w:rPr>
          <w:rFonts w:ascii="Courier New" w:hAnsi="Courier New" w:cs="Courier New"/>
        </w:rPr>
        <w:t xml:space="preserve"> did not, however,</w:t>
      </w:r>
      <w:r w:rsidR="00D86C59" w:rsidRPr="005C64C6">
        <w:rPr>
          <w:rFonts w:ascii="Courier New" w:hAnsi="Courier New" w:cs="Courier New"/>
        </w:rPr>
        <w:t xml:space="preserve"> </w:t>
      </w:r>
      <w:r w:rsidR="00D86C59">
        <w:rPr>
          <w:rFonts w:ascii="Courier New" w:hAnsi="Courier New" w:cs="Courier New"/>
        </w:rPr>
        <w:t xml:space="preserve">demonstrate that the assessors had employed an intentional policy or engaged in a deliberate scheme of disproportionate assessment. </w:t>
      </w:r>
      <w:r w:rsidR="00C01704">
        <w:rPr>
          <w:rFonts w:ascii="Courier New" w:hAnsi="Courier New" w:cs="Courier New"/>
        </w:rPr>
        <w:t>Though the Subject Property’s assessed value rose</w:t>
      </w:r>
      <w:r w:rsidR="00FC559D">
        <w:rPr>
          <w:rFonts w:ascii="Courier New" w:hAnsi="Courier New" w:cs="Courier New"/>
        </w:rPr>
        <w:t xml:space="preserve"> more than five </w:t>
      </w:r>
      <w:r w:rsidR="00D01EC7">
        <w:rPr>
          <w:rFonts w:ascii="Courier New" w:hAnsi="Courier New" w:cs="Courier New"/>
        </w:rPr>
        <w:t xml:space="preserve">comparable </w:t>
      </w:r>
      <w:r w:rsidR="00FC559D">
        <w:rPr>
          <w:rFonts w:ascii="Courier New" w:hAnsi="Courier New" w:cs="Courier New"/>
        </w:rPr>
        <w:t>properties in fiscal year 2014, this fact would not, standing alone, provide sufficient evidence to establish disproportionate assessment</w:t>
      </w:r>
      <w:r w:rsidR="0045228C">
        <w:rPr>
          <w:rFonts w:ascii="Courier New" w:hAnsi="Courier New" w:cs="Courier New"/>
        </w:rPr>
        <w:t xml:space="preserve">. </w:t>
      </w:r>
      <w:r w:rsidR="00D86C59">
        <w:rPr>
          <w:rFonts w:ascii="Courier New" w:hAnsi="Courier New" w:cs="Courier New"/>
          <w:i/>
        </w:rPr>
        <w:t>See </w:t>
      </w:r>
      <w:r w:rsidR="00D86C59">
        <w:rPr>
          <w:rFonts w:ascii="Courier New" w:hAnsi="Courier New" w:cs="Courier New"/>
          <w:b/>
          <w:i/>
        </w:rPr>
        <w:t xml:space="preserve">Smith v. Assessors of </w:t>
      </w:r>
      <w:smartTag w:uri="urn:schemas-microsoft-com:office:smarttags" w:element="place">
        <w:smartTag w:uri="urn:schemas-microsoft-com:office:smarttags" w:element="City">
          <w:r w:rsidR="00D86C59">
            <w:rPr>
              <w:rFonts w:ascii="Courier New" w:hAnsi="Courier New" w:cs="Courier New"/>
              <w:b/>
              <w:i/>
            </w:rPr>
            <w:t>Marion</w:t>
          </w:r>
        </w:smartTag>
        <w:r w:rsidR="00D86C59">
          <w:rPr>
            <w:rFonts w:ascii="Courier New" w:hAnsi="Courier New" w:cs="Courier New"/>
          </w:rPr>
          <w:t xml:space="preserve">, </w:t>
        </w:r>
        <w:smartTag w:uri="urn:schemas-microsoft-com:office:smarttags" w:element="State">
          <w:r w:rsidR="00D86C59">
            <w:rPr>
              <w:rFonts w:ascii="Courier New" w:hAnsi="Courier New" w:cs="Courier New"/>
            </w:rPr>
            <w:t>Mass.</w:t>
          </w:r>
        </w:smartTag>
      </w:smartTag>
      <w:r w:rsidR="00D86C59">
        <w:rPr>
          <w:rFonts w:ascii="Courier New" w:hAnsi="Courier New" w:cs="Courier New"/>
        </w:rPr>
        <w:t xml:space="preserve"> ATB Findings of Fact and Reports 2005-219, 233</w:t>
      </w:r>
      <w:r w:rsidR="00D86C59" w:rsidRPr="00885E66">
        <w:rPr>
          <w:rFonts w:ascii="Courier New" w:hAnsi="Courier New" w:cs="Courier New"/>
        </w:rPr>
        <w:t xml:space="preserve"> </w:t>
      </w:r>
      <w:r w:rsidR="00D86C59">
        <w:rPr>
          <w:rFonts w:ascii="Courier New" w:hAnsi="Courier New" w:cs="Courier New"/>
        </w:rPr>
        <w:t>(</w:t>
      </w:r>
      <w:r w:rsidR="0045228C">
        <w:rPr>
          <w:rFonts w:ascii="Courier New" w:hAnsi="Courier New" w:cs="Courier New"/>
        </w:rPr>
        <w:t xml:space="preserve">finding </w:t>
      </w:r>
      <w:r w:rsidR="003279BE">
        <w:rPr>
          <w:rFonts w:ascii="Courier New" w:hAnsi="Courier New" w:cs="Courier New"/>
        </w:rPr>
        <w:t>that</w:t>
      </w:r>
      <w:r w:rsidR="0045228C">
        <w:rPr>
          <w:rFonts w:ascii="Courier New" w:hAnsi="Courier New" w:cs="Courier New"/>
        </w:rPr>
        <w:t xml:space="preserve"> a </w:t>
      </w:r>
      <w:r w:rsidR="00D86C59">
        <w:rPr>
          <w:rFonts w:ascii="Courier New" w:hAnsi="Courier New" w:cs="Courier New"/>
        </w:rPr>
        <w:t xml:space="preserve">scheme </w:t>
      </w:r>
      <w:r w:rsidR="00FC559D">
        <w:rPr>
          <w:rFonts w:ascii="Courier New" w:hAnsi="Courier New" w:cs="Courier New"/>
        </w:rPr>
        <w:t xml:space="preserve">of disproportionate assessment </w:t>
      </w:r>
      <w:r w:rsidR="00D86C59">
        <w:rPr>
          <w:rFonts w:ascii="Courier New" w:hAnsi="Courier New" w:cs="Courier New"/>
        </w:rPr>
        <w:t xml:space="preserve">would require far more data and </w:t>
      </w:r>
      <w:r w:rsidR="00D86C59">
        <w:rPr>
          <w:rFonts w:ascii="Courier New" w:hAnsi="Courier New" w:cs="Courier New"/>
        </w:rPr>
        <w:lastRenderedPageBreak/>
        <w:t xml:space="preserve">analysis between classes of property than the assessment information </w:t>
      </w:r>
      <w:r w:rsidR="00FC559D">
        <w:rPr>
          <w:rFonts w:ascii="Courier New" w:hAnsi="Courier New" w:cs="Courier New"/>
        </w:rPr>
        <w:t>relating to six properties that had been presented by</w:t>
      </w:r>
      <w:r w:rsidR="00D86C59">
        <w:rPr>
          <w:rFonts w:ascii="Courier New" w:hAnsi="Courier New" w:cs="Courier New"/>
        </w:rPr>
        <w:t xml:space="preserve"> the appellants).</w:t>
      </w:r>
    </w:p>
    <w:p w14:paraId="57E5F214" w14:textId="71571240" w:rsidR="00346CE7" w:rsidRDefault="0045228C" w:rsidP="00FC7548">
      <w:pPr>
        <w:spacing w:line="480" w:lineRule="auto"/>
        <w:jc w:val="both"/>
        <w:rPr>
          <w:rFonts w:ascii="Courier New" w:hAnsi="Courier New" w:cs="Courier New"/>
        </w:rPr>
      </w:pPr>
      <w:r>
        <w:rPr>
          <w:rFonts w:ascii="Courier New" w:hAnsi="Courier New" w:cs="Courier New"/>
        </w:rPr>
        <w:tab/>
        <w:t xml:space="preserve">The appellant’s </w:t>
      </w:r>
      <w:r w:rsidR="00346CE7">
        <w:rPr>
          <w:rFonts w:ascii="Courier New" w:hAnsi="Courier New" w:cs="Courier New"/>
        </w:rPr>
        <w:t xml:space="preserve">disproportionate assessment </w:t>
      </w:r>
      <w:r>
        <w:rPr>
          <w:rFonts w:ascii="Courier New" w:hAnsi="Courier New" w:cs="Courier New"/>
        </w:rPr>
        <w:t xml:space="preserve">argument is also undermined by his failure to take into account the recent renovation of the kitchen in the subject dwelling. This improvement, which was not mirrored by changes in any of the appellant’s </w:t>
      </w:r>
      <w:r w:rsidR="00D01EC7">
        <w:rPr>
          <w:rFonts w:ascii="Courier New" w:hAnsi="Courier New" w:cs="Courier New"/>
        </w:rPr>
        <w:t>comparable</w:t>
      </w:r>
      <w:r>
        <w:rPr>
          <w:rFonts w:ascii="Courier New" w:hAnsi="Courier New" w:cs="Courier New"/>
        </w:rPr>
        <w:t xml:space="preserve"> properties, may </w:t>
      </w:r>
      <w:r w:rsidR="00D01EC7">
        <w:rPr>
          <w:rFonts w:ascii="Courier New" w:hAnsi="Courier New" w:cs="Courier New"/>
        </w:rPr>
        <w:t xml:space="preserve">well </w:t>
      </w:r>
      <w:r>
        <w:rPr>
          <w:rFonts w:ascii="Courier New" w:hAnsi="Courier New" w:cs="Courier New"/>
        </w:rPr>
        <w:t xml:space="preserve">have </w:t>
      </w:r>
      <w:r w:rsidR="00122249">
        <w:rPr>
          <w:rFonts w:ascii="Courier New" w:hAnsi="Courier New" w:cs="Courier New"/>
        </w:rPr>
        <w:t xml:space="preserve">contributed to </w:t>
      </w:r>
      <w:r>
        <w:rPr>
          <w:rFonts w:ascii="Courier New" w:hAnsi="Courier New" w:cs="Courier New"/>
        </w:rPr>
        <w:t>the</w:t>
      </w:r>
      <w:r w:rsidR="00D01EC7">
        <w:rPr>
          <w:rFonts w:ascii="Courier New" w:hAnsi="Courier New" w:cs="Courier New"/>
        </w:rPr>
        <w:t xml:space="preserve"> more substantial </w:t>
      </w:r>
      <w:r>
        <w:rPr>
          <w:rFonts w:ascii="Courier New" w:hAnsi="Courier New" w:cs="Courier New"/>
        </w:rPr>
        <w:t>rise in the Subject Property’s assessed value for fiscal year 2014.</w:t>
      </w:r>
    </w:p>
    <w:p w14:paraId="66D369EA" w14:textId="682F91AB" w:rsidR="00D01EC7" w:rsidRDefault="00346CE7" w:rsidP="00FC7548">
      <w:pPr>
        <w:spacing w:line="480" w:lineRule="auto"/>
        <w:jc w:val="both"/>
        <w:rPr>
          <w:rFonts w:ascii="Courier New" w:hAnsi="Courier New" w:cs="Courier New"/>
        </w:rPr>
      </w:pPr>
      <w:r>
        <w:rPr>
          <w:rFonts w:ascii="Courier New" w:hAnsi="Courier New" w:cs="Courier New"/>
        </w:rPr>
        <w:tab/>
      </w:r>
      <w:r w:rsidR="00D01EC7">
        <w:rPr>
          <w:rFonts w:ascii="Courier New" w:hAnsi="Courier New" w:cs="Courier New"/>
        </w:rPr>
        <w:t>In sum, b</w:t>
      </w:r>
      <w:r w:rsidR="00B07628">
        <w:rPr>
          <w:rFonts w:ascii="Courier New" w:hAnsi="Courier New" w:cs="Courier New"/>
        </w:rPr>
        <w:t>ased on the evidence presented, the Board found</w:t>
      </w:r>
      <w:r w:rsidR="00122249">
        <w:rPr>
          <w:rFonts w:ascii="Courier New" w:hAnsi="Courier New" w:cs="Courier New"/>
        </w:rPr>
        <w:t xml:space="preserve"> and ruled</w:t>
      </w:r>
      <w:r w:rsidR="00B07628">
        <w:rPr>
          <w:rFonts w:ascii="Courier New" w:hAnsi="Courier New" w:cs="Courier New"/>
        </w:rPr>
        <w:t xml:space="preserve"> that the appellant did not meet his burden of proving that the Subject Property was disproportionately assessed for </w:t>
      </w:r>
      <w:r w:rsidR="003279BE">
        <w:rPr>
          <w:rFonts w:ascii="Courier New" w:hAnsi="Courier New" w:cs="Courier New"/>
        </w:rPr>
        <w:t>fiscal year</w:t>
      </w:r>
      <w:r w:rsidR="00B07628">
        <w:rPr>
          <w:rFonts w:ascii="Courier New" w:hAnsi="Courier New" w:cs="Courier New"/>
        </w:rPr>
        <w:t xml:space="preserve"> 2014. </w:t>
      </w:r>
      <w:r w:rsidR="00122249">
        <w:rPr>
          <w:rFonts w:ascii="Courier New" w:hAnsi="Courier New" w:cs="Courier New"/>
        </w:rPr>
        <w:t xml:space="preserve">Further, as previously noted, the appellant stipulated that the Subject Property was not overvalued. Accordingly, the Board issued a decision for the appellee in this appeal. </w:t>
      </w:r>
    </w:p>
    <w:p w14:paraId="2519D49B" w14:textId="2F089177" w:rsidR="00FA76C3" w:rsidRDefault="00122249" w:rsidP="00122249">
      <w:pPr>
        <w:spacing w:line="480" w:lineRule="auto"/>
        <w:jc w:val="both"/>
        <w:rPr>
          <w:rFonts w:ascii="Courier New" w:hAnsi="Courier New" w:cs="Courier New"/>
          <w:b/>
          <w:bCs/>
        </w:rPr>
      </w:pPr>
      <w:r>
        <w:rPr>
          <w:rFonts w:ascii="Courier New" w:hAnsi="Courier New" w:cs="Courier New"/>
          <w:b/>
          <w:bCs/>
        </w:rPr>
        <w:t xml:space="preserve">  </w:t>
      </w:r>
      <w:r w:rsidRPr="005451E8">
        <w:rPr>
          <w:rFonts w:ascii="Courier New" w:hAnsi="Courier New" w:cs="Courier New"/>
          <w:b/>
          <w:bCs/>
        </w:rPr>
        <w:t xml:space="preserve"> </w:t>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sidRPr="005451E8">
        <w:rPr>
          <w:rFonts w:ascii="Courier New" w:hAnsi="Courier New" w:cs="Courier New"/>
          <w:b/>
          <w:bCs/>
        </w:rPr>
        <w:t>THE APPELLATE TAX BOARD</w:t>
      </w:r>
    </w:p>
    <w:p w14:paraId="4C0E146E" w14:textId="77777777" w:rsidR="00B42C5A" w:rsidRPr="005451E8" w:rsidRDefault="00B42C5A" w:rsidP="00122249">
      <w:pPr>
        <w:spacing w:line="480" w:lineRule="auto"/>
        <w:jc w:val="both"/>
        <w:rPr>
          <w:rFonts w:ascii="Courier New" w:hAnsi="Courier New" w:cs="Courier New"/>
          <w:b/>
          <w:bCs/>
        </w:rPr>
      </w:pPr>
    </w:p>
    <w:p w14:paraId="747C3EBF" w14:textId="4DD0D389" w:rsidR="00122249" w:rsidRPr="005451E8" w:rsidRDefault="00122249" w:rsidP="00122249">
      <w:pPr>
        <w:pStyle w:val="Heading3"/>
        <w:ind w:left="3600"/>
        <w:jc w:val="left"/>
      </w:pPr>
      <w:r w:rsidRPr="005451E8">
        <w:rPr>
          <w:u w:val="none"/>
        </w:rPr>
        <w:t>By</w:t>
      </w:r>
      <w:r w:rsidR="00B42C5A" w:rsidRPr="005451E8">
        <w:rPr>
          <w:u w:val="none"/>
        </w:rPr>
        <w:t>:</w:t>
      </w:r>
      <w:r w:rsidR="00B42C5A">
        <w:rPr>
          <w:u w:val="none"/>
        </w:rPr>
        <w:t xml:space="preserve"> _</w:t>
      </w:r>
      <w:r>
        <w:rPr>
          <w:u w:val="none"/>
        </w:rPr>
        <w:t>______________________________</w:t>
      </w:r>
      <w:r w:rsidR="00B42C5A">
        <w:rPr>
          <w:u w:val="none"/>
        </w:rPr>
        <w:t>__</w:t>
      </w:r>
    </w:p>
    <w:p w14:paraId="0C78A1F1" w14:textId="6AFE0B68" w:rsidR="005F3F24" w:rsidRDefault="00122249" w:rsidP="00FA76C3">
      <w:pPr>
        <w:ind w:left="3600"/>
        <w:jc w:val="both"/>
        <w:rPr>
          <w:rFonts w:ascii="Courier New" w:hAnsi="Courier New" w:cs="Courier New"/>
          <w:b/>
          <w:bCs/>
        </w:rPr>
      </w:pPr>
      <w:r>
        <w:rPr>
          <w:rFonts w:ascii="Courier New" w:hAnsi="Courier New" w:cs="Courier New"/>
          <w:b/>
          <w:bCs/>
        </w:rPr>
        <w:t xml:space="preserve">   </w:t>
      </w:r>
      <w:r w:rsidR="00B42C5A">
        <w:rPr>
          <w:rFonts w:ascii="Courier New" w:hAnsi="Courier New" w:cs="Courier New"/>
          <w:b/>
          <w:bCs/>
        </w:rPr>
        <w:t xml:space="preserve"> </w:t>
      </w:r>
      <w:r>
        <w:rPr>
          <w:rFonts w:ascii="Courier New" w:hAnsi="Courier New" w:cs="Courier New"/>
          <w:b/>
          <w:bCs/>
        </w:rPr>
        <w:t>Thomas W. Hammond</w:t>
      </w:r>
      <w:r w:rsidRPr="005451E8">
        <w:rPr>
          <w:rFonts w:ascii="Courier New" w:hAnsi="Courier New" w:cs="Courier New"/>
          <w:b/>
          <w:bCs/>
        </w:rPr>
        <w:t>,</w:t>
      </w:r>
      <w:r>
        <w:rPr>
          <w:rFonts w:ascii="Courier New" w:hAnsi="Courier New" w:cs="Courier New"/>
          <w:b/>
          <w:bCs/>
        </w:rPr>
        <w:t xml:space="preserve"> Jr.</w:t>
      </w:r>
      <w:r w:rsidRPr="005451E8">
        <w:rPr>
          <w:rFonts w:ascii="Courier New" w:hAnsi="Courier New" w:cs="Courier New"/>
          <w:b/>
          <w:bCs/>
        </w:rPr>
        <w:t xml:space="preserve"> Chairman</w:t>
      </w:r>
    </w:p>
    <w:p w14:paraId="76C13F4B" w14:textId="77777777" w:rsidR="00FA76C3" w:rsidRDefault="00FA76C3" w:rsidP="00122249">
      <w:pPr>
        <w:jc w:val="both"/>
        <w:rPr>
          <w:rFonts w:ascii="Courier New" w:hAnsi="Courier New" w:cs="Courier New"/>
          <w:b/>
          <w:bCs/>
        </w:rPr>
      </w:pPr>
    </w:p>
    <w:p w14:paraId="22B18FF9" w14:textId="77777777" w:rsidR="002D6BA7" w:rsidRDefault="002D6BA7" w:rsidP="002D6BA7">
      <w:pPr>
        <w:jc w:val="both"/>
        <w:rPr>
          <w:rFonts w:ascii="Courier New" w:hAnsi="Courier New" w:cs="Courier New"/>
          <w:b/>
          <w:bCs/>
        </w:rPr>
      </w:pPr>
      <w:r>
        <w:rPr>
          <w:rFonts w:ascii="Courier New" w:hAnsi="Courier New" w:cs="Courier New"/>
          <w:b/>
          <w:bCs/>
        </w:rPr>
        <w:t>A</w:t>
      </w:r>
      <w:r w:rsidRPr="005451E8">
        <w:rPr>
          <w:rFonts w:ascii="Courier New" w:hAnsi="Courier New" w:cs="Courier New"/>
          <w:b/>
          <w:bCs/>
        </w:rPr>
        <w:t xml:space="preserve"> true copy,</w:t>
      </w:r>
    </w:p>
    <w:p w14:paraId="10ECFD88" w14:textId="77777777" w:rsidR="002D6BA7" w:rsidRDefault="002D6BA7" w:rsidP="002D6BA7">
      <w:pPr>
        <w:pStyle w:val="Heading4"/>
        <w:jc w:val="left"/>
        <w:rPr>
          <w:sz w:val="24"/>
          <w:szCs w:val="24"/>
          <w:u w:val="none"/>
        </w:rPr>
      </w:pPr>
    </w:p>
    <w:p w14:paraId="6EC6F51D" w14:textId="77777777" w:rsidR="002D6BA7" w:rsidRPr="00DF6062" w:rsidRDefault="002D6BA7" w:rsidP="002D6BA7">
      <w:pPr>
        <w:pStyle w:val="Heading4"/>
        <w:jc w:val="left"/>
        <w:rPr>
          <w:sz w:val="24"/>
          <w:szCs w:val="24"/>
          <w:u w:val="none"/>
        </w:rPr>
      </w:pPr>
      <w:r w:rsidRPr="00DF6062">
        <w:rPr>
          <w:sz w:val="24"/>
          <w:szCs w:val="24"/>
          <w:u w:val="none"/>
        </w:rPr>
        <w:t>Attest: _____________</w:t>
      </w:r>
      <w:r>
        <w:rPr>
          <w:sz w:val="24"/>
          <w:szCs w:val="24"/>
          <w:u w:val="none"/>
        </w:rPr>
        <w:t>____</w:t>
      </w:r>
      <w:r w:rsidRPr="00DF6062">
        <w:rPr>
          <w:sz w:val="24"/>
          <w:szCs w:val="24"/>
          <w:u w:val="none"/>
        </w:rPr>
        <w:t>__</w:t>
      </w:r>
      <w:r>
        <w:rPr>
          <w:sz w:val="24"/>
          <w:szCs w:val="24"/>
          <w:u w:val="none"/>
        </w:rPr>
        <w:t>__</w:t>
      </w:r>
    </w:p>
    <w:p w14:paraId="61B647E7" w14:textId="77777777" w:rsidR="002D6BA7" w:rsidRDefault="002D6BA7" w:rsidP="002D6BA7">
      <w:pPr>
        <w:pStyle w:val="Heading1"/>
        <w:ind w:left="720"/>
      </w:pPr>
      <w:r>
        <w:t xml:space="preserve">   </w:t>
      </w:r>
      <w:r w:rsidRPr="005451E8">
        <w:t>Clerk of the Board</w:t>
      </w:r>
    </w:p>
    <w:p w14:paraId="6EA621DF" w14:textId="77777777" w:rsidR="00FA76C3" w:rsidRDefault="00FA76C3" w:rsidP="00122249">
      <w:pPr>
        <w:jc w:val="both"/>
        <w:rPr>
          <w:rFonts w:ascii="Courier New" w:hAnsi="Courier New" w:cs="Courier New"/>
          <w:b/>
          <w:bCs/>
        </w:rPr>
      </w:pPr>
    </w:p>
    <w:sectPr w:rsidR="00FA76C3" w:rsidSect="002D6BA7">
      <w:footerReference w:type="default" r:id="rId8"/>
      <w:pgSz w:w="12240" w:h="15840"/>
      <w:pgMar w:top="1440" w:right="1440" w:bottom="1440" w:left="1440" w:header="720" w:footer="720" w:gutter="0"/>
      <w:pgNumType w:start="22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733892" w14:textId="77777777" w:rsidR="002B474E" w:rsidRDefault="002B474E" w:rsidP="000544F9">
      <w:r>
        <w:separator/>
      </w:r>
    </w:p>
  </w:endnote>
  <w:endnote w:type="continuationSeparator" w:id="0">
    <w:p w14:paraId="1B1837F9" w14:textId="77777777" w:rsidR="002B474E" w:rsidRDefault="002B474E" w:rsidP="00054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ourier New" w:hAnsi="Courier New" w:cs="Courier New"/>
        <w:b/>
      </w:rPr>
      <w:id w:val="1175613037"/>
      <w:docPartObj>
        <w:docPartGallery w:val="Page Numbers (Bottom of Page)"/>
        <w:docPartUnique/>
      </w:docPartObj>
    </w:sdtPr>
    <w:sdtEndPr>
      <w:rPr>
        <w:rFonts w:asciiTheme="minorHAnsi" w:hAnsiTheme="minorHAnsi" w:cstheme="minorBidi"/>
        <w:b w:val="0"/>
        <w:noProof/>
      </w:rPr>
    </w:sdtEndPr>
    <w:sdtContent>
      <w:p w14:paraId="6AC103D0" w14:textId="5353783D" w:rsidR="000E24D3" w:rsidRDefault="002D6BA7">
        <w:pPr>
          <w:pStyle w:val="Footer"/>
          <w:jc w:val="center"/>
        </w:pPr>
        <w:r w:rsidRPr="002D6BA7">
          <w:rPr>
            <w:rFonts w:ascii="Courier New" w:hAnsi="Courier New" w:cs="Courier New"/>
            <w:b/>
          </w:rPr>
          <w:t>ATB 2018-</w:t>
        </w:r>
        <w:r w:rsidR="000E24D3" w:rsidRPr="002D6BA7">
          <w:rPr>
            <w:rFonts w:ascii="Courier New" w:hAnsi="Courier New" w:cs="Courier New"/>
            <w:b/>
          </w:rPr>
          <w:fldChar w:fldCharType="begin"/>
        </w:r>
        <w:r w:rsidR="000E24D3" w:rsidRPr="002D6BA7">
          <w:rPr>
            <w:rFonts w:ascii="Courier New" w:hAnsi="Courier New" w:cs="Courier New"/>
            <w:b/>
          </w:rPr>
          <w:instrText xml:space="preserve"> PAGE   \* MERGEFORMAT </w:instrText>
        </w:r>
        <w:r w:rsidR="000E24D3" w:rsidRPr="002D6BA7">
          <w:rPr>
            <w:rFonts w:ascii="Courier New" w:hAnsi="Courier New" w:cs="Courier New"/>
            <w:b/>
          </w:rPr>
          <w:fldChar w:fldCharType="separate"/>
        </w:r>
        <w:r w:rsidR="00A36583">
          <w:rPr>
            <w:rFonts w:ascii="Courier New" w:hAnsi="Courier New" w:cs="Courier New"/>
            <w:b/>
            <w:noProof/>
          </w:rPr>
          <w:t>220</w:t>
        </w:r>
        <w:r w:rsidR="000E24D3" w:rsidRPr="002D6BA7">
          <w:rPr>
            <w:rFonts w:ascii="Courier New" w:hAnsi="Courier New" w:cs="Courier New"/>
            <w:b/>
            <w:noProof/>
          </w:rPr>
          <w:fldChar w:fldCharType="end"/>
        </w:r>
      </w:p>
    </w:sdtContent>
  </w:sdt>
  <w:p w14:paraId="0FCFE182" w14:textId="5844E231" w:rsidR="002B474E" w:rsidRPr="000E24D3" w:rsidRDefault="002B474E" w:rsidP="000E24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6CB2F9" w14:textId="77777777" w:rsidR="002B474E" w:rsidRDefault="002B474E" w:rsidP="000544F9">
      <w:r>
        <w:separator/>
      </w:r>
    </w:p>
  </w:footnote>
  <w:footnote w:type="continuationSeparator" w:id="0">
    <w:p w14:paraId="05803B77" w14:textId="77777777" w:rsidR="002B474E" w:rsidRDefault="002B474E" w:rsidP="000544F9">
      <w:r>
        <w:continuationSeparator/>
      </w:r>
    </w:p>
  </w:footnote>
  <w:footnote w:id="1">
    <w:p w14:paraId="753021D2" w14:textId="1F76ACBD" w:rsidR="002B474E" w:rsidRPr="0015518A" w:rsidRDefault="002B474E">
      <w:pPr>
        <w:pStyle w:val="FootnoteText"/>
        <w:rPr>
          <w:rFonts w:ascii="Courier New" w:hAnsi="Courier New" w:cs="Courier New"/>
          <w:sz w:val="20"/>
          <w:szCs w:val="20"/>
        </w:rPr>
      </w:pPr>
      <w:r w:rsidRPr="0015518A">
        <w:rPr>
          <w:rStyle w:val="FootnoteReference"/>
          <w:rFonts w:ascii="Courier New" w:hAnsi="Courier New" w:cs="Courier New"/>
          <w:sz w:val="20"/>
          <w:szCs w:val="20"/>
        </w:rPr>
        <w:footnoteRef/>
      </w:r>
      <w:r w:rsidRPr="0015518A">
        <w:rPr>
          <w:rFonts w:ascii="Courier New" w:hAnsi="Courier New" w:cs="Courier New"/>
          <w:sz w:val="20"/>
          <w:szCs w:val="20"/>
        </w:rPr>
        <w:t xml:space="preserve"> </w:t>
      </w:r>
      <w:r w:rsidR="004579EF" w:rsidRPr="004579EF">
        <w:rPr>
          <w:rFonts w:ascii="Courier New" w:hAnsi="Courier New" w:cs="Courier New"/>
          <w:sz w:val="20"/>
          <w:szCs w:val="20"/>
        </w:rPr>
        <w:t xml:space="preserve">The Subject Property </w:t>
      </w:r>
      <w:r w:rsidR="004579EF">
        <w:rPr>
          <w:rFonts w:ascii="Courier New" w:hAnsi="Courier New" w:cs="Courier New"/>
          <w:sz w:val="20"/>
          <w:szCs w:val="20"/>
        </w:rPr>
        <w:t>had been</w:t>
      </w:r>
      <w:r w:rsidR="004579EF" w:rsidRPr="004579EF">
        <w:rPr>
          <w:rFonts w:ascii="Courier New" w:hAnsi="Courier New" w:cs="Courier New"/>
          <w:sz w:val="20"/>
          <w:szCs w:val="20"/>
        </w:rPr>
        <w:t xml:space="preserve"> assessed at $396,100</w:t>
      </w:r>
      <w:r w:rsidRPr="0015518A">
        <w:rPr>
          <w:rFonts w:ascii="Courier New" w:hAnsi="Courier New" w:cs="Courier New"/>
          <w:sz w:val="20"/>
          <w:szCs w:val="20"/>
        </w:rPr>
        <w:t xml:space="preserve"> for </w:t>
      </w:r>
      <w:r w:rsidR="004579EF">
        <w:rPr>
          <w:rFonts w:ascii="Courier New" w:hAnsi="Courier New" w:cs="Courier New"/>
          <w:sz w:val="20"/>
          <w:szCs w:val="20"/>
        </w:rPr>
        <w:t>fiscal year</w:t>
      </w:r>
      <w:r w:rsidRPr="0015518A">
        <w:rPr>
          <w:rFonts w:ascii="Courier New" w:hAnsi="Courier New" w:cs="Courier New"/>
          <w:sz w:val="20"/>
          <w:szCs w:val="20"/>
        </w:rPr>
        <w:t xml:space="preserve"> 2013.</w:t>
      </w:r>
      <w:r>
        <w:rPr>
          <w:rFonts w:ascii="Courier New" w:hAnsi="Courier New" w:cs="Courier New"/>
          <w:sz w:val="20"/>
          <w:szCs w:val="20"/>
        </w:rPr>
        <w:t xml:space="preserve"> </w:t>
      </w:r>
    </w:p>
  </w:footnote>
  <w:footnote w:id="2">
    <w:p w14:paraId="137301E6" w14:textId="5AAAE688" w:rsidR="00D01EC7" w:rsidRPr="00B42C5A" w:rsidRDefault="00D01EC7" w:rsidP="00D01EC7">
      <w:pPr>
        <w:pStyle w:val="FootnoteText"/>
        <w:jc w:val="both"/>
        <w:rPr>
          <w:rFonts w:ascii="Courier New" w:hAnsi="Courier New" w:cs="Courier New"/>
          <w:sz w:val="20"/>
          <w:szCs w:val="20"/>
        </w:rPr>
      </w:pPr>
      <w:r w:rsidRPr="00B42C5A">
        <w:rPr>
          <w:rStyle w:val="FootnoteReference"/>
          <w:rFonts w:ascii="Courier New" w:hAnsi="Courier New" w:cs="Courier New"/>
          <w:sz w:val="20"/>
          <w:szCs w:val="20"/>
        </w:rPr>
        <w:footnoteRef/>
      </w:r>
      <w:r w:rsidRPr="00B42C5A">
        <w:rPr>
          <w:rFonts w:ascii="Courier New" w:hAnsi="Courier New" w:cs="Courier New"/>
          <w:sz w:val="20"/>
          <w:szCs w:val="20"/>
        </w:rPr>
        <w:t xml:space="preserve"> </w:t>
      </w:r>
      <w:r w:rsidR="00BA7CB5" w:rsidRPr="00B42C5A">
        <w:rPr>
          <w:rFonts w:ascii="Courier New" w:hAnsi="Courier New" w:cs="Courier New"/>
          <w:sz w:val="20"/>
          <w:szCs w:val="20"/>
        </w:rPr>
        <w:t xml:space="preserve">The evidence </w:t>
      </w:r>
      <w:r w:rsidRPr="00B42C5A">
        <w:rPr>
          <w:rFonts w:ascii="Courier New" w:hAnsi="Courier New" w:cs="Courier New"/>
          <w:sz w:val="20"/>
          <w:szCs w:val="20"/>
        </w:rPr>
        <w:t>in the record</w:t>
      </w:r>
      <w:r w:rsidR="00BA7CB5" w:rsidRPr="00B42C5A">
        <w:rPr>
          <w:rFonts w:ascii="Courier New" w:hAnsi="Courier New" w:cs="Courier New"/>
          <w:sz w:val="20"/>
          <w:szCs w:val="20"/>
        </w:rPr>
        <w:t>, most importantly the sale of the Subject Property for more than its assessed value within months of the relevant assessment date, supported</w:t>
      </w:r>
      <w:r w:rsidRPr="00B42C5A">
        <w:rPr>
          <w:rFonts w:ascii="Courier New" w:hAnsi="Courier New" w:cs="Courier New"/>
          <w:sz w:val="20"/>
          <w:szCs w:val="20"/>
        </w:rPr>
        <w:t xml:space="preserve"> </w:t>
      </w:r>
      <w:r w:rsidR="00BA7CB5" w:rsidRPr="00B42C5A">
        <w:rPr>
          <w:rFonts w:ascii="Courier New" w:hAnsi="Courier New" w:cs="Courier New"/>
          <w:sz w:val="20"/>
          <w:szCs w:val="20"/>
        </w:rPr>
        <w:t xml:space="preserve">the conclusion that </w:t>
      </w:r>
      <w:r w:rsidRPr="00B42C5A">
        <w:rPr>
          <w:rFonts w:ascii="Courier New" w:hAnsi="Courier New" w:cs="Courier New"/>
          <w:sz w:val="20"/>
          <w:szCs w:val="20"/>
        </w:rPr>
        <w:t xml:space="preserve">this stipulation was </w:t>
      </w:r>
      <w:r w:rsidR="00BA7CB5" w:rsidRPr="00B42C5A">
        <w:rPr>
          <w:rFonts w:ascii="Courier New" w:hAnsi="Courier New" w:cs="Courier New"/>
          <w:sz w:val="20"/>
          <w:szCs w:val="20"/>
        </w:rPr>
        <w:t>well</w:t>
      </w:r>
      <w:r w:rsidRPr="00B42C5A">
        <w:rPr>
          <w:rFonts w:ascii="Courier New" w:hAnsi="Courier New" w:cs="Courier New"/>
          <w:sz w:val="20"/>
          <w:szCs w:val="20"/>
        </w:rPr>
        <w:t xml:space="preserve">-founded.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34A"/>
    <w:rsid w:val="00006B6D"/>
    <w:rsid w:val="00007443"/>
    <w:rsid w:val="00015F44"/>
    <w:rsid w:val="0001699A"/>
    <w:rsid w:val="00017242"/>
    <w:rsid w:val="00021763"/>
    <w:rsid w:val="000267F3"/>
    <w:rsid w:val="0004118E"/>
    <w:rsid w:val="00041473"/>
    <w:rsid w:val="00045550"/>
    <w:rsid w:val="00052627"/>
    <w:rsid w:val="000544F9"/>
    <w:rsid w:val="00057729"/>
    <w:rsid w:val="00061FEE"/>
    <w:rsid w:val="0006539D"/>
    <w:rsid w:val="00065F4F"/>
    <w:rsid w:val="00071400"/>
    <w:rsid w:val="0007626A"/>
    <w:rsid w:val="00077385"/>
    <w:rsid w:val="00080FDB"/>
    <w:rsid w:val="000918CF"/>
    <w:rsid w:val="000A4997"/>
    <w:rsid w:val="000A4E9D"/>
    <w:rsid w:val="000B1AEB"/>
    <w:rsid w:val="000B1D10"/>
    <w:rsid w:val="000B7A98"/>
    <w:rsid w:val="000C0057"/>
    <w:rsid w:val="000D7A52"/>
    <w:rsid w:val="000E24A3"/>
    <w:rsid w:val="000E24D3"/>
    <w:rsid w:val="000E37CD"/>
    <w:rsid w:val="000E6885"/>
    <w:rsid w:val="000F385F"/>
    <w:rsid w:val="000F4196"/>
    <w:rsid w:val="000F5B6B"/>
    <w:rsid w:val="000F7B32"/>
    <w:rsid w:val="0010167F"/>
    <w:rsid w:val="00112A31"/>
    <w:rsid w:val="00122249"/>
    <w:rsid w:val="00122C8E"/>
    <w:rsid w:val="0013588F"/>
    <w:rsid w:val="00140BAF"/>
    <w:rsid w:val="0014251D"/>
    <w:rsid w:val="00143096"/>
    <w:rsid w:val="001467FF"/>
    <w:rsid w:val="0015072B"/>
    <w:rsid w:val="001541A4"/>
    <w:rsid w:val="0015518A"/>
    <w:rsid w:val="0015650D"/>
    <w:rsid w:val="00156AE0"/>
    <w:rsid w:val="00157464"/>
    <w:rsid w:val="00160363"/>
    <w:rsid w:val="0016058A"/>
    <w:rsid w:val="001607AB"/>
    <w:rsid w:val="00165D55"/>
    <w:rsid w:val="0019133B"/>
    <w:rsid w:val="00192061"/>
    <w:rsid w:val="001958B6"/>
    <w:rsid w:val="001A1550"/>
    <w:rsid w:val="001A2F08"/>
    <w:rsid w:val="001A30A5"/>
    <w:rsid w:val="001B0F71"/>
    <w:rsid w:val="001B60D3"/>
    <w:rsid w:val="001B6A6F"/>
    <w:rsid w:val="001C12D5"/>
    <w:rsid w:val="001C317B"/>
    <w:rsid w:val="001D5BC8"/>
    <w:rsid w:val="001E1173"/>
    <w:rsid w:val="001E26CA"/>
    <w:rsid w:val="001E30D9"/>
    <w:rsid w:val="001F4463"/>
    <w:rsid w:val="001F4506"/>
    <w:rsid w:val="001F488A"/>
    <w:rsid w:val="001F6ABD"/>
    <w:rsid w:val="00201ED7"/>
    <w:rsid w:val="0020444C"/>
    <w:rsid w:val="00205F30"/>
    <w:rsid w:val="0020757C"/>
    <w:rsid w:val="002077D2"/>
    <w:rsid w:val="00213E08"/>
    <w:rsid w:val="00222894"/>
    <w:rsid w:val="002276F9"/>
    <w:rsid w:val="0023450D"/>
    <w:rsid w:val="00242821"/>
    <w:rsid w:val="00242CCF"/>
    <w:rsid w:val="002435B6"/>
    <w:rsid w:val="002451BC"/>
    <w:rsid w:val="00252F7F"/>
    <w:rsid w:val="0025511D"/>
    <w:rsid w:val="00255792"/>
    <w:rsid w:val="00262944"/>
    <w:rsid w:val="00267A00"/>
    <w:rsid w:val="00285840"/>
    <w:rsid w:val="00291073"/>
    <w:rsid w:val="00295F2C"/>
    <w:rsid w:val="00297B00"/>
    <w:rsid w:val="002B474E"/>
    <w:rsid w:val="002C58ED"/>
    <w:rsid w:val="002D0A2B"/>
    <w:rsid w:val="002D6BA7"/>
    <w:rsid w:val="002E35AE"/>
    <w:rsid w:val="002E58F0"/>
    <w:rsid w:val="002F0627"/>
    <w:rsid w:val="002F27BD"/>
    <w:rsid w:val="002F5031"/>
    <w:rsid w:val="002F577F"/>
    <w:rsid w:val="002F7A33"/>
    <w:rsid w:val="0030181C"/>
    <w:rsid w:val="00302D28"/>
    <w:rsid w:val="00310106"/>
    <w:rsid w:val="00317854"/>
    <w:rsid w:val="003279BE"/>
    <w:rsid w:val="00333CC7"/>
    <w:rsid w:val="00343418"/>
    <w:rsid w:val="00344B35"/>
    <w:rsid w:val="00346CE7"/>
    <w:rsid w:val="003533A1"/>
    <w:rsid w:val="00353B99"/>
    <w:rsid w:val="0036169A"/>
    <w:rsid w:val="00377EC1"/>
    <w:rsid w:val="0039749A"/>
    <w:rsid w:val="003B099B"/>
    <w:rsid w:val="003B2B73"/>
    <w:rsid w:val="003C438E"/>
    <w:rsid w:val="003F0A16"/>
    <w:rsid w:val="003F11A8"/>
    <w:rsid w:val="003F61D6"/>
    <w:rsid w:val="00416465"/>
    <w:rsid w:val="00417D30"/>
    <w:rsid w:val="0042384C"/>
    <w:rsid w:val="0042499B"/>
    <w:rsid w:val="00426189"/>
    <w:rsid w:val="00434AE7"/>
    <w:rsid w:val="00440284"/>
    <w:rsid w:val="00442F81"/>
    <w:rsid w:val="00451366"/>
    <w:rsid w:val="0045228C"/>
    <w:rsid w:val="00453DB8"/>
    <w:rsid w:val="00455BB7"/>
    <w:rsid w:val="004579EF"/>
    <w:rsid w:val="00462561"/>
    <w:rsid w:val="00462AE1"/>
    <w:rsid w:val="00463264"/>
    <w:rsid w:val="0046348C"/>
    <w:rsid w:val="004745E2"/>
    <w:rsid w:val="0049025F"/>
    <w:rsid w:val="00490479"/>
    <w:rsid w:val="00496F8B"/>
    <w:rsid w:val="004A5531"/>
    <w:rsid w:val="004B7005"/>
    <w:rsid w:val="004C29C8"/>
    <w:rsid w:val="004D477C"/>
    <w:rsid w:val="004E0CA5"/>
    <w:rsid w:val="004E19E6"/>
    <w:rsid w:val="004E2DF4"/>
    <w:rsid w:val="004E617E"/>
    <w:rsid w:val="004E7184"/>
    <w:rsid w:val="004F33FB"/>
    <w:rsid w:val="004F488A"/>
    <w:rsid w:val="00512049"/>
    <w:rsid w:val="00512A83"/>
    <w:rsid w:val="005147C8"/>
    <w:rsid w:val="00521564"/>
    <w:rsid w:val="005230EE"/>
    <w:rsid w:val="005255AB"/>
    <w:rsid w:val="00533814"/>
    <w:rsid w:val="0055046A"/>
    <w:rsid w:val="005515E4"/>
    <w:rsid w:val="00552FA8"/>
    <w:rsid w:val="005653F3"/>
    <w:rsid w:val="005767BA"/>
    <w:rsid w:val="00577880"/>
    <w:rsid w:val="00582066"/>
    <w:rsid w:val="0058345D"/>
    <w:rsid w:val="00586329"/>
    <w:rsid w:val="0059471E"/>
    <w:rsid w:val="005A2D76"/>
    <w:rsid w:val="005A5E16"/>
    <w:rsid w:val="005B027D"/>
    <w:rsid w:val="005C20EA"/>
    <w:rsid w:val="005C67B9"/>
    <w:rsid w:val="005D52DF"/>
    <w:rsid w:val="005D6A18"/>
    <w:rsid w:val="005D7B95"/>
    <w:rsid w:val="005E6080"/>
    <w:rsid w:val="005E682A"/>
    <w:rsid w:val="005F22FE"/>
    <w:rsid w:val="005F3F24"/>
    <w:rsid w:val="0060416E"/>
    <w:rsid w:val="00605B88"/>
    <w:rsid w:val="00607077"/>
    <w:rsid w:val="006111FD"/>
    <w:rsid w:val="0062121B"/>
    <w:rsid w:val="00622BCA"/>
    <w:rsid w:val="00630F29"/>
    <w:rsid w:val="006335D0"/>
    <w:rsid w:val="006337AD"/>
    <w:rsid w:val="00635BC8"/>
    <w:rsid w:val="006478BE"/>
    <w:rsid w:val="006518FB"/>
    <w:rsid w:val="006677DE"/>
    <w:rsid w:val="00683790"/>
    <w:rsid w:val="006871CA"/>
    <w:rsid w:val="006877B4"/>
    <w:rsid w:val="00696D9A"/>
    <w:rsid w:val="006A049B"/>
    <w:rsid w:val="006B0FA6"/>
    <w:rsid w:val="006B29DC"/>
    <w:rsid w:val="006B2C6F"/>
    <w:rsid w:val="006B34EE"/>
    <w:rsid w:val="006B7868"/>
    <w:rsid w:val="006D2B2E"/>
    <w:rsid w:val="006D5212"/>
    <w:rsid w:val="006E54EB"/>
    <w:rsid w:val="006E56D5"/>
    <w:rsid w:val="006F4DD3"/>
    <w:rsid w:val="00702E0C"/>
    <w:rsid w:val="007052AB"/>
    <w:rsid w:val="00722329"/>
    <w:rsid w:val="00723EFE"/>
    <w:rsid w:val="00725A2C"/>
    <w:rsid w:val="00730A39"/>
    <w:rsid w:val="007473E2"/>
    <w:rsid w:val="00753945"/>
    <w:rsid w:val="00754FBB"/>
    <w:rsid w:val="00755B84"/>
    <w:rsid w:val="00762BE3"/>
    <w:rsid w:val="00771C8D"/>
    <w:rsid w:val="007748FD"/>
    <w:rsid w:val="0077705D"/>
    <w:rsid w:val="00777667"/>
    <w:rsid w:val="00780FDB"/>
    <w:rsid w:val="007874BC"/>
    <w:rsid w:val="007919FC"/>
    <w:rsid w:val="00792404"/>
    <w:rsid w:val="007963DD"/>
    <w:rsid w:val="007B308A"/>
    <w:rsid w:val="007B31A3"/>
    <w:rsid w:val="007D3669"/>
    <w:rsid w:val="007D3A2C"/>
    <w:rsid w:val="007E6498"/>
    <w:rsid w:val="007E734A"/>
    <w:rsid w:val="007E760D"/>
    <w:rsid w:val="007F01A1"/>
    <w:rsid w:val="007F76D6"/>
    <w:rsid w:val="008022A7"/>
    <w:rsid w:val="00805706"/>
    <w:rsid w:val="00813A81"/>
    <w:rsid w:val="00830E26"/>
    <w:rsid w:val="00843591"/>
    <w:rsid w:val="00844F18"/>
    <w:rsid w:val="00850328"/>
    <w:rsid w:val="0085248B"/>
    <w:rsid w:val="0085262A"/>
    <w:rsid w:val="00862EC7"/>
    <w:rsid w:val="00865321"/>
    <w:rsid w:val="00867C45"/>
    <w:rsid w:val="00876857"/>
    <w:rsid w:val="00880098"/>
    <w:rsid w:val="0088143A"/>
    <w:rsid w:val="00883457"/>
    <w:rsid w:val="0088671E"/>
    <w:rsid w:val="00887D3D"/>
    <w:rsid w:val="008906B5"/>
    <w:rsid w:val="0089535D"/>
    <w:rsid w:val="00895B7C"/>
    <w:rsid w:val="008A0787"/>
    <w:rsid w:val="008A10CE"/>
    <w:rsid w:val="008B7013"/>
    <w:rsid w:val="008D5FB7"/>
    <w:rsid w:val="008E4ED0"/>
    <w:rsid w:val="008F0B05"/>
    <w:rsid w:val="008F5A26"/>
    <w:rsid w:val="00904CC5"/>
    <w:rsid w:val="0091614B"/>
    <w:rsid w:val="009174E9"/>
    <w:rsid w:val="0092235E"/>
    <w:rsid w:val="009472C2"/>
    <w:rsid w:val="009539A0"/>
    <w:rsid w:val="0095786A"/>
    <w:rsid w:val="0096555D"/>
    <w:rsid w:val="00986E79"/>
    <w:rsid w:val="00995D48"/>
    <w:rsid w:val="00996CD0"/>
    <w:rsid w:val="009B1D40"/>
    <w:rsid w:val="009B6D93"/>
    <w:rsid w:val="009B79B9"/>
    <w:rsid w:val="009C0726"/>
    <w:rsid w:val="009C3CEE"/>
    <w:rsid w:val="009D1C86"/>
    <w:rsid w:val="009E1A9E"/>
    <w:rsid w:val="009E5004"/>
    <w:rsid w:val="009F02AF"/>
    <w:rsid w:val="009F08C6"/>
    <w:rsid w:val="00A00506"/>
    <w:rsid w:val="00A021F6"/>
    <w:rsid w:val="00A03C2C"/>
    <w:rsid w:val="00A055D8"/>
    <w:rsid w:val="00A06325"/>
    <w:rsid w:val="00A11F15"/>
    <w:rsid w:val="00A22240"/>
    <w:rsid w:val="00A31305"/>
    <w:rsid w:val="00A36583"/>
    <w:rsid w:val="00A43E5B"/>
    <w:rsid w:val="00A44E7B"/>
    <w:rsid w:val="00A517C6"/>
    <w:rsid w:val="00A61B18"/>
    <w:rsid w:val="00A64360"/>
    <w:rsid w:val="00A73ECA"/>
    <w:rsid w:val="00A82F2F"/>
    <w:rsid w:val="00A86B80"/>
    <w:rsid w:val="00A91403"/>
    <w:rsid w:val="00A951C5"/>
    <w:rsid w:val="00AA3F7C"/>
    <w:rsid w:val="00AB2260"/>
    <w:rsid w:val="00AC29F0"/>
    <w:rsid w:val="00AC382B"/>
    <w:rsid w:val="00AC4FA2"/>
    <w:rsid w:val="00AD5091"/>
    <w:rsid w:val="00AD7CA1"/>
    <w:rsid w:val="00AD7FB2"/>
    <w:rsid w:val="00AE3924"/>
    <w:rsid w:val="00AF251C"/>
    <w:rsid w:val="00AF6931"/>
    <w:rsid w:val="00B0108A"/>
    <w:rsid w:val="00B01678"/>
    <w:rsid w:val="00B03AF8"/>
    <w:rsid w:val="00B07628"/>
    <w:rsid w:val="00B13612"/>
    <w:rsid w:val="00B139B6"/>
    <w:rsid w:val="00B2032A"/>
    <w:rsid w:val="00B216FE"/>
    <w:rsid w:val="00B27AC4"/>
    <w:rsid w:val="00B31DC0"/>
    <w:rsid w:val="00B36A41"/>
    <w:rsid w:val="00B37E36"/>
    <w:rsid w:val="00B40C33"/>
    <w:rsid w:val="00B41049"/>
    <w:rsid w:val="00B42C5A"/>
    <w:rsid w:val="00B52A86"/>
    <w:rsid w:val="00B57003"/>
    <w:rsid w:val="00B570EC"/>
    <w:rsid w:val="00B608B4"/>
    <w:rsid w:val="00B61FAF"/>
    <w:rsid w:val="00B6277E"/>
    <w:rsid w:val="00B63E49"/>
    <w:rsid w:val="00B7663C"/>
    <w:rsid w:val="00B807FD"/>
    <w:rsid w:val="00B82353"/>
    <w:rsid w:val="00BA7CB5"/>
    <w:rsid w:val="00BC1125"/>
    <w:rsid w:val="00BC2B25"/>
    <w:rsid w:val="00BD434C"/>
    <w:rsid w:val="00BD5CFA"/>
    <w:rsid w:val="00BE1910"/>
    <w:rsid w:val="00BE2D31"/>
    <w:rsid w:val="00BF1756"/>
    <w:rsid w:val="00BF5361"/>
    <w:rsid w:val="00BF5466"/>
    <w:rsid w:val="00C01704"/>
    <w:rsid w:val="00C0555D"/>
    <w:rsid w:val="00C057F0"/>
    <w:rsid w:val="00C05CD5"/>
    <w:rsid w:val="00C05E22"/>
    <w:rsid w:val="00C13792"/>
    <w:rsid w:val="00C22DF0"/>
    <w:rsid w:val="00C25120"/>
    <w:rsid w:val="00C3515C"/>
    <w:rsid w:val="00C40316"/>
    <w:rsid w:val="00C424C2"/>
    <w:rsid w:val="00C43746"/>
    <w:rsid w:val="00C80792"/>
    <w:rsid w:val="00C94BAF"/>
    <w:rsid w:val="00CA0D97"/>
    <w:rsid w:val="00CA170F"/>
    <w:rsid w:val="00CA417B"/>
    <w:rsid w:val="00CA4378"/>
    <w:rsid w:val="00CB2DD2"/>
    <w:rsid w:val="00CB7F2E"/>
    <w:rsid w:val="00CD2507"/>
    <w:rsid w:val="00CD2DF0"/>
    <w:rsid w:val="00CD51A0"/>
    <w:rsid w:val="00CE3535"/>
    <w:rsid w:val="00CE424E"/>
    <w:rsid w:val="00CE5064"/>
    <w:rsid w:val="00CF1C5D"/>
    <w:rsid w:val="00CF3493"/>
    <w:rsid w:val="00CF560B"/>
    <w:rsid w:val="00CF73E7"/>
    <w:rsid w:val="00D01EC7"/>
    <w:rsid w:val="00D13DBA"/>
    <w:rsid w:val="00D13EEB"/>
    <w:rsid w:val="00D1401B"/>
    <w:rsid w:val="00D22FA5"/>
    <w:rsid w:val="00D23541"/>
    <w:rsid w:val="00D27A9B"/>
    <w:rsid w:val="00D3536F"/>
    <w:rsid w:val="00D66840"/>
    <w:rsid w:val="00D6701A"/>
    <w:rsid w:val="00D7141C"/>
    <w:rsid w:val="00D773FB"/>
    <w:rsid w:val="00D86C59"/>
    <w:rsid w:val="00D91756"/>
    <w:rsid w:val="00DA0A9F"/>
    <w:rsid w:val="00DA75E0"/>
    <w:rsid w:val="00DB1FAE"/>
    <w:rsid w:val="00DC4338"/>
    <w:rsid w:val="00DC74F7"/>
    <w:rsid w:val="00DD2976"/>
    <w:rsid w:val="00E00C7D"/>
    <w:rsid w:val="00E019BE"/>
    <w:rsid w:val="00E20003"/>
    <w:rsid w:val="00E33440"/>
    <w:rsid w:val="00E36CEA"/>
    <w:rsid w:val="00E41A33"/>
    <w:rsid w:val="00E42369"/>
    <w:rsid w:val="00E52334"/>
    <w:rsid w:val="00E57034"/>
    <w:rsid w:val="00E64A66"/>
    <w:rsid w:val="00E714B1"/>
    <w:rsid w:val="00E72E24"/>
    <w:rsid w:val="00E73FAC"/>
    <w:rsid w:val="00E8102D"/>
    <w:rsid w:val="00E83557"/>
    <w:rsid w:val="00E9433E"/>
    <w:rsid w:val="00E9611B"/>
    <w:rsid w:val="00EA14BC"/>
    <w:rsid w:val="00EA52BD"/>
    <w:rsid w:val="00EB3460"/>
    <w:rsid w:val="00EC266F"/>
    <w:rsid w:val="00ED0F53"/>
    <w:rsid w:val="00ED2F0E"/>
    <w:rsid w:val="00ED426E"/>
    <w:rsid w:val="00ED5EA4"/>
    <w:rsid w:val="00EE3356"/>
    <w:rsid w:val="00EF6E74"/>
    <w:rsid w:val="00F0079D"/>
    <w:rsid w:val="00F16CA4"/>
    <w:rsid w:val="00F16DA8"/>
    <w:rsid w:val="00F22EED"/>
    <w:rsid w:val="00F23ED9"/>
    <w:rsid w:val="00F273E1"/>
    <w:rsid w:val="00F30E9E"/>
    <w:rsid w:val="00F34055"/>
    <w:rsid w:val="00F36841"/>
    <w:rsid w:val="00F37BF8"/>
    <w:rsid w:val="00F515EF"/>
    <w:rsid w:val="00F64589"/>
    <w:rsid w:val="00F718F0"/>
    <w:rsid w:val="00F71FE2"/>
    <w:rsid w:val="00F7482B"/>
    <w:rsid w:val="00F83252"/>
    <w:rsid w:val="00F902E1"/>
    <w:rsid w:val="00F9687E"/>
    <w:rsid w:val="00FA76C3"/>
    <w:rsid w:val="00FB1935"/>
    <w:rsid w:val="00FB3C1A"/>
    <w:rsid w:val="00FC0587"/>
    <w:rsid w:val="00FC559D"/>
    <w:rsid w:val="00FC7548"/>
    <w:rsid w:val="00FE0421"/>
    <w:rsid w:val="00FE2E50"/>
    <w:rsid w:val="00FF089E"/>
    <w:rsid w:val="00FF0CE2"/>
    <w:rsid w:val="00FF458C"/>
    <w:rsid w:val="00FF7B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ate"/>
  <w:smartTagType w:namespaceuri="urn:schemas-microsoft-com:office:smarttags" w:name="City"/>
  <w:smartTagType w:namespaceuri="urn:schemas-microsoft-com:office:smarttags" w:name="place"/>
  <w:shapeDefaults>
    <o:shapedefaults v:ext="edit" spidmax="20481"/>
    <o:shapelayout v:ext="edit">
      <o:idmap v:ext="edit" data="1"/>
    </o:shapelayout>
  </w:shapeDefaults>
  <w:decimalSymbol w:val="."/>
  <w:listSeparator w:val=","/>
  <w14:docId w14:val="2527F7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88F"/>
  </w:style>
  <w:style w:type="paragraph" w:styleId="Heading1">
    <w:name w:val="heading 1"/>
    <w:basedOn w:val="Normal"/>
    <w:next w:val="Normal"/>
    <w:link w:val="Heading1Char"/>
    <w:qFormat/>
    <w:rsid w:val="00122249"/>
    <w:pPr>
      <w:keepNext/>
      <w:jc w:val="both"/>
      <w:outlineLvl w:val="0"/>
    </w:pPr>
    <w:rPr>
      <w:rFonts w:ascii="Courier New" w:eastAsia="Times New Roman" w:hAnsi="Courier New" w:cs="Courier New"/>
      <w:b/>
      <w:bCs/>
    </w:rPr>
  </w:style>
  <w:style w:type="paragraph" w:styleId="Heading3">
    <w:name w:val="heading 3"/>
    <w:basedOn w:val="Normal"/>
    <w:next w:val="Normal"/>
    <w:link w:val="Heading3Char"/>
    <w:qFormat/>
    <w:rsid w:val="00122249"/>
    <w:pPr>
      <w:keepNext/>
      <w:jc w:val="center"/>
      <w:outlineLvl w:val="2"/>
    </w:pPr>
    <w:rPr>
      <w:rFonts w:ascii="Courier New" w:eastAsia="Times New Roman" w:hAnsi="Courier New" w:cs="Courier New"/>
      <w:b/>
      <w:bCs/>
      <w:u w:val="single"/>
    </w:rPr>
  </w:style>
  <w:style w:type="paragraph" w:styleId="Heading4">
    <w:name w:val="heading 4"/>
    <w:basedOn w:val="Normal"/>
    <w:next w:val="Normal"/>
    <w:link w:val="Heading4Char"/>
    <w:qFormat/>
    <w:rsid w:val="00122249"/>
    <w:pPr>
      <w:keepNext/>
      <w:jc w:val="center"/>
      <w:outlineLvl w:val="3"/>
    </w:pPr>
    <w:rPr>
      <w:rFonts w:ascii="Courier New" w:eastAsia="Times New Roman" w:hAnsi="Courier New" w:cs="Courier New"/>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544F9"/>
  </w:style>
  <w:style w:type="character" w:customStyle="1" w:styleId="FootnoteTextChar">
    <w:name w:val="Footnote Text Char"/>
    <w:basedOn w:val="DefaultParagraphFont"/>
    <w:link w:val="FootnoteText"/>
    <w:uiPriority w:val="99"/>
    <w:rsid w:val="000544F9"/>
  </w:style>
  <w:style w:type="character" w:styleId="FootnoteReference">
    <w:name w:val="footnote reference"/>
    <w:basedOn w:val="DefaultParagraphFont"/>
    <w:uiPriority w:val="99"/>
    <w:unhideWhenUsed/>
    <w:rsid w:val="000544F9"/>
    <w:rPr>
      <w:vertAlign w:val="superscript"/>
    </w:rPr>
  </w:style>
  <w:style w:type="paragraph" w:styleId="Header">
    <w:name w:val="header"/>
    <w:basedOn w:val="Normal"/>
    <w:link w:val="HeaderChar"/>
    <w:uiPriority w:val="99"/>
    <w:unhideWhenUsed/>
    <w:rsid w:val="00302D28"/>
    <w:pPr>
      <w:tabs>
        <w:tab w:val="center" w:pos="4320"/>
        <w:tab w:val="right" w:pos="8640"/>
      </w:tabs>
    </w:pPr>
  </w:style>
  <w:style w:type="character" w:customStyle="1" w:styleId="HeaderChar">
    <w:name w:val="Header Char"/>
    <w:basedOn w:val="DefaultParagraphFont"/>
    <w:link w:val="Header"/>
    <w:uiPriority w:val="99"/>
    <w:rsid w:val="00302D28"/>
  </w:style>
  <w:style w:type="paragraph" w:styleId="Footer">
    <w:name w:val="footer"/>
    <w:basedOn w:val="Normal"/>
    <w:link w:val="FooterChar"/>
    <w:uiPriority w:val="99"/>
    <w:unhideWhenUsed/>
    <w:rsid w:val="00302D28"/>
    <w:pPr>
      <w:tabs>
        <w:tab w:val="center" w:pos="4320"/>
        <w:tab w:val="right" w:pos="8640"/>
      </w:tabs>
    </w:pPr>
  </w:style>
  <w:style w:type="character" w:customStyle="1" w:styleId="FooterChar">
    <w:name w:val="Footer Char"/>
    <w:basedOn w:val="DefaultParagraphFont"/>
    <w:link w:val="Footer"/>
    <w:uiPriority w:val="99"/>
    <w:rsid w:val="00302D28"/>
  </w:style>
  <w:style w:type="character" w:customStyle="1" w:styleId="Heading1Char">
    <w:name w:val="Heading 1 Char"/>
    <w:basedOn w:val="DefaultParagraphFont"/>
    <w:link w:val="Heading1"/>
    <w:rsid w:val="00122249"/>
    <w:rPr>
      <w:rFonts w:ascii="Courier New" w:eastAsia="Times New Roman" w:hAnsi="Courier New" w:cs="Courier New"/>
      <w:b/>
      <w:bCs/>
    </w:rPr>
  </w:style>
  <w:style w:type="character" w:customStyle="1" w:styleId="Heading3Char">
    <w:name w:val="Heading 3 Char"/>
    <w:basedOn w:val="DefaultParagraphFont"/>
    <w:link w:val="Heading3"/>
    <w:rsid w:val="00122249"/>
    <w:rPr>
      <w:rFonts w:ascii="Courier New" w:eastAsia="Times New Roman" w:hAnsi="Courier New" w:cs="Courier New"/>
      <w:b/>
      <w:bCs/>
      <w:u w:val="single"/>
    </w:rPr>
  </w:style>
  <w:style w:type="character" w:customStyle="1" w:styleId="Heading4Char">
    <w:name w:val="Heading 4 Char"/>
    <w:basedOn w:val="DefaultParagraphFont"/>
    <w:link w:val="Heading4"/>
    <w:rsid w:val="00122249"/>
    <w:rPr>
      <w:rFonts w:ascii="Courier New" w:eastAsia="Times New Roman" w:hAnsi="Courier New" w:cs="Courier New"/>
      <w:b/>
      <w:bCs/>
      <w:sz w:val="20"/>
      <w:szCs w:val="20"/>
      <w:u w:val="single"/>
    </w:rPr>
  </w:style>
  <w:style w:type="paragraph" w:styleId="BalloonText">
    <w:name w:val="Balloon Text"/>
    <w:basedOn w:val="Normal"/>
    <w:link w:val="BalloonTextChar"/>
    <w:uiPriority w:val="99"/>
    <w:semiHidden/>
    <w:unhideWhenUsed/>
    <w:rsid w:val="00D01EC7"/>
    <w:rPr>
      <w:rFonts w:ascii="Tahoma" w:hAnsi="Tahoma" w:cs="Tahoma"/>
      <w:sz w:val="16"/>
      <w:szCs w:val="16"/>
    </w:rPr>
  </w:style>
  <w:style w:type="character" w:customStyle="1" w:styleId="BalloonTextChar">
    <w:name w:val="Balloon Text Char"/>
    <w:basedOn w:val="DefaultParagraphFont"/>
    <w:link w:val="BalloonText"/>
    <w:uiPriority w:val="99"/>
    <w:semiHidden/>
    <w:rsid w:val="00D01E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88F"/>
  </w:style>
  <w:style w:type="paragraph" w:styleId="Heading1">
    <w:name w:val="heading 1"/>
    <w:basedOn w:val="Normal"/>
    <w:next w:val="Normal"/>
    <w:link w:val="Heading1Char"/>
    <w:qFormat/>
    <w:rsid w:val="00122249"/>
    <w:pPr>
      <w:keepNext/>
      <w:jc w:val="both"/>
      <w:outlineLvl w:val="0"/>
    </w:pPr>
    <w:rPr>
      <w:rFonts w:ascii="Courier New" w:eastAsia="Times New Roman" w:hAnsi="Courier New" w:cs="Courier New"/>
      <w:b/>
      <w:bCs/>
    </w:rPr>
  </w:style>
  <w:style w:type="paragraph" w:styleId="Heading3">
    <w:name w:val="heading 3"/>
    <w:basedOn w:val="Normal"/>
    <w:next w:val="Normal"/>
    <w:link w:val="Heading3Char"/>
    <w:qFormat/>
    <w:rsid w:val="00122249"/>
    <w:pPr>
      <w:keepNext/>
      <w:jc w:val="center"/>
      <w:outlineLvl w:val="2"/>
    </w:pPr>
    <w:rPr>
      <w:rFonts w:ascii="Courier New" w:eastAsia="Times New Roman" w:hAnsi="Courier New" w:cs="Courier New"/>
      <w:b/>
      <w:bCs/>
      <w:u w:val="single"/>
    </w:rPr>
  </w:style>
  <w:style w:type="paragraph" w:styleId="Heading4">
    <w:name w:val="heading 4"/>
    <w:basedOn w:val="Normal"/>
    <w:next w:val="Normal"/>
    <w:link w:val="Heading4Char"/>
    <w:qFormat/>
    <w:rsid w:val="00122249"/>
    <w:pPr>
      <w:keepNext/>
      <w:jc w:val="center"/>
      <w:outlineLvl w:val="3"/>
    </w:pPr>
    <w:rPr>
      <w:rFonts w:ascii="Courier New" w:eastAsia="Times New Roman" w:hAnsi="Courier New" w:cs="Courier New"/>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544F9"/>
  </w:style>
  <w:style w:type="character" w:customStyle="1" w:styleId="FootnoteTextChar">
    <w:name w:val="Footnote Text Char"/>
    <w:basedOn w:val="DefaultParagraphFont"/>
    <w:link w:val="FootnoteText"/>
    <w:uiPriority w:val="99"/>
    <w:rsid w:val="000544F9"/>
  </w:style>
  <w:style w:type="character" w:styleId="FootnoteReference">
    <w:name w:val="footnote reference"/>
    <w:basedOn w:val="DefaultParagraphFont"/>
    <w:uiPriority w:val="99"/>
    <w:unhideWhenUsed/>
    <w:rsid w:val="000544F9"/>
    <w:rPr>
      <w:vertAlign w:val="superscript"/>
    </w:rPr>
  </w:style>
  <w:style w:type="paragraph" w:styleId="Header">
    <w:name w:val="header"/>
    <w:basedOn w:val="Normal"/>
    <w:link w:val="HeaderChar"/>
    <w:uiPriority w:val="99"/>
    <w:unhideWhenUsed/>
    <w:rsid w:val="00302D28"/>
    <w:pPr>
      <w:tabs>
        <w:tab w:val="center" w:pos="4320"/>
        <w:tab w:val="right" w:pos="8640"/>
      </w:tabs>
    </w:pPr>
  </w:style>
  <w:style w:type="character" w:customStyle="1" w:styleId="HeaderChar">
    <w:name w:val="Header Char"/>
    <w:basedOn w:val="DefaultParagraphFont"/>
    <w:link w:val="Header"/>
    <w:uiPriority w:val="99"/>
    <w:rsid w:val="00302D28"/>
  </w:style>
  <w:style w:type="paragraph" w:styleId="Footer">
    <w:name w:val="footer"/>
    <w:basedOn w:val="Normal"/>
    <w:link w:val="FooterChar"/>
    <w:uiPriority w:val="99"/>
    <w:unhideWhenUsed/>
    <w:rsid w:val="00302D28"/>
    <w:pPr>
      <w:tabs>
        <w:tab w:val="center" w:pos="4320"/>
        <w:tab w:val="right" w:pos="8640"/>
      </w:tabs>
    </w:pPr>
  </w:style>
  <w:style w:type="character" w:customStyle="1" w:styleId="FooterChar">
    <w:name w:val="Footer Char"/>
    <w:basedOn w:val="DefaultParagraphFont"/>
    <w:link w:val="Footer"/>
    <w:uiPriority w:val="99"/>
    <w:rsid w:val="00302D28"/>
  </w:style>
  <w:style w:type="character" w:customStyle="1" w:styleId="Heading1Char">
    <w:name w:val="Heading 1 Char"/>
    <w:basedOn w:val="DefaultParagraphFont"/>
    <w:link w:val="Heading1"/>
    <w:rsid w:val="00122249"/>
    <w:rPr>
      <w:rFonts w:ascii="Courier New" w:eastAsia="Times New Roman" w:hAnsi="Courier New" w:cs="Courier New"/>
      <w:b/>
      <w:bCs/>
    </w:rPr>
  </w:style>
  <w:style w:type="character" w:customStyle="1" w:styleId="Heading3Char">
    <w:name w:val="Heading 3 Char"/>
    <w:basedOn w:val="DefaultParagraphFont"/>
    <w:link w:val="Heading3"/>
    <w:rsid w:val="00122249"/>
    <w:rPr>
      <w:rFonts w:ascii="Courier New" w:eastAsia="Times New Roman" w:hAnsi="Courier New" w:cs="Courier New"/>
      <w:b/>
      <w:bCs/>
      <w:u w:val="single"/>
    </w:rPr>
  </w:style>
  <w:style w:type="character" w:customStyle="1" w:styleId="Heading4Char">
    <w:name w:val="Heading 4 Char"/>
    <w:basedOn w:val="DefaultParagraphFont"/>
    <w:link w:val="Heading4"/>
    <w:rsid w:val="00122249"/>
    <w:rPr>
      <w:rFonts w:ascii="Courier New" w:eastAsia="Times New Roman" w:hAnsi="Courier New" w:cs="Courier New"/>
      <w:b/>
      <w:bCs/>
      <w:sz w:val="20"/>
      <w:szCs w:val="20"/>
      <w:u w:val="single"/>
    </w:rPr>
  </w:style>
  <w:style w:type="paragraph" w:styleId="BalloonText">
    <w:name w:val="Balloon Text"/>
    <w:basedOn w:val="Normal"/>
    <w:link w:val="BalloonTextChar"/>
    <w:uiPriority w:val="99"/>
    <w:semiHidden/>
    <w:unhideWhenUsed/>
    <w:rsid w:val="00D01EC7"/>
    <w:rPr>
      <w:rFonts w:ascii="Tahoma" w:hAnsi="Tahoma" w:cs="Tahoma"/>
      <w:sz w:val="16"/>
      <w:szCs w:val="16"/>
    </w:rPr>
  </w:style>
  <w:style w:type="character" w:customStyle="1" w:styleId="BalloonTextChar">
    <w:name w:val="Balloon Text Char"/>
    <w:basedOn w:val="DefaultParagraphFont"/>
    <w:link w:val="BalloonText"/>
    <w:uiPriority w:val="99"/>
    <w:semiHidden/>
    <w:rsid w:val="00D01E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9A61A-B927-4684-9366-83FA46711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1288</Words>
  <Characters>7344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Eskreis</dc:creator>
  <cp:lastModifiedBy>ANF</cp:lastModifiedBy>
  <cp:revision>2</cp:revision>
  <cp:lastPrinted>2018-06-05T17:39:00Z</cp:lastPrinted>
  <dcterms:created xsi:type="dcterms:W3CDTF">2018-06-06T12:43:00Z</dcterms:created>
  <dcterms:modified xsi:type="dcterms:W3CDTF">2018-06-06T12:43:00Z</dcterms:modified>
</cp:coreProperties>
</file>