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99"/>
        <w:gridCol w:w="6899"/>
      </w:tblGrid>
      <w:tr w:rsidR="00BC7438">
        <w:trPr>
          <w:trHeight w:hRule="exact" w:val="5441"/>
        </w:trPr>
        <w:tc>
          <w:tcPr>
            <w:tcW w:w="13798" w:type="dxa"/>
            <w:gridSpan w:val="2"/>
            <w:tcBorders>
              <w:top w:val="nil"/>
              <w:left w:val="nil"/>
              <w:right w:val="nil"/>
            </w:tcBorders>
          </w:tcPr>
          <w:p w:rsidR="00BC7438" w:rsidRDefault="00BC7438">
            <w:pPr>
              <w:pStyle w:val="TableParagraph"/>
              <w:spacing w:before="0"/>
              <w:jc w:val="left"/>
              <w:rPr>
                <w:rFonts w:ascii="Times New Roman"/>
                <w:sz w:val="28"/>
              </w:rPr>
            </w:pPr>
          </w:p>
          <w:p w:rsidR="00BC7438" w:rsidRDefault="00BC7438">
            <w:pPr>
              <w:pStyle w:val="TableParagraph"/>
              <w:spacing w:before="0"/>
              <w:jc w:val="left"/>
              <w:rPr>
                <w:rFonts w:ascii="Times New Roman"/>
                <w:sz w:val="28"/>
              </w:rPr>
            </w:pPr>
          </w:p>
          <w:p w:rsidR="00BC7438" w:rsidRDefault="00BC7438">
            <w:pPr>
              <w:pStyle w:val="TableParagraph"/>
              <w:spacing w:before="0"/>
              <w:jc w:val="left"/>
              <w:rPr>
                <w:rFonts w:ascii="Times New Roman"/>
                <w:sz w:val="28"/>
              </w:rPr>
            </w:pPr>
          </w:p>
          <w:p w:rsidR="00BC7438" w:rsidRDefault="00CF2AB6">
            <w:pPr>
              <w:pStyle w:val="TableParagraph"/>
              <w:spacing w:before="234"/>
              <w:ind w:left="3992" w:right="3992"/>
              <w:rPr>
                <w:b/>
                <w:sz w:val="24"/>
              </w:rPr>
            </w:pPr>
            <w:r>
              <w:rPr>
                <w:b/>
                <w:sz w:val="24"/>
              </w:rPr>
              <w:t>Description of Admissions</w:t>
            </w:r>
          </w:p>
          <w:p w:rsidR="00BC7438" w:rsidRDefault="00CF2AB6">
            <w:pPr>
              <w:pStyle w:val="TableParagraph"/>
              <w:spacing w:before="0"/>
              <w:ind w:left="3995" w:right="3992"/>
              <w:rPr>
                <w:b/>
                <w:sz w:val="24"/>
              </w:rPr>
            </w:pPr>
            <w:r>
              <w:rPr>
                <w:b/>
                <w:sz w:val="24"/>
              </w:rPr>
              <w:t>Fact Sheet - Black, African American Admissions FY 2017</w:t>
            </w:r>
          </w:p>
          <w:p w:rsidR="00BC7438" w:rsidRDefault="00BC7438">
            <w:pPr>
              <w:pStyle w:val="TableParagraph"/>
              <w:spacing w:before="0"/>
              <w:jc w:val="left"/>
              <w:rPr>
                <w:rFonts w:ascii="Times New Roman"/>
                <w:sz w:val="28"/>
              </w:rPr>
            </w:pPr>
          </w:p>
          <w:p w:rsidR="00BC7438" w:rsidRDefault="00BC7438">
            <w:pPr>
              <w:pStyle w:val="TableParagraph"/>
              <w:spacing w:before="0"/>
              <w:jc w:val="left"/>
              <w:rPr>
                <w:rFonts w:ascii="Times New Roman"/>
                <w:sz w:val="28"/>
              </w:rPr>
            </w:pPr>
          </w:p>
          <w:p w:rsidR="00BC7438" w:rsidRDefault="00CF2AB6">
            <w:pPr>
              <w:pStyle w:val="TableParagraph"/>
              <w:spacing w:before="181"/>
              <w:ind w:left="-10" w:right="871"/>
              <w:jc w:val="left"/>
              <w:rPr>
                <w:sz w:val="20"/>
              </w:rPr>
            </w:pPr>
            <w:r>
              <w:rPr>
                <w:sz w:val="20"/>
              </w:rPr>
              <w:t>This annual report provides information on Black, African American admissions to BSAS funded and/or licensed services. In FY 2017, there were 8,105 admissions where the client reported being Black, African American at the time of admission. Starting in FY 2017, this fact sheet includes all age groups (including &lt;18 years of age). To ensure proper interpretation of this data, please read the footnotes and refer to the appendix at the end of this report.</w:t>
            </w:r>
          </w:p>
          <w:p w:rsidR="00BC7438" w:rsidRDefault="00CF2AB6" w:rsidP="00CF2AB6">
            <w:pPr>
              <w:pStyle w:val="TableParagraph"/>
              <w:tabs>
                <w:tab w:val="left" w:pos="4896"/>
                <w:tab w:val="center" w:pos="6899"/>
              </w:tabs>
              <w:spacing w:before="150"/>
              <w:ind w:left="3992" w:right="3992"/>
              <w:jc w:val="left"/>
              <w:rPr>
                <w:b/>
                <w:sz w:val="20"/>
              </w:rPr>
            </w:pPr>
            <w:r>
              <w:rPr>
                <w:b/>
                <w:sz w:val="20"/>
              </w:rPr>
              <w:tab/>
            </w:r>
            <w:r>
              <w:rPr>
                <w:b/>
                <w:sz w:val="20"/>
              </w:rPr>
              <w:tab/>
              <w:t>Characteristics of Admissions</w:t>
            </w:r>
          </w:p>
          <w:p w:rsidR="00BC7438" w:rsidRDefault="00CF2AB6">
            <w:pPr>
              <w:pStyle w:val="TableParagraph"/>
              <w:numPr>
                <w:ilvl w:val="0"/>
                <w:numId w:val="4"/>
              </w:numPr>
              <w:tabs>
                <w:tab w:val="left" w:pos="126"/>
              </w:tabs>
              <w:spacing w:before="150"/>
              <w:ind w:hanging="135"/>
              <w:jc w:val="left"/>
              <w:rPr>
                <w:sz w:val="20"/>
              </w:rPr>
            </w:pPr>
            <w:r>
              <w:rPr>
                <w:sz w:val="20"/>
              </w:rPr>
              <w:t>The average age at admission for Black, African American admissions was 40.6</w:t>
            </w:r>
            <w:r>
              <w:rPr>
                <w:spacing w:val="-12"/>
                <w:sz w:val="20"/>
              </w:rPr>
              <w:t xml:space="preserve"> </w:t>
            </w:r>
            <w:r>
              <w:rPr>
                <w:sz w:val="20"/>
              </w:rPr>
              <w:t>years.</w:t>
            </w:r>
          </w:p>
          <w:p w:rsidR="00BC7438" w:rsidRDefault="00CF2AB6">
            <w:pPr>
              <w:pStyle w:val="TableParagraph"/>
              <w:numPr>
                <w:ilvl w:val="0"/>
                <w:numId w:val="4"/>
              </w:numPr>
              <w:tabs>
                <w:tab w:val="left" w:pos="126"/>
              </w:tabs>
              <w:spacing w:before="0"/>
              <w:ind w:left="126"/>
              <w:jc w:val="left"/>
              <w:rPr>
                <w:sz w:val="20"/>
              </w:rPr>
            </w:pPr>
            <w:r>
              <w:rPr>
                <w:sz w:val="20"/>
              </w:rPr>
              <w:t>20.7% had children under six years of age; 34.0% had children 6-18 years</w:t>
            </w:r>
            <w:r>
              <w:rPr>
                <w:spacing w:val="-18"/>
                <w:sz w:val="20"/>
              </w:rPr>
              <w:t xml:space="preserve"> </w:t>
            </w:r>
            <w:r>
              <w:rPr>
                <w:sz w:val="20"/>
              </w:rPr>
              <w:t>old.</w:t>
            </w:r>
          </w:p>
          <w:p w:rsidR="00BC7438" w:rsidRDefault="00CF2AB6">
            <w:pPr>
              <w:pStyle w:val="TableParagraph"/>
              <w:numPr>
                <w:ilvl w:val="0"/>
                <w:numId w:val="4"/>
              </w:numPr>
              <w:tabs>
                <w:tab w:val="left" w:pos="126"/>
              </w:tabs>
              <w:spacing w:before="0"/>
              <w:ind w:left="126"/>
              <w:jc w:val="left"/>
              <w:rPr>
                <w:sz w:val="20"/>
              </w:rPr>
            </w:pPr>
            <w:r>
              <w:rPr>
                <w:sz w:val="20"/>
              </w:rPr>
              <w:t>4.7% lived with children under six years of age; 7.8% lived with children 6-18 years</w:t>
            </w:r>
            <w:r>
              <w:rPr>
                <w:spacing w:val="-24"/>
                <w:sz w:val="20"/>
              </w:rPr>
              <w:t xml:space="preserve"> </w:t>
            </w:r>
            <w:r>
              <w:rPr>
                <w:sz w:val="20"/>
              </w:rPr>
              <w:t>old.</w:t>
            </w:r>
          </w:p>
        </w:tc>
      </w:tr>
      <w:tr w:rsidR="00BC7438">
        <w:trPr>
          <w:trHeight w:hRule="exact" w:val="224"/>
        </w:trPr>
        <w:tc>
          <w:tcPr>
            <w:tcW w:w="6899" w:type="dxa"/>
            <w:tcBorders>
              <w:bottom w:val="single" w:sz="16" w:space="0" w:color="000000"/>
            </w:tcBorders>
          </w:tcPr>
          <w:p w:rsidR="00BC7438" w:rsidRDefault="00BC7438"/>
        </w:tc>
        <w:tc>
          <w:tcPr>
            <w:tcW w:w="6899" w:type="dxa"/>
            <w:tcBorders>
              <w:bottom w:val="single" w:sz="16" w:space="0" w:color="000000"/>
            </w:tcBorders>
          </w:tcPr>
          <w:p w:rsidR="00BC7438" w:rsidRDefault="00CF2AB6">
            <w:pPr>
              <w:pStyle w:val="TableParagraph"/>
              <w:spacing w:before="0"/>
              <w:jc w:val="left"/>
              <w:rPr>
                <w:b/>
                <w:sz w:val="16"/>
              </w:rPr>
            </w:pPr>
            <w:r>
              <w:rPr>
                <w:b/>
                <w:sz w:val="16"/>
              </w:rPr>
              <w:t>% of Enrollments</w:t>
            </w:r>
          </w:p>
        </w:tc>
      </w:tr>
      <w:tr w:rsidR="00BC7438">
        <w:trPr>
          <w:trHeight w:hRule="exact" w:val="314"/>
        </w:trPr>
        <w:tc>
          <w:tcPr>
            <w:tcW w:w="13798" w:type="dxa"/>
            <w:gridSpan w:val="2"/>
            <w:tcBorders>
              <w:top w:val="single" w:sz="16" w:space="0" w:color="000000"/>
            </w:tcBorders>
            <w:shd w:val="clear" w:color="auto" w:fill="C0C0C0"/>
          </w:tcPr>
          <w:p w:rsidR="00BC7438" w:rsidRDefault="00CF2AB6">
            <w:pPr>
              <w:pStyle w:val="TableParagraph"/>
              <w:ind w:left="75"/>
              <w:jc w:val="left"/>
              <w:rPr>
                <w:b/>
                <w:sz w:val="16"/>
              </w:rPr>
            </w:pPr>
            <w:r>
              <w:rPr>
                <w:b/>
                <w:sz w:val="16"/>
              </w:rPr>
              <w:t>Gender</w:t>
            </w:r>
          </w:p>
        </w:tc>
      </w:tr>
      <w:tr w:rsidR="00BC7438">
        <w:trPr>
          <w:trHeight w:hRule="exact" w:val="304"/>
        </w:trPr>
        <w:tc>
          <w:tcPr>
            <w:tcW w:w="6899" w:type="dxa"/>
          </w:tcPr>
          <w:p w:rsidR="00BC7438" w:rsidRDefault="00CF2AB6">
            <w:pPr>
              <w:pStyle w:val="TableParagraph"/>
              <w:ind w:right="73"/>
              <w:jc w:val="right"/>
              <w:rPr>
                <w:sz w:val="16"/>
              </w:rPr>
            </w:pPr>
            <w:r>
              <w:rPr>
                <w:sz w:val="16"/>
              </w:rPr>
              <w:t>Female</w:t>
            </w:r>
          </w:p>
        </w:tc>
        <w:tc>
          <w:tcPr>
            <w:tcW w:w="6899" w:type="dxa"/>
          </w:tcPr>
          <w:p w:rsidR="00BC7438" w:rsidRDefault="00CF2AB6">
            <w:pPr>
              <w:pStyle w:val="TableParagraph"/>
              <w:ind w:left="134"/>
              <w:jc w:val="left"/>
              <w:rPr>
                <w:sz w:val="16"/>
              </w:rPr>
            </w:pPr>
            <w:r>
              <w:rPr>
                <w:sz w:val="16"/>
              </w:rPr>
              <w:t>25.2%</w:t>
            </w:r>
          </w:p>
        </w:tc>
      </w:tr>
      <w:tr w:rsidR="00BC7438">
        <w:trPr>
          <w:trHeight w:hRule="exact" w:val="304"/>
        </w:trPr>
        <w:tc>
          <w:tcPr>
            <w:tcW w:w="6899" w:type="dxa"/>
          </w:tcPr>
          <w:p w:rsidR="00BC7438" w:rsidRDefault="00CF2AB6">
            <w:pPr>
              <w:pStyle w:val="TableParagraph"/>
              <w:ind w:right="73"/>
              <w:jc w:val="right"/>
              <w:rPr>
                <w:sz w:val="16"/>
              </w:rPr>
            </w:pPr>
            <w:r>
              <w:rPr>
                <w:sz w:val="16"/>
              </w:rPr>
              <w:t>Male</w:t>
            </w:r>
          </w:p>
        </w:tc>
        <w:tc>
          <w:tcPr>
            <w:tcW w:w="6899" w:type="dxa"/>
          </w:tcPr>
          <w:p w:rsidR="00BC7438" w:rsidRDefault="00CF2AB6">
            <w:pPr>
              <w:pStyle w:val="TableParagraph"/>
              <w:ind w:left="134"/>
              <w:jc w:val="left"/>
              <w:rPr>
                <w:sz w:val="16"/>
              </w:rPr>
            </w:pPr>
            <w:r>
              <w:rPr>
                <w:sz w:val="16"/>
              </w:rPr>
              <w:t>74.4%</w:t>
            </w:r>
          </w:p>
        </w:tc>
      </w:tr>
      <w:tr w:rsidR="00BC7438">
        <w:trPr>
          <w:trHeight w:hRule="exact" w:val="324"/>
        </w:trPr>
        <w:tc>
          <w:tcPr>
            <w:tcW w:w="6899" w:type="dxa"/>
            <w:tcBorders>
              <w:bottom w:val="single" w:sz="16" w:space="0" w:color="000000"/>
            </w:tcBorders>
          </w:tcPr>
          <w:p w:rsidR="00BC7438" w:rsidRDefault="00CF2AB6">
            <w:pPr>
              <w:pStyle w:val="TableParagraph"/>
              <w:ind w:right="73"/>
              <w:jc w:val="right"/>
              <w:rPr>
                <w:sz w:val="16"/>
              </w:rPr>
            </w:pPr>
            <w:r>
              <w:rPr>
                <w:sz w:val="16"/>
              </w:rPr>
              <w:t>Transgender</w:t>
            </w:r>
          </w:p>
        </w:tc>
        <w:tc>
          <w:tcPr>
            <w:tcW w:w="6899" w:type="dxa"/>
            <w:tcBorders>
              <w:bottom w:val="single" w:sz="16" w:space="0" w:color="000000"/>
            </w:tcBorders>
          </w:tcPr>
          <w:p w:rsidR="00BC7438" w:rsidRDefault="00CF2AB6">
            <w:pPr>
              <w:pStyle w:val="TableParagraph"/>
              <w:ind w:left="134"/>
              <w:jc w:val="left"/>
              <w:rPr>
                <w:sz w:val="16"/>
              </w:rPr>
            </w:pPr>
            <w:r>
              <w:rPr>
                <w:sz w:val="16"/>
              </w:rPr>
              <w:t>0.3%</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Hispanic/non-Hispanic</w:t>
            </w:r>
          </w:p>
        </w:tc>
      </w:tr>
      <w:tr w:rsidR="00BC7438">
        <w:trPr>
          <w:trHeight w:hRule="exact" w:val="304"/>
        </w:trPr>
        <w:tc>
          <w:tcPr>
            <w:tcW w:w="6899" w:type="dxa"/>
          </w:tcPr>
          <w:p w:rsidR="00BC7438" w:rsidRDefault="00CF2AB6">
            <w:pPr>
              <w:pStyle w:val="TableParagraph"/>
              <w:ind w:right="74"/>
              <w:jc w:val="right"/>
              <w:rPr>
                <w:sz w:val="16"/>
              </w:rPr>
            </w:pPr>
            <w:r>
              <w:rPr>
                <w:sz w:val="16"/>
              </w:rPr>
              <w:t>Hispanic</w:t>
            </w:r>
          </w:p>
        </w:tc>
        <w:tc>
          <w:tcPr>
            <w:tcW w:w="6899" w:type="dxa"/>
          </w:tcPr>
          <w:p w:rsidR="00BC7438" w:rsidRDefault="00CF2AB6">
            <w:pPr>
              <w:pStyle w:val="TableParagraph"/>
              <w:ind w:left="134"/>
              <w:jc w:val="left"/>
              <w:rPr>
                <w:sz w:val="16"/>
              </w:rPr>
            </w:pPr>
            <w:r>
              <w:rPr>
                <w:sz w:val="16"/>
              </w:rPr>
              <w:t>3.8%</w:t>
            </w:r>
          </w:p>
        </w:tc>
      </w:tr>
      <w:tr w:rsidR="00BC7438">
        <w:trPr>
          <w:trHeight w:hRule="exact" w:val="324"/>
        </w:trPr>
        <w:tc>
          <w:tcPr>
            <w:tcW w:w="6899" w:type="dxa"/>
            <w:tcBorders>
              <w:bottom w:val="single" w:sz="16" w:space="0" w:color="000000"/>
            </w:tcBorders>
          </w:tcPr>
          <w:p w:rsidR="00BC7438" w:rsidRDefault="00CF2AB6">
            <w:pPr>
              <w:pStyle w:val="TableParagraph"/>
              <w:ind w:right="74"/>
              <w:jc w:val="right"/>
              <w:rPr>
                <w:sz w:val="16"/>
              </w:rPr>
            </w:pPr>
            <w:r>
              <w:rPr>
                <w:sz w:val="16"/>
              </w:rPr>
              <w:t>Non-Hispanic</w:t>
            </w:r>
          </w:p>
        </w:tc>
        <w:tc>
          <w:tcPr>
            <w:tcW w:w="6899" w:type="dxa"/>
            <w:tcBorders>
              <w:bottom w:val="single" w:sz="16" w:space="0" w:color="000000"/>
            </w:tcBorders>
          </w:tcPr>
          <w:p w:rsidR="00BC7438" w:rsidRDefault="00CF2AB6">
            <w:pPr>
              <w:pStyle w:val="TableParagraph"/>
              <w:ind w:left="134"/>
              <w:jc w:val="left"/>
              <w:rPr>
                <w:sz w:val="16"/>
              </w:rPr>
            </w:pPr>
            <w:r>
              <w:rPr>
                <w:sz w:val="16"/>
              </w:rPr>
              <w:t>96.2%</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Education Level</w:t>
            </w:r>
          </w:p>
        </w:tc>
      </w:tr>
      <w:tr w:rsidR="00BC7438">
        <w:trPr>
          <w:trHeight w:hRule="exact" w:val="304"/>
        </w:trPr>
        <w:tc>
          <w:tcPr>
            <w:tcW w:w="6899" w:type="dxa"/>
          </w:tcPr>
          <w:p w:rsidR="00BC7438" w:rsidRDefault="00CF2AB6">
            <w:pPr>
              <w:pStyle w:val="TableParagraph"/>
              <w:ind w:right="72"/>
              <w:jc w:val="right"/>
              <w:rPr>
                <w:sz w:val="16"/>
              </w:rPr>
            </w:pPr>
            <w:r>
              <w:rPr>
                <w:sz w:val="16"/>
              </w:rPr>
              <w:t>No Education or Less Than High School</w:t>
            </w:r>
          </w:p>
        </w:tc>
        <w:tc>
          <w:tcPr>
            <w:tcW w:w="6899" w:type="dxa"/>
          </w:tcPr>
          <w:p w:rsidR="00BC7438" w:rsidRDefault="00CF2AB6">
            <w:pPr>
              <w:pStyle w:val="TableParagraph"/>
              <w:ind w:left="134"/>
              <w:jc w:val="left"/>
              <w:rPr>
                <w:sz w:val="16"/>
              </w:rPr>
            </w:pPr>
            <w:r>
              <w:rPr>
                <w:sz w:val="16"/>
              </w:rPr>
              <w:t>30.2%</w:t>
            </w:r>
          </w:p>
        </w:tc>
      </w:tr>
      <w:tr w:rsidR="00BC7438">
        <w:trPr>
          <w:trHeight w:hRule="exact" w:val="304"/>
        </w:trPr>
        <w:tc>
          <w:tcPr>
            <w:tcW w:w="6899" w:type="dxa"/>
          </w:tcPr>
          <w:p w:rsidR="00BC7438" w:rsidRDefault="00CF2AB6">
            <w:pPr>
              <w:pStyle w:val="TableParagraph"/>
              <w:ind w:right="73"/>
              <w:jc w:val="right"/>
              <w:rPr>
                <w:sz w:val="16"/>
              </w:rPr>
            </w:pPr>
            <w:r>
              <w:rPr>
                <w:sz w:val="16"/>
              </w:rPr>
              <w:t>High School Diploma / GED</w:t>
            </w:r>
          </w:p>
        </w:tc>
        <w:tc>
          <w:tcPr>
            <w:tcW w:w="6899" w:type="dxa"/>
          </w:tcPr>
          <w:p w:rsidR="00BC7438" w:rsidRDefault="00CF2AB6">
            <w:pPr>
              <w:pStyle w:val="TableParagraph"/>
              <w:ind w:left="134"/>
              <w:jc w:val="left"/>
              <w:rPr>
                <w:sz w:val="16"/>
              </w:rPr>
            </w:pPr>
            <w:r>
              <w:rPr>
                <w:sz w:val="16"/>
              </w:rPr>
              <w:t>43.4%</w:t>
            </w:r>
          </w:p>
        </w:tc>
      </w:tr>
      <w:tr w:rsidR="00BC7438">
        <w:trPr>
          <w:trHeight w:hRule="exact" w:val="304"/>
        </w:trPr>
        <w:tc>
          <w:tcPr>
            <w:tcW w:w="6899" w:type="dxa"/>
          </w:tcPr>
          <w:p w:rsidR="00BC7438" w:rsidRDefault="00CF2AB6">
            <w:pPr>
              <w:pStyle w:val="TableParagraph"/>
              <w:ind w:right="72"/>
              <w:jc w:val="right"/>
              <w:rPr>
                <w:sz w:val="16"/>
              </w:rPr>
            </w:pPr>
            <w:r>
              <w:rPr>
                <w:sz w:val="16"/>
              </w:rPr>
              <w:t>Beyond High School, No College Degree</w:t>
            </w:r>
          </w:p>
        </w:tc>
        <w:tc>
          <w:tcPr>
            <w:tcW w:w="6899" w:type="dxa"/>
          </w:tcPr>
          <w:p w:rsidR="00BC7438" w:rsidRDefault="00CF2AB6">
            <w:pPr>
              <w:pStyle w:val="TableParagraph"/>
              <w:ind w:left="134"/>
              <w:jc w:val="left"/>
              <w:rPr>
                <w:sz w:val="16"/>
              </w:rPr>
            </w:pPr>
            <w:r>
              <w:rPr>
                <w:sz w:val="16"/>
              </w:rPr>
              <w:t>19.8%</w:t>
            </w:r>
          </w:p>
        </w:tc>
      </w:tr>
      <w:tr w:rsidR="00BC7438">
        <w:trPr>
          <w:trHeight w:hRule="exact" w:val="304"/>
        </w:trPr>
        <w:tc>
          <w:tcPr>
            <w:tcW w:w="6899" w:type="dxa"/>
          </w:tcPr>
          <w:p w:rsidR="00BC7438" w:rsidRDefault="00CF2AB6">
            <w:pPr>
              <w:pStyle w:val="TableParagraph"/>
              <w:ind w:right="73"/>
              <w:jc w:val="right"/>
              <w:rPr>
                <w:sz w:val="16"/>
              </w:rPr>
            </w:pPr>
            <w:r>
              <w:rPr>
                <w:sz w:val="16"/>
              </w:rPr>
              <w:t>College Degree or Higher</w:t>
            </w:r>
          </w:p>
        </w:tc>
        <w:tc>
          <w:tcPr>
            <w:tcW w:w="6899" w:type="dxa"/>
          </w:tcPr>
          <w:p w:rsidR="00BC7438" w:rsidRDefault="00CF2AB6">
            <w:pPr>
              <w:pStyle w:val="TableParagraph"/>
              <w:ind w:left="134"/>
              <w:jc w:val="left"/>
              <w:rPr>
                <w:sz w:val="16"/>
              </w:rPr>
            </w:pPr>
            <w:r>
              <w:rPr>
                <w:sz w:val="16"/>
              </w:rPr>
              <w:t>5.0%</w:t>
            </w:r>
          </w:p>
        </w:tc>
      </w:tr>
      <w:tr w:rsidR="00BC7438">
        <w:trPr>
          <w:trHeight w:hRule="exact" w:val="324"/>
        </w:trPr>
        <w:tc>
          <w:tcPr>
            <w:tcW w:w="6899" w:type="dxa"/>
            <w:tcBorders>
              <w:bottom w:val="single" w:sz="16" w:space="0" w:color="000000"/>
            </w:tcBorders>
          </w:tcPr>
          <w:p w:rsidR="00BC7438" w:rsidRDefault="00CF2AB6">
            <w:pPr>
              <w:pStyle w:val="TableParagraph"/>
              <w:ind w:right="72"/>
              <w:jc w:val="right"/>
              <w:rPr>
                <w:sz w:val="16"/>
              </w:rPr>
            </w:pPr>
            <w:r>
              <w:rPr>
                <w:sz w:val="16"/>
              </w:rPr>
              <w:t>Other</w:t>
            </w:r>
          </w:p>
        </w:tc>
        <w:tc>
          <w:tcPr>
            <w:tcW w:w="6899" w:type="dxa"/>
            <w:tcBorders>
              <w:bottom w:val="single" w:sz="16" w:space="0" w:color="000000"/>
            </w:tcBorders>
          </w:tcPr>
          <w:p w:rsidR="00BC7438" w:rsidRDefault="00CF2AB6">
            <w:pPr>
              <w:pStyle w:val="TableParagraph"/>
              <w:ind w:left="134"/>
              <w:jc w:val="left"/>
              <w:rPr>
                <w:sz w:val="16"/>
              </w:rPr>
            </w:pPr>
            <w:r>
              <w:rPr>
                <w:sz w:val="16"/>
              </w:rPr>
              <w:t>1.6%</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Age</w:t>
            </w:r>
          </w:p>
        </w:tc>
      </w:tr>
      <w:tr w:rsidR="00BC7438">
        <w:trPr>
          <w:trHeight w:hRule="exact" w:val="304"/>
        </w:trPr>
        <w:tc>
          <w:tcPr>
            <w:tcW w:w="6899" w:type="dxa"/>
          </w:tcPr>
          <w:p w:rsidR="00BC7438" w:rsidRDefault="00CF2AB6">
            <w:pPr>
              <w:pStyle w:val="TableParagraph"/>
              <w:ind w:right="73"/>
              <w:jc w:val="right"/>
              <w:rPr>
                <w:sz w:val="16"/>
              </w:rPr>
            </w:pPr>
            <w:r>
              <w:rPr>
                <w:sz w:val="16"/>
              </w:rPr>
              <w:t>Less Than 18</w:t>
            </w:r>
          </w:p>
        </w:tc>
        <w:tc>
          <w:tcPr>
            <w:tcW w:w="6899" w:type="dxa"/>
          </w:tcPr>
          <w:p w:rsidR="00BC7438" w:rsidRDefault="00CF2AB6">
            <w:pPr>
              <w:pStyle w:val="TableParagraph"/>
              <w:ind w:left="134"/>
              <w:jc w:val="left"/>
              <w:rPr>
                <w:sz w:val="16"/>
              </w:rPr>
            </w:pPr>
            <w:r>
              <w:rPr>
                <w:sz w:val="16"/>
              </w:rPr>
              <w:t>1.1%</w:t>
            </w:r>
          </w:p>
        </w:tc>
      </w:tr>
      <w:tr w:rsidR="00BC7438">
        <w:trPr>
          <w:trHeight w:hRule="exact" w:val="304"/>
        </w:trPr>
        <w:tc>
          <w:tcPr>
            <w:tcW w:w="6899" w:type="dxa"/>
          </w:tcPr>
          <w:p w:rsidR="00BC7438" w:rsidRDefault="00CF2AB6">
            <w:pPr>
              <w:pStyle w:val="TableParagraph"/>
              <w:ind w:right="73"/>
              <w:jc w:val="right"/>
              <w:rPr>
                <w:sz w:val="16"/>
              </w:rPr>
            </w:pPr>
            <w:r>
              <w:rPr>
                <w:sz w:val="16"/>
              </w:rPr>
              <w:t>18 to 25</w:t>
            </w:r>
          </w:p>
        </w:tc>
        <w:tc>
          <w:tcPr>
            <w:tcW w:w="6899" w:type="dxa"/>
          </w:tcPr>
          <w:p w:rsidR="00BC7438" w:rsidRDefault="00CF2AB6">
            <w:pPr>
              <w:pStyle w:val="TableParagraph"/>
              <w:ind w:left="134"/>
              <w:jc w:val="left"/>
              <w:rPr>
                <w:sz w:val="16"/>
              </w:rPr>
            </w:pPr>
            <w:r>
              <w:rPr>
                <w:sz w:val="16"/>
              </w:rPr>
              <w:t>10.5%</w:t>
            </w:r>
          </w:p>
        </w:tc>
      </w:tr>
      <w:tr w:rsidR="00BC7438">
        <w:trPr>
          <w:trHeight w:hRule="exact" w:val="304"/>
        </w:trPr>
        <w:tc>
          <w:tcPr>
            <w:tcW w:w="6899" w:type="dxa"/>
          </w:tcPr>
          <w:p w:rsidR="00BC7438" w:rsidRDefault="00CF2AB6">
            <w:pPr>
              <w:pStyle w:val="TableParagraph"/>
              <w:ind w:right="73"/>
              <w:jc w:val="right"/>
              <w:rPr>
                <w:sz w:val="16"/>
              </w:rPr>
            </w:pPr>
            <w:r>
              <w:rPr>
                <w:sz w:val="16"/>
              </w:rPr>
              <w:t>26 to 30</w:t>
            </w:r>
          </w:p>
        </w:tc>
        <w:tc>
          <w:tcPr>
            <w:tcW w:w="6899" w:type="dxa"/>
          </w:tcPr>
          <w:p w:rsidR="00BC7438" w:rsidRDefault="00CF2AB6">
            <w:pPr>
              <w:pStyle w:val="TableParagraph"/>
              <w:ind w:left="134"/>
              <w:jc w:val="left"/>
              <w:rPr>
                <w:sz w:val="16"/>
              </w:rPr>
            </w:pPr>
            <w:r>
              <w:rPr>
                <w:sz w:val="16"/>
              </w:rPr>
              <w:t>14.4%</w:t>
            </w:r>
          </w:p>
        </w:tc>
      </w:tr>
      <w:tr w:rsidR="00BC7438">
        <w:trPr>
          <w:trHeight w:hRule="exact" w:val="304"/>
        </w:trPr>
        <w:tc>
          <w:tcPr>
            <w:tcW w:w="6899" w:type="dxa"/>
          </w:tcPr>
          <w:p w:rsidR="00BC7438" w:rsidRDefault="00CF2AB6">
            <w:pPr>
              <w:pStyle w:val="TableParagraph"/>
              <w:ind w:right="73"/>
              <w:jc w:val="right"/>
              <w:rPr>
                <w:sz w:val="16"/>
              </w:rPr>
            </w:pPr>
            <w:r>
              <w:rPr>
                <w:sz w:val="16"/>
              </w:rPr>
              <w:t>31 to 40</w:t>
            </w:r>
          </w:p>
        </w:tc>
        <w:tc>
          <w:tcPr>
            <w:tcW w:w="6899" w:type="dxa"/>
          </w:tcPr>
          <w:p w:rsidR="00BC7438" w:rsidRDefault="00CF2AB6">
            <w:pPr>
              <w:pStyle w:val="TableParagraph"/>
              <w:ind w:left="134"/>
              <w:jc w:val="left"/>
              <w:rPr>
                <w:sz w:val="16"/>
              </w:rPr>
            </w:pPr>
            <w:r>
              <w:rPr>
                <w:sz w:val="16"/>
              </w:rPr>
              <w:t>23.2%</w:t>
            </w:r>
          </w:p>
        </w:tc>
      </w:tr>
      <w:tr w:rsidR="00BC7438">
        <w:trPr>
          <w:trHeight w:hRule="exact" w:val="304"/>
        </w:trPr>
        <w:tc>
          <w:tcPr>
            <w:tcW w:w="6899" w:type="dxa"/>
          </w:tcPr>
          <w:p w:rsidR="00BC7438" w:rsidRDefault="00CF2AB6">
            <w:pPr>
              <w:pStyle w:val="TableParagraph"/>
              <w:ind w:right="73"/>
              <w:jc w:val="right"/>
              <w:rPr>
                <w:sz w:val="16"/>
              </w:rPr>
            </w:pPr>
            <w:r>
              <w:rPr>
                <w:sz w:val="16"/>
              </w:rPr>
              <w:t>41 to 50</w:t>
            </w:r>
          </w:p>
        </w:tc>
        <w:tc>
          <w:tcPr>
            <w:tcW w:w="6899" w:type="dxa"/>
          </w:tcPr>
          <w:p w:rsidR="00BC7438" w:rsidRDefault="00CF2AB6">
            <w:pPr>
              <w:pStyle w:val="TableParagraph"/>
              <w:ind w:left="134"/>
              <w:jc w:val="left"/>
              <w:rPr>
                <w:sz w:val="16"/>
              </w:rPr>
            </w:pPr>
            <w:r>
              <w:rPr>
                <w:sz w:val="16"/>
              </w:rPr>
              <w:t>25.1%</w:t>
            </w:r>
          </w:p>
        </w:tc>
      </w:tr>
      <w:tr w:rsidR="00BC7438">
        <w:trPr>
          <w:trHeight w:hRule="exact" w:val="324"/>
        </w:trPr>
        <w:tc>
          <w:tcPr>
            <w:tcW w:w="6899" w:type="dxa"/>
            <w:tcBorders>
              <w:bottom w:val="single" w:sz="16" w:space="0" w:color="000000"/>
            </w:tcBorders>
          </w:tcPr>
          <w:p w:rsidR="00BC7438" w:rsidRDefault="00CF2AB6">
            <w:pPr>
              <w:pStyle w:val="TableParagraph"/>
              <w:ind w:right="72"/>
              <w:jc w:val="right"/>
              <w:rPr>
                <w:sz w:val="16"/>
              </w:rPr>
            </w:pPr>
            <w:r>
              <w:rPr>
                <w:sz w:val="16"/>
              </w:rPr>
              <w:t>51 and Older</w:t>
            </w:r>
          </w:p>
        </w:tc>
        <w:tc>
          <w:tcPr>
            <w:tcW w:w="6899" w:type="dxa"/>
            <w:tcBorders>
              <w:bottom w:val="single" w:sz="16" w:space="0" w:color="000000"/>
            </w:tcBorders>
          </w:tcPr>
          <w:p w:rsidR="00BC7438" w:rsidRDefault="00CF2AB6">
            <w:pPr>
              <w:pStyle w:val="TableParagraph"/>
              <w:ind w:left="134"/>
              <w:jc w:val="left"/>
              <w:rPr>
                <w:sz w:val="16"/>
              </w:rPr>
            </w:pPr>
            <w:r>
              <w:rPr>
                <w:sz w:val="16"/>
              </w:rPr>
              <w:t>25.7%</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 xml:space="preserve">Employment (N=2,706; excludes </w:t>
            </w:r>
            <w:hyperlink w:anchor="_bookmark0" w:history="1">
              <w:r>
                <w:rPr>
                  <w:b/>
                  <w:color w:val="0000FF"/>
                  <w:sz w:val="16"/>
                  <w:u w:val="single" w:color="0000FF"/>
                </w:rPr>
                <w:t xml:space="preserve">not in labor force </w:t>
              </w:r>
            </w:hyperlink>
            <w:r>
              <w:rPr>
                <w:b/>
                <w:sz w:val="16"/>
              </w:rPr>
              <w:t>)</w:t>
            </w:r>
          </w:p>
        </w:tc>
      </w:tr>
      <w:tr w:rsidR="00BC7438">
        <w:trPr>
          <w:trHeight w:hRule="exact" w:val="304"/>
        </w:trPr>
        <w:tc>
          <w:tcPr>
            <w:tcW w:w="6899" w:type="dxa"/>
          </w:tcPr>
          <w:p w:rsidR="00BC7438" w:rsidRDefault="00CF2AB6">
            <w:pPr>
              <w:pStyle w:val="TableParagraph"/>
              <w:ind w:right="73"/>
              <w:jc w:val="right"/>
              <w:rPr>
                <w:sz w:val="16"/>
              </w:rPr>
            </w:pPr>
            <w:r>
              <w:rPr>
                <w:sz w:val="16"/>
              </w:rPr>
              <w:t>Employed</w:t>
            </w:r>
          </w:p>
        </w:tc>
        <w:tc>
          <w:tcPr>
            <w:tcW w:w="6899" w:type="dxa"/>
          </w:tcPr>
          <w:p w:rsidR="00BC7438" w:rsidRDefault="00CF2AB6">
            <w:pPr>
              <w:pStyle w:val="TableParagraph"/>
              <w:ind w:left="134"/>
              <w:jc w:val="left"/>
              <w:rPr>
                <w:sz w:val="16"/>
              </w:rPr>
            </w:pPr>
            <w:r>
              <w:rPr>
                <w:sz w:val="16"/>
              </w:rPr>
              <w:t>44.6%</w:t>
            </w:r>
          </w:p>
        </w:tc>
      </w:tr>
      <w:tr w:rsidR="00BC7438" w:rsidTr="00833D33">
        <w:trPr>
          <w:trHeight w:hRule="exact" w:val="324"/>
        </w:trPr>
        <w:tc>
          <w:tcPr>
            <w:tcW w:w="6899" w:type="dxa"/>
            <w:tcBorders>
              <w:bottom w:val="single" w:sz="18" w:space="0" w:color="000000"/>
            </w:tcBorders>
          </w:tcPr>
          <w:p w:rsidR="00BC7438" w:rsidRDefault="00CF2AB6">
            <w:pPr>
              <w:pStyle w:val="TableParagraph"/>
              <w:ind w:right="73"/>
              <w:jc w:val="right"/>
              <w:rPr>
                <w:sz w:val="16"/>
              </w:rPr>
            </w:pPr>
            <w:r>
              <w:rPr>
                <w:sz w:val="16"/>
              </w:rPr>
              <w:t>Not Employed</w:t>
            </w:r>
          </w:p>
        </w:tc>
        <w:tc>
          <w:tcPr>
            <w:tcW w:w="6899" w:type="dxa"/>
            <w:tcBorders>
              <w:bottom w:val="single" w:sz="18" w:space="0" w:color="000000"/>
            </w:tcBorders>
          </w:tcPr>
          <w:p w:rsidR="00BC7438" w:rsidRDefault="00CF2AB6">
            <w:pPr>
              <w:pStyle w:val="TableParagraph"/>
              <w:ind w:left="134"/>
              <w:jc w:val="left"/>
              <w:rPr>
                <w:sz w:val="16"/>
              </w:rPr>
            </w:pPr>
            <w:r>
              <w:rPr>
                <w:sz w:val="16"/>
              </w:rPr>
              <w:t>55.4%</w:t>
            </w:r>
          </w:p>
        </w:tc>
      </w:tr>
      <w:tr w:rsidR="00BC7438" w:rsidTr="00833D33">
        <w:trPr>
          <w:trHeight w:hRule="exact" w:val="304"/>
        </w:trPr>
        <w:tc>
          <w:tcPr>
            <w:tcW w:w="13798" w:type="dxa"/>
            <w:gridSpan w:val="2"/>
            <w:tcBorders>
              <w:top w:val="single" w:sz="18" w:space="0" w:color="000000"/>
              <w:bottom w:val="nil"/>
            </w:tcBorders>
            <w:shd w:val="clear" w:color="auto" w:fill="C0C0C0"/>
          </w:tcPr>
          <w:p w:rsidR="00BC7438" w:rsidRDefault="00CF2AB6">
            <w:pPr>
              <w:pStyle w:val="TableParagraph"/>
              <w:ind w:left="75"/>
              <w:jc w:val="left"/>
              <w:rPr>
                <w:b/>
                <w:sz w:val="16"/>
              </w:rPr>
            </w:pPr>
            <w:r>
              <w:rPr>
                <w:b/>
                <w:sz w:val="16"/>
              </w:rPr>
              <w:t>Homeless at Enrollment (N= 6,180 ; excludes cases where housing disposition at enrollment could not be determined)</w:t>
            </w:r>
          </w:p>
        </w:tc>
      </w:tr>
      <w:tr w:rsidR="00BC7438" w:rsidTr="00833D33">
        <w:trPr>
          <w:trHeight w:hRule="exact" w:val="304"/>
        </w:trPr>
        <w:tc>
          <w:tcPr>
            <w:tcW w:w="6899" w:type="dxa"/>
            <w:tcBorders>
              <w:top w:val="nil"/>
            </w:tcBorders>
          </w:tcPr>
          <w:p w:rsidR="00BC7438" w:rsidRDefault="00CF2AB6">
            <w:pPr>
              <w:pStyle w:val="TableParagraph"/>
              <w:ind w:right="73"/>
              <w:jc w:val="right"/>
              <w:rPr>
                <w:sz w:val="16"/>
              </w:rPr>
            </w:pPr>
            <w:r>
              <w:rPr>
                <w:sz w:val="16"/>
              </w:rPr>
              <w:t>No</w:t>
            </w:r>
          </w:p>
        </w:tc>
        <w:tc>
          <w:tcPr>
            <w:tcW w:w="6899" w:type="dxa"/>
            <w:tcBorders>
              <w:top w:val="nil"/>
            </w:tcBorders>
          </w:tcPr>
          <w:p w:rsidR="00BC7438" w:rsidRDefault="00CF2AB6">
            <w:pPr>
              <w:pStyle w:val="TableParagraph"/>
              <w:ind w:left="134"/>
              <w:jc w:val="left"/>
              <w:rPr>
                <w:sz w:val="16"/>
              </w:rPr>
            </w:pPr>
            <w:r>
              <w:rPr>
                <w:sz w:val="16"/>
              </w:rPr>
              <w:t>62.0%</w:t>
            </w:r>
          </w:p>
        </w:tc>
      </w:tr>
      <w:tr w:rsidR="00BC7438" w:rsidTr="00833D33">
        <w:trPr>
          <w:trHeight w:hRule="exact" w:val="324"/>
        </w:trPr>
        <w:tc>
          <w:tcPr>
            <w:tcW w:w="6899" w:type="dxa"/>
            <w:tcBorders>
              <w:bottom w:val="single" w:sz="18" w:space="0" w:color="000000"/>
            </w:tcBorders>
          </w:tcPr>
          <w:p w:rsidR="00BC7438" w:rsidRDefault="00CF2AB6">
            <w:pPr>
              <w:pStyle w:val="TableParagraph"/>
              <w:ind w:right="73"/>
              <w:jc w:val="right"/>
              <w:rPr>
                <w:sz w:val="16"/>
              </w:rPr>
            </w:pPr>
            <w:r>
              <w:rPr>
                <w:sz w:val="16"/>
              </w:rPr>
              <w:t>Yes</w:t>
            </w:r>
          </w:p>
        </w:tc>
        <w:tc>
          <w:tcPr>
            <w:tcW w:w="6899" w:type="dxa"/>
            <w:tcBorders>
              <w:bottom w:val="single" w:sz="18" w:space="0" w:color="000000"/>
            </w:tcBorders>
          </w:tcPr>
          <w:p w:rsidR="00BC7438" w:rsidRDefault="00CF2AB6">
            <w:pPr>
              <w:pStyle w:val="TableParagraph"/>
              <w:ind w:left="134"/>
              <w:jc w:val="left"/>
              <w:rPr>
                <w:sz w:val="16"/>
              </w:rPr>
            </w:pPr>
            <w:r>
              <w:rPr>
                <w:sz w:val="16"/>
              </w:rPr>
              <w:t>38.0%</w:t>
            </w:r>
          </w:p>
        </w:tc>
      </w:tr>
      <w:tr w:rsidR="00BC7438" w:rsidTr="00833D33">
        <w:trPr>
          <w:trHeight w:hRule="exact" w:val="304"/>
        </w:trPr>
        <w:tc>
          <w:tcPr>
            <w:tcW w:w="13798" w:type="dxa"/>
            <w:gridSpan w:val="2"/>
            <w:tcBorders>
              <w:top w:val="single" w:sz="18" w:space="0" w:color="000000"/>
            </w:tcBorders>
            <w:shd w:val="clear" w:color="auto" w:fill="C0C0C0"/>
          </w:tcPr>
          <w:p w:rsidR="00BC7438" w:rsidRDefault="00CF2AB6">
            <w:pPr>
              <w:pStyle w:val="TableParagraph"/>
              <w:ind w:left="75"/>
              <w:jc w:val="left"/>
              <w:rPr>
                <w:b/>
                <w:sz w:val="16"/>
              </w:rPr>
            </w:pPr>
            <w:r>
              <w:rPr>
                <w:b/>
                <w:sz w:val="16"/>
              </w:rPr>
              <w:t>At Risk of Homelessness</w:t>
            </w:r>
          </w:p>
        </w:tc>
      </w:tr>
      <w:tr w:rsidR="00BC7438">
        <w:trPr>
          <w:trHeight w:hRule="exact" w:val="304"/>
        </w:trPr>
        <w:tc>
          <w:tcPr>
            <w:tcW w:w="6899" w:type="dxa"/>
          </w:tcPr>
          <w:p w:rsidR="00BC7438" w:rsidRDefault="00CF2AB6">
            <w:pPr>
              <w:pStyle w:val="TableParagraph"/>
              <w:ind w:right="74"/>
              <w:jc w:val="right"/>
              <w:rPr>
                <w:sz w:val="16"/>
              </w:rPr>
            </w:pPr>
            <w:r>
              <w:rPr>
                <w:sz w:val="16"/>
              </w:rPr>
              <w:t>Homeless</w:t>
            </w:r>
          </w:p>
        </w:tc>
        <w:tc>
          <w:tcPr>
            <w:tcW w:w="6899" w:type="dxa"/>
          </w:tcPr>
          <w:p w:rsidR="00BC7438" w:rsidRDefault="00CF2AB6">
            <w:pPr>
              <w:pStyle w:val="TableParagraph"/>
              <w:ind w:left="134"/>
              <w:jc w:val="left"/>
              <w:rPr>
                <w:sz w:val="16"/>
              </w:rPr>
            </w:pPr>
            <w:r>
              <w:rPr>
                <w:sz w:val="16"/>
              </w:rPr>
              <w:t>46.0%</w:t>
            </w:r>
          </w:p>
        </w:tc>
      </w:tr>
      <w:tr w:rsidR="00BC7438">
        <w:trPr>
          <w:trHeight w:hRule="exact" w:val="324"/>
        </w:trPr>
        <w:tc>
          <w:tcPr>
            <w:tcW w:w="6899" w:type="dxa"/>
            <w:tcBorders>
              <w:bottom w:val="single" w:sz="16" w:space="0" w:color="000000"/>
            </w:tcBorders>
          </w:tcPr>
          <w:p w:rsidR="00BC7438" w:rsidRDefault="00CF2AB6">
            <w:pPr>
              <w:pStyle w:val="TableParagraph"/>
              <w:ind w:right="74"/>
              <w:jc w:val="right"/>
              <w:rPr>
                <w:sz w:val="16"/>
              </w:rPr>
            </w:pPr>
            <w:r>
              <w:rPr>
                <w:sz w:val="16"/>
              </w:rPr>
              <w:t>Not Homeless</w:t>
            </w:r>
          </w:p>
        </w:tc>
        <w:tc>
          <w:tcPr>
            <w:tcW w:w="6899" w:type="dxa"/>
            <w:tcBorders>
              <w:bottom w:val="single" w:sz="16" w:space="0" w:color="000000"/>
            </w:tcBorders>
          </w:tcPr>
          <w:p w:rsidR="00BC7438" w:rsidRDefault="00CF2AB6">
            <w:pPr>
              <w:pStyle w:val="TableParagraph"/>
              <w:ind w:left="134"/>
              <w:jc w:val="left"/>
              <w:rPr>
                <w:sz w:val="16"/>
              </w:rPr>
            </w:pPr>
            <w:r>
              <w:rPr>
                <w:sz w:val="16"/>
              </w:rPr>
              <w:t>54.0%</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Marital Status</w:t>
            </w:r>
          </w:p>
        </w:tc>
      </w:tr>
      <w:tr w:rsidR="00BC7438">
        <w:trPr>
          <w:trHeight w:hRule="exact" w:val="304"/>
        </w:trPr>
        <w:tc>
          <w:tcPr>
            <w:tcW w:w="6899" w:type="dxa"/>
          </w:tcPr>
          <w:p w:rsidR="00BC7438" w:rsidRDefault="00CF2AB6">
            <w:pPr>
              <w:pStyle w:val="TableParagraph"/>
              <w:ind w:right="72"/>
              <w:jc w:val="right"/>
              <w:rPr>
                <w:sz w:val="16"/>
              </w:rPr>
            </w:pPr>
            <w:r>
              <w:rPr>
                <w:sz w:val="16"/>
              </w:rPr>
              <w:t>Married</w:t>
            </w:r>
          </w:p>
        </w:tc>
        <w:tc>
          <w:tcPr>
            <w:tcW w:w="6899" w:type="dxa"/>
          </w:tcPr>
          <w:p w:rsidR="00BC7438" w:rsidRDefault="00CF2AB6">
            <w:pPr>
              <w:pStyle w:val="TableParagraph"/>
              <w:ind w:left="134"/>
              <w:jc w:val="left"/>
              <w:rPr>
                <w:sz w:val="16"/>
              </w:rPr>
            </w:pPr>
            <w:r>
              <w:rPr>
                <w:sz w:val="16"/>
              </w:rPr>
              <w:t>8.2%</w:t>
            </w:r>
          </w:p>
        </w:tc>
      </w:tr>
      <w:tr w:rsidR="00BC7438">
        <w:trPr>
          <w:trHeight w:hRule="exact" w:val="304"/>
        </w:trPr>
        <w:tc>
          <w:tcPr>
            <w:tcW w:w="6899" w:type="dxa"/>
          </w:tcPr>
          <w:p w:rsidR="00BC7438" w:rsidRDefault="00CF2AB6">
            <w:pPr>
              <w:pStyle w:val="TableParagraph"/>
              <w:ind w:right="73"/>
              <w:jc w:val="right"/>
              <w:rPr>
                <w:sz w:val="16"/>
              </w:rPr>
            </w:pPr>
            <w:r>
              <w:rPr>
                <w:sz w:val="16"/>
              </w:rPr>
              <w:t>Divorced</w:t>
            </w:r>
          </w:p>
        </w:tc>
        <w:tc>
          <w:tcPr>
            <w:tcW w:w="6899" w:type="dxa"/>
          </w:tcPr>
          <w:p w:rsidR="00BC7438" w:rsidRDefault="00CF2AB6">
            <w:pPr>
              <w:pStyle w:val="TableParagraph"/>
              <w:ind w:left="134"/>
              <w:jc w:val="left"/>
              <w:rPr>
                <w:sz w:val="16"/>
              </w:rPr>
            </w:pPr>
            <w:r>
              <w:rPr>
                <w:sz w:val="16"/>
              </w:rPr>
              <w:t>9.3%</w:t>
            </w:r>
          </w:p>
        </w:tc>
      </w:tr>
      <w:tr w:rsidR="00BC7438">
        <w:trPr>
          <w:trHeight w:hRule="exact" w:val="304"/>
        </w:trPr>
        <w:tc>
          <w:tcPr>
            <w:tcW w:w="6899" w:type="dxa"/>
          </w:tcPr>
          <w:p w:rsidR="00BC7438" w:rsidRDefault="00CF2AB6">
            <w:pPr>
              <w:pStyle w:val="TableParagraph"/>
              <w:ind w:right="73"/>
              <w:jc w:val="right"/>
              <w:rPr>
                <w:sz w:val="16"/>
              </w:rPr>
            </w:pPr>
            <w:r>
              <w:rPr>
                <w:sz w:val="16"/>
              </w:rPr>
              <w:t>Separated</w:t>
            </w:r>
          </w:p>
        </w:tc>
        <w:tc>
          <w:tcPr>
            <w:tcW w:w="6899" w:type="dxa"/>
          </w:tcPr>
          <w:p w:rsidR="00BC7438" w:rsidRDefault="00CF2AB6">
            <w:pPr>
              <w:pStyle w:val="TableParagraph"/>
              <w:ind w:left="134"/>
              <w:jc w:val="left"/>
              <w:rPr>
                <w:sz w:val="16"/>
              </w:rPr>
            </w:pPr>
            <w:r>
              <w:rPr>
                <w:sz w:val="16"/>
              </w:rPr>
              <w:t>4.8%</w:t>
            </w:r>
          </w:p>
        </w:tc>
      </w:tr>
      <w:tr w:rsidR="00BC7438">
        <w:trPr>
          <w:trHeight w:hRule="exact" w:val="304"/>
        </w:trPr>
        <w:tc>
          <w:tcPr>
            <w:tcW w:w="6899" w:type="dxa"/>
          </w:tcPr>
          <w:p w:rsidR="00BC7438" w:rsidRDefault="00CF2AB6">
            <w:pPr>
              <w:pStyle w:val="TableParagraph"/>
              <w:ind w:right="73"/>
              <w:jc w:val="right"/>
              <w:rPr>
                <w:sz w:val="16"/>
              </w:rPr>
            </w:pPr>
            <w:r>
              <w:rPr>
                <w:sz w:val="16"/>
              </w:rPr>
              <w:t>Never Married</w:t>
            </w:r>
          </w:p>
        </w:tc>
        <w:tc>
          <w:tcPr>
            <w:tcW w:w="6899" w:type="dxa"/>
          </w:tcPr>
          <w:p w:rsidR="00BC7438" w:rsidRDefault="00CF2AB6">
            <w:pPr>
              <w:pStyle w:val="TableParagraph"/>
              <w:ind w:left="134"/>
              <w:jc w:val="left"/>
              <w:rPr>
                <w:sz w:val="16"/>
              </w:rPr>
            </w:pPr>
            <w:r>
              <w:rPr>
                <w:sz w:val="16"/>
              </w:rPr>
              <w:t>74.2%</w:t>
            </w:r>
          </w:p>
        </w:tc>
      </w:tr>
      <w:tr w:rsidR="00BC7438">
        <w:trPr>
          <w:trHeight w:hRule="exact" w:val="304"/>
        </w:trPr>
        <w:tc>
          <w:tcPr>
            <w:tcW w:w="6899" w:type="dxa"/>
          </w:tcPr>
          <w:p w:rsidR="00BC7438" w:rsidRDefault="00CF2AB6">
            <w:pPr>
              <w:pStyle w:val="TableParagraph"/>
              <w:ind w:right="74"/>
              <w:jc w:val="right"/>
              <w:rPr>
                <w:sz w:val="16"/>
              </w:rPr>
            </w:pPr>
            <w:r>
              <w:rPr>
                <w:sz w:val="16"/>
              </w:rPr>
              <w:t>Partnership</w:t>
            </w:r>
          </w:p>
        </w:tc>
        <w:tc>
          <w:tcPr>
            <w:tcW w:w="6899" w:type="dxa"/>
          </w:tcPr>
          <w:p w:rsidR="00BC7438" w:rsidRDefault="00CF2AB6">
            <w:pPr>
              <w:pStyle w:val="TableParagraph"/>
              <w:ind w:left="134"/>
              <w:jc w:val="left"/>
              <w:rPr>
                <w:sz w:val="16"/>
              </w:rPr>
            </w:pPr>
            <w:r>
              <w:rPr>
                <w:sz w:val="16"/>
              </w:rPr>
              <w:t>1.9%</w:t>
            </w:r>
          </w:p>
        </w:tc>
      </w:tr>
      <w:tr w:rsidR="00BC7438" w:rsidTr="00833D33">
        <w:trPr>
          <w:trHeight w:hRule="exact" w:val="324"/>
        </w:trPr>
        <w:tc>
          <w:tcPr>
            <w:tcW w:w="6899" w:type="dxa"/>
            <w:tcBorders>
              <w:bottom w:val="single" w:sz="18" w:space="0" w:color="000000"/>
            </w:tcBorders>
          </w:tcPr>
          <w:p w:rsidR="00BC7438" w:rsidRDefault="00CF2AB6">
            <w:pPr>
              <w:pStyle w:val="TableParagraph"/>
              <w:ind w:right="73"/>
              <w:jc w:val="right"/>
              <w:rPr>
                <w:sz w:val="16"/>
              </w:rPr>
            </w:pPr>
            <w:r>
              <w:rPr>
                <w:sz w:val="16"/>
              </w:rPr>
              <w:t>Widowed</w:t>
            </w:r>
          </w:p>
        </w:tc>
        <w:tc>
          <w:tcPr>
            <w:tcW w:w="6899" w:type="dxa"/>
            <w:tcBorders>
              <w:bottom w:val="single" w:sz="18" w:space="0" w:color="000000"/>
            </w:tcBorders>
          </w:tcPr>
          <w:p w:rsidR="00BC7438" w:rsidRDefault="00CF2AB6">
            <w:pPr>
              <w:pStyle w:val="TableParagraph"/>
              <w:ind w:left="134"/>
              <w:jc w:val="left"/>
              <w:rPr>
                <w:sz w:val="16"/>
              </w:rPr>
            </w:pPr>
            <w:r>
              <w:rPr>
                <w:sz w:val="16"/>
              </w:rPr>
              <w:t>1.7%</w:t>
            </w:r>
          </w:p>
        </w:tc>
      </w:tr>
      <w:tr w:rsidR="00BC7438" w:rsidTr="00833D33">
        <w:trPr>
          <w:trHeight w:hRule="exact" w:val="304"/>
        </w:trPr>
        <w:tc>
          <w:tcPr>
            <w:tcW w:w="13798" w:type="dxa"/>
            <w:gridSpan w:val="2"/>
            <w:tcBorders>
              <w:top w:val="single" w:sz="18" w:space="0" w:color="000000"/>
            </w:tcBorders>
            <w:shd w:val="clear" w:color="auto" w:fill="C0C0C0"/>
          </w:tcPr>
          <w:p w:rsidR="00BC7438" w:rsidRDefault="00CF2AB6">
            <w:pPr>
              <w:pStyle w:val="TableParagraph"/>
              <w:ind w:left="75"/>
              <w:jc w:val="left"/>
              <w:rPr>
                <w:b/>
                <w:sz w:val="16"/>
              </w:rPr>
            </w:pPr>
            <w:r>
              <w:rPr>
                <w:b/>
                <w:sz w:val="16"/>
              </w:rPr>
              <w:t>Client's Region of Residence</w:t>
            </w:r>
          </w:p>
        </w:tc>
      </w:tr>
      <w:tr w:rsidR="00BC7438">
        <w:trPr>
          <w:trHeight w:hRule="exact" w:val="304"/>
        </w:trPr>
        <w:tc>
          <w:tcPr>
            <w:tcW w:w="6899" w:type="dxa"/>
          </w:tcPr>
          <w:p w:rsidR="00BC7438" w:rsidRDefault="00CF2AB6">
            <w:pPr>
              <w:pStyle w:val="TableParagraph"/>
              <w:ind w:right="73"/>
              <w:jc w:val="right"/>
              <w:rPr>
                <w:sz w:val="16"/>
              </w:rPr>
            </w:pPr>
            <w:r>
              <w:rPr>
                <w:sz w:val="16"/>
              </w:rPr>
              <w:t>Central</w:t>
            </w:r>
          </w:p>
        </w:tc>
        <w:tc>
          <w:tcPr>
            <w:tcW w:w="6899" w:type="dxa"/>
          </w:tcPr>
          <w:p w:rsidR="00BC7438" w:rsidRDefault="00CF2AB6">
            <w:pPr>
              <w:pStyle w:val="TableParagraph"/>
              <w:ind w:left="134"/>
              <w:jc w:val="left"/>
              <w:rPr>
                <w:sz w:val="16"/>
              </w:rPr>
            </w:pPr>
            <w:r>
              <w:rPr>
                <w:sz w:val="16"/>
              </w:rPr>
              <w:t>7.4%</w:t>
            </w:r>
          </w:p>
        </w:tc>
      </w:tr>
      <w:tr w:rsidR="00BC7438">
        <w:trPr>
          <w:trHeight w:hRule="exact" w:val="304"/>
        </w:trPr>
        <w:tc>
          <w:tcPr>
            <w:tcW w:w="6899" w:type="dxa"/>
          </w:tcPr>
          <w:p w:rsidR="00BC7438" w:rsidRDefault="00CF2AB6">
            <w:pPr>
              <w:pStyle w:val="TableParagraph"/>
              <w:ind w:right="74"/>
              <w:jc w:val="right"/>
              <w:rPr>
                <w:sz w:val="16"/>
              </w:rPr>
            </w:pPr>
            <w:r>
              <w:rPr>
                <w:sz w:val="16"/>
              </w:rPr>
              <w:t>Greater Boston</w:t>
            </w:r>
          </w:p>
        </w:tc>
        <w:tc>
          <w:tcPr>
            <w:tcW w:w="6899" w:type="dxa"/>
          </w:tcPr>
          <w:p w:rsidR="00BC7438" w:rsidRDefault="00CF2AB6">
            <w:pPr>
              <w:pStyle w:val="TableParagraph"/>
              <w:ind w:left="134"/>
              <w:jc w:val="left"/>
              <w:rPr>
                <w:sz w:val="16"/>
              </w:rPr>
            </w:pPr>
            <w:r>
              <w:rPr>
                <w:sz w:val="16"/>
              </w:rPr>
              <w:t>43.0%</w:t>
            </w:r>
          </w:p>
        </w:tc>
      </w:tr>
      <w:tr w:rsidR="00BC7438">
        <w:trPr>
          <w:trHeight w:hRule="exact" w:val="304"/>
        </w:trPr>
        <w:tc>
          <w:tcPr>
            <w:tcW w:w="6899" w:type="dxa"/>
          </w:tcPr>
          <w:p w:rsidR="00BC7438" w:rsidRDefault="00CF2AB6">
            <w:pPr>
              <w:pStyle w:val="TableParagraph"/>
              <w:ind w:right="72"/>
              <w:jc w:val="right"/>
              <w:rPr>
                <w:sz w:val="16"/>
              </w:rPr>
            </w:pPr>
            <w:r>
              <w:rPr>
                <w:sz w:val="16"/>
              </w:rPr>
              <w:t>Metro West</w:t>
            </w:r>
          </w:p>
        </w:tc>
        <w:tc>
          <w:tcPr>
            <w:tcW w:w="6899" w:type="dxa"/>
          </w:tcPr>
          <w:p w:rsidR="00BC7438" w:rsidRDefault="00CF2AB6">
            <w:pPr>
              <w:pStyle w:val="TableParagraph"/>
              <w:ind w:left="134"/>
              <w:jc w:val="left"/>
              <w:rPr>
                <w:sz w:val="16"/>
              </w:rPr>
            </w:pPr>
            <w:r>
              <w:rPr>
                <w:sz w:val="16"/>
              </w:rPr>
              <w:t>7.7%</w:t>
            </w:r>
          </w:p>
        </w:tc>
      </w:tr>
      <w:tr w:rsidR="00BC7438">
        <w:trPr>
          <w:trHeight w:hRule="exact" w:val="304"/>
        </w:trPr>
        <w:tc>
          <w:tcPr>
            <w:tcW w:w="6899" w:type="dxa"/>
          </w:tcPr>
          <w:p w:rsidR="00BC7438" w:rsidRDefault="00CF2AB6">
            <w:pPr>
              <w:pStyle w:val="TableParagraph"/>
              <w:ind w:right="74"/>
              <w:jc w:val="right"/>
              <w:rPr>
                <w:sz w:val="16"/>
              </w:rPr>
            </w:pPr>
            <w:r>
              <w:rPr>
                <w:sz w:val="16"/>
              </w:rPr>
              <w:t>Northeast</w:t>
            </w:r>
          </w:p>
        </w:tc>
        <w:tc>
          <w:tcPr>
            <w:tcW w:w="6899" w:type="dxa"/>
          </w:tcPr>
          <w:p w:rsidR="00BC7438" w:rsidRDefault="00CF2AB6">
            <w:pPr>
              <w:pStyle w:val="TableParagraph"/>
              <w:ind w:left="134"/>
              <w:jc w:val="left"/>
              <w:rPr>
                <w:sz w:val="16"/>
              </w:rPr>
            </w:pPr>
            <w:r>
              <w:rPr>
                <w:sz w:val="16"/>
              </w:rPr>
              <w:t>8.2%</w:t>
            </w:r>
          </w:p>
        </w:tc>
      </w:tr>
      <w:tr w:rsidR="00BC7438">
        <w:trPr>
          <w:trHeight w:hRule="exact" w:val="304"/>
        </w:trPr>
        <w:tc>
          <w:tcPr>
            <w:tcW w:w="6899" w:type="dxa"/>
          </w:tcPr>
          <w:p w:rsidR="00BC7438" w:rsidRDefault="00CF2AB6">
            <w:pPr>
              <w:pStyle w:val="TableParagraph"/>
              <w:ind w:right="74"/>
              <w:jc w:val="right"/>
              <w:rPr>
                <w:sz w:val="16"/>
              </w:rPr>
            </w:pPr>
            <w:r>
              <w:rPr>
                <w:sz w:val="16"/>
              </w:rPr>
              <w:t>Southeast</w:t>
            </w:r>
          </w:p>
        </w:tc>
        <w:tc>
          <w:tcPr>
            <w:tcW w:w="6899" w:type="dxa"/>
          </w:tcPr>
          <w:p w:rsidR="00BC7438" w:rsidRDefault="00CF2AB6">
            <w:pPr>
              <w:pStyle w:val="TableParagraph"/>
              <w:ind w:left="134"/>
              <w:jc w:val="left"/>
              <w:rPr>
                <w:sz w:val="16"/>
              </w:rPr>
            </w:pPr>
            <w:r>
              <w:rPr>
                <w:sz w:val="16"/>
              </w:rPr>
              <w:t>18.0%</w:t>
            </w:r>
          </w:p>
        </w:tc>
      </w:tr>
      <w:tr w:rsidR="00BC7438">
        <w:trPr>
          <w:trHeight w:hRule="exact" w:val="304"/>
        </w:trPr>
        <w:tc>
          <w:tcPr>
            <w:tcW w:w="6899" w:type="dxa"/>
          </w:tcPr>
          <w:p w:rsidR="00BC7438" w:rsidRDefault="00CF2AB6">
            <w:pPr>
              <w:pStyle w:val="TableParagraph"/>
              <w:ind w:right="73"/>
              <w:jc w:val="right"/>
              <w:rPr>
                <w:sz w:val="16"/>
              </w:rPr>
            </w:pPr>
            <w:r>
              <w:rPr>
                <w:sz w:val="16"/>
              </w:rPr>
              <w:t>Western</w:t>
            </w:r>
          </w:p>
        </w:tc>
        <w:tc>
          <w:tcPr>
            <w:tcW w:w="6899" w:type="dxa"/>
          </w:tcPr>
          <w:p w:rsidR="00BC7438" w:rsidRDefault="00CF2AB6">
            <w:pPr>
              <w:pStyle w:val="TableParagraph"/>
              <w:ind w:left="134"/>
              <w:jc w:val="left"/>
              <w:rPr>
                <w:sz w:val="16"/>
              </w:rPr>
            </w:pPr>
            <w:r>
              <w:rPr>
                <w:sz w:val="16"/>
              </w:rPr>
              <w:t>15.0%</w:t>
            </w:r>
          </w:p>
        </w:tc>
      </w:tr>
    </w:tbl>
    <w:p w:rsidR="00BC7438" w:rsidRDefault="00743F8C">
      <w:pPr>
        <w:rPr>
          <w:sz w:val="2"/>
          <w:szCs w:val="2"/>
        </w:rPr>
      </w:pPr>
      <w:r>
        <w:pict>
          <v:group id="_x0000_s1042" style="position:absolute;margin-left:36pt;margin-top:36pt;width:698.4pt;height:91.5pt;z-index:-44560;mso-position-horizontal-relative:page;mso-position-vertical-relative:page" coordorigin="720,720" coordsize="13968,1830">
            <v:rect id="_x0000_s1044" style="position:absolute;left:788;top:787;width:13833;height:1695" filled="f" strokecolor="navy" strokeweight="2.25pt"/>
            <v:rect id="_x0000_s1043" style="position:absolute;left:743;top:742;width:13923;height:1785" filled="f" strokecolor="green" strokeweight="2.25pt"/>
            <w10:wrap anchorx="page" anchory="page"/>
          </v:group>
        </w:pict>
      </w:r>
    </w:p>
    <w:p w:rsidR="00BC7438" w:rsidRDefault="00BC7438">
      <w:pPr>
        <w:rPr>
          <w:sz w:val="2"/>
          <w:szCs w:val="2"/>
        </w:rPr>
        <w:sectPr w:rsidR="00BC7438">
          <w:headerReference w:type="default" r:id="rId8"/>
          <w:footerReference w:type="default" r:id="rId9"/>
          <w:type w:val="continuous"/>
          <w:pgSz w:w="15410" w:h="20160"/>
          <w:pgMar w:top="0" w:right="600" w:bottom="860" w:left="620" w:header="0" w:footer="661" w:gutter="0"/>
          <w:pgNumType w:start="1"/>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99"/>
        <w:gridCol w:w="6899"/>
      </w:tblGrid>
      <w:tr w:rsidR="00BC7438">
        <w:trPr>
          <w:trHeight w:hRule="exact" w:val="5441"/>
        </w:trPr>
        <w:tc>
          <w:tcPr>
            <w:tcW w:w="13798" w:type="dxa"/>
            <w:gridSpan w:val="2"/>
            <w:tcBorders>
              <w:top w:val="nil"/>
              <w:left w:val="nil"/>
              <w:right w:val="nil"/>
            </w:tcBorders>
          </w:tcPr>
          <w:p w:rsidR="00BC7438" w:rsidRDefault="00BC7438">
            <w:pPr>
              <w:pStyle w:val="TableParagraph"/>
              <w:spacing w:before="0"/>
              <w:jc w:val="left"/>
              <w:rPr>
                <w:rFonts w:ascii="Times New Roman"/>
                <w:sz w:val="28"/>
              </w:rPr>
            </w:pPr>
          </w:p>
          <w:p w:rsidR="00BC7438" w:rsidRDefault="00BC7438">
            <w:pPr>
              <w:pStyle w:val="TableParagraph"/>
              <w:spacing w:before="0"/>
              <w:jc w:val="left"/>
              <w:rPr>
                <w:rFonts w:ascii="Times New Roman"/>
                <w:sz w:val="28"/>
              </w:rPr>
            </w:pPr>
          </w:p>
          <w:p w:rsidR="00BC7438" w:rsidRDefault="00BC7438">
            <w:pPr>
              <w:pStyle w:val="TableParagraph"/>
              <w:spacing w:before="0"/>
              <w:jc w:val="left"/>
              <w:rPr>
                <w:rFonts w:ascii="Times New Roman"/>
                <w:sz w:val="28"/>
              </w:rPr>
            </w:pPr>
          </w:p>
          <w:p w:rsidR="00BC7438" w:rsidRDefault="00CF2AB6">
            <w:pPr>
              <w:pStyle w:val="TableParagraph"/>
              <w:spacing w:before="234"/>
              <w:ind w:left="3992" w:right="3992"/>
              <w:rPr>
                <w:b/>
                <w:sz w:val="24"/>
              </w:rPr>
            </w:pPr>
            <w:r>
              <w:rPr>
                <w:b/>
                <w:sz w:val="24"/>
              </w:rPr>
              <w:t>Description of Admissions</w:t>
            </w:r>
          </w:p>
          <w:p w:rsidR="00BC7438" w:rsidRDefault="00CF2AB6">
            <w:pPr>
              <w:pStyle w:val="TableParagraph"/>
              <w:spacing w:before="0"/>
              <w:ind w:left="3995" w:right="3992"/>
              <w:rPr>
                <w:b/>
                <w:sz w:val="24"/>
              </w:rPr>
            </w:pPr>
            <w:r>
              <w:rPr>
                <w:b/>
                <w:sz w:val="24"/>
              </w:rPr>
              <w:t>Fact Sheet - Black, African American Admissions FY 2017</w:t>
            </w:r>
          </w:p>
          <w:p w:rsidR="00BC7438" w:rsidRDefault="00BC7438">
            <w:pPr>
              <w:pStyle w:val="TableParagraph"/>
              <w:spacing w:before="0"/>
              <w:jc w:val="left"/>
              <w:rPr>
                <w:rFonts w:ascii="Times New Roman"/>
                <w:sz w:val="28"/>
              </w:rPr>
            </w:pPr>
          </w:p>
          <w:p w:rsidR="00BC7438" w:rsidRDefault="00BC7438">
            <w:pPr>
              <w:pStyle w:val="TableParagraph"/>
              <w:spacing w:before="0"/>
              <w:jc w:val="left"/>
              <w:rPr>
                <w:rFonts w:ascii="Times New Roman"/>
                <w:sz w:val="28"/>
              </w:rPr>
            </w:pPr>
          </w:p>
          <w:p w:rsidR="00BC7438" w:rsidRDefault="00CF2AB6">
            <w:pPr>
              <w:pStyle w:val="TableParagraph"/>
              <w:spacing w:before="181"/>
              <w:ind w:left="-10" w:right="871"/>
              <w:jc w:val="left"/>
              <w:rPr>
                <w:sz w:val="20"/>
              </w:rPr>
            </w:pPr>
            <w:r>
              <w:rPr>
                <w:sz w:val="20"/>
              </w:rPr>
              <w:t>This annual report provides information on Black, African American admissions to BSAS funded and/or licensed services. In FY 2017, there were 8,105 admissions where the client reported being Black, African American at the time of admission. Starting in FY 2017, this fact sheet includes all age groups (including &lt;18 years of age). To ensure proper interpretation of this data, please read the footnotes and refer to the appendix at the end of this report.</w:t>
            </w:r>
          </w:p>
          <w:p w:rsidR="00BC7438" w:rsidRDefault="00CF2AB6">
            <w:pPr>
              <w:pStyle w:val="TableParagraph"/>
              <w:spacing w:before="150"/>
              <w:ind w:left="3992" w:right="3992"/>
              <w:rPr>
                <w:b/>
                <w:sz w:val="20"/>
              </w:rPr>
            </w:pPr>
            <w:r>
              <w:rPr>
                <w:b/>
                <w:sz w:val="20"/>
              </w:rPr>
              <w:t>Characteristics of Admissions</w:t>
            </w:r>
          </w:p>
          <w:p w:rsidR="00BC7438" w:rsidRDefault="00CF2AB6">
            <w:pPr>
              <w:pStyle w:val="TableParagraph"/>
              <w:numPr>
                <w:ilvl w:val="0"/>
                <w:numId w:val="3"/>
              </w:numPr>
              <w:tabs>
                <w:tab w:val="left" w:pos="126"/>
              </w:tabs>
              <w:spacing w:before="150"/>
              <w:ind w:hanging="135"/>
              <w:jc w:val="left"/>
              <w:rPr>
                <w:sz w:val="20"/>
              </w:rPr>
            </w:pPr>
            <w:r>
              <w:rPr>
                <w:sz w:val="20"/>
              </w:rPr>
              <w:t>The average age at admission for Black, African American admissions was 40.6</w:t>
            </w:r>
            <w:r>
              <w:rPr>
                <w:spacing w:val="-12"/>
                <w:sz w:val="20"/>
              </w:rPr>
              <w:t xml:space="preserve"> </w:t>
            </w:r>
            <w:r>
              <w:rPr>
                <w:sz w:val="20"/>
              </w:rPr>
              <w:t>years.</w:t>
            </w:r>
          </w:p>
          <w:p w:rsidR="00BC7438" w:rsidRDefault="00CF2AB6">
            <w:pPr>
              <w:pStyle w:val="TableParagraph"/>
              <w:numPr>
                <w:ilvl w:val="0"/>
                <w:numId w:val="3"/>
              </w:numPr>
              <w:tabs>
                <w:tab w:val="left" w:pos="126"/>
              </w:tabs>
              <w:spacing w:before="0"/>
              <w:ind w:left="126"/>
              <w:jc w:val="left"/>
              <w:rPr>
                <w:sz w:val="20"/>
              </w:rPr>
            </w:pPr>
            <w:r>
              <w:rPr>
                <w:sz w:val="20"/>
              </w:rPr>
              <w:t>20.7% had children under six years of age; 34.0% had children 6-18 years</w:t>
            </w:r>
            <w:r>
              <w:rPr>
                <w:spacing w:val="-18"/>
                <w:sz w:val="20"/>
              </w:rPr>
              <w:t xml:space="preserve"> </w:t>
            </w:r>
            <w:r>
              <w:rPr>
                <w:sz w:val="20"/>
              </w:rPr>
              <w:t>old.</w:t>
            </w:r>
          </w:p>
          <w:p w:rsidR="00BC7438" w:rsidRDefault="00CF2AB6">
            <w:pPr>
              <w:pStyle w:val="TableParagraph"/>
              <w:numPr>
                <w:ilvl w:val="0"/>
                <w:numId w:val="3"/>
              </w:numPr>
              <w:tabs>
                <w:tab w:val="left" w:pos="126"/>
              </w:tabs>
              <w:spacing w:before="0"/>
              <w:ind w:left="126"/>
              <w:jc w:val="left"/>
              <w:rPr>
                <w:sz w:val="20"/>
              </w:rPr>
            </w:pPr>
            <w:r>
              <w:rPr>
                <w:sz w:val="20"/>
              </w:rPr>
              <w:t>4.7% lived with children under six years of age; 7.8% lived with children 6-18 years</w:t>
            </w:r>
            <w:r>
              <w:rPr>
                <w:spacing w:val="-24"/>
                <w:sz w:val="20"/>
              </w:rPr>
              <w:t xml:space="preserve"> </w:t>
            </w:r>
            <w:r>
              <w:rPr>
                <w:sz w:val="20"/>
              </w:rPr>
              <w:t>old.</w:t>
            </w:r>
          </w:p>
        </w:tc>
      </w:tr>
      <w:tr w:rsidR="00BC7438">
        <w:trPr>
          <w:trHeight w:hRule="exact" w:val="224"/>
        </w:trPr>
        <w:tc>
          <w:tcPr>
            <w:tcW w:w="6899" w:type="dxa"/>
            <w:tcBorders>
              <w:bottom w:val="single" w:sz="16" w:space="0" w:color="000000"/>
            </w:tcBorders>
          </w:tcPr>
          <w:p w:rsidR="00BC7438" w:rsidRDefault="00BC7438"/>
        </w:tc>
        <w:tc>
          <w:tcPr>
            <w:tcW w:w="6899" w:type="dxa"/>
            <w:tcBorders>
              <w:bottom w:val="single" w:sz="16" w:space="0" w:color="000000"/>
            </w:tcBorders>
          </w:tcPr>
          <w:p w:rsidR="00BC7438" w:rsidRDefault="00CF2AB6">
            <w:pPr>
              <w:pStyle w:val="TableParagraph"/>
              <w:spacing w:before="0"/>
              <w:jc w:val="left"/>
              <w:rPr>
                <w:b/>
                <w:sz w:val="16"/>
              </w:rPr>
            </w:pPr>
            <w:r>
              <w:rPr>
                <w:b/>
                <w:sz w:val="16"/>
              </w:rPr>
              <w:t>% of Enrollments</w:t>
            </w:r>
          </w:p>
        </w:tc>
      </w:tr>
      <w:tr w:rsidR="00BC7438">
        <w:trPr>
          <w:trHeight w:hRule="exact" w:val="314"/>
        </w:trPr>
        <w:tc>
          <w:tcPr>
            <w:tcW w:w="13798" w:type="dxa"/>
            <w:gridSpan w:val="2"/>
            <w:tcBorders>
              <w:top w:val="single" w:sz="16" w:space="0" w:color="000000"/>
            </w:tcBorders>
            <w:shd w:val="clear" w:color="auto" w:fill="C0C0C0"/>
          </w:tcPr>
          <w:p w:rsidR="00BC7438" w:rsidRDefault="00CF2AB6">
            <w:pPr>
              <w:pStyle w:val="TableParagraph"/>
              <w:ind w:left="75"/>
              <w:jc w:val="left"/>
              <w:rPr>
                <w:b/>
                <w:sz w:val="16"/>
              </w:rPr>
            </w:pPr>
            <w:r>
              <w:rPr>
                <w:b/>
                <w:sz w:val="16"/>
              </w:rPr>
              <w:t>Client's Region of Residence</w:t>
            </w:r>
          </w:p>
        </w:tc>
      </w:tr>
      <w:tr w:rsidR="00BC7438">
        <w:trPr>
          <w:trHeight w:hRule="exact" w:val="324"/>
        </w:trPr>
        <w:tc>
          <w:tcPr>
            <w:tcW w:w="6899" w:type="dxa"/>
            <w:tcBorders>
              <w:bottom w:val="single" w:sz="16" w:space="0" w:color="000000"/>
            </w:tcBorders>
          </w:tcPr>
          <w:p w:rsidR="00BC7438" w:rsidRDefault="00CF2AB6">
            <w:pPr>
              <w:pStyle w:val="TableParagraph"/>
              <w:ind w:right="73"/>
              <w:jc w:val="right"/>
              <w:rPr>
                <w:sz w:val="16"/>
              </w:rPr>
            </w:pPr>
            <w:r>
              <w:rPr>
                <w:sz w:val="16"/>
              </w:rPr>
              <w:t>Out of State</w:t>
            </w:r>
          </w:p>
        </w:tc>
        <w:tc>
          <w:tcPr>
            <w:tcW w:w="6899" w:type="dxa"/>
            <w:tcBorders>
              <w:bottom w:val="single" w:sz="16" w:space="0" w:color="000000"/>
            </w:tcBorders>
          </w:tcPr>
          <w:p w:rsidR="00BC7438" w:rsidRDefault="00CF2AB6">
            <w:pPr>
              <w:pStyle w:val="TableParagraph"/>
              <w:ind w:left="133"/>
              <w:jc w:val="left"/>
              <w:rPr>
                <w:sz w:val="16"/>
              </w:rPr>
            </w:pPr>
            <w:r>
              <w:rPr>
                <w:sz w:val="16"/>
              </w:rPr>
              <w:t>0.6%</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Past Year Needle Use</w:t>
            </w:r>
          </w:p>
        </w:tc>
      </w:tr>
      <w:tr w:rsidR="00BC7438">
        <w:trPr>
          <w:trHeight w:hRule="exact" w:val="304"/>
        </w:trPr>
        <w:tc>
          <w:tcPr>
            <w:tcW w:w="6899" w:type="dxa"/>
          </w:tcPr>
          <w:p w:rsidR="00BC7438" w:rsidRDefault="00CF2AB6">
            <w:pPr>
              <w:pStyle w:val="TableParagraph"/>
              <w:ind w:right="73"/>
              <w:jc w:val="right"/>
              <w:rPr>
                <w:sz w:val="16"/>
              </w:rPr>
            </w:pPr>
            <w:r>
              <w:rPr>
                <w:sz w:val="16"/>
              </w:rPr>
              <w:t>No</w:t>
            </w:r>
          </w:p>
        </w:tc>
        <w:tc>
          <w:tcPr>
            <w:tcW w:w="6899" w:type="dxa"/>
          </w:tcPr>
          <w:p w:rsidR="00BC7438" w:rsidRDefault="00CF2AB6">
            <w:pPr>
              <w:pStyle w:val="TableParagraph"/>
              <w:ind w:left="133"/>
              <w:jc w:val="left"/>
              <w:rPr>
                <w:sz w:val="16"/>
              </w:rPr>
            </w:pPr>
            <w:r>
              <w:rPr>
                <w:sz w:val="16"/>
              </w:rPr>
              <w:t>75.2%</w:t>
            </w:r>
          </w:p>
        </w:tc>
      </w:tr>
      <w:tr w:rsidR="00BC7438">
        <w:trPr>
          <w:trHeight w:hRule="exact" w:val="324"/>
        </w:trPr>
        <w:tc>
          <w:tcPr>
            <w:tcW w:w="6899" w:type="dxa"/>
            <w:tcBorders>
              <w:bottom w:val="single" w:sz="16" w:space="0" w:color="000000"/>
            </w:tcBorders>
          </w:tcPr>
          <w:p w:rsidR="00BC7438" w:rsidRDefault="00CF2AB6">
            <w:pPr>
              <w:pStyle w:val="TableParagraph"/>
              <w:ind w:right="73"/>
              <w:jc w:val="right"/>
              <w:rPr>
                <w:sz w:val="16"/>
              </w:rPr>
            </w:pPr>
            <w:r>
              <w:rPr>
                <w:sz w:val="16"/>
              </w:rPr>
              <w:t>Yes</w:t>
            </w:r>
          </w:p>
        </w:tc>
        <w:tc>
          <w:tcPr>
            <w:tcW w:w="6899" w:type="dxa"/>
            <w:tcBorders>
              <w:bottom w:val="single" w:sz="16" w:space="0" w:color="000000"/>
            </w:tcBorders>
          </w:tcPr>
          <w:p w:rsidR="00BC7438" w:rsidRDefault="00CF2AB6">
            <w:pPr>
              <w:pStyle w:val="TableParagraph"/>
              <w:ind w:left="133"/>
              <w:jc w:val="left"/>
              <w:rPr>
                <w:sz w:val="16"/>
              </w:rPr>
            </w:pPr>
            <w:r>
              <w:rPr>
                <w:sz w:val="16"/>
              </w:rPr>
              <w:t>24.8%</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Prior Mental Health Treatment</w:t>
            </w:r>
          </w:p>
        </w:tc>
      </w:tr>
      <w:tr w:rsidR="00BC7438">
        <w:trPr>
          <w:trHeight w:hRule="exact" w:val="304"/>
        </w:trPr>
        <w:tc>
          <w:tcPr>
            <w:tcW w:w="6899" w:type="dxa"/>
          </w:tcPr>
          <w:p w:rsidR="00BC7438" w:rsidRDefault="00CF2AB6">
            <w:pPr>
              <w:pStyle w:val="TableParagraph"/>
              <w:ind w:right="73"/>
              <w:jc w:val="right"/>
              <w:rPr>
                <w:sz w:val="16"/>
              </w:rPr>
            </w:pPr>
            <w:r>
              <w:rPr>
                <w:sz w:val="16"/>
              </w:rPr>
              <w:t>No</w:t>
            </w:r>
          </w:p>
        </w:tc>
        <w:tc>
          <w:tcPr>
            <w:tcW w:w="6899" w:type="dxa"/>
          </w:tcPr>
          <w:p w:rsidR="00BC7438" w:rsidRDefault="00CF2AB6">
            <w:pPr>
              <w:pStyle w:val="TableParagraph"/>
              <w:ind w:left="133"/>
              <w:jc w:val="left"/>
              <w:rPr>
                <w:sz w:val="16"/>
              </w:rPr>
            </w:pPr>
            <w:r>
              <w:rPr>
                <w:sz w:val="16"/>
              </w:rPr>
              <w:t>60.3%</w:t>
            </w:r>
          </w:p>
        </w:tc>
      </w:tr>
      <w:tr w:rsidR="00BC7438">
        <w:trPr>
          <w:trHeight w:hRule="exact" w:val="324"/>
        </w:trPr>
        <w:tc>
          <w:tcPr>
            <w:tcW w:w="6899" w:type="dxa"/>
            <w:tcBorders>
              <w:bottom w:val="single" w:sz="16" w:space="0" w:color="000000"/>
            </w:tcBorders>
          </w:tcPr>
          <w:p w:rsidR="00BC7438" w:rsidRDefault="00CF2AB6">
            <w:pPr>
              <w:pStyle w:val="TableParagraph"/>
              <w:ind w:right="73"/>
              <w:jc w:val="right"/>
              <w:rPr>
                <w:sz w:val="16"/>
              </w:rPr>
            </w:pPr>
            <w:r>
              <w:rPr>
                <w:sz w:val="16"/>
              </w:rPr>
              <w:t>Yes</w:t>
            </w:r>
          </w:p>
        </w:tc>
        <w:tc>
          <w:tcPr>
            <w:tcW w:w="6899" w:type="dxa"/>
            <w:tcBorders>
              <w:bottom w:val="single" w:sz="16" w:space="0" w:color="000000"/>
            </w:tcBorders>
          </w:tcPr>
          <w:p w:rsidR="00BC7438" w:rsidRDefault="00CF2AB6">
            <w:pPr>
              <w:pStyle w:val="TableParagraph"/>
              <w:ind w:left="133"/>
              <w:jc w:val="left"/>
              <w:rPr>
                <w:sz w:val="16"/>
              </w:rPr>
            </w:pPr>
            <w:r>
              <w:rPr>
                <w:sz w:val="16"/>
              </w:rPr>
              <w:t>39.7%</w:t>
            </w:r>
          </w:p>
        </w:tc>
      </w:tr>
      <w:tr w:rsidR="00BC7438">
        <w:trPr>
          <w:trHeight w:hRule="exact" w:val="304"/>
        </w:trPr>
        <w:tc>
          <w:tcPr>
            <w:tcW w:w="13798" w:type="dxa"/>
            <w:gridSpan w:val="2"/>
            <w:tcBorders>
              <w:top w:val="single" w:sz="16" w:space="0" w:color="000000"/>
            </w:tcBorders>
            <w:shd w:val="clear" w:color="auto" w:fill="C0C0C0"/>
          </w:tcPr>
          <w:p w:rsidR="00BC7438" w:rsidRDefault="00CF2AB6">
            <w:pPr>
              <w:pStyle w:val="TableParagraph"/>
              <w:spacing w:before="35"/>
              <w:ind w:left="75"/>
              <w:jc w:val="left"/>
              <w:rPr>
                <w:b/>
                <w:sz w:val="16"/>
              </w:rPr>
            </w:pPr>
            <w:r>
              <w:rPr>
                <w:b/>
                <w:sz w:val="16"/>
              </w:rPr>
              <w:t>Prior Mental Health Medication (in the past 12 months)</w:t>
            </w:r>
          </w:p>
        </w:tc>
      </w:tr>
      <w:tr w:rsidR="00BC7438">
        <w:trPr>
          <w:trHeight w:hRule="exact" w:val="304"/>
        </w:trPr>
        <w:tc>
          <w:tcPr>
            <w:tcW w:w="6899" w:type="dxa"/>
          </w:tcPr>
          <w:p w:rsidR="00BC7438" w:rsidRDefault="00CF2AB6">
            <w:pPr>
              <w:pStyle w:val="TableParagraph"/>
              <w:ind w:right="73"/>
              <w:jc w:val="right"/>
              <w:rPr>
                <w:sz w:val="16"/>
              </w:rPr>
            </w:pPr>
            <w:r>
              <w:rPr>
                <w:sz w:val="16"/>
              </w:rPr>
              <w:t>No</w:t>
            </w:r>
          </w:p>
        </w:tc>
        <w:tc>
          <w:tcPr>
            <w:tcW w:w="6899" w:type="dxa"/>
          </w:tcPr>
          <w:p w:rsidR="00BC7438" w:rsidRDefault="00CF2AB6">
            <w:pPr>
              <w:pStyle w:val="TableParagraph"/>
              <w:ind w:left="133"/>
              <w:jc w:val="left"/>
              <w:rPr>
                <w:sz w:val="16"/>
              </w:rPr>
            </w:pPr>
            <w:r>
              <w:rPr>
                <w:sz w:val="16"/>
              </w:rPr>
              <w:t>70.8%</w:t>
            </w:r>
          </w:p>
        </w:tc>
      </w:tr>
      <w:tr w:rsidR="00BC7438">
        <w:trPr>
          <w:trHeight w:hRule="exact" w:val="304"/>
        </w:trPr>
        <w:tc>
          <w:tcPr>
            <w:tcW w:w="6899" w:type="dxa"/>
          </w:tcPr>
          <w:p w:rsidR="00BC7438" w:rsidRDefault="00CF2AB6">
            <w:pPr>
              <w:pStyle w:val="TableParagraph"/>
              <w:ind w:right="73"/>
              <w:jc w:val="right"/>
              <w:rPr>
                <w:sz w:val="16"/>
              </w:rPr>
            </w:pPr>
            <w:r>
              <w:rPr>
                <w:sz w:val="16"/>
              </w:rPr>
              <w:t>Yes</w:t>
            </w:r>
          </w:p>
        </w:tc>
        <w:tc>
          <w:tcPr>
            <w:tcW w:w="6899" w:type="dxa"/>
          </w:tcPr>
          <w:p w:rsidR="00BC7438" w:rsidRDefault="00CF2AB6">
            <w:pPr>
              <w:pStyle w:val="TableParagraph"/>
              <w:ind w:left="133"/>
              <w:jc w:val="left"/>
              <w:rPr>
                <w:sz w:val="16"/>
              </w:rPr>
            </w:pPr>
            <w:r>
              <w:rPr>
                <w:sz w:val="16"/>
              </w:rPr>
              <w:t>29.2%</w:t>
            </w:r>
          </w:p>
        </w:tc>
      </w:tr>
    </w:tbl>
    <w:p w:rsidR="00BC7438" w:rsidRDefault="00743F8C">
      <w:pPr>
        <w:rPr>
          <w:sz w:val="2"/>
          <w:szCs w:val="2"/>
        </w:rPr>
      </w:pPr>
      <w:r>
        <w:pict>
          <v:group id="_x0000_s1039" style="position:absolute;margin-left:36pt;margin-top:36pt;width:698.4pt;height:91.5pt;z-index:-44536;mso-position-horizontal-relative:page;mso-position-vertical-relative:page" coordorigin="720,720" coordsize="13968,1830">
            <v:rect id="_x0000_s1041" style="position:absolute;left:788;top:787;width:13833;height:1695" filled="f" strokecolor="navy" strokeweight="2.25pt"/>
            <v:rect id="_x0000_s1040" style="position:absolute;left:743;top:742;width:13923;height:1785" filled="f" strokecolor="green" strokeweight="2.25pt"/>
            <w10:wrap anchorx="page" anchory="page"/>
          </v:group>
        </w:pict>
      </w:r>
    </w:p>
    <w:p w:rsidR="00BC7438" w:rsidRDefault="00BC7438">
      <w:pPr>
        <w:rPr>
          <w:sz w:val="2"/>
          <w:szCs w:val="2"/>
        </w:rPr>
        <w:sectPr w:rsidR="00BC7438">
          <w:pgSz w:w="15410" w:h="20160"/>
          <w:pgMar w:top="0" w:right="60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0"/>
        <w:gridCol w:w="1744"/>
        <w:gridCol w:w="1262"/>
        <w:gridCol w:w="822"/>
        <w:gridCol w:w="1466"/>
        <w:gridCol w:w="808"/>
        <w:gridCol w:w="871"/>
        <w:gridCol w:w="2615"/>
        <w:gridCol w:w="1508"/>
        <w:gridCol w:w="1742"/>
      </w:tblGrid>
      <w:tr w:rsidR="00BC7438" w:rsidTr="00833D33">
        <w:trPr>
          <w:trHeight w:hRule="exact" w:val="12150"/>
        </w:trPr>
        <w:tc>
          <w:tcPr>
            <w:tcW w:w="13798" w:type="dxa"/>
            <w:gridSpan w:val="10"/>
            <w:tcBorders>
              <w:top w:val="nil"/>
              <w:left w:val="nil"/>
              <w:right w:val="nil"/>
            </w:tcBorders>
          </w:tcPr>
          <w:p w:rsidR="00BC7438" w:rsidRDefault="00743F8C">
            <w:pPr>
              <w:pStyle w:val="TableParagraph"/>
              <w:spacing w:before="0"/>
              <w:jc w:val="left"/>
              <w:rPr>
                <w:rFonts w:ascii="Times New Roman"/>
                <w:sz w:val="18"/>
              </w:rPr>
            </w:pPr>
            <w:r>
              <w:lastRenderedPageBreak/>
              <w:pict>
                <v:shapetype id="_x0000_t202" coordsize="21600,21600" o:spt="202" path="m,l,21600r21600,l21600,xe">
                  <v:stroke joinstyle="miter"/>
                  <v:path gradientshapeok="t" o:connecttype="rect"/>
                </v:shapetype>
                <v:shape id="_x0000_s1035" type="#_x0000_t202" style="position:absolute;margin-left:3.25pt;margin-top:4.75pt;width:706.75pt;height:468.5pt;z-index:1096;mso-position-horizontal-relative:page;mso-position-vertical-relative:page" filled="f" stroked="f">
                  <v:textbox style="mso-next-textbox:#_x0000_s1035" inset="0,0,0,0">
                    <w:txbxContent>
                      <w:tbl>
                        <w:tblPr>
                          <w:tblW w:w="13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1"/>
                          <w:gridCol w:w="1782"/>
                          <w:gridCol w:w="1288"/>
                          <w:gridCol w:w="838"/>
                          <w:gridCol w:w="1500"/>
                          <w:gridCol w:w="827"/>
                          <w:gridCol w:w="892"/>
                          <w:gridCol w:w="2676"/>
                          <w:gridCol w:w="1542"/>
                          <w:gridCol w:w="1444"/>
                        </w:tblGrid>
                        <w:tr w:rsidR="00BC7438" w:rsidTr="00833D33">
                          <w:trPr>
                            <w:trHeight w:hRule="exact" w:val="4773"/>
                          </w:trPr>
                          <w:tc>
                            <w:tcPr>
                              <w:tcW w:w="13770" w:type="dxa"/>
                              <w:gridSpan w:val="10"/>
                              <w:tcBorders>
                                <w:top w:val="nil"/>
                                <w:left w:val="nil"/>
                                <w:bottom w:val="single" w:sz="2" w:space="0" w:color="000000"/>
                                <w:right w:val="nil"/>
                              </w:tcBorders>
                            </w:tcPr>
                            <w:p w:rsidR="00BC7438" w:rsidRDefault="00BC7438">
                              <w:pPr>
                                <w:pStyle w:val="TableParagraph"/>
                                <w:spacing w:before="0"/>
                                <w:jc w:val="left"/>
                                <w:rPr>
                                  <w:i/>
                                  <w:sz w:val="28"/>
                                </w:rPr>
                              </w:pPr>
                            </w:p>
                            <w:p w:rsidR="00BC7438" w:rsidRDefault="00BC7438">
                              <w:pPr>
                                <w:pStyle w:val="TableParagraph"/>
                                <w:spacing w:before="0"/>
                                <w:jc w:val="left"/>
                                <w:rPr>
                                  <w:i/>
                                  <w:sz w:val="28"/>
                                </w:rPr>
                              </w:pPr>
                            </w:p>
                            <w:p w:rsidR="00BC7438" w:rsidRDefault="00BC7438">
                              <w:pPr>
                                <w:pStyle w:val="TableParagraph"/>
                                <w:spacing w:before="0"/>
                                <w:jc w:val="left"/>
                                <w:rPr>
                                  <w:i/>
                                  <w:sz w:val="28"/>
                                </w:rPr>
                              </w:pPr>
                            </w:p>
                            <w:p w:rsidR="00BC7438" w:rsidRDefault="00CF2AB6">
                              <w:pPr>
                                <w:pStyle w:val="TableParagraph"/>
                                <w:spacing w:before="186"/>
                                <w:ind w:left="3992" w:right="3992"/>
                                <w:rPr>
                                  <w:b/>
                                  <w:sz w:val="24"/>
                                </w:rPr>
                              </w:pPr>
                              <w:r>
                                <w:rPr>
                                  <w:b/>
                                  <w:sz w:val="24"/>
                                </w:rPr>
                                <w:t>Description of Admissions</w:t>
                              </w:r>
                            </w:p>
                            <w:p w:rsidR="00BC7438" w:rsidRDefault="00CF2AB6">
                              <w:pPr>
                                <w:pStyle w:val="TableParagraph"/>
                                <w:spacing w:before="0"/>
                                <w:ind w:left="3995" w:right="3992"/>
                                <w:rPr>
                                  <w:b/>
                                  <w:sz w:val="24"/>
                                </w:rPr>
                              </w:pPr>
                              <w:r>
                                <w:rPr>
                                  <w:b/>
                                  <w:sz w:val="24"/>
                                </w:rPr>
                                <w:t>Fact Sheet - Black, African American Admissions FY 2017</w:t>
                              </w:r>
                            </w:p>
                            <w:p w:rsidR="00BC7438" w:rsidRDefault="00BC7438">
                              <w:pPr>
                                <w:pStyle w:val="TableParagraph"/>
                                <w:spacing w:before="0"/>
                                <w:jc w:val="left"/>
                                <w:rPr>
                                  <w:i/>
                                  <w:sz w:val="28"/>
                                </w:rPr>
                              </w:pPr>
                            </w:p>
                            <w:p w:rsidR="00BC7438" w:rsidRDefault="00BC7438">
                              <w:pPr>
                                <w:pStyle w:val="TableParagraph"/>
                                <w:spacing w:before="0"/>
                                <w:jc w:val="left"/>
                                <w:rPr>
                                  <w:i/>
                                  <w:sz w:val="28"/>
                                </w:rPr>
                              </w:pPr>
                            </w:p>
                            <w:p w:rsidR="00BC7438" w:rsidRDefault="00BC7438">
                              <w:pPr>
                                <w:pStyle w:val="TableParagraph"/>
                                <w:spacing w:before="9"/>
                                <w:jc w:val="left"/>
                                <w:rPr>
                                  <w:i/>
                                  <w:sz w:val="24"/>
                                </w:rPr>
                              </w:pPr>
                            </w:p>
                            <w:p w:rsidR="00BC7438" w:rsidRDefault="00CF2AB6">
                              <w:pPr>
                                <w:pStyle w:val="TableParagraph"/>
                                <w:spacing w:before="0"/>
                                <w:ind w:left="3992" w:right="3992"/>
                                <w:rPr>
                                  <w:b/>
                                </w:rPr>
                              </w:pPr>
                              <w:r>
                                <w:rPr>
                                  <w:b/>
                                </w:rPr>
                                <w:t>Substance Use Trends</w:t>
                              </w:r>
                            </w:p>
                            <w:p w:rsidR="00BC7438" w:rsidRDefault="00CF2AB6">
                              <w:pPr>
                                <w:pStyle w:val="TableParagraph"/>
                                <w:spacing w:before="150"/>
                                <w:ind w:left="-10"/>
                                <w:jc w:val="left"/>
                                <w:rPr>
                                  <w:b/>
                                  <w:sz w:val="20"/>
                                </w:rPr>
                              </w:pPr>
                              <w:r>
                                <w:rPr>
                                  <w:b/>
                                  <w:sz w:val="20"/>
                                  <w:u w:val="single"/>
                                </w:rPr>
                                <w:t>Primary Substance of Use</w:t>
                              </w:r>
                            </w:p>
                            <w:p w:rsidR="00BC7438" w:rsidRDefault="00CF2AB6">
                              <w:pPr>
                                <w:pStyle w:val="TableParagraph"/>
                                <w:spacing w:before="0"/>
                                <w:ind w:left="-10"/>
                                <w:jc w:val="left"/>
                                <w:rPr>
                                  <w:sz w:val="20"/>
                                </w:rPr>
                              </w:pPr>
                              <w:r>
                                <w:rPr>
                                  <w:sz w:val="20"/>
                                </w:rPr>
                                <w:t>Table 1 provides a summary of the "primary drug" reported at admission.</w:t>
                              </w:r>
                            </w:p>
                            <w:p w:rsidR="00BC7438" w:rsidRDefault="00CF2AB6">
                              <w:pPr>
                                <w:pStyle w:val="TableParagraph"/>
                                <w:spacing w:before="150"/>
                                <w:ind w:left="3991" w:right="3992"/>
                                <w:rPr>
                                  <w:b/>
                                  <w:sz w:val="16"/>
                                </w:rPr>
                              </w:pPr>
                              <w:r>
                                <w:rPr>
                                  <w:b/>
                                  <w:sz w:val="16"/>
                                </w:rPr>
                                <w:t>Table 1</w:t>
                              </w:r>
                            </w:p>
                            <w:p w:rsidR="00BC7438" w:rsidRDefault="00CF2AB6">
                              <w:pPr>
                                <w:pStyle w:val="TableParagraph"/>
                                <w:spacing w:before="1"/>
                                <w:ind w:left="3991" w:right="3992"/>
                                <w:rPr>
                                  <w:b/>
                                  <w:sz w:val="16"/>
                                </w:rPr>
                              </w:pPr>
                              <w:r>
                                <w:rPr>
                                  <w:b/>
                                  <w:sz w:val="16"/>
                                </w:rPr>
                                <w:t>Primary Drug Trend: FY 2008 - FY 2017</w:t>
                              </w:r>
                            </w:p>
                          </w:tc>
                        </w:tr>
                        <w:tr w:rsidR="00833D33" w:rsidTr="00833D33">
                          <w:trPr>
                            <w:trHeight w:hRule="exact" w:val="349"/>
                          </w:trPr>
                          <w:tc>
                            <w:tcPr>
                              <w:tcW w:w="981" w:type="dxa"/>
                              <w:vMerge w:val="restart"/>
                              <w:tcBorders>
                                <w:top w:val="single" w:sz="2" w:space="0" w:color="000000"/>
                                <w:left w:val="single" w:sz="2" w:space="0" w:color="000000"/>
                                <w:bottom w:val="single" w:sz="2" w:space="0" w:color="000000"/>
                                <w:right w:val="single" w:sz="2" w:space="0" w:color="000000"/>
                              </w:tcBorders>
                            </w:tcPr>
                            <w:p w:rsidR="00BC7438" w:rsidRDefault="00BC7438"/>
                          </w:tc>
                          <w:tc>
                            <w:tcPr>
                              <w:tcW w:w="1782" w:type="dxa"/>
                              <w:vMerge w:val="restart"/>
                              <w:tcBorders>
                                <w:top w:val="single" w:sz="2" w:space="0" w:color="000000"/>
                                <w:left w:val="single" w:sz="2" w:space="0" w:color="000000"/>
                                <w:bottom w:val="single" w:sz="2" w:space="0" w:color="000000"/>
                                <w:right w:val="single" w:sz="2" w:space="0" w:color="000000"/>
                              </w:tcBorders>
                            </w:tcPr>
                            <w:p w:rsidR="00BC7438" w:rsidRDefault="00BC7438">
                              <w:pPr>
                                <w:pStyle w:val="TableParagraph"/>
                                <w:spacing w:before="3"/>
                                <w:jc w:val="left"/>
                                <w:rPr>
                                  <w:i/>
                                  <w:sz w:val="16"/>
                                </w:rPr>
                              </w:pPr>
                            </w:p>
                            <w:p w:rsidR="00BC7438" w:rsidRDefault="00CF2AB6">
                              <w:pPr>
                                <w:pStyle w:val="TableParagraph"/>
                                <w:spacing w:before="1"/>
                                <w:ind w:left="268"/>
                                <w:jc w:val="left"/>
                                <w:rPr>
                                  <w:sz w:val="16"/>
                                </w:rPr>
                              </w:pPr>
                              <w:r>
                                <w:rPr>
                                  <w:sz w:val="16"/>
                                </w:rPr>
                                <w:t>Total Admissions</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b/>
                                  <w:sz w:val="16"/>
                                </w:rPr>
                              </w:pPr>
                              <w:r>
                                <w:rPr>
                                  <w:b/>
                                  <w:sz w:val="16"/>
                                </w:rPr>
                                <w:t>Marijuana</w:t>
                              </w:r>
                            </w:p>
                          </w:tc>
                          <w:tc>
                            <w:tcPr>
                              <w:tcW w:w="2338" w:type="dxa"/>
                              <w:gridSpan w:val="2"/>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812" w:right="813"/>
                                <w:rPr>
                                  <w:b/>
                                  <w:sz w:val="16"/>
                                </w:rPr>
                              </w:pPr>
                              <w:r>
                                <w:rPr>
                                  <w:b/>
                                  <w:sz w:val="16"/>
                                </w:rPr>
                                <w:t>Opioids</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6"/>
                                <w:rPr>
                                  <w:b/>
                                  <w:sz w:val="16"/>
                                </w:rPr>
                              </w:pPr>
                              <w:r>
                                <w:rPr>
                                  <w:b/>
                                  <w:sz w:val="16"/>
                                </w:rPr>
                                <w:t>Other</w:t>
                              </w:r>
                            </w:p>
                          </w:tc>
                          <w:tc>
                            <w:tcPr>
                              <w:tcW w:w="3568" w:type="dxa"/>
                              <w:gridSpan w:val="2"/>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898"/>
                                <w:jc w:val="left"/>
                                <w:rPr>
                                  <w:b/>
                                  <w:sz w:val="16"/>
                                </w:rPr>
                              </w:pPr>
                              <w:r>
                                <w:rPr>
                                  <w:b/>
                                  <w:sz w:val="16"/>
                                </w:rPr>
                                <w:t>Sedatives/Hypnotics</w:t>
                              </w:r>
                            </w:p>
                          </w:tc>
                          <w:tc>
                            <w:tcPr>
                              <w:tcW w:w="2986" w:type="dxa"/>
                              <w:gridSpan w:val="2"/>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161" w:right="1161"/>
                                <w:rPr>
                                  <w:b/>
                                  <w:sz w:val="16"/>
                                </w:rPr>
                              </w:pPr>
                              <w:r>
                                <w:rPr>
                                  <w:b/>
                                  <w:sz w:val="16"/>
                                </w:rPr>
                                <w:t>Stimulants</w:t>
                              </w:r>
                            </w:p>
                          </w:tc>
                        </w:tr>
                        <w:tr w:rsidR="00833D33" w:rsidTr="00833D33">
                          <w:trPr>
                            <w:trHeight w:hRule="exact" w:val="349"/>
                          </w:trPr>
                          <w:tc>
                            <w:tcPr>
                              <w:tcW w:w="981" w:type="dxa"/>
                              <w:vMerge/>
                              <w:tcBorders>
                                <w:top w:val="single" w:sz="2" w:space="0" w:color="000000"/>
                                <w:left w:val="single" w:sz="2" w:space="0" w:color="000000"/>
                                <w:bottom w:val="single" w:sz="2" w:space="0" w:color="000000"/>
                                <w:right w:val="single" w:sz="2" w:space="0" w:color="000000"/>
                              </w:tcBorders>
                            </w:tcPr>
                            <w:p w:rsidR="00BC7438" w:rsidRDefault="00BC7438"/>
                          </w:tc>
                          <w:tc>
                            <w:tcPr>
                              <w:tcW w:w="1782" w:type="dxa"/>
                              <w:vMerge/>
                              <w:tcBorders>
                                <w:top w:val="single" w:sz="2" w:space="0" w:color="000000"/>
                                <w:left w:val="single" w:sz="2" w:space="0" w:color="000000"/>
                                <w:bottom w:val="single" w:sz="2" w:space="0" w:color="000000"/>
                                <w:right w:val="single" w:sz="2" w:space="0" w:color="000000"/>
                              </w:tcBorders>
                            </w:tcPr>
                            <w:p w:rsidR="00BC7438" w:rsidRDefault="00BC7438"/>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5"/>
                                <w:rPr>
                                  <w:sz w:val="16"/>
                                </w:rPr>
                              </w:pPr>
                              <w:r>
                                <w:rPr>
                                  <w:sz w:val="16"/>
                                </w:rPr>
                                <w:t>Marijuana</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Heroin</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Other Opioids</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Other</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70"/>
                                <w:jc w:val="right"/>
                                <w:rPr>
                                  <w:sz w:val="16"/>
                                </w:rPr>
                              </w:pPr>
                              <w:r>
                                <w:rPr>
                                  <w:sz w:val="16"/>
                                </w:rPr>
                                <w:t>Alcohol</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Other Sedatives/Hypnotics</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2" w:right="222"/>
                                <w:rPr>
                                  <w:sz w:val="16"/>
                                </w:rPr>
                              </w:pPr>
                              <w:r>
                                <w:rPr>
                                  <w:sz w:val="16"/>
                                </w:rPr>
                                <w:t>Crack/Cocaine</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Other Stimulants</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2008</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9,525</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13.9%</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21.3%</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1.3%</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0.3%</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46.8%</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0.1%</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1" w:right="222"/>
                                <w:rPr>
                                  <w:sz w:val="16"/>
                                </w:rPr>
                              </w:pPr>
                              <w:r>
                                <w:rPr>
                                  <w:sz w:val="16"/>
                                </w:rPr>
                                <w:t>16.0%</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0.2%</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2009</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8,721</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12.8%</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23.5%</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1.9%</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0.5%</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46.6%</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0.2%</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1" w:right="222"/>
                                <w:rPr>
                                  <w:sz w:val="16"/>
                                </w:rPr>
                              </w:pPr>
                              <w:r>
                                <w:rPr>
                                  <w:sz w:val="16"/>
                                </w:rPr>
                                <w:t>14.5%</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0.1%</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2010</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8,383</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13.0%</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22.4%</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2.3%</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0.2%</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48.8%</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0.3%</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1" w:right="222"/>
                                <w:rPr>
                                  <w:sz w:val="16"/>
                                </w:rPr>
                              </w:pPr>
                              <w:r>
                                <w:rPr>
                                  <w:sz w:val="16"/>
                                </w:rPr>
                                <w:t>13.0%</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0.1%</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2011</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7,583</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11.2%</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22.3%</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3.3%</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0.2%</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51.3%</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0.4%</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1" w:right="222"/>
                                <w:rPr>
                                  <w:sz w:val="16"/>
                                </w:rPr>
                              </w:pPr>
                              <w:r>
                                <w:rPr>
                                  <w:sz w:val="16"/>
                                </w:rPr>
                                <w:t>11.1%</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0.1%</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2012</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7,070</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10.3%</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25.0%</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3.2%</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0.1%</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49.8%</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0.5%</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1" w:right="222"/>
                                <w:rPr>
                                  <w:sz w:val="16"/>
                                </w:rPr>
                              </w:pPr>
                              <w:r>
                                <w:rPr>
                                  <w:sz w:val="16"/>
                                </w:rPr>
                                <w:t>11.0%</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rPr>
                                  <w:sz w:val="16"/>
                                </w:rPr>
                              </w:pPr>
                              <w:r>
                                <w:rPr>
                                  <w:sz w:val="16"/>
                                </w:rPr>
                                <w:t>*</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2013</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6,747</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10.3%</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29.3%</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3.1%</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0.1%</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47.1%</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0.3%</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2" w:right="222"/>
                                <w:rPr>
                                  <w:sz w:val="16"/>
                                </w:rPr>
                              </w:pPr>
                              <w:r>
                                <w:rPr>
                                  <w:sz w:val="16"/>
                                </w:rPr>
                                <w:t>9.6%</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0.2%</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2014</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6,760</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5"/>
                                <w:rPr>
                                  <w:sz w:val="16"/>
                                </w:rPr>
                              </w:pPr>
                              <w:r>
                                <w:rPr>
                                  <w:sz w:val="16"/>
                                </w:rPr>
                                <w:t>9.6%</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31.4%</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2.6%</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0.4%</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46.1%</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0.3%</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2" w:right="222"/>
                                <w:rPr>
                                  <w:sz w:val="16"/>
                                </w:rPr>
                              </w:pPr>
                              <w:r>
                                <w:rPr>
                                  <w:sz w:val="16"/>
                                </w:rPr>
                                <w:t>9.3%</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0.3%</w:t>
                              </w:r>
                            </w:p>
                          </w:tc>
                        </w:tr>
                        <w:tr w:rsidR="00833D33" w:rsidTr="00833D33">
                          <w:trPr>
                            <w:trHeight w:hRule="exact" w:val="349"/>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2015</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6,176</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10.2%</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32.0%</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2.6%</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0.2%</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46.8%</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0.3%</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2" w:right="222"/>
                                <w:rPr>
                                  <w:sz w:val="16"/>
                                </w:rPr>
                              </w:pPr>
                              <w:r>
                                <w:rPr>
                                  <w:sz w:val="16"/>
                                </w:rPr>
                                <w:t>7.7%</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0.2%</w:t>
                              </w:r>
                            </w:p>
                          </w:tc>
                        </w:tr>
                        <w:tr w:rsidR="00833D33" w:rsidTr="00743F8C">
                          <w:trPr>
                            <w:trHeight w:hRule="exact" w:val="355"/>
                          </w:trPr>
                          <w:tc>
                            <w:tcPr>
                              <w:tcW w:w="981"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62" w:right="162"/>
                                <w:rPr>
                                  <w:sz w:val="16"/>
                                </w:rPr>
                              </w:pPr>
                              <w:r>
                                <w:rPr>
                                  <w:sz w:val="16"/>
                                </w:rPr>
                                <w:t>FY 2016</w:t>
                              </w:r>
                            </w:p>
                          </w:tc>
                          <w:tc>
                            <w:tcPr>
                              <w:tcW w:w="178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663"/>
                                <w:jc w:val="left"/>
                                <w:rPr>
                                  <w:sz w:val="16"/>
                                </w:rPr>
                              </w:pPr>
                              <w:r>
                                <w:rPr>
                                  <w:sz w:val="16"/>
                                </w:rPr>
                                <w:t>6,705</w:t>
                              </w:r>
                            </w:p>
                          </w:tc>
                          <w:tc>
                            <w:tcPr>
                              <w:tcW w:w="128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95" w:right="196"/>
                                <w:rPr>
                                  <w:sz w:val="16"/>
                                </w:rPr>
                              </w:pPr>
                              <w:r>
                                <w:rPr>
                                  <w:sz w:val="16"/>
                                </w:rPr>
                                <w:t>10.0%</w:t>
                              </w:r>
                            </w:p>
                          </w:tc>
                          <w:tc>
                            <w:tcPr>
                              <w:tcW w:w="838"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7" w:right="148"/>
                                <w:rPr>
                                  <w:sz w:val="16"/>
                                </w:rPr>
                              </w:pPr>
                              <w:r>
                                <w:rPr>
                                  <w:sz w:val="16"/>
                                </w:rPr>
                                <w:t>35.9%</w:t>
                              </w:r>
                            </w:p>
                          </w:tc>
                          <w:tc>
                            <w:tcPr>
                              <w:tcW w:w="1500"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18" w:right="218"/>
                                <w:rPr>
                                  <w:sz w:val="16"/>
                                </w:rPr>
                              </w:pPr>
                              <w:r>
                                <w:rPr>
                                  <w:sz w:val="16"/>
                                </w:rPr>
                                <w:t>2.5%</w:t>
                              </w:r>
                            </w:p>
                          </w:tc>
                          <w:tc>
                            <w:tcPr>
                              <w:tcW w:w="827"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145" w:right="145"/>
                                <w:rPr>
                                  <w:sz w:val="16"/>
                                </w:rPr>
                              </w:pPr>
                              <w:r>
                                <w:rPr>
                                  <w:sz w:val="16"/>
                                </w:rPr>
                                <w:t>0.4%</w:t>
                              </w:r>
                            </w:p>
                          </w:tc>
                          <w:tc>
                            <w:tcPr>
                              <w:tcW w:w="89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right="190"/>
                                <w:jc w:val="right"/>
                                <w:rPr>
                                  <w:sz w:val="16"/>
                                </w:rPr>
                              </w:pPr>
                              <w:r>
                                <w:rPr>
                                  <w:sz w:val="16"/>
                                </w:rPr>
                                <w:t>42.4%</w:t>
                              </w:r>
                            </w:p>
                          </w:tc>
                          <w:tc>
                            <w:tcPr>
                              <w:tcW w:w="2676"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343" w:right="344"/>
                                <w:rPr>
                                  <w:sz w:val="16"/>
                                </w:rPr>
                              </w:pPr>
                              <w:r>
                                <w:rPr>
                                  <w:sz w:val="16"/>
                                </w:rPr>
                                <w:t>0.4%</w:t>
                              </w:r>
                            </w:p>
                          </w:tc>
                          <w:tc>
                            <w:tcPr>
                              <w:tcW w:w="1542"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22" w:right="222"/>
                                <w:rPr>
                                  <w:sz w:val="16"/>
                                </w:rPr>
                              </w:pPr>
                              <w:r>
                                <w:rPr>
                                  <w:sz w:val="16"/>
                                </w:rPr>
                                <w:t>8.1%</w:t>
                              </w:r>
                            </w:p>
                          </w:tc>
                          <w:tc>
                            <w:tcPr>
                              <w:tcW w:w="1444" w:type="dxa"/>
                              <w:tcBorders>
                                <w:top w:val="single" w:sz="2" w:space="0" w:color="000000"/>
                                <w:left w:val="single" w:sz="2" w:space="0" w:color="000000"/>
                                <w:bottom w:val="single" w:sz="2" w:space="0" w:color="000000"/>
                                <w:right w:val="single" w:sz="2" w:space="0" w:color="000000"/>
                              </w:tcBorders>
                            </w:tcPr>
                            <w:p w:rsidR="00BC7438" w:rsidRDefault="00CF2AB6">
                              <w:pPr>
                                <w:pStyle w:val="TableParagraph"/>
                                <w:ind w:left="248" w:right="248"/>
                                <w:rPr>
                                  <w:sz w:val="16"/>
                                </w:rPr>
                              </w:pPr>
                              <w:r>
                                <w:rPr>
                                  <w:sz w:val="16"/>
                                </w:rPr>
                                <w:t>0.4%</w:t>
                              </w:r>
                            </w:p>
                          </w:tc>
                        </w:tr>
                        <w:tr w:rsidR="00833D33" w:rsidTr="00833D33">
                          <w:trPr>
                            <w:trHeight w:hRule="exact" w:val="349"/>
                          </w:trPr>
                          <w:tc>
                            <w:tcPr>
                              <w:tcW w:w="981" w:type="dxa"/>
                              <w:tcBorders>
                                <w:top w:val="single" w:sz="2" w:space="0" w:color="000000"/>
                              </w:tcBorders>
                            </w:tcPr>
                            <w:p w:rsidR="00BC7438" w:rsidRDefault="00CF2AB6">
                              <w:pPr>
                                <w:pStyle w:val="TableParagraph"/>
                                <w:ind w:left="162" w:right="162"/>
                                <w:rPr>
                                  <w:sz w:val="16"/>
                                </w:rPr>
                              </w:pPr>
                              <w:r>
                                <w:rPr>
                                  <w:sz w:val="16"/>
                                </w:rPr>
                                <w:t>FY 2017</w:t>
                              </w:r>
                            </w:p>
                          </w:tc>
                          <w:tc>
                            <w:tcPr>
                              <w:tcW w:w="1782" w:type="dxa"/>
                              <w:tcBorders>
                                <w:top w:val="single" w:sz="2" w:space="0" w:color="000000"/>
                              </w:tcBorders>
                            </w:tcPr>
                            <w:p w:rsidR="00BC7438" w:rsidRDefault="00CF2AB6">
                              <w:pPr>
                                <w:pStyle w:val="TableParagraph"/>
                                <w:ind w:left="663"/>
                                <w:jc w:val="left"/>
                                <w:rPr>
                                  <w:sz w:val="16"/>
                                </w:rPr>
                              </w:pPr>
                              <w:r>
                                <w:rPr>
                                  <w:sz w:val="16"/>
                                </w:rPr>
                                <w:t>7,530</w:t>
                              </w:r>
                            </w:p>
                          </w:tc>
                          <w:tc>
                            <w:tcPr>
                              <w:tcW w:w="1288" w:type="dxa"/>
                              <w:tcBorders>
                                <w:top w:val="single" w:sz="2" w:space="0" w:color="000000"/>
                              </w:tcBorders>
                            </w:tcPr>
                            <w:p w:rsidR="00BC7438" w:rsidRDefault="00CF2AB6">
                              <w:pPr>
                                <w:pStyle w:val="TableParagraph"/>
                                <w:ind w:left="195" w:right="195"/>
                                <w:rPr>
                                  <w:sz w:val="16"/>
                                </w:rPr>
                              </w:pPr>
                              <w:r>
                                <w:rPr>
                                  <w:sz w:val="16"/>
                                </w:rPr>
                                <w:t>7.2%</w:t>
                              </w:r>
                            </w:p>
                          </w:tc>
                          <w:tc>
                            <w:tcPr>
                              <w:tcW w:w="838" w:type="dxa"/>
                              <w:tcBorders>
                                <w:top w:val="single" w:sz="2" w:space="0" w:color="000000"/>
                              </w:tcBorders>
                            </w:tcPr>
                            <w:p w:rsidR="00BC7438" w:rsidRDefault="00CF2AB6">
                              <w:pPr>
                                <w:pStyle w:val="TableParagraph"/>
                                <w:ind w:left="147" w:right="148"/>
                                <w:rPr>
                                  <w:sz w:val="16"/>
                                </w:rPr>
                              </w:pPr>
                              <w:r>
                                <w:rPr>
                                  <w:sz w:val="16"/>
                                </w:rPr>
                                <w:t>35.3%</w:t>
                              </w:r>
                            </w:p>
                          </w:tc>
                          <w:tc>
                            <w:tcPr>
                              <w:tcW w:w="1500" w:type="dxa"/>
                              <w:tcBorders>
                                <w:top w:val="single" w:sz="2" w:space="0" w:color="000000"/>
                              </w:tcBorders>
                            </w:tcPr>
                            <w:p w:rsidR="00BC7438" w:rsidRDefault="00CF2AB6">
                              <w:pPr>
                                <w:pStyle w:val="TableParagraph"/>
                                <w:ind w:left="218" w:right="218"/>
                                <w:rPr>
                                  <w:sz w:val="16"/>
                                </w:rPr>
                              </w:pPr>
                              <w:r>
                                <w:rPr>
                                  <w:sz w:val="16"/>
                                </w:rPr>
                                <w:t>2.9%</w:t>
                              </w:r>
                            </w:p>
                          </w:tc>
                          <w:tc>
                            <w:tcPr>
                              <w:tcW w:w="827" w:type="dxa"/>
                              <w:tcBorders>
                                <w:top w:val="single" w:sz="2" w:space="0" w:color="000000"/>
                              </w:tcBorders>
                            </w:tcPr>
                            <w:p w:rsidR="00BC7438" w:rsidRDefault="00CF2AB6">
                              <w:pPr>
                                <w:pStyle w:val="TableParagraph"/>
                                <w:ind w:left="145" w:right="145"/>
                                <w:rPr>
                                  <w:sz w:val="16"/>
                                </w:rPr>
                              </w:pPr>
                              <w:r>
                                <w:rPr>
                                  <w:sz w:val="16"/>
                                </w:rPr>
                                <w:t>0.5%</w:t>
                              </w:r>
                            </w:p>
                          </w:tc>
                          <w:tc>
                            <w:tcPr>
                              <w:tcW w:w="892" w:type="dxa"/>
                              <w:tcBorders>
                                <w:top w:val="single" w:sz="2" w:space="0" w:color="000000"/>
                              </w:tcBorders>
                            </w:tcPr>
                            <w:p w:rsidR="00BC7438" w:rsidRDefault="00CF2AB6">
                              <w:pPr>
                                <w:pStyle w:val="TableParagraph"/>
                                <w:ind w:right="190"/>
                                <w:jc w:val="right"/>
                                <w:rPr>
                                  <w:sz w:val="16"/>
                                </w:rPr>
                              </w:pPr>
                              <w:r>
                                <w:rPr>
                                  <w:sz w:val="16"/>
                                </w:rPr>
                                <w:t>44.3%</w:t>
                              </w:r>
                            </w:p>
                          </w:tc>
                          <w:tc>
                            <w:tcPr>
                              <w:tcW w:w="2676" w:type="dxa"/>
                              <w:tcBorders>
                                <w:top w:val="single" w:sz="2" w:space="0" w:color="000000"/>
                              </w:tcBorders>
                            </w:tcPr>
                            <w:p w:rsidR="00BC7438" w:rsidRDefault="00CF2AB6">
                              <w:pPr>
                                <w:pStyle w:val="TableParagraph"/>
                                <w:ind w:left="343" w:right="344"/>
                                <w:rPr>
                                  <w:sz w:val="16"/>
                                </w:rPr>
                              </w:pPr>
                              <w:r>
                                <w:rPr>
                                  <w:sz w:val="16"/>
                                </w:rPr>
                                <w:t>0.6%</w:t>
                              </w:r>
                            </w:p>
                          </w:tc>
                          <w:tc>
                            <w:tcPr>
                              <w:tcW w:w="1542" w:type="dxa"/>
                              <w:tcBorders>
                                <w:top w:val="single" w:sz="2" w:space="0" w:color="000000"/>
                              </w:tcBorders>
                            </w:tcPr>
                            <w:p w:rsidR="00BC7438" w:rsidRDefault="00CF2AB6">
                              <w:pPr>
                                <w:pStyle w:val="TableParagraph"/>
                                <w:ind w:left="222" w:right="222"/>
                                <w:rPr>
                                  <w:sz w:val="16"/>
                                </w:rPr>
                              </w:pPr>
                              <w:r>
                                <w:rPr>
                                  <w:sz w:val="16"/>
                                </w:rPr>
                                <w:t>8.9%</w:t>
                              </w:r>
                            </w:p>
                          </w:tc>
                          <w:tc>
                            <w:tcPr>
                              <w:tcW w:w="1444" w:type="dxa"/>
                              <w:tcBorders>
                                <w:top w:val="single" w:sz="2" w:space="0" w:color="000000"/>
                              </w:tcBorders>
                            </w:tcPr>
                            <w:p w:rsidR="00BC7438" w:rsidRDefault="00CF2AB6">
                              <w:pPr>
                                <w:pStyle w:val="TableParagraph"/>
                                <w:ind w:left="248" w:right="248"/>
                                <w:rPr>
                                  <w:sz w:val="16"/>
                                </w:rPr>
                              </w:pPr>
                              <w:r>
                                <w:rPr>
                                  <w:sz w:val="16"/>
                                </w:rPr>
                                <w:t>0.3%</w:t>
                              </w:r>
                            </w:p>
                          </w:tc>
                        </w:tr>
                      </w:tbl>
                      <w:p w:rsidR="00BC7438" w:rsidRDefault="00BC7438">
                        <w:pPr>
                          <w:pStyle w:val="BodyText"/>
                        </w:pPr>
                      </w:p>
                    </w:txbxContent>
                  </v:textbox>
                  <w10:wrap anchorx="page" anchory="page"/>
                </v:shape>
              </w:pict>
            </w: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BC7438" w:rsidRDefault="00BC7438">
            <w:pPr>
              <w:pStyle w:val="TableParagraph"/>
              <w:spacing w:before="0"/>
              <w:jc w:val="left"/>
              <w:rPr>
                <w:rFonts w:ascii="Times New Roman"/>
                <w:sz w:val="18"/>
              </w:rPr>
            </w:pPr>
          </w:p>
          <w:p w:rsidR="00833D33" w:rsidRDefault="00CF2AB6">
            <w:pPr>
              <w:pStyle w:val="TableParagraph"/>
              <w:spacing w:before="153"/>
              <w:ind w:left="-10"/>
              <w:jc w:val="left"/>
              <w:rPr>
                <w:b/>
                <w:sz w:val="16"/>
              </w:rPr>
            </w:pPr>
            <w:r>
              <w:rPr>
                <w:b/>
                <w:sz w:val="16"/>
              </w:rPr>
              <w:t xml:space="preserve"> </w:t>
            </w:r>
          </w:p>
          <w:p w:rsidR="00833D33" w:rsidRDefault="00833D33" w:rsidP="00833D33">
            <w:pPr>
              <w:pStyle w:val="TableParagraph"/>
              <w:spacing w:before="153"/>
              <w:ind w:left="125"/>
              <w:jc w:val="left"/>
              <w:rPr>
                <w:b/>
                <w:sz w:val="16"/>
              </w:rPr>
            </w:pPr>
          </w:p>
          <w:p w:rsidR="00833D33" w:rsidRDefault="00833D33" w:rsidP="00833D33">
            <w:pPr>
              <w:pStyle w:val="TableParagraph"/>
              <w:spacing w:before="153"/>
              <w:jc w:val="left"/>
              <w:rPr>
                <w:b/>
                <w:sz w:val="16"/>
              </w:rPr>
            </w:pPr>
          </w:p>
          <w:p w:rsidR="00833D33" w:rsidRDefault="00833D33" w:rsidP="00833D33">
            <w:pPr>
              <w:pStyle w:val="TableParagraph"/>
              <w:spacing w:before="153"/>
              <w:jc w:val="left"/>
              <w:rPr>
                <w:b/>
                <w:sz w:val="16"/>
              </w:rPr>
            </w:pPr>
          </w:p>
          <w:p w:rsidR="00BC7438" w:rsidRDefault="00CF2AB6" w:rsidP="00833D33">
            <w:pPr>
              <w:pStyle w:val="TableParagraph"/>
              <w:spacing w:before="153"/>
              <w:jc w:val="left"/>
              <w:rPr>
                <w:b/>
                <w:sz w:val="16"/>
              </w:rPr>
            </w:pPr>
            <w:r>
              <w:rPr>
                <w:b/>
                <w:sz w:val="16"/>
              </w:rPr>
              <w:t>Drug Categories:</w:t>
            </w:r>
          </w:p>
          <w:p w:rsidR="00BC7438" w:rsidRDefault="00CF2AB6">
            <w:pPr>
              <w:pStyle w:val="TableParagraph"/>
              <w:spacing w:before="0"/>
              <w:ind w:left="185"/>
              <w:jc w:val="left"/>
              <w:rPr>
                <w:i/>
                <w:sz w:val="16"/>
              </w:rPr>
            </w:pPr>
            <w:r>
              <w:rPr>
                <w:b/>
                <w:i/>
                <w:sz w:val="16"/>
              </w:rPr>
              <w:t xml:space="preserve">Other Opioids </w:t>
            </w:r>
            <w:r>
              <w:rPr>
                <w:i/>
                <w:sz w:val="16"/>
              </w:rPr>
              <w:t>includes: Prescription and Non Prescription Opioids.</w:t>
            </w:r>
          </w:p>
          <w:p w:rsidR="00BC7438" w:rsidRDefault="00CF2AB6">
            <w:pPr>
              <w:pStyle w:val="TableParagraph"/>
              <w:spacing w:before="0"/>
              <w:ind w:left="185"/>
              <w:jc w:val="left"/>
              <w:rPr>
                <w:i/>
                <w:sz w:val="16"/>
              </w:rPr>
            </w:pPr>
            <w:r>
              <w:rPr>
                <w:b/>
                <w:i/>
                <w:sz w:val="16"/>
              </w:rPr>
              <w:t xml:space="preserve">Other </w:t>
            </w:r>
            <w:r>
              <w:rPr>
                <w:i/>
                <w:sz w:val="16"/>
              </w:rPr>
              <w:t>includes: PCP, Other Hallucinogens, Inhalants, OTC, and Other.</w:t>
            </w:r>
            <w:bookmarkStart w:id="0" w:name="_GoBack"/>
            <w:bookmarkEnd w:id="0"/>
          </w:p>
          <w:p w:rsidR="00BC7438" w:rsidRDefault="00CF2AB6">
            <w:pPr>
              <w:pStyle w:val="TableParagraph"/>
              <w:spacing w:before="0"/>
              <w:ind w:left="185"/>
              <w:jc w:val="left"/>
              <w:rPr>
                <w:i/>
                <w:sz w:val="16"/>
              </w:rPr>
            </w:pPr>
            <w:r>
              <w:rPr>
                <w:b/>
                <w:i/>
                <w:sz w:val="16"/>
              </w:rPr>
              <w:t xml:space="preserve">Other Sedatives/Hypnotics </w:t>
            </w:r>
            <w:r>
              <w:rPr>
                <w:i/>
                <w:sz w:val="16"/>
              </w:rPr>
              <w:t>includes: Benzodiazepines, Other Tranquilizers, Barbituates, and Other Sedatives.</w:t>
            </w:r>
          </w:p>
          <w:p w:rsidR="00BC7438" w:rsidRDefault="00CF2AB6">
            <w:pPr>
              <w:pStyle w:val="TableParagraph"/>
              <w:spacing w:before="0"/>
              <w:ind w:left="185"/>
              <w:jc w:val="left"/>
              <w:rPr>
                <w:i/>
                <w:sz w:val="16"/>
              </w:rPr>
            </w:pPr>
            <w:r>
              <w:rPr>
                <w:b/>
                <w:i/>
                <w:sz w:val="16"/>
              </w:rPr>
              <w:t xml:space="preserve">Other Stimulants </w:t>
            </w:r>
            <w:r>
              <w:rPr>
                <w:i/>
                <w:sz w:val="16"/>
              </w:rPr>
              <w:t>includes: Methamphetamine, Other Amphetamines, Other Stimulants, and Club Drugs.</w:t>
            </w:r>
          </w:p>
          <w:p w:rsidR="00BC7438" w:rsidRDefault="00CF2AB6">
            <w:pPr>
              <w:pStyle w:val="TableParagraph"/>
              <w:spacing w:before="0"/>
              <w:ind w:left="-10"/>
              <w:jc w:val="left"/>
              <w:rPr>
                <w:i/>
                <w:sz w:val="16"/>
              </w:rPr>
            </w:pPr>
            <w:r>
              <w:rPr>
                <w:i/>
                <w:sz w:val="16"/>
              </w:rPr>
              <w:t>- The total admissions reported in this table may vary from the total admissions for Black, African American admissions; for additional information, please refer to the appendix.</w:t>
            </w:r>
          </w:p>
          <w:p w:rsidR="00BC7438" w:rsidRDefault="00BC7438">
            <w:pPr>
              <w:pStyle w:val="TableParagraph"/>
              <w:spacing w:before="0"/>
              <w:jc w:val="left"/>
              <w:rPr>
                <w:rFonts w:ascii="Times New Roman"/>
                <w:sz w:val="20"/>
              </w:rPr>
            </w:pPr>
          </w:p>
          <w:p w:rsidR="00BC7438" w:rsidRDefault="00CF2AB6">
            <w:pPr>
              <w:pStyle w:val="TableParagraph"/>
              <w:spacing w:before="145"/>
              <w:ind w:left="-10"/>
              <w:jc w:val="left"/>
              <w:rPr>
                <w:b/>
                <w:sz w:val="20"/>
              </w:rPr>
            </w:pPr>
            <w:r>
              <w:rPr>
                <w:b/>
                <w:sz w:val="20"/>
                <w:u w:val="single"/>
              </w:rPr>
              <w:t>Past Year Substance Use</w:t>
            </w:r>
          </w:p>
          <w:p w:rsidR="00BC7438" w:rsidRDefault="00CF2AB6">
            <w:pPr>
              <w:pStyle w:val="TableParagraph"/>
              <w:spacing w:before="0"/>
              <w:ind w:left="-10" w:right="90"/>
              <w:jc w:val="left"/>
              <w:rPr>
                <w:sz w:val="20"/>
              </w:rPr>
            </w:pPr>
            <w:r>
              <w:rPr>
                <w:sz w:val="20"/>
              </w:rPr>
              <w:t>At admission, clients are asked to report on all substances used in the past 12 months. Due to poly-substance use*, percentages may add up to more than 100%. Table 2 shows the distribution of past year substance use for all substances. This table includes information about admissions that reported past year substance use.</w:t>
            </w:r>
          </w:p>
          <w:p w:rsidR="00BC7438" w:rsidRDefault="00CF2AB6">
            <w:pPr>
              <w:pStyle w:val="TableParagraph"/>
              <w:spacing w:before="150"/>
              <w:ind w:left="3991" w:right="3992"/>
              <w:rPr>
                <w:b/>
                <w:sz w:val="16"/>
              </w:rPr>
            </w:pPr>
            <w:r>
              <w:rPr>
                <w:b/>
                <w:sz w:val="16"/>
              </w:rPr>
              <w:t>Table 2</w:t>
            </w:r>
          </w:p>
          <w:p w:rsidR="00BC7438" w:rsidRDefault="00CF2AB6">
            <w:pPr>
              <w:pStyle w:val="TableParagraph"/>
              <w:spacing w:before="0"/>
              <w:ind w:left="3992" w:right="3992"/>
              <w:rPr>
                <w:b/>
                <w:sz w:val="16"/>
              </w:rPr>
            </w:pPr>
            <w:r>
              <w:rPr>
                <w:b/>
                <w:sz w:val="16"/>
              </w:rPr>
              <w:t>Past Year Substance Use Trend: FY 2008 - FY 2017</w:t>
            </w:r>
          </w:p>
        </w:tc>
      </w:tr>
      <w:tr w:rsidR="00BC7438">
        <w:trPr>
          <w:trHeight w:hRule="exact" w:val="304"/>
        </w:trPr>
        <w:tc>
          <w:tcPr>
            <w:tcW w:w="960" w:type="dxa"/>
            <w:vMerge w:val="restart"/>
          </w:tcPr>
          <w:p w:rsidR="00BC7438" w:rsidRDefault="00BC7438"/>
        </w:tc>
        <w:tc>
          <w:tcPr>
            <w:tcW w:w="1744" w:type="dxa"/>
            <w:vMerge w:val="restart"/>
          </w:tcPr>
          <w:p w:rsidR="00BC7438" w:rsidRDefault="00BC7438">
            <w:pPr>
              <w:pStyle w:val="TableParagraph"/>
              <w:spacing w:before="1"/>
              <w:jc w:val="left"/>
              <w:rPr>
                <w:rFonts w:ascii="Times New Roman"/>
                <w:sz w:val="17"/>
              </w:rPr>
            </w:pPr>
          </w:p>
          <w:p w:rsidR="00BC7438" w:rsidRDefault="00CF2AB6">
            <w:pPr>
              <w:pStyle w:val="TableParagraph"/>
              <w:spacing w:before="0"/>
              <w:ind w:left="268"/>
              <w:jc w:val="left"/>
              <w:rPr>
                <w:sz w:val="16"/>
              </w:rPr>
            </w:pPr>
            <w:r>
              <w:rPr>
                <w:sz w:val="16"/>
              </w:rPr>
              <w:t>Total Admissions</w:t>
            </w:r>
          </w:p>
        </w:tc>
        <w:tc>
          <w:tcPr>
            <w:tcW w:w="1262" w:type="dxa"/>
          </w:tcPr>
          <w:p w:rsidR="00BC7438" w:rsidRDefault="00CF2AB6">
            <w:pPr>
              <w:pStyle w:val="TableParagraph"/>
              <w:ind w:left="195" w:right="196"/>
              <w:rPr>
                <w:b/>
                <w:sz w:val="16"/>
              </w:rPr>
            </w:pPr>
            <w:r>
              <w:rPr>
                <w:b/>
                <w:sz w:val="16"/>
              </w:rPr>
              <w:t>Marijuana</w:t>
            </w:r>
          </w:p>
        </w:tc>
        <w:tc>
          <w:tcPr>
            <w:tcW w:w="2288" w:type="dxa"/>
            <w:gridSpan w:val="2"/>
          </w:tcPr>
          <w:p w:rsidR="00BC7438" w:rsidRDefault="00CF2AB6">
            <w:pPr>
              <w:pStyle w:val="TableParagraph"/>
              <w:ind w:left="812" w:right="813"/>
              <w:rPr>
                <w:b/>
                <w:sz w:val="16"/>
              </w:rPr>
            </w:pPr>
            <w:r>
              <w:rPr>
                <w:b/>
                <w:sz w:val="16"/>
              </w:rPr>
              <w:t>Opioids</w:t>
            </w:r>
          </w:p>
        </w:tc>
        <w:tc>
          <w:tcPr>
            <w:tcW w:w="808" w:type="dxa"/>
          </w:tcPr>
          <w:p w:rsidR="00BC7438" w:rsidRDefault="00CF2AB6">
            <w:pPr>
              <w:pStyle w:val="TableParagraph"/>
              <w:ind w:left="145" w:right="146"/>
              <w:rPr>
                <w:b/>
                <w:sz w:val="16"/>
              </w:rPr>
            </w:pPr>
            <w:r>
              <w:rPr>
                <w:b/>
                <w:sz w:val="16"/>
              </w:rPr>
              <w:t>Other</w:t>
            </w:r>
          </w:p>
        </w:tc>
        <w:tc>
          <w:tcPr>
            <w:tcW w:w="3486" w:type="dxa"/>
            <w:gridSpan w:val="2"/>
          </w:tcPr>
          <w:p w:rsidR="00BC7438" w:rsidRDefault="00CF2AB6">
            <w:pPr>
              <w:pStyle w:val="TableParagraph"/>
              <w:ind w:left="898"/>
              <w:jc w:val="left"/>
              <w:rPr>
                <w:b/>
                <w:sz w:val="16"/>
              </w:rPr>
            </w:pPr>
            <w:r>
              <w:rPr>
                <w:b/>
                <w:sz w:val="16"/>
              </w:rPr>
              <w:t>Sedatives/Hypnotics</w:t>
            </w:r>
          </w:p>
        </w:tc>
        <w:tc>
          <w:tcPr>
            <w:tcW w:w="3250" w:type="dxa"/>
            <w:gridSpan w:val="2"/>
          </w:tcPr>
          <w:p w:rsidR="00BC7438" w:rsidRDefault="00CF2AB6">
            <w:pPr>
              <w:pStyle w:val="TableParagraph"/>
              <w:ind w:left="1161" w:right="1161"/>
              <w:rPr>
                <w:b/>
                <w:sz w:val="16"/>
              </w:rPr>
            </w:pPr>
            <w:r>
              <w:rPr>
                <w:b/>
                <w:sz w:val="16"/>
              </w:rPr>
              <w:t>Stimulants</w:t>
            </w:r>
          </w:p>
        </w:tc>
      </w:tr>
      <w:tr w:rsidR="00BC7438">
        <w:trPr>
          <w:trHeight w:hRule="exact" w:val="304"/>
        </w:trPr>
        <w:tc>
          <w:tcPr>
            <w:tcW w:w="960" w:type="dxa"/>
            <w:vMerge/>
          </w:tcPr>
          <w:p w:rsidR="00BC7438" w:rsidRDefault="00BC7438"/>
        </w:tc>
        <w:tc>
          <w:tcPr>
            <w:tcW w:w="1744" w:type="dxa"/>
            <w:vMerge/>
          </w:tcPr>
          <w:p w:rsidR="00BC7438" w:rsidRDefault="00BC7438"/>
        </w:tc>
        <w:tc>
          <w:tcPr>
            <w:tcW w:w="1262" w:type="dxa"/>
          </w:tcPr>
          <w:p w:rsidR="00BC7438" w:rsidRDefault="00CF2AB6">
            <w:pPr>
              <w:pStyle w:val="TableParagraph"/>
              <w:ind w:left="195" w:right="195"/>
              <w:rPr>
                <w:sz w:val="16"/>
              </w:rPr>
            </w:pPr>
            <w:r>
              <w:rPr>
                <w:sz w:val="16"/>
              </w:rPr>
              <w:t>Marijuana</w:t>
            </w:r>
          </w:p>
        </w:tc>
        <w:tc>
          <w:tcPr>
            <w:tcW w:w="822" w:type="dxa"/>
          </w:tcPr>
          <w:p w:rsidR="00BC7438" w:rsidRDefault="00CF2AB6">
            <w:pPr>
              <w:pStyle w:val="TableParagraph"/>
              <w:ind w:left="147" w:right="148"/>
              <w:rPr>
                <w:sz w:val="16"/>
              </w:rPr>
            </w:pPr>
            <w:r>
              <w:rPr>
                <w:sz w:val="16"/>
              </w:rPr>
              <w:t>Heroin</w:t>
            </w:r>
          </w:p>
        </w:tc>
        <w:tc>
          <w:tcPr>
            <w:tcW w:w="1466" w:type="dxa"/>
          </w:tcPr>
          <w:p w:rsidR="00BC7438" w:rsidRDefault="00CF2AB6">
            <w:pPr>
              <w:pStyle w:val="TableParagraph"/>
              <w:ind w:left="218" w:right="218"/>
              <w:rPr>
                <w:sz w:val="16"/>
              </w:rPr>
            </w:pPr>
            <w:r>
              <w:rPr>
                <w:sz w:val="16"/>
              </w:rPr>
              <w:t>Other Opioids</w:t>
            </w:r>
          </w:p>
        </w:tc>
        <w:tc>
          <w:tcPr>
            <w:tcW w:w="808" w:type="dxa"/>
          </w:tcPr>
          <w:p w:rsidR="00BC7438" w:rsidRDefault="00CF2AB6">
            <w:pPr>
              <w:pStyle w:val="TableParagraph"/>
              <w:ind w:left="145" w:right="145"/>
              <w:rPr>
                <w:sz w:val="16"/>
              </w:rPr>
            </w:pPr>
            <w:r>
              <w:rPr>
                <w:sz w:val="16"/>
              </w:rPr>
              <w:t>Other</w:t>
            </w:r>
          </w:p>
        </w:tc>
        <w:tc>
          <w:tcPr>
            <w:tcW w:w="871" w:type="dxa"/>
          </w:tcPr>
          <w:p w:rsidR="00BC7438" w:rsidRDefault="00CF2AB6">
            <w:pPr>
              <w:pStyle w:val="TableParagraph"/>
              <w:ind w:right="170"/>
              <w:jc w:val="right"/>
              <w:rPr>
                <w:sz w:val="16"/>
              </w:rPr>
            </w:pPr>
            <w:r>
              <w:rPr>
                <w:sz w:val="16"/>
              </w:rPr>
              <w:t>Alcohol</w:t>
            </w:r>
          </w:p>
        </w:tc>
        <w:tc>
          <w:tcPr>
            <w:tcW w:w="2615" w:type="dxa"/>
          </w:tcPr>
          <w:p w:rsidR="00BC7438" w:rsidRDefault="00CF2AB6">
            <w:pPr>
              <w:pStyle w:val="TableParagraph"/>
              <w:ind w:left="343" w:right="344"/>
              <w:rPr>
                <w:sz w:val="16"/>
              </w:rPr>
            </w:pPr>
            <w:r>
              <w:rPr>
                <w:sz w:val="16"/>
              </w:rPr>
              <w:t>Other Sedatives/Hypnotics</w:t>
            </w:r>
          </w:p>
        </w:tc>
        <w:tc>
          <w:tcPr>
            <w:tcW w:w="1508" w:type="dxa"/>
          </w:tcPr>
          <w:p w:rsidR="00BC7438" w:rsidRDefault="00CF2AB6">
            <w:pPr>
              <w:pStyle w:val="TableParagraph"/>
              <w:ind w:left="222" w:right="222"/>
              <w:rPr>
                <w:sz w:val="16"/>
              </w:rPr>
            </w:pPr>
            <w:r>
              <w:rPr>
                <w:sz w:val="16"/>
              </w:rPr>
              <w:t>Crack/Cocaine</w:t>
            </w:r>
          </w:p>
        </w:tc>
        <w:tc>
          <w:tcPr>
            <w:tcW w:w="1742" w:type="dxa"/>
          </w:tcPr>
          <w:p w:rsidR="00BC7438" w:rsidRDefault="00CF2AB6">
            <w:pPr>
              <w:pStyle w:val="TableParagraph"/>
              <w:ind w:left="248" w:right="248"/>
              <w:rPr>
                <w:sz w:val="16"/>
              </w:rPr>
            </w:pPr>
            <w:r>
              <w:rPr>
                <w:sz w:val="16"/>
              </w:rPr>
              <w:t>Other Stimulants</w:t>
            </w:r>
          </w:p>
        </w:tc>
      </w:tr>
      <w:tr w:rsidR="00BC7438">
        <w:trPr>
          <w:trHeight w:hRule="exact" w:val="304"/>
        </w:trPr>
        <w:tc>
          <w:tcPr>
            <w:tcW w:w="960" w:type="dxa"/>
          </w:tcPr>
          <w:p w:rsidR="00BC7438" w:rsidRDefault="00CF2AB6">
            <w:pPr>
              <w:pStyle w:val="TableParagraph"/>
              <w:ind w:left="162" w:right="162"/>
              <w:rPr>
                <w:sz w:val="16"/>
              </w:rPr>
            </w:pPr>
            <w:r>
              <w:rPr>
                <w:sz w:val="16"/>
              </w:rPr>
              <w:t>FY 2008</w:t>
            </w:r>
          </w:p>
        </w:tc>
        <w:tc>
          <w:tcPr>
            <w:tcW w:w="1744" w:type="dxa"/>
          </w:tcPr>
          <w:p w:rsidR="00BC7438" w:rsidRDefault="00CF2AB6">
            <w:pPr>
              <w:pStyle w:val="TableParagraph"/>
              <w:ind w:left="663"/>
              <w:jc w:val="left"/>
              <w:rPr>
                <w:sz w:val="16"/>
              </w:rPr>
            </w:pPr>
            <w:r>
              <w:rPr>
                <w:sz w:val="16"/>
              </w:rPr>
              <w:t>8,578</w:t>
            </w:r>
          </w:p>
        </w:tc>
        <w:tc>
          <w:tcPr>
            <w:tcW w:w="1262" w:type="dxa"/>
          </w:tcPr>
          <w:p w:rsidR="00BC7438" w:rsidRDefault="00CF2AB6">
            <w:pPr>
              <w:pStyle w:val="TableParagraph"/>
              <w:ind w:left="195" w:right="196"/>
              <w:rPr>
                <w:sz w:val="16"/>
              </w:rPr>
            </w:pPr>
            <w:r>
              <w:rPr>
                <w:sz w:val="16"/>
              </w:rPr>
              <w:t>29.7%</w:t>
            </w:r>
          </w:p>
        </w:tc>
        <w:tc>
          <w:tcPr>
            <w:tcW w:w="822" w:type="dxa"/>
          </w:tcPr>
          <w:p w:rsidR="00BC7438" w:rsidRDefault="00CF2AB6">
            <w:pPr>
              <w:pStyle w:val="TableParagraph"/>
              <w:ind w:left="147" w:right="148"/>
              <w:rPr>
                <w:sz w:val="16"/>
              </w:rPr>
            </w:pPr>
            <w:r>
              <w:rPr>
                <w:sz w:val="16"/>
              </w:rPr>
              <w:t>27.0%</w:t>
            </w:r>
          </w:p>
        </w:tc>
        <w:tc>
          <w:tcPr>
            <w:tcW w:w="1466" w:type="dxa"/>
          </w:tcPr>
          <w:p w:rsidR="00BC7438" w:rsidRDefault="00CF2AB6">
            <w:pPr>
              <w:pStyle w:val="TableParagraph"/>
              <w:ind w:left="218" w:right="218"/>
              <w:rPr>
                <w:sz w:val="16"/>
              </w:rPr>
            </w:pPr>
            <w:r>
              <w:rPr>
                <w:sz w:val="16"/>
              </w:rPr>
              <w:t>5.4%</w:t>
            </w:r>
          </w:p>
        </w:tc>
        <w:tc>
          <w:tcPr>
            <w:tcW w:w="808" w:type="dxa"/>
          </w:tcPr>
          <w:p w:rsidR="00BC7438" w:rsidRDefault="00CF2AB6">
            <w:pPr>
              <w:pStyle w:val="TableParagraph"/>
              <w:ind w:left="145" w:right="145"/>
              <w:rPr>
                <w:sz w:val="16"/>
              </w:rPr>
            </w:pPr>
            <w:r>
              <w:rPr>
                <w:sz w:val="16"/>
              </w:rPr>
              <w:t>3.2%</w:t>
            </w:r>
          </w:p>
        </w:tc>
        <w:tc>
          <w:tcPr>
            <w:tcW w:w="871" w:type="dxa"/>
          </w:tcPr>
          <w:p w:rsidR="00BC7438" w:rsidRDefault="00CF2AB6">
            <w:pPr>
              <w:pStyle w:val="TableParagraph"/>
              <w:ind w:right="190"/>
              <w:jc w:val="right"/>
              <w:rPr>
                <w:sz w:val="16"/>
              </w:rPr>
            </w:pPr>
            <w:r>
              <w:rPr>
                <w:sz w:val="16"/>
              </w:rPr>
              <w:t>79.7%</w:t>
            </w:r>
          </w:p>
        </w:tc>
        <w:tc>
          <w:tcPr>
            <w:tcW w:w="2615" w:type="dxa"/>
          </w:tcPr>
          <w:p w:rsidR="00BC7438" w:rsidRDefault="00CF2AB6">
            <w:pPr>
              <w:pStyle w:val="TableParagraph"/>
              <w:ind w:left="343" w:right="344"/>
              <w:rPr>
                <w:sz w:val="16"/>
              </w:rPr>
            </w:pPr>
            <w:r>
              <w:rPr>
                <w:sz w:val="16"/>
              </w:rPr>
              <w:t>3.5%</w:t>
            </w:r>
          </w:p>
        </w:tc>
        <w:tc>
          <w:tcPr>
            <w:tcW w:w="1508" w:type="dxa"/>
          </w:tcPr>
          <w:p w:rsidR="00BC7438" w:rsidRDefault="00CF2AB6">
            <w:pPr>
              <w:pStyle w:val="TableParagraph"/>
              <w:ind w:left="221" w:right="222"/>
              <w:rPr>
                <w:sz w:val="16"/>
              </w:rPr>
            </w:pPr>
            <w:r>
              <w:rPr>
                <w:sz w:val="16"/>
              </w:rPr>
              <w:t>49.3%</w:t>
            </w:r>
          </w:p>
        </w:tc>
        <w:tc>
          <w:tcPr>
            <w:tcW w:w="1742" w:type="dxa"/>
          </w:tcPr>
          <w:p w:rsidR="00BC7438" w:rsidRDefault="00CF2AB6">
            <w:pPr>
              <w:pStyle w:val="TableParagraph"/>
              <w:ind w:left="248" w:right="248"/>
              <w:rPr>
                <w:sz w:val="16"/>
              </w:rPr>
            </w:pPr>
            <w:r>
              <w:rPr>
                <w:sz w:val="16"/>
              </w:rPr>
              <w:t>1.0%</w:t>
            </w:r>
          </w:p>
        </w:tc>
      </w:tr>
      <w:tr w:rsidR="00BC7438">
        <w:trPr>
          <w:trHeight w:hRule="exact" w:val="304"/>
        </w:trPr>
        <w:tc>
          <w:tcPr>
            <w:tcW w:w="960" w:type="dxa"/>
          </w:tcPr>
          <w:p w:rsidR="00BC7438" w:rsidRDefault="00CF2AB6">
            <w:pPr>
              <w:pStyle w:val="TableParagraph"/>
              <w:ind w:left="162" w:right="162"/>
              <w:rPr>
                <w:sz w:val="16"/>
              </w:rPr>
            </w:pPr>
            <w:r>
              <w:rPr>
                <w:sz w:val="16"/>
              </w:rPr>
              <w:t>FY 2009</w:t>
            </w:r>
          </w:p>
        </w:tc>
        <w:tc>
          <w:tcPr>
            <w:tcW w:w="1744" w:type="dxa"/>
          </w:tcPr>
          <w:p w:rsidR="00BC7438" w:rsidRDefault="00CF2AB6">
            <w:pPr>
              <w:pStyle w:val="TableParagraph"/>
              <w:ind w:left="663"/>
              <w:jc w:val="left"/>
              <w:rPr>
                <w:sz w:val="16"/>
              </w:rPr>
            </w:pPr>
            <w:r>
              <w:rPr>
                <w:sz w:val="16"/>
              </w:rPr>
              <w:t>7,793</w:t>
            </w:r>
          </w:p>
        </w:tc>
        <w:tc>
          <w:tcPr>
            <w:tcW w:w="1262" w:type="dxa"/>
          </w:tcPr>
          <w:p w:rsidR="00BC7438" w:rsidRDefault="00CF2AB6">
            <w:pPr>
              <w:pStyle w:val="TableParagraph"/>
              <w:ind w:left="195" w:right="196"/>
              <w:rPr>
                <w:sz w:val="16"/>
              </w:rPr>
            </w:pPr>
            <w:r>
              <w:rPr>
                <w:sz w:val="16"/>
              </w:rPr>
              <w:t>29.5%</w:t>
            </w:r>
          </w:p>
        </w:tc>
        <w:tc>
          <w:tcPr>
            <w:tcW w:w="822" w:type="dxa"/>
          </w:tcPr>
          <w:p w:rsidR="00BC7438" w:rsidRDefault="00CF2AB6">
            <w:pPr>
              <w:pStyle w:val="TableParagraph"/>
              <w:ind w:left="147" w:right="148"/>
              <w:rPr>
                <w:sz w:val="16"/>
              </w:rPr>
            </w:pPr>
            <w:r>
              <w:rPr>
                <w:sz w:val="16"/>
              </w:rPr>
              <w:t>29.2%</w:t>
            </w:r>
          </w:p>
        </w:tc>
        <w:tc>
          <w:tcPr>
            <w:tcW w:w="1466" w:type="dxa"/>
          </w:tcPr>
          <w:p w:rsidR="00BC7438" w:rsidRDefault="00CF2AB6">
            <w:pPr>
              <w:pStyle w:val="TableParagraph"/>
              <w:ind w:left="218" w:right="218"/>
              <w:rPr>
                <w:sz w:val="16"/>
              </w:rPr>
            </w:pPr>
            <w:r>
              <w:rPr>
                <w:sz w:val="16"/>
              </w:rPr>
              <w:t>7.3%</w:t>
            </w:r>
          </w:p>
        </w:tc>
        <w:tc>
          <w:tcPr>
            <w:tcW w:w="808" w:type="dxa"/>
          </w:tcPr>
          <w:p w:rsidR="00BC7438" w:rsidRDefault="00CF2AB6">
            <w:pPr>
              <w:pStyle w:val="TableParagraph"/>
              <w:ind w:left="145" w:right="145"/>
              <w:rPr>
                <w:sz w:val="16"/>
              </w:rPr>
            </w:pPr>
            <w:r>
              <w:rPr>
                <w:sz w:val="16"/>
              </w:rPr>
              <w:t>1.5%</w:t>
            </w:r>
          </w:p>
        </w:tc>
        <w:tc>
          <w:tcPr>
            <w:tcW w:w="871" w:type="dxa"/>
          </w:tcPr>
          <w:p w:rsidR="00BC7438" w:rsidRDefault="00CF2AB6">
            <w:pPr>
              <w:pStyle w:val="TableParagraph"/>
              <w:ind w:right="190"/>
              <w:jc w:val="right"/>
              <w:rPr>
                <w:sz w:val="16"/>
              </w:rPr>
            </w:pPr>
            <w:r>
              <w:rPr>
                <w:sz w:val="16"/>
              </w:rPr>
              <w:t>78.3%</w:t>
            </w:r>
          </w:p>
        </w:tc>
        <w:tc>
          <w:tcPr>
            <w:tcW w:w="2615" w:type="dxa"/>
          </w:tcPr>
          <w:p w:rsidR="00BC7438" w:rsidRDefault="00CF2AB6">
            <w:pPr>
              <w:pStyle w:val="TableParagraph"/>
              <w:ind w:left="343" w:right="344"/>
              <w:rPr>
                <w:sz w:val="16"/>
              </w:rPr>
            </w:pPr>
            <w:r>
              <w:rPr>
                <w:sz w:val="16"/>
              </w:rPr>
              <w:t>4.3%</w:t>
            </w:r>
          </w:p>
        </w:tc>
        <w:tc>
          <w:tcPr>
            <w:tcW w:w="1508" w:type="dxa"/>
          </w:tcPr>
          <w:p w:rsidR="00BC7438" w:rsidRDefault="00CF2AB6">
            <w:pPr>
              <w:pStyle w:val="TableParagraph"/>
              <w:ind w:left="221" w:right="222"/>
              <w:rPr>
                <w:sz w:val="16"/>
              </w:rPr>
            </w:pPr>
            <w:r>
              <w:rPr>
                <w:sz w:val="16"/>
              </w:rPr>
              <w:t>45.8%</w:t>
            </w:r>
          </w:p>
        </w:tc>
        <w:tc>
          <w:tcPr>
            <w:tcW w:w="1742" w:type="dxa"/>
          </w:tcPr>
          <w:p w:rsidR="00BC7438" w:rsidRDefault="00CF2AB6">
            <w:pPr>
              <w:pStyle w:val="TableParagraph"/>
              <w:ind w:left="248" w:right="248"/>
              <w:rPr>
                <w:sz w:val="16"/>
              </w:rPr>
            </w:pPr>
            <w:r>
              <w:rPr>
                <w:sz w:val="16"/>
              </w:rPr>
              <w:t>1.3%</w:t>
            </w:r>
          </w:p>
        </w:tc>
      </w:tr>
      <w:tr w:rsidR="00BC7438">
        <w:trPr>
          <w:trHeight w:hRule="exact" w:val="304"/>
        </w:trPr>
        <w:tc>
          <w:tcPr>
            <w:tcW w:w="960" w:type="dxa"/>
          </w:tcPr>
          <w:p w:rsidR="00BC7438" w:rsidRDefault="00CF2AB6">
            <w:pPr>
              <w:pStyle w:val="TableParagraph"/>
              <w:ind w:left="162" w:right="162"/>
              <w:rPr>
                <w:sz w:val="16"/>
              </w:rPr>
            </w:pPr>
            <w:r>
              <w:rPr>
                <w:sz w:val="16"/>
              </w:rPr>
              <w:t>FY 2010</w:t>
            </w:r>
          </w:p>
        </w:tc>
        <w:tc>
          <w:tcPr>
            <w:tcW w:w="1744" w:type="dxa"/>
          </w:tcPr>
          <w:p w:rsidR="00BC7438" w:rsidRDefault="00CF2AB6">
            <w:pPr>
              <w:pStyle w:val="TableParagraph"/>
              <w:ind w:left="663"/>
              <w:jc w:val="left"/>
              <w:rPr>
                <w:sz w:val="16"/>
              </w:rPr>
            </w:pPr>
            <w:r>
              <w:rPr>
                <w:sz w:val="16"/>
              </w:rPr>
              <w:t>7,511</w:t>
            </w:r>
          </w:p>
        </w:tc>
        <w:tc>
          <w:tcPr>
            <w:tcW w:w="1262" w:type="dxa"/>
          </w:tcPr>
          <w:p w:rsidR="00BC7438" w:rsidRDefault="00CF2AB6">
            <w:pPr>
              <w:pStyle w:val="TableParagraph"/>
              <w:ind w:left="195" w:right="196"/>
              <w:rPr>
                <w:sz w:val="16"/>
              </w:rPr>
            </w:pPr>
            <w:r>
              <w:rPr>
                <w:sz w:val="16"/>
              </w:rPr>
              <w:t>30.4%</w:t>
            </w:r>
          </w:p>
        </w:tc>
        <w:tc>
          <w:tcPr>
            <w:tcW w:w="822" w:type="dxa"/>
          </w:tcPr>
          <w:p w:rsidR="00BC7438" w:rsidRDefault="00CF2AB6">
            <w:pPr>
              <w:pStyle w:val="TableParagraph"/>
              <w:ind w:left="147" w:right="148"/>
              <w:rPr>
                <w:sz w:val="16"/>
              </w:rPr>
            </w:pPr>
            <w:r>
              <w:rPr>
                <w:sz w:val="16"/>
              </w:rPr>
              <w:t>28.0%</w:t>
            </w:r>
          </w:p>
        </w:tc>
        <w:tc>
          <w:tcPr>
            <w:tcW w:w="1466" w:type="dxa"/>
          </w:tcPr>
          <w:p w:rsidR="00BC7438" w:rsidRDefault="00CF2AB6">
            <w:pPr>
              <w:pStyle w:val="TableParagraph"/>
              <w:ind w:left="218" w:right="218"/>
              <w:rPr>
                <w:sz w:val="16"/>
              </w:rPr>
            </w:pPr>
            <w:r>
              <w:rPr>
                <w:sz w:val="16"/>
              </w:rPr>
              <w:t>8.3%</w:t>
            </w:r>
          </w:p>
        </w:tc>
        <w:tc>
          <w:tcPr>
            <w:tcW w:w="808" w:type="dxa"/>
          </w:tcPr>
          <w:p w:rsidR="00BC7438" w:rsidRDefault="00CF2AB6">
            <w:pPr>
              <w:pStyle w:val="TableParagraph"/>
              <w:ind w:left="145" w:right="145"/>
              <w:rPr>
                <w:sz w:val="16"/>
              </w:rPr>
            </w:pPr>
            <w:r>
              <w:rPr>
                <w:sz w:val="16"/>
              </w:rPr>
              <w:t>1.4%</w:t>
            </w:r>
          </w:p>
        </w:tc>
        <w:tc>
          <w:tcPr>
            <w:tcW w:w="871" w:type="dxa"/>
          </w:tcPr>
          <w:p w:rsidR="00BC7438" w:rsidRDefault="00CF2AB6">
            <w:pPr>
              <w:pStyle w:val="TableParagraph"/>
              <w:ind w:right="190"/>
              <w:jc w:val="right"/>
              <w:rPr>
                <w:sz w:val="16"/>
              </w:rPr>
            </w:pPr>
            <w:r>
              <w:rPr>
                <w:sz w:val="16"/>
              </w:rPr>
              <w:t>78.7%</w:t>
            </w:r>
          </w:p>
        </w:tc>
        <w:tc>
          <w:tcPr>
            <w:tcW w:w="2615" w:type="dxa"/>
          </w:tcPr>
          <w:p w:rsidR="00BC7438" w:rsidRDefault="00CF2AB6">
            <w:pPr>
              <w:pStyle w:val="TableParagraph"/>
              <w:ind w:left="343" w:right="344"/>
              <w:rPr>
                <w:sz w:val="16"/>
              </w:rPr>
            </w:pPr>
            <w:r>
              <w:rPr>
                <w:sz w:val="16"/>
              </w:rPr>
              <w:t>4.2%</w:t>
            </w:r>
          </w:p>
        </w:tc>
        <w:tc>
          <w:tcPr>
            <w:tcW w:w="1508" w:type="dxa"/>
          </w:tcPr>
          <w:p w:rsidR="00BC7438" w:rsidRDefault="00CF2AB6">
            <w:pPr>
              <w:pStyle w:val="TableParagraph"/>
              <w:ind w:left="221" w:right="222"/>
              <w:rPr>
                <w:sz w:val="16"/>
              </w:rPr>
            </w:pPr>
            <w:r>
              <w:rPr>
                <w:sz w:val="16"/>
              </w:rPr>
              <w:t>42.8%</w:t>
            </w:r>
          </w:p>
        </w:tc>
        <w:tc>
          <w:tcPr>
            <w:tcW w:w="1742" w:type="dxa"/>
          </w:tcPr>
          <w:p w:rsidR="00BC7438" w:rsidRDefault="00CF2AB6">
            <w:pPr>
              <w:pStyle w:val="TableParagraph"/>
              <w:ind w:left="248" w:right="248"/>
              <w:rPr>
                <w:sz w:val="16"/>
              </w:rPr>
            </w:pPr>
            <w:r>
              <w:rPr>
                <w:sz w:val="16"/>
              </w:rPr>
              <w:t>1.0%</w:t>
            </w:r>
          </w:p>
        </w:tc>
      </w:tr>
      <w:tr w:rsidR="00BC7438">
        <w:trPr>
          <w:trHeight w:hRule="exact" w:val="304"/>
        </w:trPr>
        <w:tc>
          <w:tcPr>
            <w:tcW w:w="960" w:type="dxa"/>
          </w:tcPr>
          <w:p w:rsidR="00BC7438" w:rsidRDefault="00CF2AB6">
            <w:pPr>
              <w:pStyle w:val="TableParagraph"/>
              <w:ind w:left="162" w:right="162"/>
              <w:rPr>
                <w:sz w:val="16"/>
              </w:rPr>
            </w:pPr>
            <w:r>
              <w:rPr>
                <w:sz w:val="16"/>
              </w:rPr>
              <w:t>FY 2011</w:t>
            </w:r>
          </w:p>
        </w:tc>
        <w:tc>
          <w:tcPr>
            <w:tcW w:w="1744" w:type="dxa"/>
          </w:tcPr>
          <w:p w:rsidR="00BC7438" w:rsidRDefault="00CF2AB6">
            <w:pPr>
              <w:pStyle w:val="TableParagraph"/>
              <w:ind w:left="663"/>
              <w:jc w:val="left"/>
              <w:rPr>
                <w:sz w:val="16"/>
              </w:rPr>
            </w:pPr>
            <w:r>
              <w:rPr>
                <w:sz w:val="16"/>
              </w:rPr>
              <w:t>6,914</w:t>
            </w:r>
          </w:p>
        </w:tc>
        <w:tc>
          <w:tcPr>
            <w:tcW w:w="1262" w:type="dxa"/>
          </w:tcPr>
          <w:p w:rsidR="00BC7438" w:rsidRDefault="00CF2AB6">
            <w:pPr>
              <w:pStyle w:val="TableParagraph"/>
              <w:ind w:left="195" w:right="196"/>
              <w:rPr>
                <w:sz w:val="16"/>
              </w:rPr>
            </w:pPr>
            <w:r>
              <w:rPr>
                <w:sz w:val="16"/>
              </w:rPr>
              <w:t>28.8%</w:t>
            </w:r>
          </w:p>
        </w:tc>
        <w:tc>
          <w:tcPr>
            <w:tcW w:w="822" w:type="dxa"/>
          </w:tcPr>
          <w:p w:rsidR="00BC7438" w:rsidRDefault="00CF2AB6">
            <w:pPr>
              <w:pStyle w:val="TableParagraph"/>
              <w:ind w:left="147" w:right="148"/>
              <w:rPr>
                <w:sz w:val="16"/>
              </w:rPr>
            </w:pPr>
            <w:r>
              <w:rPr>
                <w:sz w:val="16"/>
              </w:rPr>
              <w:t>27.7%</w:t>
            </w:r>
          </w:p>
        </w:tc>
        <w:tc>
          <w:tcPr>
            <w:tcW w:w="1466" w:type="dxa"/>
          </w:tcPr>
          <w:p w:rsidR="00BC7438" w:rsidRDefault="00CF2AB6">
            <w:pPr>
              <w:pStyle w:val="TableParagraph"/>
              <w:ind w:left="217" w:right="218"/>
              <w:rPr>
                <w:sz w:val="16"/>
              </w:rPr>
            </w:pPr>
            <w:r>
              <w:rPr>
                <w:sz w:val="16"/>
              </w:rPr>
              <w:t>10.4%</w:t>
            </w:r>
          </w:p>
        </w:tc>
        <w:tc>
          <w:tcPr>
            <w:tcW w:w="808" w:type="dxa"/>
          </w:tcPr>
          <w:p w:rsidR="00BC7438" w:rsidRDefault="00CF2AB6">
            <w:pPr>
              <w:pStyle w:val="TableParagraph"/>
              <w:ind w:left="145" w:right="145"/>
              <w:rPr>
                <w:sz w:val="16"/>
              </w:rPr>
            </w:pPr>
            <w:r>
              <w:rPr>
                <w:sz w:val="16"/>
              </w:rPr>
              <w:t>1.4%</w:t>
            </w:r>
          </w:p>
        </w:tc>
        <w:tc>
          <w:tcPr>
            <w:tcW w:w="871" w:type="dxa"/>
          </w:tcPr>
          <w:p w:rsidR="00BC7438" w:rsidRDefault="00CF2AB6">
            <w:pPr>
              <w:pStyle w:val="TableParagraph"/>
              <w:ind w:right="190"/>
              <w:jc w:val="right"/>
              <w:rPr>
                <w:sz w:val="16"/>
              </w:rPr>
            </w:pPr>
            <w:r>
              <w:rPr>
                <w:sz w:val="16"/>
              </w:rPr>
              <w:t>78.1%</w:t>
            </w:r>
          </w:p>
        </w:tc>
        <w:tc>
          <w:tcPr>
            <w:tcW w:w="2615" w:type="dxa"/>
          </w:tcPr>
          <w:p w:rsidR="00BC7438" w:rsidRDefault="00CF2AB6">
            <w:pPr>
              <w:pStyle w:val="TableParagraph"/>
              <w:ind w:left="343" w:right="344"/>
              <w:rPr>
                <w:sz w:val="16"/>
              </w:rPr>
            </w:pPr>
            <w:r>
              <w:rPr>
                <w:sz w:val="16"/>
              </w:rPr>
              <w:t>5.2%</w:t>
            </w:r>
          </w:p>
        </w:tc>
        <w:tc>
          <w:tcPr>
            <w:tcW w:w="1508" w:type="dxa"/>
          </w:tcPr>
          <w:p w:rsidR="00BC7438" w:rsidRDefault="00CF2AB6">
            <w:pPr>
              <w:pStyle w:val="TableParagraph"/>
              <w:ind w:left="221" w:right="222"/>
              <w:rPr>
                <w:sz w:val="16"/>
              </w:rPr>
            </w:pPr>
            <w:r>
              <w:rPr>
                <w:sz w:val="16"/>
              </w:rPr>
              <w:t>39.0%</w:t>
            </w:r>
          </w:p>
        </w:tc>
        <w:tc>
          <w:tcPr>
            <w:tcW w:w="1742" w:type="dxa"/>
          </w:tcPr>
          <w:p w:rsidR="00BC7438" w:rsidRDefault="00CF2AB6">
            <w:pPr>
              <w:pStyle w:val="TableParagraph"/>
              <w:ind w:left="248" w:right="248"/>
              <w:rPr>
                <w:sz w:val="16"/>
              </w:rPr>
            </w:pPr>
            <w:r>
              <w:rPr>
                <w:sz w:val="16"/>
              </w:rPr>
              <w:t>1.3%</w:t>
            </w:r>
          </w:p>
        </w:tc>
      </w:tr>
      <w:tr w:rsidR="00BC7438">
        <w:trPr>
          <w:trHeight w:hRule="exact" w:val="304"/>
        </w:trPr>
        <w:tc>
          <w:tcPr>
            <w:tcW w:w="960" w:type="dxa"/>
          </w:tcPr>
          <w:p w:rsidR="00BC7438" w:rsidRDefault="00CF2AB6">
            <w:pPr>
              <w:pStyle w:val="TableParagraph"/>
              <w:ind w:left="162" w:right="162"/>
              <w:rPr>
                <w:sz w:val="16"/>
              </w:rPr>
            </w:pPr>
            <w:r>
              <w:rPr>
                <w:sz w:val="16"/>
              </w:rPr>
              <w:t>FY 2012</w:t>
            </w:r>
          </w:p>
        </w:tc>
        <w:tc>
          <w:tcPr>
            <w:tcW w:w="1744" w:type="dxa"/>
          </w:tcPr>
          <w:p w:rsidR="00BC7438" w:rsidRDefault="00CF2AB6">
            <w:pPr>
              <w:pStyle w:val="TableParagraph"/>
              <w:ind w:left="663"/>
              <w:jc w:val="left"/>
              <w:rPr>
                <w:sz w:val="16"/>
              </w:rPr>
            </w:pPr>
            <w:r>
              <w:rPr>
                <w:sz w:val="16"/>
              </w:rPr>
              <w:t>6,510</w:t>
            </w:r>
          </w:p>
        </w:tc>
        <w:tc>
          <w:tcPr>
            <w:tcW w:w="1262" w:type="dxa"/>
          </w:tcPr>
          <w:p w:rsidR="00BC7438" w:rsidRDefault="00CF2AB6">
            <w:pPr>
              <w:pStyle w:val="TableParagraph"/>
              <w:ind w:left="195" w:right="196"/>
              <w:rPr>
                <w:sz w:val="16"/>
              </w:rPr>
            </w:pPr>
            <w:r>
              <w:rPr>
                <w:sz w:val="16"/>
              </w:rPr>
              <w:t>27.9%</w:t>
            </w:r>
          </w:p>
        </w:tc>
        <w:tc>
          <w:tcPr>
            <w:tcW w:w="822" w:type="dxa"/>
          </w:tcPr>
          <w:p w:rsidR="00BC7438" w:rsidRDefault="00CF2AB6">
            <w:pPr>
              <w:pStyle w:val="TableParagraph"/>
              <w:ind w:left="147" w:right="148"/>
              <w:rPr>
                <w:sz w:val="16"/>
              </w:rPr>
            </w:pPr>
            <w:r>
              <w:rPr>
                <w:sz w:val="16"/>
              </w:rPr>
              <w:t>30.3%</w:t>
            </w:r>
          </w:p>
        </w:tc>
        <w:tc>
          <w:tcPr>
            <w:tcW w:w="1466" w:type="dxa"/>
          </w:tcPr>
          <w:p w:rsidR="00BC7438" w:rsidRDefault="00CF2AB6">
            <w:pPr>
              <w:pStyle w:val="TableParagraph"/>
              <w:ind w:left="218" w:right="218"/>
              <w:rPr>
                <w:sz w:val="16"/>
              </w:rPr>
            </w:pPr>
            <w:r>
              <w:rPr>
                <w:sz w:val="16"/>
              </w:rPr>
              <w:t>9.7%</w:t>
            </w:r>
          </w:p>
        </w:tc>
        <w:tc>
          <w:tcPr>
            <w:tcW w:w="808" w:type="dxa"/>
          </w:tcPr>
          <w:p w:rsidR="00BC7438" w:rsidRDefault="00CF2AB6">
            <w:pPr>
              <w:pStyle w:val="TableParagraph"/>
              <w:ind w:left="145" w:right="145"/>
              <w:rPr>
                <w:sz w:val="16"/>
              </w:rPr>
            </w:pPr>
            <w:r>
              <w:rPr>
                <w:sz w:val="16"/>
              </w:rPr>
              <w:t>1.3%</w:t>
            </w:r>
          </w:p>
        </w:tc>
        <w:tc>
          <w:tcPr>
            <w:tcW w:w="871" w:type="dxa"/>
          </w:tcPr>
          <w:p w:rsidR="00BC7438" w:rsidRDefault="00CF2AB6">
            <w:pPr>
              <w:pStyle w:val="TableParagraph"/>
              <w:ind w:right="190"/>
              <w:jc w:val="right"/>
              <w:rPr>
                <w:sz w:val="16"/>
              </w:rPr>
            </w:pPr>
            <w:r>
              <w:rPr>
                <w:sz w:val="16"/>
              </w:rPr>
              <w:t>77.1%</w:t>
            </w:r>
          </w:p>
        </w:tc>
        <w:tc>
          <w:tcPr>
            <w:tcW w:w="2615" w:type="dxa"/>
          </w:tcPr>
          <w:p w:rsidR="00BC7438" w:rsidRDefault="00CF2AB6">
            <w:pPr>
              <w:pStyle w:val="TableParagraph"/>
              <w:ind w:left="343" w:right="344"/>
              <w:rPr>
                <w:sz w:val="16"/>
              </w:rPr>
            </w:pPr>
            <w:r>
              <w:rPr>
                <w:sz w:val="16"/>
              </w:rPr>
              <w:t>5.8%</w:t>
            </w:r>
          </w:p>
        </w:tc>
        <w:tc>
          <w:tcPr>
            <w:tcW w:w="1508" w:type="dxa"/>
          </w:tcPr>
          <w:p w:rsidR="00BC7438" w:rsidRDefault="00CF2AB6">
            <w:pPr>
              <w:pStyle w:val="TableParagraph"/>
              <w:ind w:left="221" w:right="222"/>
              <w:rPr>
                <w:sz w:val="16"/>
              </w:rPr>
            </w:pPr>
            <w:r>
              <w:rPr>
                <w:sz w:val="16"/>
              </w:rPr>
              <w:t>38.9%</w:t>
            </w:r>
          </w:p>
        </w:tc>
        <w:tc>
          <w:tcPr>
            <w:tcW w:w="1742" w:type="dxa"/>
          </w:tcPr>
          <w:p w:rsidR="00BC7438" w:rsidRDefault="00CF2AB6">
            <w:pPr>
              <w:pStyle w:val="TableParagraph"/>
              <w:ind w:left="248" w:right="248"/>
              <w:rPr>
                <w:sz w:val="16"/>
              </w:rPr>
            </w:pPr>
            <w:r>
              <w:rPr>
                <w:sz w:val="16"/>
              </w:rPr>
              <w:t>0.8%</w:t>
            </w:r>
          </w:p>
        </w:tc>
      </w:tr>
      <w:tr w:rsidR="00BC7438">
        <w:trPr>
          <w:trHeight w:hRule="exact" w:val="304"/>
        </w:trPr>
        <w:tc>
          <w:tcPr>
            <w:tcW w:w="960" w:type="dxa"/>
          </w:tcPr>
          <w:p w:rsidR="00BC7438" w:rsidRDefault="00CF2AB6">
            <w:pPr>
              <w:pStyle w:val="TableParagraph"/>
              <w:ind w:left="162" w:right="162"/>
              <w:rPr>
                <w:sz w:val="16"/>
              </w:rPr>
            </w:pPr>
            <w:r>
              <w:rPr>
                <w:sz w:val="16"/>
              </w:rPr>
              <w:t>FY 2013</w:t>
            </w:r>
          </w:p>
        </w:tc>
        <w:tc>
          <w:tcPr>
            <w:tcW w:w="1744" w:type="dxa"/>
          </w:tcPr>
          <w:p w:rsidR="00BC7438" w:rsidRDefault="00CF2AB6">
            <w:pPr>
              <w:pStyle w:val="TableParagraph"/>
              <w:ind w:left="663"/>
              <w:jc w:val="left"/>
              <w:rPr>
                <w:sz w:val="16"/>
              </w:rPr>
            </w:pPr>
            <w:r>
              <w:rPr>
                <w:sz w:val="16"/>
              </w:rPr>
              <w:t>6,100</w:t>
            </w:r>
          </w:p>
        </w:tc>
        <w:tc>
          <w:tcPr>
            <w:tcW w:w="1262" w:type="dxa"/>
          </w:tcPr>
          <w:p w:rsidR="00BC7438" w:rsidRDefault="00CF2AB6">
            <w:pPr>
              <w:pStyle w:val="TableParagraph"/>
              <w:ind w:left="195" w:right="196"/>
              <w:rPr>
                <w:sz w:val="16"/>
              </w:rPr>
            </w:pPr>
            <w:r>
              <w:rPr>
                <w:sz w:val="16"/>
              </w:rPr>
              <w:t>28.2%</w:t>
            </w:r>
          </w:p>
        </w:tc>
        <w:tc>
          <w:tcPr>
            <w:tcW w:w="822" w:type="dxa"/>
          </w:tcPr>
          <w:p w:rsidR="00BC7438" w:rsidRDefault="00CF2AB6">
            <w:pPr>
              <w:pStyle w:val="TableParagraph"/>
              <w:ind w:left="147" w:right="148"/>
              <w:rPr>
                <w:sz w:val="16"/>
              </w:rPr>
            </w:pPr>
            <w:r>
              <w:rPr>
                <w:sz w:val="16"/>
              </w:rPr>
              <w:t>35.9%</w:t>
            </w:r>
          </w:p>
        </w:tc>
        <w:tc>
          <w:tcPr>
            <w:tcW w:w="1466" w:type="dxa"/>
          </w:tcPr>
          <w:p w:rsidR="00BC7438" w:rsidRDefault="00CF2AB6">
            <w:pPr>
              <w:pStyle w:val="TableParagraph"/>
              <w:ind w:left="218" w:right="218"/>
              <w:rPr>
                <w:sz w:val="16"/>
              </w:rPr>
            </w:pPr>
            <w:r>
              <w:rPr>
                <w:sz w:val="16"/>
              </w:rPr>
              <w:t>9.7%</w:t>
            </w:r>
          </w:p>
        </w:tc>
        <w:tc>
          <w:tcPr>
            <w:tcW w:w="808" w:type="dxa"/>
          </w:tcPr>
          <w:p w:rsidR="00BC7438" w:rsidRDefault="00CF2AB6">
            <w:pPr>
              <w:pStyle w:val="TableParagraph"/>
              <w:ind w:left="145" w:right="145"/>
              <w:rPr>
                <w:sz w:val="16"/>
              </w:rPr>
            </w:pPr>
            <w:r>
              <w:rPr>
                <w:sz w:val="16"/>
              </w:rPr>
              <w:t>2.1%</w:t>
            </w:r>
          </w:p>
        </w:tc>
        <w:tc>
          <w:tcPr>
            <w:tcW w:w="871" w:type="dxa"/>
          </w:tcPr>
          <w:p w:rsidR="00BC7438" w:rsidRDefault="00CF2AB6">
            <w:pPr>
              <w:pStyle w:val="TableParagraph"/>
              <w:ind w:right="190"/>
              <w:jc w:val="right"/>
              <w:rPr>
                <w:sz w:val="16"/>
              </w:rPr>
            </w:pPr>
            <w:r>
              <w:rPr>
                <w:sz w:val="16"/>
              </w:rPr>
              <w:t>74.2%</w:t>
            </w:r>
          </w:p>
        </w:tc>
        <w:tc>
          <w:tcPr>
            <w:tcW w:w="2615" w:type="dxa"/>
          </w:tcPr>
          <w:p w:rsidR="00BC7438" w:rsidRDefault="00CF2AB6">
            <w:pPr>
              <w:pStyle w:val="TableParagraph"/>
              <w:ind w:left="343" w:right="344"/>
              <w:rPr>
                <w:sz w:val="16"/>
              </w:rPr>
            </w:pPr>
            <w:r>
              <w:rPr>
                <w:sz w:val="16"/>
              </w:rPr>
              <w:t>5.8%</w:t>
            </w:r>
          </w:p>
        </w:tc>
        <w:tc>
          <w:tcPr>
            <w:tcW w:w="1508" w:type="dxa"/>
          </w:tcPr>
          <w:p w:rsidR="00BC7438" w:rsidRDefault="00CF2AB6">
            <w:pPr>
              <w:pStyle w:val="TableParagraph"/>
              <w:ind w:left="221" w:right="222"/>
              <w:rPr>
                <w:sz w:val="16"/>
              </w:rPr>
            </w:pPr>
            <w:r>
              <w:rPr>
                <w:sz w:val="16"/>
              </w:rPr>
              <w:t>35.9%</w:t>
            </w:r>
          </w:p>
        </w:tc>
        <w:tc>
          <w:tcPr>
            <w:tcW w:w="1742" w:type="dxa"/>
          </w:tcPr>
          <w:p w:rsidR="00BC7438" w:rsidRDefault="00CF2AB6">
            <w:pPr>
              <w:pStyle w:val="TableParagraph"/>
              <w:ind w:left="248" w:right="248"/>
              <w:rPr>
                <w:sz w:val="16"/>
              </w:rPr>
            </w:pPr>
            <w:r>
              <w:rPr>
                <w:sz w:val="16"/>
              </w:rPr>
              <w:t>1.6%</w:t>
            </w:r>
          </w:p>
        </w:tc>
      </w:tr>
      <w:tr w:rsidR="00BC7438">
        <w:trPr>
          <w:trHeight w:hRule="exact" w:val="304"/>
        </w:trPr>
        <w:tc>
          <w:tcPr>
            <w:tcW w:w="960" w:type="dxa"/>
          </w:tcPr>
          <w:p w:rsidR="00BC7438" w:rsidRDefault="00CF2AB6">
            <w:pPr>
              <w:pStyle w:val="TableParagraph"/>
              <w:ind w:left="162" w:right="162"/>
              <w:rPr>
                <w:sz w:val="16"/>
              </w:rPr>
            </w:pPr>
            <w:r>
              <w:rPr>
                <w:sz w:val="16"/>
              </w:rPr>
              <w:t>FY 2014</w:t>
            </w:r>
          </w:p>
        </w:tc>
        <w:tc>
          <w:tcPr>
            <w:tcW w:w="1744" w:type="dxa"/>
          </w:tcPr>
          <w:p w:rsidR="00BC7438" w:rsidRDefault="00CF2AB6">
            <w:pPr>
              <w:pStyle w:val="TableParagraph"/>
              <w:ind w:left="663"/>
              <w:jc w:val="left"/>
              <w:rPr>
                <w:sz w:val="16"/>
              </w:rPr>
            </w:pPr>
            <w:r>
              <w:rPr>
                <w:sz w:val="16"/>
              </w:rPr>
              <w:t>6,182</w:t>
            </w:r>
          </w:p>
        </w:tc>
        <w:tc>
          <w:tcPr>
            <w:tcW w:w="1262" w:type="dxa"/>
          </w:tcPr>
          <w:p w:rsidR="00BC7438" w:rsidRDefault="00CF2AB6">
            <w:pPr>
              <w:pStyle w:val="TableParagraph"/>
              <w:ind w:left="195" w:right="196"/>
              <w:rPr>
                <w:sz w:val="16"/>
              </w:rPr>
            </w:pPr>
            <w:r>
              <w:rPr>
                <w:sz w:val="16"/>
              </w:rPr>
              <w:t>28.8%</w:t>
            </w:r>
          </w:p>
        </w:tc>
        <w:tc>
          <w:tcPr>
            <w:tcW w:w="822" w:type="dxa"/>
          </w:tcPr>
          <w:p w:rsidR="00BC7438" w:rsidRDefault="00CF2AB6">
            <w:pPr>
              <w:pStyle w:val="TableParagraph"/>
              <w:ind w:left="147" w:right="148"/>
              <w:rPr>
                <w:sz w:val="16"/>
              </w:rPr>
            </w:pPr>
            <w:r>
              <w:rPr>
                <w:sz w:val="16"/>
              </w:rPr>
              <w:t>38.2%</w:t>
            </w:r>
          </w:p>
        </w:tc>
        <w:tc>
          <w:tcPr>
            <w:tcW w:w="1466" w:type="dxa"/>
          </w:tcPr>
          <w:p w:rsidR="00BC7438" w:rsidRDefault="00CF2AB6">
            <w:pPr>
              <w:pStyle w:val="TableParagraph"/>
              <w:ind w:left="218" w:right="218"/>
              <w:rPr>
                <w:sz w:val="16"/>
              </w:rPr>
            </w:pPr>
            <w:r>
              <w:rPr>
                <w:sz w:val="16"/>
              </w:rPr>
              <w:t>9.4%</w:t>
            </w:r>
          </w:p>
        </w:tc>
        <w:tc>
          <w:tcPr>
            <w:tcW w:w="808" w:type="dxa"/>
          </w:tcPr>
          <w:p w:rsidR="00BC7438" w:rsidRDefault="00CF2AB6">
            <w:pPr>
              <w:pStyle w:val="TableParagraph"/>
              <w:ind w:left="145" w:right="145"/>
              <w:rPr>
                <w:sz w:val="16"/>
              </w:rPr>
            </w:pPr>
            <w:r>
              <w:rPr>
                <w:sz w:val="16"/>
              </w:rPr>
              <w:t>2.7%</w:t>
            </w:r>
          </w:p>
        </w:tc>
        <w:tc>
          <w:tcPr>
            <w:tcW w:w="871" w:type="dxa"/>
          </w:tcPr>
          <w:p w:rsidR="00BC7438" w:rsidRDefault="00CF2AB6">
            <w:pPr>
              <w:pStyle w:val="TableParagraph"/>
              <w:ind w:right="190"/>
              <w:jc w:val="right"/>
              <w:rPr>
                <w:sz w:val="16"/>
              </w:rPr>
            </w:pPr>
            <w:r>
              <w:rPr>
                <w:sz w:val="16"/>
              </w:rPr>
              <w:t>73.9%</w:t>
            </w:r>
          </w:p>
        </w:tc>
        <w:tc>
          <w:tcPr>
            <w:tcW w:w="2615" w:type="dxa"/>
          </w:tcPr>
          <w:p w:rsidR="00BC7438" w:rsidRDefault="00CF2AB6">
            <w:pPr>
              <w:pStyle w:val="TableParagraph"/>
              <w:ind w:left="343" w:right="344"/>
              <w:rPr>
                <w:sz w:val="16"/>
              </w:rPr>
            </w:pPr>
            <w:r>
              <w:rPr>
                <w:sz w:val="16"/>
              </w:rPr>
              <w:t>6.9%</w:t>
            </w:r>
          </w:p>
        </w:tc>
        <w:tc>
          <w:tcPr>
            <w:tcW w:w="1508" w:type="dxa"/>
          </w:tcPr>
          <w:p w:rsidR="00BC7438" w:rsidRDefault="00CF2AB6">
            <w:pPr>
              <w:pStyle w:val="TableParagraph"/>
              <w:ind w:left="221" w:right="222"/>
              <w:rPr>
                <w:sz w:val="16"/>
              </w:rPr>
            </w:pPr>
            <w:r>
              <w:rPr>
                <w:sz w:val="16"/>
              </w:rPr>
              <w:t>36.6%</w:t>
            </w:r>
          </w:p>
        </w:tc>
        <w:tc>
          <w:tcPr>
            <w:tcW w:w="1742" w:type="dxa"/>
          </w:tcPr>
          <w:p w:rsidR="00BC7438" w:rsidRDefault="00CF2AB6">
            <w:pPr>
              <w:pStyle w:val="TableParagraph"/>
              <w:ind w:left="248" w:right="248"/>
              <w:rPr>
                <w:sz w:val="16"/>
              </w:rPr>
            </w:pPr>
            <w:r>
              <w:rPr>
                <w:sz w:val="16"/>
              </w:rPr>
              <w:t>2.2%</w:t>
            </w:r>
          </w:p>
        </w:tc>
      </w:tr>
      <w:tr w:rsidR="00BC7438">
        <w:trPr>
          <w:trHeight w:hRule="exact" w:val="304"/>
        </w:trPr>
        <w:tc>
          <w:tcPr>
            <w:tcW w:w="960" w:type="dxa"/>
          </w:tcPr>
          <w:p w:rsidR="00BC7438" w:rsidRDefault="00CF2AB6">
            <w:pPr>
              <w:pStyle w:val="TableParagraph"/>
              <w:ind w:left="162" w:right="162"/>
              <w:rPr>
                <w:sz w:val="16"/>
              </w:rPr>
            </w:pPr>
            <w:r>
              <w:rPr>
                <w:sz w:val="16"/>
              </w:rPr>
              <w:t>FY 2015</w:t>
            </w:r>
          </w:p>
        </w:tc>
        <w:tc>
          <w:tcPr>
            <w:tcW w:w="1744" w:type="dxa"/>
          </w:tcPr>
          <w:p w:rsidR="00BC7438" w:rsidRDefault="00CF2AB6">
            <w:pPr>
              <w:pStyle w:val="TableParagraph"/>
              <w:ind w:left="663"/>
              <w:jc w:val="left"/>
              <w:rPr>
                <w:sz w:val="16"/>
              </w:rPr>
            </w:pPr>
            <w:r>
              <w:rPr>
                <w:sz w:val="16"/>
              </w:rPr>
              <w:t>5,685</w:t>
            </w:r>
          </w:p>
        </w:tc>
        <w:tc>
          <w:tcPr>
            <w:tcW w:w="1262" w:type="dxa"/>
          </w:tcPr>
          <w:p w:rsidR="00BC7438" w:rsidRDefault="00CF2AB6">
            <w:pPr>
              <w:pStyle w:val="TableParagraph"/>
              <w:ind w:left="195" w:right="196"/>
              <w:rPr>
                <w:sz w:val="16"/>
              </w:rPr>
            </w:pPr>
            <w:r>
              <w:rPr>
                <w:sz w:val="16"/>
              </w:rPr>
              <w:t>28.1%</w:t>
            </w:r>
          </w:p>
        </w:tc>
        <w:tc>
          <w:tcPr>
            <w:tcW w:w="822" w:type="dxa"/>
          </w:tcPr>
          <w:p w:rsidR="00BC7438" w:rsidRDefault="00CF2AB6">
            <w:pPr>
              <w:pStyle w:val="TableParagraph"/>
              <w:ind w:left="147" w:right="148"/>
              <w:rPr>
                <w:sz w:val="16"/>
              </w:rPr>
            </w:pPr>
            <w:r>
              <w:rPr>
                <w:sz w:val="16"/>
              </w:rPr>
              <w:t>38.5%</w:t>
            </w:r>
          </w:p>
        </w:tc>
        <w:tc>
          <w:tcPr>
            <w:tcW w:w="1466" w:type="dxa"/>
          </w:tcPr>
          <w:p w:rsidR="00BC7438" w:rsidRDefault="00CF2AB6">
            <w:pPr>
              <w:pStyle w:val="TableParagraph"/>
              <w:ind w:left="218" w:right="218"/>
              <w:rPr>
                <w:sz w:val="16"/>
              </w:rPr>
            </w:pPr>
            <w:r>
              <w:rPr>
                <w:sz w:val="16"/>
              </w:rPr>
              <w:t>8.9%</w:t>
            </w:r>
          </w:p>
        </w:tc>
        <w:tc>
          <w:tcPr>
            <w:tcW w:w="808" w:type="dxa"/>
          </w:tcPr>
          <w:p w:rsidR="00BC7438" w:rsidRDefault="00CF2AB6">
            <w:pPr>
              <w:pStyle w:val="TableParagraph"/>
              <w:ind w:left="145" w:right="145"/>
              <w:rPr>
                <w:sz w:val="16"/>
              </w:rPr>
            </w:pPr>
            <w:r>
              <w:rPr>
                <w:sz w:val="16"/>
              </w:rPr>
              <w:t>2.5%</w:t>
            </w:r>
          </w:p>
        </w:tc>
        <w:tc>
          <w:tcPr>
            <w:tcW w:w="871" w:type="dxa"/>
          </w:tcPr>
          <w:p w:rsidR="00BC7438" w:rsidRDefault="00CF2AB6">
            <w:pPr>
              <w:pStyle w:val="TableParagraph"/>
              <w:ind w:right="190"/>
              <w:jc w:val="right"/>
              <w:rPr>
                <w:sz w:val="16"/>
              </w:rPr>
            </w:pPr>
            <w:r>
              <w:rPr>
                <w:sz w:val="16"/>
              </w:rPr>
              <w:t>71.7%</w:t>
            </w:r>
          </w:p>
        </w:tc>
        <w:tc>
          <w:tcPr>
            <w:tcW w:w="2615" w:type="dxa"/>
          </w:tcPr>
          <w:p w:rsidR="00BC7438" w:rsidRDefault="00CF2AB6">
            <w:pPr>
              <w:pStyle w:val="TableParagraph"/>
              <w:ind w:left="343" w:right="344"/>
              <w:rPr>
                <w:sz w:val="16"/>
              </w:rPr>
            </w:pPr>
            <w:r>
              <w:rPr>
                <w:sz w:val="16"/>
              </w:rPr>
              <w:t>7.1%</w:t>
            </w:r>
          </w:p>
        </w:tc>
        <w:tc>
          <w:tcPr>
            <w:tcW w:w="1508" w:type="dxa"/>
          </w:tcPr>
          <w:p w:rsidR="00BC7438" w:rsidRDefault="00CF2AB6">
            <w:pPr>
              <w:pStyle w:val="TableParagraph"/>
              <w:ind w:left="221" w:right="222"/>
              <w:rPr>
                <w:sz w:val="16"/>
              </w:rPr>
            </w:pPr>
            <w:r>
              <w:rPr>
                <w:sz w:val="16"/>
              </w:rPr>
              <w:t>30.8%</w:t>
            </w:r>
          </w:p>
        </w:tc>
        <w:tc>
          <w:tcPr>
            <w:tcW w:w="1742" w:type="dxa"/>
          </w:tcPr>
          <w:p w:rsidR="00BC7438" w:rsidRDefault="00CF2AB6">
            <w:pPr>
              <w:pStyle w:val="TableParagraph"/>
              <w:ind w:left="248" w:right="248"/>
              <w:rPr>
                <w:sz w:val="16"/>
              </w:rPr>
            </w:pPr>
            <w:r>
              <w:rPr>
                <w:sz w:val="16"/>
              </w:rPr>
              <w:t>1.9%</w:t>
            </w:r>
          </w:p>
        </w:tc>
      </w:tr>
      <w:tr w:rsidR="00BC7438">
        <w:trPr>
          <w:trHeight w:hRule="exact" w:val="304"/>
        </w:trPr>
        <w:tc>
          <w:tcPr>
            <w:tcW w:w="960" w:type="dxa"/>
          </w:tcPr>
          <w:p w:rsidR="00BC7438" w:rsidRDefault="00CF2AB6">
            <w:pPr>
              <w:pStyle w:val="TableParagraph"/>
              <w:ind w:left="162" w:right="162"/>
              <w:rPr>
                <w:sz w:val="16"/>
              </w:rPr>
            </w:pPr>
            <w:r>
              <w:rPr>
                <w:sz w:val="16"/>
              </w:rPr>
              <w:t>FY 2016</w:t>
            </w:r>
          </w:p>
        </w:tc>
        <w:tc>
          <w:tcPr>
            <w:tcW w:w="1744" w:type="dxa"/>
          </w:tcPr>
          <w:p w:rsidR="00BC7438" w:rsidRDefault="00CF2AB6">
            <w:pPr>
              <w:pStyle w:val="TableParagraph"/>
              <w:ind w:left="663"/>
              <w:jc w:val="left"/>
              <w:rPr>
                <w:sz w:val="16"/>
              </w:rPr>
            </w:pPr>
            <w:r>
              <w:rPr>
                <w:sz w:val="16"/>
              </w:rPr>
              <w:t>6,211</w:t>
            </w:r>
          </w:p>
        </w:tc>
        <w:tc>
          <w:tcPr>
            <w:tcW w:w="1262" w:type="dxa"/>
          </w:tcPr>
          <w:p w:rsidR="00BC7438" w:rsidRDefault="00CF2AB6">
            <w:pPr>
              <w:pStyle w:val="TableParagraph"/>
              <w:ind w:left="195" w:right="196"/>
              <w:rPr>
                <w:sz w:val="16"/>
              </w:rPr>
            </w:pPr>
            <w:r>
              <w:rPr>
                <w:sz w:val="16"/>
              </w:rPr>
              <w:t>30.3%</w:t>
            </w:r>
          </w:p>
        </w:tc>
        <w:tc>
          <w:tcPr>
            <w:tcW w:w="822" w:type="dxa"/>
          </w:tcPr>
          <w:p w:rsidR="00BC7438" w:rsidRDefault="00CF2AB6">
            <w:pPr>
              <w:pStyle w:val="TableParagraph"/>
              <w:ind w:left="147" w:right="148"/>
              <w:rPr>
                <w:sz w:val="16"/>
              </w:rPr>
            </w:pPr>
            <w:r>
              <w:rPr>
                <w:sz w:val="16"/>
              </w:rPr>
              <w:t>42.6%</w:t>
            </w:r>
          </w:p>
        </w:tc>
        <w:tc>
          <w:tcPr>
            <w:tcW w:w="1466" w:type="dxa"/>
          </w:tcPr>
          <w:p w:rsidR="00BC7438" w:rsidRDefault="00CF2AB6">
            <w:pPr>
              <w:pStyle w:val="TableParagraph"/>
              <w:ind w:left="217" w:right="218"/>
              <w:rPr>
                <w:sz w:val="16"/>
              </w:rPr>
            </w:pPr>
            <w:r>
              <w:rPr>
                <w:sz w:val="16"/>
              </w:rPr>
              <w:t>10.0%</w:t>
            </w:r>
          </w:p>
        </w:tc>
        <w:tc>
          <w:tcPr>
            <w:tcW w:w="808" w:type="dxa"/>
          </w:tcPr>
          <w:p w:rsidR="00BC7438" w:rsidRDefault="00CF2AB6">
            <w:pPr>
              <w:pStyle w:val="TableParagraph"/>
              <w:ind w:left="145" w:right="145"/>
              <w:rPr>
                <w:sz w:val="16"/>
              </w:rPr>
            </w:pPr>
            <w:r>
              <w:rPr>
                <w:sz w:val="16"/>
              </w:rPr>
              <w:t>3.6%</w:t>
            </w:r>
          </w:p>
        </w:tc>
        <w:tc>
          <w:tcPr>
            <w:tcW w:w="871" w:type="dxa"/>
          </w:tcPr>
          <w:p w:rsidR="00BC7438" w:rsidRDefault="00CF2AB6">
            <w:pPr>
              <w:pStyle w:val="TableParagraph"/>
              <w:ind w:right="190"/>
              <w:jc w:val="right"/>
              <w:rPr>
                <w:sz w:val="16"/>
              </w:rPr>
            </w:pPr>
            <w:r>
              <w:rPr>
                <w:sz w:val="16"/>
              </w:rPr>
              <w:t>69.2%</w:t>
            </w:r>
          </w:p>
        </w:tc>
        <w:tc>
          <w:tcPr>
            <w:tcW w:w="2615" w:type="dxa"/>
          </w:tcPr>
          <w:p w:rsidR="00BC7438" w:rsidRDefault="00CF2AB6">
            <w:pPr>
              <w:pStyle w:val="TableParagraph"/>
              <w:ind w:left="343" w:right="344"/>
              <w:rPr>
                <w:sz w:val="16"/>
              </w:rPr>
            </w:pPr>
            <w:r>
              <w:rPr>
                <w:sz w:val="16"/>
              </w:rPr>
              <w:t>7.2%</w:t>
            </w:r>
          </w:p>
        </w:tc>
        <w:tc>
          <w:tcPr>
            <w:tcW w:w="1508" w:type="dxa"/>
          </w:tcPr>
          <w:p w:rsidR="00BC7438" w:rsidRDefault="00CF2AB6">
            <w:pPr>
              <w:pStyle w:val="TableParagraph"/>
              <w:ind w:left="221" w:right="222"/>
              <w:rPr>
                <w:sz w:val="16"/>
              </w:rPr>
            </w:pPr>
            <w:r>
              <w:rPr>
                <w:sz w:val="16"/>
              </w:rPr>
              <w:t>33.7%</w:t>
            </w:r>
          </w:p>
        </w:tc>
        <w:tc>
          <w:tcPr>
            <w:tcW w:w="1742" w:type="dxa"/>
          </w:tcPr>
          <w:p w:rsidR="00BC7438" w:rsidRDefault="00CF2AB6">
            <w:pPr>
              <w:pStyle w:val="TableParagraph"/>
              <w:ind w:left="248" w:right="248"/>
              <w:rPr>
                <w:sz w:val="16"/>
              </w:rPr>
            </w:pPr>
            <w:r>
              <w:rPr>
                <w:sz w:val="16"/>
              </w:rPr>
              <w:t>2.2%</w:t>
            </w:r>
          </w:p>
        </w:tc>
      </w:tr>
      <w:tr w:rsidR="00BC7438">
        <w:trPr>
          <w:trHeight w:hRule="exact" w:val="304"/>
        </w:trPr>
        <w:tc>
          <w:tcPr>
            <w:tcW w:w="960" w:type="dxa"/>
          </w:tcPr>
          <w:p w:rsidR="00BC7438" w:rsidRDefault="00CF2AB6">
            <w:pPr>
              <w:pStyle w:val="TableParagraph"/>
              <w:ind w:left="162" w:right="162"/>
              <w:rPr>
                <w:sz w:val="16"/>
              </w:rPr>
            </w:pPr>
            <w:r>
              <w:rPr>
                <w:sz w:val="16"/>
              </w:rPr>
              <w:t>FY 2017</w:t>
            </w:r>
          </w:p>
        </w:tc>
        <w:tc>
          <w:tcPr>
            <w:tcW w:w="1744" w:type="dxa"/>
          </w:tcPr>
          <w:p w:rsidR="00BC7438" w:rsidRDefault="00CF2AB6">
            <w:pPr>
              <w:pStyle w:val="TableParagraph"/>
              <w:ind w:left="663"/>
              <w:jc w:val="left"/>
              <w:rPr>
                <w:sz w:val="16"/>
              </w:rPr>
            </w:pPr>
            <w:r>
              <w:rPr>
                <w:sz w:val="16"/>
              </w:rPr>
              <w:t>7,065</w:t>
            </w:r>
          </w:p>
        </w:tc>
        <w:tc>
          <w:tcPr>
            <w:tcW w:w="1262" w:type="dxa"/>
          </w:tcPr>
          <w:p w:rsidR="00BC7438" w:rsidRDefault="00CF2AB6">
            <w:pPr>
              <w:pStyle w:val="TableParagraph"/>
              <w:ind w:left="195" w:right="196"/>
              <w:rPr>
                <w:sz w:val="16"/>
              </w:rPr>
            </w:pPr>
            <w:r>
              <w:rPr>
                <w:sz w:val="16"/>
              </w:rPr>
              <w:t>28.6%</w:t>
            </w:r>
          </w:p>
        </w:tc>
        <w:tc>
          <w:tcPr>
            <w:tcW w:w="822" w:type="dxa"/>
          </w:tcPr>
          <w:p w:rsidR="00BC7438" w:rsidRDefault="00CF2AB6">
            <w:pPr>
              <w:pStyle w:val="TableParagraph"/>
              <w:ind w:left="147" w:right="148"/>
              <w:rPr>
                <w:sz w:val="16"/>
              </w:rPr>
            </w:pPr>
            <w:r>
              <w:rPr>
                <w:sz w:val="16"/>
              </w:rPr>
              <w:t>42.1%</w:t>
            </w:r>
          </w:p>
        </w:tc>
        <w:tc>
          <w:tcPr>
            <w:tcW w:w="1466" w:type="dxa"/>
          </w:tcPr>
          <w:p w:rsidR="00BC7438" w:rsidRDefault="00CF2AB6">
            <w:pPr>
              <w:pStyle w:val="TableParagraph"/>
              <w:ind w:left="218" w:right="218"/>
              <w:rPr>
                <w:sz w:val="16"/>
              </w:rPr>
            </w:pPr>
            <w:r>
              <w:rPr>
                <w:sz w:val="16"/>
              </w:rPr>
              <w:t>9.2%</w:t>
            </w:r>
          </w:p>
        </w:tc>
        <w:tc>
          <w:tcPr>
            <w:tcW w:w="808" w:type="dxa"/>
          </w:tcPr>
          <w:p w:rsidR="00BC7438" w:rsidRDefault="00CF2AB6">
            <w:pPr>
              <w:pStyle w:val="TableParagraph"/>
              <w:ind w:left="145" w:right="145"/>
              <w:rPr>
                <w:sz w:val="16"/>
              </w:rPr>
            </w:pPr>
            <w:r>
              <w:rPr>
                <w:sz w:val="16"/>
              </w:rPr>
              <w:t>2.7%</w:t>
            </w:r>
          </w:p>
        </w:tc>
        <w:tc>
          <w:tcPr>
            <w:tcW w:w="871" w:type="dxa"/>
          </w:tcPr>
          <w:p w:rsidR="00BC7438" w:rsidRDefault="00CF2AB6">
            <w:pPr>
              <w:pStyle w:val="TableParagraph"/>
              <w:ind w:right="190"/>
              <w:jc w:val="right"/>
              <w:rPr>
                <w:sz w:val="16"/>
              </w:rPr>
            </w:pPr>
            <w:r>
              <w:rPr>
                <w:sz w:val="16"/>
              </w:rPr>
              <w:t>69.6%</w:t>
            </w:r>
          </w:p>
        </w:tc>
        <w:tc>
          <w:tcPr>
            <w:tcW w:w="2615" w:type="dxa"/>
          </w:tcPr>
          <w:p w:rsidR="00BC7438" w:rsidRDefault="00CF2AB6">
            <w:pPr>
              <w:pStyle w:val="TableParagraph"/>
              <w:ind w:left="343" w:right="344"/>
              <w:rPr>
                <w:sz w:val="16"/>
              </w:rPr>
            </w:pPr>
            <w:r>
              <w:rPr>
                <w:sz w:val="16"/>
              </w:rPr>
              <w:t>7.1%</w:t>
            </w:r>
          </w:p>
        </w:tc>
        <w:tc>
          <w:tcPr>
            <w:tcW w:w="1508" w:type="dxa"/>
          </w:tcPr>
          <w:p w:rsidR="00BC7438" w:rsidRDefault="00CF2AB6">
            <w:pPr>
              <w:pStyle w:val="TableParagraph"/>
              <w:ind w:left="221" w:right="222"/>
              <w:rPr>
                <w:sz w:val="16"/>
              </w:rPr>
            </w:pPr>
            <w:r>
              <w:rPr>
                <w:sz w:val="16"/>
              </w:rPr>
              <w:t>35.9%</w:t>
            </w:r>
          </w:p>
        </w:tc>
        <w:tc>
          <w:tcPr>
            <w:tcW w:w="1742" w:type="dxa"/>
          </w:tcPr>
          <w:p w:rsidR="00BC7438" w:rsidRDefault="00CF2AB6">
            <w:pPr>
              <w:pStyle w:val="TableParagraph"/>
              <w:ind w:left="248" w:right="248"/>
              <w:rPr>
                <w:sz w:val="16"/>
              </w:rPr>
            </w:pPr>
            <w:r>
              <w:rPr>
                <w:sz w:val="16"/>
              </w:rPr>
              <w:t>2.3%</w:t>
            </w:r>
          </w:p>
        </w:tc>
      </w:tr>
    </w:tbl>
    <w:p w:rsidR="00833D33" w:rsidRDefault="00743F8C" w:rsidP="00833D33">
      <w:pPr>
        <w:spacing w:before="75"/>
        <w:rPr>
          <w:b/>
          <w:sz w:val="16"/>
        </w:rPr>
      </w:pPr>
      <w:r>
        <w:pict>
          <v:group id="_x0000_s1036" style="position:absolute;margin-left:36pt;margin-top:36pt;width:698.4pt;height:91.5pt;z-index:-44512;mso-position-horizontal-relative:page;mso-position-vertical-relative:page" coordorigin="720,720" coordsize="13968,1830">
            <v:rect id="_x0000_s1038" style="position:absolute;left:788;top:787;width:13833;height:1695" filled="f" strokecolor="navy" strokeweight="2.25pt"/>
            <v:rect id="_x0000_s1037" style="position:absolute;left:743;top:742;width:13923;height:1785" filled="f" strokecolor="green" strokeweight="2.25pt"/>
            <w10:wrap anchorx="page" anchory="page"/>
          </v:group>
        </w:pict>
      </w:r>
    </w:p>
    <w:p w:rsidR="00BC7438" w:rsidRPr="00833D33" w:rsidRDefault="00CF2AB6" w:rsidP="00833D33">
      <w:pPr>
        <w:pStyle w:val="ListParagraph"/>
        <w:numPr>
          <w:ilvl w:val="0"/>
          <w:numId w:val="3"/>
        </w:numPr>
        <w:spacing w:before="75"/>
        <w:rPr>
          <w:b/>
          <w:sz w:val="16"/>
        </w:rPr>
      </w:pPr>
      <w:r w:rsidRPr="00833D33">
        <w:rPr>
          <w:b/>
          <w:sz w:val="16"/>
        </w:rPr>
        <w:t xml:space="preserve"> Drug Categories:</w:t>
      </w:r>
    </w:p>
    <w:p w:rsidR="00BC7438" w:rsidRDefault="00CF2AB6">
      <w:pPr>
        <w:spacing w:before="1"/>
        <w:ind w:left="370"/>
        <w:rPr>
          <w:i/>
          <w:sz w:val="16"/>
        </w:rPr>
      </w:pPr>
      <w:r>
        <w:rPr>
          <w:b/>
          <w:i/>
          <w:sz w:val="16"/>
        </w:rPr>
        <w:t xml:space="preserve">Other Opioids </w:t>
      </w:r>
      <w:r>
        <w:rPr>
          <w:i/>
          <w:sz w:val="16"/>
        </w:rPr>
        <w:t>includes: Prescription and Non Prescription Opioids.</w:t>
      </w:r>
    </w:p>
    <w:p w:rsidR="00BC7438" w:rsidRDefault="00CF2AB6">
      <w:pPr>
        <w:spacing w:before="1"/>
        <w:ind w:left="370"/>
        <w:rPr>
          <w:i/>
          <w:sz w:val="16"/>
        </w:rPr>
      </w:pPr>
      <w:r>
        <w:rPr>
          <w:b/>
          <w:i/>
          <w:sz w:val="16"/>
        </w:rPr>
        <w:t xml:space="preserve">Other </w:t>
      </w:r>
      <w:r>
        <w:rPr>
          <w:i/>
          <w:sz w:val="16"/>
        </w:rPr>
        <w:t>includes: PCP, Other Hallucinogens, Inhalants, OTC, and Other.</w:t>
      </w:r>
    </w:p>
    <w:p w:rsidR="00BC7438" w:rsidRDefault="00CF2AB6">
      <w:pPr>
        <w:spacing w:before="1"/>
        <w:ind w:left="370"/>
        <w:rPr>
          <w:i/>
          <w:sz w:val="16"/>
        </w:rPr>
      </w:pPr>
      <w:r>
        <w:rPr>
          <w:b/>
          <w:i/>
          <w:sz w:val="16"/>
        </w:rPr>
        <w:t xml:space="preserve">Other Sedatives/Hypnotics </w:t>
      </w:r>
      <w:r>
        <w:rPr>
          <w:i/>
          <w:sz w:val="16"/>
        </w:rPr>
        <w:t>includes: Benzodiazepines, Other Tranquilizers, Barbituates, and Other Sedatives.</w:t>
      </w:r>
    </w:p>
    <w:p w:rsidR="00BC7438" w:rsidRDefault="00CF2AB6">
      <w:pPr>
        <w:spacing w:before="1"/>
        <w:ind w:left="370"/>
        <w:rPr>
          <w:i/>
          <w:sz w:val="16"/>
        </w:rPr>
      </w:pPr>
      <w:r>
        <w:rPr>
          <w:b/>
          <w:i/>
          <w:sz w:val="16"/>
        </w:rPr>
        <w:t xml:space="preserve">Other Stimulants </w:t>
      </w:r>
      <w:r>
        <w:rPr>
          <w:i/>
          <w:sz w:val="16"/>
        </w:rPr>
        <w:t>includes: Methamphetamine, Other Amphetamines, Other Stimulants, and Club Drugs.</w:t>
      </w:r>
    </w:p>
    <w:p w:rsidR="00BC7438" w:rsidRDefault="00CF2AB6">
      <w:pPr>
        <w:spacing w:before="1"/>
        <w:ind w:left="175"/>
        <w:rPr>
          <w:i/>
          <w:sz w:val="16"/>
        </w:rPr>
      </w:pPr>
      <w:r>
        <w:rPr>
          <w:i/>
          <w:sz w:val="16"/>
        </w:rPr>
        <w:t>- The total admissions reported in this table may vary from the total admissions for Black, African American admissions; for additional information, please refer to the appendix.</w:t>
      </w:r>
    </w:p>
    <w:p w:rsidR="00BC7438" w:rsidRDefault="00BC7438">
      <w:pPr>
        <w:pStyle w:val="BodyText"/>
        <w:spacing w:before="1"/>
        <w:rPr>
          <w:i/>
          <w:sz w:val="16"/>
        </w:rPr>
      </w:pPr>
    </w:p>
    <w:p w:rsidR="00BC7438" w:rsidRDefault="00CF2AB6">
      <w:pPr>
        <w:spacing w:before="1"/>
        <w:ind w:left="175"/>
        <w:rPr>
          <w:i/>
          <w:sz w:val="16"/>
        </w:rPr>
      </w:pPr>
      <w:r>
        <w:rPr>
          <w:i/>
          <w:sz w:val="16"/>
        </w:rPr>
        <w:t>* Poly-substance use refers to either the use of multiple substances at the same time, or the use of multiple drugs during a specified time frame.</w:t>
      </w:r>
    </w:p>
    <w:p w:rsidR="00BC7438" w:rsidRDefault="00BC7438">
      <w:pPr>
        <w:rPr>
          <w:sz w:val="16"/>
        </w:rPr>
        <w:sectPr w:rsidR="00BC7438">
          <w:pgSz w:w="15410" w:h="20160"/>
          <w:pgMar w:top="0" w:right="600" w:bottom="860" w:left="620" w:header="0" w:footer="661" w:gutter="0"/>
          <w:cols w:space="720"/>
        </w:sectPr>
      </w:pPr>
    </w:p>
    <w:tbl>
      <w:tblPr>
        <w:tblW w:w="0" w:type="auto"/>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0"/>
        <w:gridCol w:w="954"/>
        <w:gridCol w:w="1117"/>
        <w:gridCol w:w="1086"/>
        <w:gridCol w:w="965"/>
        <w:gridCol w:w="1640"/>
        <w:gridCol w:w="1034"/>
        <w:gridCol w:w="1319"/>
        <w:gridCol w:w="916"/>
        <w:gridCol w:w="1033"/>
        <w:gridCol w:w="954"/>
        <w:gridCol w:w="816"/>
        <w:gridCol w:w="934"/>
      </w:tblGrid>
      <w:tr w:rsidR="00BC7438">
        <w:trPr>
          <w:trHeight w:hRule="exact" w:val="4493"/>
        </w:trPr>
        <w:tc>
          <w:tcPr>
            <w:tcW w:w="13798" w:type="dxa"/>
            <w:gridSpan w:val="13"/>
            <w:tcBorders>
              <w:top w:val="nil"/>
              <w:left w:val="nil"/>
              <w:right w:val="nil"/>
            </w:tcBorders>
          </w:tcPr>
          <w:p w:rsidR="00BC7438" w:rsidRDefault="00BC7438">
            <w:pPr>
              <w:pStyle w:val="TableParagraph"/>
              <w:spacing w:before="0"/>
              <w:jc w:val="left"/>
              <w:rPr>
                <w:i/>
                <w:sz w:val="28"/>
              </w:rPr>
            </w:pPr>
          </w:p>
          <w:p w:rsidR="00BC7438" w:rsidRDefault="00BC7438">
            <w:pPr>
              <w:pStyle w:val="TableParagraph"/>
              <w:spacing w:before="0"/>
              <w:jc w:val="left"/>
              <w:rPr>
                <w:i/>
                <w:sz w:val="28"/>
              </w:rPr>
            </w:pPr>
          </w:p>
          <w:p w:rsidR="00BC7438" w:rsidRDefault="00BC7438">
            <w:pPr>
              <w:pStyle w:val="TableParagraph"/>
              <w:spacing w:before="0"/>
              <w:jc w:val="left"/>
              <w:rPr>
                <w:i/>
                <w:sz w:val="28"/>
              </w:rPr>
            </w:pPr>
          </w:p>
          <w:p w:rsidR="00BC7438" w:rsidRDefault="00CF2AB6">
            <w:pPr>
              <w:pStyle w:val="TableParagraph"/>
              <w:spacing w:before="186"/>
              <w:ind w:left="3992" w:right="3992"/>
              <w:rPr>
                <w:b/>
                <w:sz w:val="24"/>
              </w:rPr>
            </w:pPr>
            <w:r>
              <w:rPr>
                <w:b/>
                <w:sz w:val="24"/>
              </w:rPr>
              <w:t>Description of Admissions</w:t>
            </w:r>
          </w:p>
          <w:p w:rsidR="00BC7438" w:rsidRDefault="00CF2AB6">
            <w:pPr>
              <w:pStyle w:val="TableParagraph"/>
              <w:spacing w:before="0"/>
              <w:ind w:left="3995" w:right="3992"/>
              <w:rPr>
                <w:b/>
                <w:sz w:val="24"/>
              </w:rPr>
            </w:pPr>
            <w:r>
              <w:rPr>
                <w:b/>
                <w:sz w:val="24"/>
              </w:rPr>
              <w:t>Fact Sheet - Black, African American Admissions FY 2017</w:t>
            </w:r>
          </w:p>
          <w:p w:rsidR="00BC7438" w:rsidRDefault="00BC7438">
            <w:pPr>
              <w:pStyle w:val="TableParagraph"/>
              <w:spacing w:before="0"/>
              <w:jc w:val="left"/>
              <w:rPr>
                <w:i/>
                <w:sz w:val="28"/>
              </w:rPr>
            </w:pPr>
          </w:p>
          <w:p w:rsidR="00BC7438" w:rsidRDefault="00BC7438">
            <w:pPr>
              <w:pStyle w:val="TableParagraph"/>
              <w:spacing w:before="0"/>
              <w:jc w:val="left"/>
              <w:rPr>
                <w:i/>
                <w:sz w:val="28"/>
              </w:rPr>
            </w:pPr>
          </w:p>
          <w:p w:rsidR="00BC7438" w:rsidRDefault="00BC7438">
            <w:pPr>
              <w:pStyle w:val="TableParagraph"/>
              <w:spacing w:before="9"/>
              <w:jc w:val="left"/>
              <w:rPr>
                <w:i/>
                <w:sz w:val="24"/>
              </w:rPr>
            </w:pPr>
          </w:p>
          <w:p w:rsidR="00BC7438" w:rsidRDefault="00CF2AB6">
            <w:pPr>
              <w:pStyle w:val="TableParagraph"/>
              <w:spacing w:before="0"/>
              <w:ind w:left="3992" w:right="3992"/>
              <w:rPr>
                <w:b/>
              </w:rPr>
            </w:pPr>
            <w:r>
              <w:rPr>
                <w:b/>
              </w:rPr>
              <w:t>Service Utilization</w:t>
            </w:r>
          </w:p>
          <w:p w:rsidR="00BC7438" w:rsidRDefault="00CF2AB6">
            <w:pPr>
              <w:pStyle w:val="TableParagraph"/>
              <w:spacing w:before="150"/>
              <w:ind w:left="-10"/>
              <w:jc w:val="left"/>
              <w:rPr>
                <w:b/>
                <w:sz w:val="20"/>
              </w:rPr>
            </w:pPr>
            <w:r>
              <w:rPr>
                <w:b/>
                <w:sz w:val="20"/>
                <w:u w:val="single"/>
              </w:rPr>
              <w:t>Service Utilization</w:t>
            </w:r>
          </w:p>
          <w:p w:rsidR="00BC7438" w:rsidRDefault="00CF2AB6">
            <w:pPr>
              <w:pStyle w:val="TableParagraph"/>
              <w:spacing w:before="0"/>
              <w:ind w:left="-10"/>
              <w:jc w:val="left"/>
              <w:rPr>
                <w:sz w:val="20"/>
              </w:rPr>
            </w:pPr>
            <w:r>
              <w:rPr>
                <w:sz w:val="20"/>
              </w:rPr>
              <w:t>Table 3 contains a list of the types of services utilized by Black, African American admissions.</w:t>
            </w:r>
          </w:p>
          <w:p w:rsidR="00BC7438" w:rsidRDefault="00CF2AB6">
            <w:pPr>
              <w:pStyle w:val="TableParagraph"/>
              <w:spacing w:before="150"/>
              <w:ind w:left="3991" w:right="3992"/>
              <w:rPr>
                <w:b/>
                <w:sz w:val="16"/>
              </w:rPr>
            </w:pPr>
            <w:r>
              <w:rPr>
                <w:b/>
                <w:sz w:val="16"/>
              </w:rPr>
              <w:t>Table 3</w:t>
            </w:r>
          </w:p>
          <w:p w:rsidR="00BC7438" w:rsidRDefault="00CF2AB6">
            <w:pPr>
              <w:pStyle w:val="TableParagraph"/>
              <w:spacing w:before="1"/>
              <w:ind w:left="3992" w:right="3992"/>
              <w:rPr>
                <w:b/>
                <w:sz w:val="16"/>
              </w:rPr>
            </w:pPr>
            <w:r>
              <w:rPr>
                <w:b/>
                <w:sz w:val="16"/>
              </w:rPr>
              <w:t>Service Category Trend: FY 2008 - FY 2017</w:t>
            </w:r>
          </w:p>
        </w:tc>
      </w:tr>
      <w:tr w:rsidR="00BC7438">
        <w:trPr>
          <w:trHeight w:hRule="exact" w:val="692"/>
        </w:trPr>
        <w:tc>
          <w:tcPr>
            <w:tcW w:w="1030" w:type="dxa"/>
          </w:tcPr>
          <w:p w:rsidR="00BC7438" w:rsidRDefault="00BC7438"/>
        </w:tc>
        <w:tc>
          <w:tcPr>
            <w:tcW w:w="954" w:type="dxa"/>
          </w:tcPr>
          <w:p w:rsidR="00BC7438" w:rsidRDefault="00CF2AB6">
            <w:pPr>
              <w:pStyle w:val="TableParagraph"/>
              <w:ind w:left="75" w:right="56" w:firstLine="214"/>
              <w:jc w:val="left"/>
              <w:rPr>
                <w:sz w:val="16"/>
              </w:rPr>
            </w:pPr>
            <w:r>
              <w:rPr>
                <w:sz w:val="16"/>
              </w:rPr>
              <w:t>Total Admissions</w:t>
            </w:r>
          </w:p>
        </w:tc>
        <w:tc>
          <w:tcPr>
            <w:tcW w:w="1117" w:type="dxa"/>
          </w:tcPr>
          <w:p w:rsidR="00BC7438" w:rsidRDefault="00CF2AB6">
            <w:pPr>
              <w:pStyle w:val="TableParagraph"/>
              <w:ind w:left="181" w:right="179" w:firstLine="1"/>
              <w:rPr>
                <w:sz w:val="16"/>
              </w:rPr>
            </w:pPr>
            <w:r>
              <w:rPr>
                <w:sz w:val="16"/>
              </w:rPr>
              <w:t>Acute Treatment Services</w:t>
            </w:r>
          </w:p>
        </w:tc>
        <w:tc>
          <w:tcPr>
            <w:tcW w:w="1086" w:type="dxa"/>
          </w:tcPr>
          <w:p w:rsidR="00BC7438" w:rsidRDefault="00CF2AB6">
            <w:pPr>
              <w:pStyle w:val="TableParagraph"/>
              <w:ind w:left="75" w:right="56" w:firstLine="290"/>
              <w:jc w:val="left"/>
              <w:rPr>
                <w:sz w:val="16"/>
              </w:rPr>
            </w:pPr>
            <w:r>
              <w:rPr>
                <w:sz w:val="16"/>
              </w:rPr>
              <w:t>Case Management</w:t>
            </w:r>
          </w:p>
        </w:tc>
        <w:tc>
          <w:tcPr>
            <w:tcW w:w="965" w:type="dxa"/>
          </w:tcPr>
          <w:p w:rsidR="00BC7438" w:rsidRDefault="00CF2AB6">
            <w:pPr>
              <w:pStyle w:val="TableParagraph"/>
              <w:ind w:left="75" w:right="56" w:firstLine="150"/>
              <w:jc w:val="left"/>
              <w:rPr>
                <w:sz w:val="16"/>
              </w:rPr>
            </w:pPr>
            <w:r>
              <w:rPr>
                <w:sz w:val="16"/>
              </w:rPr>
              <w:t>County Corrections</w:t>
            </w:r>
          </w:p>
        </w:tc>
        <w:tc>
          <w:tcPr>
            <w:tcW w:w="1640" w:type="dxa"/>
          </w:tcPr>
          <w:p w:rsidR="00BC7438" w:rsidRDefault="00CF2AB6">
            <w:pPr>
              <w:pStyle w:val="TableParagraph"/>
              <w:ind w:left="240" w:right="239" w:firstLine="1"/>
              <w:rPr>
                <w:sz w:val="16"/>
              </w:rPr>
            </w:pPr>
            <w:r>
              <w:rPr>
                <w:sz w:val="16"/>
              </w:rPr>
              <w:t>Engagement, Assessment and Referral</w:t>
            </w:r>
          </w:p>
        </w:tc>
        <w:tc>
          <w:tcPr>
            <w:tcW w:w="1034" w:type="dxa"/>
          </w:tcPr>
          <w:p w:rsidR="00BC7438" w:rsidRDefault="00CF2AB6">
            <w:pPr>
              <w:pStyle w:val="TableParagraph"/>
              <w:ind w:left="55" w:right="55"/>
              <w:rPr>
                <w:sz w:val="16"/>
              </w:rPr>
            </w:pPr>
            <w:r>
              <w:rPr>
                <w:sz w:val="16"/>
              </w:rPr>
              <w:t>Intervention</w:t>
            </w:r>
          </w:p>
        </w:tc>
        <w:tc>
          <w:tcPr>
            <w:tcW w:w="1319" w:type="dxa"/>
          </w:tcPr>
          <w:p w:rsidR="00BC7438" w:rsidRDefault="00CF2AB6">
            <w:pPr>
              <w:pStyle w:val="TableParagraph"/>
              <w:ind w:left="271" w:right="267"/>
              <w:rPr>
                <w:sz w:val="16"/>
              </w:rPr>
            </w:pPr>
            <w:r>
              <w:rPr>
                <w:sz w:val="16"/>
              </w:rPr>
              <w:t>Medication Assisted Treatment</w:t>
            </w:r>
          </w:p>
        </w:tc>
        <w:tc>
          <w:tcPr>
            <w:tcW w:w="916" w:type="dxa"/>
          </w:tcPr>
          <w:p w:rsidR="00BC7438" w:rsidRDefault="00CF2AB6">
            <w:pPr>
              <w:pStyle w:val="TableParagraph"/>
              <w:ind w:left="55" w:right="55"/>
              <w:rPr>
                <w:sz w:val="16"/>
              </w:rPr>
            </w:pPr>
            <w:r>
              <w:rPr>
                <w:sz w:val="16"/>
              </w:rPr>
              <w:t>Outpatient</w:t>
            </w:r>
          </w:p>
        </w:tc>
        <w:tc>
          <w:tcPr>
            <w:tcW w:w="1033" w:type="dxa"/>
          </w:tcPr>
          <w:p w:rsidR="00BC7438" w:rsidRDefault="00CF2AB6">
            <w:pPr>
              <w:pStyle w:val="TableParagraph"/>
              <w:ind w:left="83" w:right="64" w:firstLine="42"/>
              <w:jc w:val="left"/>
              <w:rPr>
                <w:sz w:val="16"/>
              </w:rPr>
            </w:pPr>
            <w:r>
              <w:rPr>
                <w:sz w:val="16"/>
              </w:rPr>
              <w:t>Post Detox Stabilization</w:t>
            </w:r>
          </w:p>
        </w:tc>
        <w:tc>
          <w:tcPr>
            <w:tcW w:w="954" w:type="dxa"/>
          </w:tcPr>
          <w:p w:rsidR="00BC7438" w:rsidRDefault="00CF2AB6">
            <w:pPr>
              <w:pStyle w:val="TableParagraph"/>
              <w:ind w:left="143" w:right="141"/>
              <w:rPr>
                <w:sz w:val="16"/>
              </w:rPr>
            </w:pPr>
            <w:r>
              <w:rPr>
                <w:sz w:val="16"/>
              </w:rPr>
              <w:t>Recovery High School</w:t>
            </w:r>
          </w:p>
        </w:tc>
        <w:tc>
          <w:tcPr>
            <w:tcW w:w="816" w:type="dxa"/>
          </w:tcPr>
          <w:p w:rsidR="00BC7438" w:rsidRDefault="00CF2AB6">
            <w:pPr>
              <w:pStyle w:val="TableParagraph"/>
              <w:ind w:left="121" w:right="55" w:hanging="46"/>
              <w:jc w:val="left"/>
              <w:rPr>
                <w:sz w:val="16"/>
              </w:rPr>
            </w:pPr>
            <w:r>
              <w:rPr>
                <w:sz w:val="16"/>
              </w:rPr>
              <w:t>Recovery Support</w:t>
            </w:r>
          </w:p>
        </w:tc>
        <w:tc>
          <w:tcPr>
            <w:tcW w:w="934" w:type="dxa"/>
          </w:tcPr>
          <w:p w:rsidR="00BC7438" w:rsidRDefault="00CF2AB6">
            <w:pPr>
              <w:pStyle w:val="TableParagraph"/>
              <w:ind w:left="55" w:right="55"/>
              <w:rPr>
                <w:sz w:val="16"/>
              </w:rPr>
            </w:pPr>
            <w:r>
              <w:rPr>
                <w:sz w:val="16"/>
              </w:rPr>
              <w:t>Residential</w:t>
            </w:r>
          </w:p>
        </w:tc>
      </w:tr>
      <w:tr w:rsidR="00BC7438">
        <w:trPr>
          <w:trHeight w:hRule="exact" w:val="304"/>
        </w:trPr>
        <w:tc>
          <w:tcPr>
            <w:tcW w:w="1030" w:type="dxa"/>
          </w:tcPr>
          <w:p w:rsidR="00BC7438" w:rsidRDefault="00CF2AB6">
            <w:pPr>
              <w:pStyle w:val="TableParagraph"/>
              <w:ind w:left="197" w:right="197"/>
              <w:rPr>
                <w:sz w:val="16"/>
              </w:rPr>
            </w:pPr>
            <w:r>
              <w:rPr>
                <w:sz w:val="16"/>
              </w:rPr>
              <w:t>FY 2008</w:t>
            </w:r>
          </w:p>
        </w:tc>
        <w:tc>
          <w:tcPr>
            <w:tcW w:w="954" w:type="dxa"/>
          </w:tcPr>
          <w:p w:rsidR="00BC7438" w:rsidRDefault="00CF2AB6">
            <w:pPr>
              <w:pStyle w:val="TableParagraph"/>
              <w:ind w:left="268"/>
              <w:jc w:val="left"/>
              <w:rPr>
                <w:sz w:val="16"/>
              </w:rPr>
            </w:pPr>
            <w:r>
              <w:rPr>
                <w:sz w:val="16"/>
              </w:rPr>
              <w:t>9,421</w:t>
            </w:r>
          </w:p>
        </w:tc>
        <w:tc>
          <w:tcPr>
            <w:tcW w:w="1117" w:type="dxa"/>
          </w:tcPr>
          <w:p w:rsidR="00BC7438" w:rsidRDefault="00CF2AB6">
            <w:pPr>
              <w:pStyle w:val="TableParagraph"/>
              <w:ind w:left="295" w:right="295"/>
              <w:rPr>
                <w:sz w:val="16"/>
              </w:rPr>
            </w:pPr>
            <w:r>
              <w:rPr>
                <w:sz w:val="16"/>
              </w:rPr>
              <w:t>37.0%</w:t>
            </w:r>
          </w:p>
        </w:tc>
        <w:tc>
          <w:tcPr>
            <w:tcW w:w="1086" w:type="dxa"/>
          </w:tcPr>
          <w:p w:rsidR="00BC7438" w:rsidRDefault="00CF2AB6">
            <w:pPr>
              <w:pStyle w:val="TableParagraph"/>
              <w:ind w:left="323" w:right="323"/>
              <w:rPr>
                <w:sz w:val="16"/>
              </w:rPr>
            </w:pPr>
            <w:r>
              <w:rPr>
                <w:sz w:val="16"/>
              </w:rPr>
              <w:t>6.9%</w:t>
            </w:r>
          </w:p>
        </w:tc>
        <w:tc>
          <w:tcPr>
            <w:tcW w:w="965" w:type="dxa"/>
          </w:tcPr>
          <w:p w:rsidR="00BC7438" w:rsidRDefault="00CF2AB6">
            <w:pPr>
              <w:pStyle w:val="TableParagraph"/>
              <w:ind w:right="281"/>
              <w:jc w:val="right"/>
              <w:rPr>
                <w:sz w:val="16"/>
              </w:rPr>
            </w:pPr>
            <w:r>
              <w:rPr>
                <w:sz w:val="16"/>
              </w:rPr>
              <w:t>5.5%</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0.0%</w:t>
            </w:r>
          </w:p>
        </w:tc>
        <w:tc>
          <w:tcPr>
            <w:tcW w:w="1319" w:type="dxa"/>
          </w:tcPr>
          <w:p w:rsidR="00BC7438" w:rsidRDefault="00CF2AB6">
            <w:pPr>
              <w:pStyle w:val="TableParagraph"/>
              <w:ind w:left="266" w:right="267"/>
              <w:rPr>
                <w:sz w:val="16"/>
              </w:rPr>
            </w:pPr>
            <w:r>
              <w:rPr>
                <w:sz w:val="16"/>
              </w:rPr>
              <w:t>2.6%</w:t>
            </w:r>
          </w:p>
        </w:tc>
        <w:tc>
          <w:tcPr>
            <w:tcW w:w="916" w:type="dxa"/>
          </w:tcPr>
          <w:p w:rsidR="00BC7438" w:rsidRDefault="00CF2AB6">
            <w:pPr>
              <w:pStyle w:val="TableParagraph"/>
              <w:ind w:left="54" w:right="55"/>
              <w:rPr>
                <w:sz w:val="16"/>
              </w:rPr>
            </w:pPr>
            <w:r>
              <w:rPr>
                <w:sz w:val="16"/>
              </w:rPr>
              <w:t>34.5%</w:t>
            </w:r>
          </w:p>
        </w:tc>
        <w:tc>
          <w:tcPr>
            <w:tcW w:w="1033" w:type="dxa"/>
          </w:tcPr>
          <w:p w:rsidR="00BC7438" w:rsidRDefault="00CF2AB6">
            <w:pPr>
              <w:pStyle w:val="TableParagraph"/>
              <w:ind w:left="316"/>
              <w:jc w:val="left"/>
              <w:rPr>
                <w:sz w:val="16"/>
              </w:rPr>
            </w:pPr>
            <w:r>
              <w:rPr>
                <w:sz w:val="16"/>
              </w:rPr>
              <w:t>4.9%</w:t>
            </w:r>
          </w:p>
        </w:tc>
        <w:tc>
          <w:tcPr>
            <w:tcW w:w="954" w:type="dxa"/>
          </w:tcPr>
          <w:p w:rsidR="00BC7438" w:rsidRDefault="00CF2AB6">
            <w:pPr>
              <w:pStyle w:val="TableParagraph"/>
              <w:ind w:left="141" w:right="141"/>
              <w:rPr>
                <w:sz w:val="16"/>
              </w:rPr>
            </w:pPr>
            <w:r>
              <w:rPr>
                <w:sz w:val="16"/>
              </w:rPr>
              <w:t>0.0%</w:t>
            </w:r>
          </w:p>
        </w:tc>
        <w:tc>
          <w:tcPr>
            <w:tcW w:w="816" w:type="dxa"/>
          </w:tcPr>
          <w:p w:rsidR="00BC7438" w:rsidRDefault="00CF2AB6">
            <w:pPr>
              <w:pStyle w:val="TableParagraph"/>
              <w:ind w:left="188" w:right="188"/>
              <w:rPr>
                <w:sz w:val="16"/>
              </w:rPr>
            </w:pPr>
            <w:r>
              <w:rPr>
                <w:sz w:val="16"/>
              </w:rPr>
              <w:t>0.0%</w:t>
            </w:r>
          </w:p>
        </w:tc>
        <w:tc>
          <w:tcPr>
            <w:tcW w:w="934" w:type="dxa"/>
          </w:tcPr>
          <w:p w:rsidR="00BC7438" w:rsidRDefault="00CF2AB6">
            <w:pPr>
              <w:pStyle w:val="TableParagraph"/>
              <w:ind w:left="55" w:right="55"/>
              <w:rPr>
                <w:sz w:val="16"/>
              </w:rPr>
            </w:pPr>
            <w:r>
              <w:rPr>
                <w:sz w:val="16"/>
              </w:rPr>
              <w:t>8.5%</w:t>
            </w:r>
          </w:p>
        </w:tc>
      </w:tr>
      <w:tr w:rsidR="00BC7438">
        <w:trPr>
          <w:trHeight w:hRule="exact" w:val="304"/>
        </w:trPr>
        <w:tc>
          <w:tcPr>
            <w:tcW w:w="1030" w:type="dxa"/>
          </w:tcPr>
          <w:p w:rsidR="00BC7438" w:rsidRDefault="00CF2AB6">
            <w:pPr>
              <w:pStyle w:val="TableParagraph"/>
              <w:ind w:left="197" w:right="197"/>
              <w:rPr>
                <w:sz w:val="16"/>
              </w:rPr>
            </w:pPr>
            <w:r>
              <w:rPr>
                <w:sz w:val="16"/>
              </w:rPr>
              <w:t>FY 2009</w:t>
            </w:r>
          </w:p>
        </w:tc>
        <w:tc>
          <w:tcPr>
            <w:tcW w:w="954" w:type="dxa"/>
          </w:tcPr>
          <w:p w:rsidR="00BC7438" w:rsidRDefault="00CF2AB6">
            <w:pPr>
              <w:pStyle w:val="TableParagraph"/>
              <w:ind w:left="268"/>
              <w:jc w:val="left"/>
              <w:rPr>
                <w:sz w:val="16"/>
              </w:rPr>
            </w:pPr>
            <w:r>
              <w:rPr>
                <w:sz w:val="16"/>
              </w:rPr>
              <w:t>8,861</w:t>
            </w:r>
          </w:p>
        </w:tc>
        <w:tc>
          <w:tcPr>
            <w:tcW w:w="1117" w:type="dxa"/>
          </w:tcPr>
          <w:p w:rsidR="00BC7438" w:rsidRDefault="00CF2AB6">
            <w:pPr>
              <w:pStyle w:val="TableParagraph"/>
              <w:ind w:left="295" w:right="295"/>
              <w:rPr>
                <w:sz w:val="16"/>
              </w:rPr>
            </w:pPr>
            <w:r>
              <w:rPr>
                <w:sz w:val="16"/>
              </w:rPr>
              <w:t>37.5%</w:t>
            </w:r>
          </w:p>
        </w:tc>
        <w:tc>
          <w:tcPr>
            <w:tcW w:w="1086" w:type="dxa"/>
          </w:tcPr>
          <w:p w:rsidR="00BC7438" w:rsidRDefault="00CF2AB6">
            <w:pPr>
              <w:pStyle w:val="TableParagraph"/>
              <w:ind w:left="323" w:right="323"/>
              <w:rPr>
                <w:sz w:val="16"/>
              </w:rPr>
            </w:pPr>
            <w:r>
              <w:rPr>
                <w:sz w:val="16"/>
              </w:rPr>
              <w:t>6.5%</w:t>
            </w:r>
          </w:p>
        </w:tc>
        <w:tc>
          <w:tcPr>
            <w:tcW w:w="965" w:type="dxa"/>
          </w:tcPr>
          <w:p w:rsidR="00BC7438" w:rsidRDefault="00CF2AB6">
            <w:pPr>
              <w:pStyle w:val="TableParagraph"/>
              <w:ind w:right="281"/>
              <w:jc w:val="right"/>
              <w:rPr>
                <w:sz w:val="16"/>
              </w:rPr>
            </w:pPr>
            <w:r>
              <w:rPr>
                <w:sz w:val="16"/>
              </w:rPr>
              <w:t>5.4%</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0.0%</w:t>
            </w:r>
          </w:p>
        </w:tc>
        <w:tc>
          <w:tcPr>
            <w:tcW w:w="1319" w:type="dxa"/>
          </w:tcPr>
          <w:p w:rsidR="00BC7438" w:rsidRDefault="00CF2AB6">
            <w:pPr>
              <w:pStyle w:val="TableParagraph"/>
              <w:ind w:left="266" w:right="267"/>
              <w:rPr>
                <w:sz w:val="16"/>
              </w:rPr>
            </w:pPr>
            <w:r>
              <w:rPr>
                <w:sz w:val="16"/>
              </w:rPr>
              <w:t>3.7%</w:t>
            </w:r>
          </w:p>
        </w:tc>
        <w:tc>
          <w:tcPr>
            <w:tcW w:w="916" w:type="dxa"/>
          </w:tcPr>
          <w:p w:rsidR="00BC7438" w:rsidRDefault="00CF2AB6">
            <w:pPr>
              <w:pStyle w:val="TableParagraph"/>
              <w:ind w:left="54" w:right="55"/>
              <w:rPr>
                <w:sz w:val="16"/>
              </w:rPr>
            </w:pPr>
            <w:r>
              <w:rPr>
                <w:sz w:val="16"/>
              </w:rPr>
              <w:t>33.6%</w:t>
            </w:r>
          </w:p>
        </w:tc>
        <w:tc>
          <w:tcPr>
            <w:tcW w:w="1033" w:type="dxa"/>
          </w:tcPr>
          <w:p w:rsidR="00BC7438" w:rsidRDefault="00CF2AB6">
            <w:pPr>
              <w:pStyle w:val="TableParagraph"/>
              <w:ind w:left="316"/>
              <w:jc w:val="left"/>
              <w:rPr>
                <w:sz w:val="16"/>
              </w:rPr>
            </w:pPr>
            <w:r>
              <w:rPr>
                <w:sz w:val="16"/>
              </w:rPr>
              <w:t>6.0%</w:t>
            </w:r>
          </w:p>
        </w:tc>
        <w:tc>
          <w:tcPr>
            <w:tcW w:w="954" w:type="dxa"/>
          </w:tcPr>
          <w:p w:rsidR="00BC7438" w:rsidRDefault="00CF2AB6">
            <w:pPr>
              <w:pStyle w:val="TableParagraph"/>
              <w:ind w:left="141" w:right="141"/>
              <w:rPr>
                <w:sz w:val="16"/>
              </w:rPr>
            </w:pPr>
            <w:r>
              <w:rPr>
                <w:sz w:val="16"/>
              </w:rPr>
              <w:t>0.0%</w:t>
            </w:r>
          </w:p>
        </w:tc>
        <w:tc>
          <w:tcPr>
            <w:tcW w:w="816" w:type="dxa"/>
          </w:tcPr>
          <w:p w:rsidR="00BC7438" w:rsidRDefault="00CF2AB6">
            <w:pPr>
              <w:pStyle w:val="TableParagraph"/>
              <w:rPr>
                <w:sz w:val="16"/>
              </w:rPr>
            </w:pPr>
            <w:r>
              <w:rPr>
                <w:sz w:val="16"/>
              </w:rPr>
              <w:t>*</w:t>
            </w:r>
          </w:p>
        </w:tc>
        <w:tc>
          <w:tcPr>
            <w:tcW w:w="934" w:type="dxa"/>
          </w:tcPr>
          <w:p w:rsidR="00BC7438" w:rsidRDefault="00CF2AB6">
            <w:pPr>
              <w:pStyle w:val="TableParagraph"/>
              <w:ind w:left="55" w:right="55"/>
              <w:rPr>
                <w:sz w:val="16"/>
              </w:rPr>
            </w:pPr>
            <w:r>
              <w:rPr>
                <w:sz w:val="16"/>
              </w:rPr>
              <w:t>7.3%</w:t>
            </w:r>
          </w:p>
        </w:tc>
      </w:tr>
      <w:tr w:rsidR="00BC7438">
        <w:trPr>
          <w:trHeight w:hRule="exact" w:val="304"/>
        </w:trPr>
        <w:tc>
          <w:tcPr>
            <w:tcW w:w="1030" w:type="dxa"/>
          </w:tcPr>
          <w:p w:rsidR="00BC7438" w:rsidRDefault="00CF2AB6">
            <w:pPr>
              <w:pStyle w:val="TableParagraph"/>
              <w:ind w:left="197" w:right="197"/>
              <w:rPr>
                <w:sz w:val="16"/>
              </w:rPr>
            </w:pPr>
            <w:r>
              <w:rPr>
                <w:sz w:val="16"/>
              </w:rPr>
              <w:t>FY 2010</w:t>
            </w:r>
          </w:p>
        </w:tc>
        <w:tc>
          <w:tcPr>
            <w:tcW w:w="954" w:type="dxa"/>
          </w:tcPr>
          <w:p w:rsidR="00BC7438" w:rsidRDefault="00CF2AB6">
            <w:pPr>
              <w:pStyle w:val="TableParagraph"/>
              <w:ind w:left="268"/>
              <w:jc w:val="left"/>
              <w:rPr>
                <w:sz w:val="16"/>
              </w:rPr>
            </w:pPr>
            <w:r>
              <w:rPr>
                <w:sz w:val="16"/>
              </w:rPr>
              <w:t>8,463</w:t>
            </w:r>
          </w:p>
        </w:tc>
        <w:tc>
          <w:tcPr>
            <w:tcW w:w="1117" w:type="dxa"/>
          </w:tcPr>
          <w:p w:rsidR="00BC7438" w:rsidRDefault="00CF2AB6">
            <w:pPr>
              <w:pStyle w:val="TableParagraph"/>
              <w:ind w:left="295" w:right="295"/>
              <w:rPr>
                <w:sz w:val="16"/>
              </w:rPr>
            </w:pPr>
            <w:r>
              <w:rPr>
                <w:sz w:val="16"/>
              </w:rPr>
              <w:t>35.3%</w:t>
            </w:r>
          </w:p>
        </w:tc>
        <w:tc>
          <w:tcPr>
            <w:tcW w:w="1086" w:type="dxa"/>
          </w:tcPr>
          <w:p w:rsidR="00BC7438" w:rsidRDefault="00CF2AB6">
            <w:pPr>
              <w:pStyle w:val="TableParagraph"/>
              <w:ind w:left="323" w:right="323"/>
              <w:rPr>
                <w:sz w:val="16"/>
              </w:rPr>
            </w:pPr>
            <w:r>
              <w:rPr>
                <w:sz w:val="16"/>
              </w:rPr>
              <w:t>5.8%</w:t>
            </w:r>
          </w:p>
        </w:tc>
        <w:tc>
          <w:tcPr>
            <w:tcW w:w="965" w:type="dxa"/>
          </w:tcPr>
          <w:p w:rsidR="00BC7438" w:rsidRDefault="00CF2AB6">
            <w:pPr>
              <w:pStyle w:val="TableParagraph"/>
              <w:ind w:right="281"/>
              <w:jc w:val="right"/>
              <w:rPr>
                <w:sz w:val="16"/>
              </w:rPr>
            </w:pPr>
            <w:r>
              <w:rPr>
                <w:sz w:val="16"/>
              </w:rPr>
              <w:t>5.3%</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0.0%</w:t>
            </w:r>
          </w:p>
        </w:tc>
        <w:tc>
          <w:tcPr>
            <w:tcW w:w="1319" w:type="dxa"/>
          </w:tcPr>
          <w:p w:rsidR="00BC7438" w:rsidRDefault="00CF2AB6">
            <w:pPr>
              <w:pStyle w:val="TableParagraph"/>
              <w:ind w:left="266" w:right="267"/>
              <w:rPr>
                <w:sz w:val="16"/>
              </w:rPr>
            </w:pPr>
            <w:r>
              <w:rPr>
                <w:sz w:val="16"/>
              </w:rPr>
              <w:t>3.3%</w:t>
            </w:r>
          </w:p>
        </w:tc>
        <w:tc>
          <w:tcPr>
            <w:tcW w:w="916" w:type="dxa"/>
          </w:tcPr>
          <w:p w:rsidR="00BC7438" w:rsidRDefault="00CF2AB6">
            <w:pPr>
              <w:pStyle w:val="TableParagraph"/>
              <w:ind w:left="54" w:right="55"/>
              <w:rPr>
                <w:sz w:val="16"/>
              </w:rPr>
            </w:pPr>
            <w:r>
              <w:rPr>
                <w:sz w:val="16"/>
              </w:rPr>
              <w:t>29.0%</w:t>
            </w:r>
          </w:p>
        </w:tc>
        <w:tc>
          <w:tcPr>
            <w:tcW w:w="1033" w:type="dxa"/>
          </w:tcPr>
          <w:p w:rsidR="00BC7438" w:rsidRDefault="00CF2AB6">
            <w:pPr>
              <w:pStyle w:val="TableParagraph"/>
              <w:ind w:left="316"/>
              <w:jc w:val="left"/>
              <w:rPr>
                <w:sz w:val="16"/>
              </w:rPr>
            </w:pPr>
            <w:r>
              <w:rPr>
                <w:sz w:val="16"/>
              </w:rPr>
              <w:t>9.5%</w:t>
            </w:r>
          </w:p>
        </w:tc>
        <w:tc>
          <w:tcPr>
            <w:tcW w:w="954" w:type="dxa"/>
          </w:tcPr>
          <w:p w:rsidR="00BC7438" w:rsidRDefault="00CF2AB6">
            <w:pPr>
              <w:pStyle w:val="TableParagraph"/>
              <w:ind w:left="141" w:right="141"/>
              <w:rPr>
                <w:sz w:val="16"/>
              </w:rPr>
            </w:pPr>
            <w:r>
              <w:rPr>
                <w:sz w:val="16"/>
              </w:rPr>
              <w:t>0.0%</w:t>
            </w:r>
          </w:p>
        </w:tc>
        <w:tc>
          <w:tcPr>
            <w:tcW w:w="816" w:type="dxa"/>
          </w:tcPr>
          <w:p w:rsidR="00BC7438" w:rsidRDefault="00CF2AB6">
            <w:pPr>
              <w:pStyle w:val="TableParagraph"/>
              <w:ind w:left="188" w:right="188"/>
              <w:rPr>
                <w:sz w:val="16"/>
              </w:rPr>
            </w:pPr>
            <w:r>
              <w:rPr>
                <w:sz w:val="16"/>
              </w:rPr>
              <w:t>3.7%</w:t>
            </w:r>
          </w:p>
        </w:tc>
        <w:tc>
          <w:tcPr>
            <w:tcW w:w="934" w:type="dxa"/>
          </w:tcPr>
          <w:p w:rsidR="00BC7438" w:rsidRDefault="00CF2AB6">
            <w:pPr>
              <w:pStyle w:val="TableParagraph"/>
              <w:ind w:left="55" w:right="55"/>
              <w:rPr>
                <w:sz w:val="16"/>
              </w:rPr>
            </w:pPr>
            <w:r>
              <w:rPr>
                <w:sz w:val="16"/>
              </w:rPr>
              <w:t>8.1%</w:t>
            </w:r>
          </w:p>
        </w:tc>
      </w:tr>
      <w:tr w:rsidR="00BC7438">
        <w:trPr>
          <w:trHeight w:hRule="exact" w:val="304"/>
        </w:trPr>
        <w:tc>
          <w:tcPr>
            <w:tcW w:w="1030" w:type="dxa"/>
          </w:tcPr>
          <w:p w:rsidR="00BC7438" w:rsidRDefault="00CF2AB6">
            <w:pPr>
              <w:pStyle w:val="TableParagraph"/>
              <w:ind w:left="197" w:right="197"/>
              <w:rPr>
                <w:sz w:val="16"/>
              </w:rPr>
            </w:pPr>
            <w:r>
              <w:rPr>
                <w:sz w:val="16"/>
              </w:rPr>
              <w:t>FY 2011</w:t>
            </w:r>
          </w:p>
        </w:tc>
        <w:tc>
          <w:tcPr>
            <w:tcW w:w="954" w:type="dxa"/>
          </w:tcPr>
          <w:p w:rsidR="00BC7438" w:rsidRDefault="00CF2AB6">
            <w:pPr>
              <w:pStyle w:val="TableParagraph"/>
              <w:ind w:left="268"/>
              <w:jc w:val="left"/>
              <w:rPr>
                <w:sz w:val="16"/>
              </w:rPr>
            </w:pPr>
            <w:r>
              <w:rPr>
                <w:sz w:val="16"/>
              </w:rPr>
              <w:t>7,701</w:t>
            </w:r>
          </w:p>
        </w:tc>
        <w:tc>
          <w:tcPr>
            <w:tcW w:w="1117" w:type="dxa"/>
          </w:tcPr>
          <w:p w:rsidR="00BC7438" w:rsidRDefault="00CF2AB6">
            <w:pPr>
              <w:pStyle w:val="TableParagraph"/>
              <w:ind w:left="295" w:right="295"/>
              <w:rPr>
                <w:sz w:val="16"/>
              </w:rPr>
            </w:pPr>
            <w:r>
              <w:rPr>
                <w:sz w:val="16"/>
              </w:rPr>
              <w:t>38.6%</w:t>
            </w:r>
          </w:p>
        </w:tc>
        <w:tc>
          <w:tcPr>
            <w:tcW w:w="1086" w:type="dxa"/>
          </w:tcPr>
          <w:p w:rsidR="00BC7438" w:rsidRDefault="00CF2AB6">
            <w:pPr>
              <w:pStyle w:val="TableParagraph"/>
              <w:ind w:left="323" w:right="323"/>
              <w:rPr>
                <w:sz w:val="16"/>
              </w:rPr>
            </w:pPr>
            <w:r>
              <w:rPr>
                <w:sz w:val="16"/>
              </w:rPr>
              <w:t>4.9%</w:t>
            </w:r>
          </w:p>
        </w:tc>
        <w:tc>
          <w:tcPr>
            <w:tcW w:w="965" w:type="dxa"/>
          </w:tcPr>
          <w:p w:rsidR="00BC7438" w:rsidRDefault="00CF2AB6">
            <w:pPr>
              <w:pStyle w:val="TableParagraph"/>
              <w:ind w:right="281"/>
              <w:jc w:val="right"/>
              <w:rPr>
                <w:sz w:val="16"/>
              </w:rPr>
            </w:pPr>
            <w:r>
              <w:rPr>
                <w:sz w:val="16"/>
              </w:rPr>
              <w:t>4.7%</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0.4%</w:t>
            </w:r>
          </w:p>
        </w:tc>
        <w:tc>
          <w:tcPr>
            <w:tcW w:w="1319" w:type="dxa"/>
          </w:tcPr>
          <w:p w:rsidR="00BC7438" w:rsidRDefault="00CF2AB6">
            <w:pPr>
              <w:pStyle w:val="TableParagraph"/>
              <w:ind w:left="266" w:right="267"/>
              <w:rPr>
                <w:sz w:val="16"/>
              </w:rPr>
            </w:pPr>
            <w:r>
              <w:rPr>
                <w:sz w:val="16"/>
              </w:rPr>
              <w:t>3.3%</w:t>
            </w:r>
          </w:p>
        </w:tc>
        <w:tc>
          <w:tcPr>
            <w:tcW w:w="916" w:type="dxa"/>
          </w:tcPr>
          <w:p w:rsidR="00BC7438" w:rsidRDefault="00CF2AB6">
            <w:pPr>
              <w:pStyle w:val="TableParagraph"/>
              <w:ind w:left="54" w:right="55"/>
              <w:rPr>
                <w:sz w:val="16"/>
              </w:rPr>
            </w:pPr>
            <w:r>
              <w:rPr>
                <w:sz w:val="16"/>
              </w:rPr>
              <w:t>27.9%</w:t>
            </w:r>
          </w:p>
        </w:tc>
        <w:tc>
          <w:tcPr>
            <w:tcW w:w="1033" w:type="dxa"/>
          </w:tcPr>
          <w:p w:rsidR="00BC7438" w:rsidRDefault="00CF2AB6">
            <w:pPr>
              <w:pStyle w:val="TableParagraph"/>
              <w:ind w:left="273"/>
              <w:jc w:val="left"/>
              <w:rPr>
                <w:sz w:val="16"/>
              </w:rPr>
            </w:pPr>
            <w:r>
              <w:rPr>
                <w:sz w:val="16"/>
              </w:rPr>
              <w:t>10.2%</w:t>
            </w:r>
          </w:p>
        </w:tc>
        <w:tc>
          <w:tcPr>
            <w:tcW w:w="954" w:type="dxa"/>
          </w:tcPr>
          <w:p w:rsidR="00BC7438" w:rsidRDefault="00CF2AB6">
            <w:pPr>
              <w:pStyle w:val="TableParagraph"/>
              <w:ind w:left="141" w:right="141"/>
              <w:rPr>
                <w:sz w:val="16"/>
              </w:rPr>
            </w:pPr>
            <w:r>
              <w:rPr>
                <w:sz w:val="16"/>
              </w:rPr>
              <w:t>0.0%</w:t>
            </w:r>
          </w:p>
        </w:tc>
        <w:tc>
          <w:tcPr>
            <w:tcW w:w="816" w:type="dxa"/>
          </w:tcPr>
          <w:p w:rsidR="00BC7438" w:rsidRDefault="00CF2AB6">
            <w:pPr>
              <w:pStyle w:val="TableParagraph"/>
              <w:ind w:left="188" w:right="188"/>
              <w:rPr>
                <w:sz w:val="16"/>
              </w:rPr>
            </w:pPr>
            <w:r>
              <w:rPr>
                <w:sz w:val="16"/>
              </w:rPr>
              <w:t>1.8%</w:t>
            </w:r>
          </w:p>
        </w:tc>
        <w:tc>
          <w:tcPr>
            <w:tcW w:w="934" w:type="dxa"/>
          </w:tcPr>
          <w:p w:rsidR="00BC7438" w:rsidRDefault="00CF2AB6">
            <w:pPr>
              <w:pStyle w:val="TableParagraph"/>
              <w:ind w:left="55" w:right="55"/>
              <w:rPr>
                <w:sz w:val="16"/>
              </w:rPr>
            </w:pPr>
            <w:r>
              <w:rPr>
                <w:sz w:val="16"/>
              </w:rPr>
              <w:t>8.2%</w:t>
            </w:r>
          </w:p>
        </w:tc>
      </w:tr>
      <w:tr w:rsidR="00BC7438">
        <w:trPr>
          <w:trHeight w:hRule="exact" w:val="304"/>
        </w:trPr>
        <w:tc>
          <w:tcPr>
            <w:tcW w:w="1030" w:type="dxa"/>
          </w:tcPr>
          <w:p w:rsidR="00BC7438" w:rsidRDefault="00CF2AB6">
            <w:pPr>
              <w:pStyle w:val="TableParagraph"/>
              <w:ind w:left="197" w:right="197"/>
              <w:rPr>
                <w:sz w:val="16"/>
              </w:rPr>
            </w:pPr>
            <w:r>
              <w:rPr>
                <w:sz w:val="16"/>
              </w:rPr>
              <w:t>FY 2012</w:t>
            </w:r>
          </w:p>
        </w:tc>
        <w:tc>
          <w:tcPr>
            <w:tcW w:w="954" w:type="dxa"/>
          </w:tcPr>
          <w:p w:rsidR="00BC7438" w:rsidRDefault="00CF2AB6">
            <w:pPr>
              <w:pStyle w:val="TableParagraph"/>
              <w:ind w:left="268"/>
              <w:jc w:val="left"/>
              <w:rPr>
                <w:sz w:val="16"/>
              </w:rPr>
            </w:pPr>
            <w:r>
              <w:rPr>
                <w:sz w:val="16"/>
              </w:rPr>
              <w:t>7,354</w:t>
            </w:r>
          </w:p>
        </w:tc>
        <w:tc>
          <w:tcPr>
            <w:tcW w:w="1117" w:type="dxa"/>
          </w:tcPr>
          <w:p w:rsidR="00BC7438" w:rsidRDefault="00CF2AB6">
            <w:pPr>
              <w:pStyle w:val="TableParagraph"/>
              <w:ind w:left="295" w:right="295"/>
              <w:rPr>
                <w:sz w:val="16"/>
              </w:rPr>
            </w:pPr>
            <w:r>
              <w:rPr>
                <w:sz w:val="16"/>
              </w:rPr>
              <w:t>36.8%</w:t>
            </w:r>
          </w:p>
        </w:tc>
        <w:tc>
          <w:tcPr>
            <w:tcW w:w="1086" w:type="dxa"/>
          </w:tcPr>
          <w:p w:rsidR="00BC7438" w:rsidRDefault="00CF2AB6">
            <w:pPr>
              <w:pStyle w:val="TableParagraph"/>
              <w:ind w:left="323" w:right="323"/>
              <w:rPr>
                <w:sz w:val="16"/>
              </w:rPr>
            </w:pPr>
            <w:r>
              <w:rPr>
                <w:sz w:val="16"/>
              </w:rPr>
              <w:t>3.7%</w:t>
            </w:r>
          </w:p>
        </w:tc>
        <w:tc>
          <w:tcPr>
            <w:tcW w:w="965" w:type="dxa"/>
          </w:tcPr>
          <w:p w:rsidR="00BC7438" w:rsidRDefault="00CF2AB6">
            <w:pPr>
              <w:pStyle w:val="TableParagraph"/>
              <w:ind w:right="281"/>
              <w:jc w:val="right"/>
              <w:rPr>
                <w:sz w:val="16"/>
              </w:rPr>
            </w:pPr>
            <w:r>
              <w:rPr>
                <w:sz w:val="16"/>
              </w:rPr>
              <w:t>4.0%</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0.3%</w:t>
            </w:r>
          </w:p>
        </w:tc>
        <w:tc>
          <w:tcPr>
            <w:tcW w:w="1319" w:type="dxa"/>
          </w:tcPr>
          <w:p w:rsidR="00BC7438" w:rsidRDefault="00CF2AB6">
            <w:pPr>
              <w:pStyle w:val="TableParagraph"/>
              <w:ind w:left="266" w:right="267"/>
              <w:rPr>
                <w:sz w:val="16"/>
              </w:rPr>
            </w:pPr>
            <w:r>
              <w:rPr>
                <w:sz w:val="16"/>
              </w:rPr>
              <w:t>3.5%</w:t>
            </w:r>
          </w:p>
        </w:tc>
        <w:tc>
          <w:tcPr>
            <w:tcW w:w="916" w:type="dxa"/>
          </w:tcPr>
          <w:p w:rsidR="00BC7438" w:rsidRDefault="00CF2AB6">
            <w:pPr>
              <w:pStyle w:val="TableParagraph"/>
              <w:ind w:left="54" w:right="55"/>
              <w:rPr>
                <w:sz w:val="16"/>
              </w:rPr>
            </w:pPr>
            <w:r>
              <w:rPr>
                <w:sz w:val="16"/>
              </w:rPr>
              <w:t>31.2%</w:t>
            </w:r>
          </w:p>
        </w:tc>
        <w:tc>
          <w:tcPr>
            <w:tcW w:w="1033" w:type="dxa"/>
          </w:tcPr>
          <w:p w:rsidR="00BC7438" w:rsidRDefault="00CF2AB6">
            <w:pPr>
              <w:pStyle w:val="TableParagraph"/>
              <w:ind w:left="273"/>
              <w:jc w:val="left"/>
              <w:rPr>
                <w:sz w:val="16"/>
              </w:rPr>
            </w:pPr>
            <w:r>
              <w:rPr>
                <w:sz w:val="16"/>
              </w:rPr>
              <w:t>10.0%</w:t>
            </w:r>
          </w:p>
        </w:tc>
        <w:tc>
          <w:tcPr>
            <w:tcW w:w="954" w:type="dxa"/>
          </w:tcPr>
          <w:p w:rsidR="00BC7438" w:rsidRDefault="00CF2AB6">
            <w:pPr>
              <w:pStyle w:val="TableParagraph"/>
              <w:ind w:left="141" w:right="141"/>
              <w:rPr>
                <w:sz w:val="16"/>
              </w:rPr>
            </w:pPr>
            <w:r>
              <w:rPr>
                <w:sz w:val="16"/>
              </w:rPr>
              <w:t>0.1%</w:t>
            </w:r>
          </w:p>
        </w:tc>
        <w:tc>
          <w:tcPr>
            <w:tcW w:w="816" w:type="dxa"/>
          </w:tcPr>
          <w:p w:rsidR="00BC7438" w:rsidRDefault="00CF2AB6">
            <w:pPr>
              <w:pStyle w:val="TableParagraph"/>
              <w:ind w:left="188" w:right="188"/>
              <w:rPr>
                <w:sz w:val="16"/>
              </w:rPr>
            </w:pPr>
            <w:r>
              <w:rPr>
                <w:sz w:val="16"/>
              </w:rPr>
              <w:t>2.8%</w:t>
            </w:r>
          </w:p>
        </w:tc>
        <w:tc>
          <w:tcPr>
            <w:tcW w:w="934" w:type="dxa"/>
          </w:tcPr>
          <w:p w:rsidR="00BC7438" w:rsidRDefault="00CF2AB6">
            <w:pPr>
              <w:pStyle w:val="TableParagraph"/>
              <w:ind w:left="55" w:right="55"/>
              <w:rPr>
                <w:sz w:val="16"/>
              </w:rPr>
            </w:pPr>
            <w:r>
              <w:rPr>
                <w:sz w:val="16"/>
              </w:rPr>
              <w:t>7.6%</w:t>
            </w:r>
          </w:p>
        </w:tc>
      </w:tr>
      <w:tr w:rsidR="00BC7438">
        <w:trPr>
          <w:trHeight w:hRule="exact" w:val="304"/>
        </w:trPr>
        <w:tc>
          <w:tcPr>
            <w:tcW w:w="1030" w:type="dxa"/>
          </w:tcPr>
          <w:p w:rsidR="00BC7438" w:rsidRDefault="00CF2AB6">
            <w:pPr>
              <w:pStyle w:val="TableParagraph"/>
              <w:ind w:left="197" w:right="197"/>
              <w:rPr>
                <w:sz w:val="16"/>
              </w:rPr>
            </w:pPr>
            <w:r>
              <w:rPr>
                <w:sz w:val="16"/>
              </w:rPr>
              <w:t>FY 2013</w:t>
            </w:r>
          </w:p>
        </w:tc>
        <w:tc>
          <w:tcPr>
            <w:tcW w:w="954" w:type="dxa"/>
          </w:tcPr>
          <w:p w:rsidR="00BC7438" w:rsidRDefault="00CF2AB6">
            <w:pPr>
              <w:pStyle w:val="TableParagraph"/>
              <w:ind w:left="268"/>
              <w:jc w:val="left"/>
              <w:rPr>
                <w:sz w:val="16"/>
              </w:rPr>
            </w:pPr>
            <w:r>
              <w:rPr>
                <w:sz w:val="16"/>
              </w:rPr>
              <w:t>7,035</w:t>
            </w:r>
          </w:p>
        </w:tc>
        <w:tc>
          <w:tcPr>
            <w:tcW w:w="1117" w:type="dxa"/>
          </w:tcPr>
          <w:p w:rsidR="00BC7438" w:rsidRDefault="00CF2AB6">
            <w:pPr>
              <w:pStyle w:val="TableParagraph"/>
              <w:ind w:left="295" w:right="295"/>
              <w:rPr>
                <w:sz w:val="16"/>
              </w:rPr>
            </w:pPr>
            <w:r>
              <w:rPr>
                <w:sz w:val="16"/>
              </w:rPr>
              <w:t>38.6%</w:t>
            </w:r>
          </w:p>
        </w:tc>
        <w:tc>
          <w:tcPr>
            <w:tcW w:w="1086" w:type="dxa"/>
          </w:tcPr>
          <w:p w:rsidR="00BC7438" w:rsidRDefault="00CF2AB6">
            <w:pPr>
              <w:pStyle w:val="TableParagraph"/>
              <w:ind w:left="323" w:right="323"/>
              <w:rPr>
                <w:sz w:val="16"/>
              </w:rPr>
            </w:pPr>
            <w:r>
              <w:rPr>
                <w:sz w:val="16"/>
              </w:rPr>
              <w:t>4.1%</w:t>
            </w:r>
          </w:p>
        </w:tc>
        <w:tc>
          <w:tcPr>
            <w:tcW w:w="965" w:type="dxa"/>
          </w:tcPr>
          <w:p w:rsidR="00BC7438" w:rsidRDefault="00CF2AB6">
            <w:pPr>
              <w:pStyle w:val="TableParagraph"/>
              <w:ind w:right="281"/>
              <w:jc w:val="right"/>
              <w:rPr>
                <w:sz w:val="16"/>
              </w:rPr>
            </w:pPr>
            <w:r>
              <w:rPr>
                <w:sz w:val="16"/>
              </w:rPr>
              <w:t>4.1%</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0.2%</w:t>
            </w:r>
          </w:p>
        </w:tc>
        <w:tc>
          <w:tcPr>
            <w:tcW w:w="1319" w:type="dxa"/>
          </w:tcPr>
          <w:p w:rsidR="00BC7438" w:rsidRDefault="00CF2AB6">
            <w:pPr>
              <w:pStyle w:val="TableParagraph"/>
              <w:ind w:left="266" w:right="267"/>
              <w:rPr>
                <w:sz w:val="16"/>
              </w:rPr>
            </w:pPr>
            <w:r>
              <w:rPr>
                <w:sz w:val="16"/>
              </w:rPr>
              <w:t>4.8%</w:t>
            </w:r>
          </w:p>
        </w:tc>
        <w:tc>
          <w:tcPr>
            <w:tcW w:w="916" w:type="dxa"/>
          </w:tcPr>
          <w:p w:rsidR="00BC7438" w:rsidRDefault="00CF2AB6">
            <w:pPr>
              <w:pStyle w:val="TableParagraph"/>
              <w:ind w:left="54" w:right="55"/>
              <w:rPr>
                <w:sz w:val="16"/>
              </w:rPr>
            </w:pPr>
            <w:r>
              <w:rPr>
                <w:sz w:val="16"/>
              </w:rPr>
              <w:t>27.9%</w:t>
            </w:r>
          </w:p>
        </w:tc>
        <w:tc>
          <w:tcPr>
            <w:tcW w:w="1033" w:type="dxa"/>
          </w:tcPr>
          <w:p w:rsidR="00BC7438" w:rsidRDefault="00CF2AB6">
            <w:pPr>
              <w:pStyle w:val="TableParagraph"/>
              <w:ind w:left="316"/>
              <w:jc w:val="left"/>
              <w:rPr>
                <w:sz w:val="16"/>
              </w:rPr>
            </w:pPr>
            <w:r>
              <w:rPr>
                <w:sz w:val="16"/>
              </w:rPr>
              <w:t>9.3%</w:t>
            </w:r>
          </w:p>
        </w:tc>
        <w:tc>
          <w:tcPr>
            <w:tcW w:w="954" w:type="dxa"/>
          </w:tcPr>
          <w:p w:rsidR="00BC7438" w:rsidRDefault="00CF2AB6">
            <w:pPr>
              <w:pStyle w:val="TableParagraph"/>
              <w:ind w:left="141" w:right="141"/>
              <w:rPr>
                <w:sz w:val="16"/>
              </w:rPr>
            </w:pPr>
            <w:r>
              <w:rPr>
                <w:sz w:val="16"/>
              </w:rPr>
              <w:t>0.2%</w:t>
            </w:r>
          </w:p>
        </w:tc>
        <w:tc>
          <w:tcPr>
            <w:tcW w:w="816" w:type="dxa"/>
          </w:tcPr>
          <w:p w:rsidR="00BC7438" w:rsidRDefault="00CF2AB6">
            <w:pPr>
              <w:pStyle w:val="TableParagraph"/>
              <w:ind w:left="188" w:right="188"/>
              <w:rPr>
                <w:sz w:val="16"/>
              </w:rPr>
            </w:pPr>
            <w:r>
              <w:rPr>
                <w:sz w:val="16"/>
              </w:rPr>
              <w:t>2.9%</w:t>
            </w:r>
          </w:p>
        </w:tc>
        <w:tc>
          <w:tcPr>
            <w:tcW w:w="934" w:type="dxa"/>
          </w:tcPr>
          <w:p w:rsidR="00BC7438" w:rsidRDefault="00CF2AB6">
            <w:pPr>
              <w:pStyle w:val="TableParagraph"/>
              <w:ind w:left="55" w:right="55"/>
              <w:rPr>
                <w:sz w:val="16"/>
              </w:rPr>
            </w:pPr>
            <w:r>
              <w:rPr>
                <w:sz w:val="16"/>
              </w:rPr>
              <w:t>8.1%</w:t>
            </w:r>
          </w:p>
        </w:tc>
      </w:tr>
      <w:tr w:rsidR="00BC7438">
        <w:trPr>
          <w:trHeight w:hRule="exact" w:val="304"/>
        </w:trPr>
        <w:tc>
          <w:tcPr>
            <w:tcW w:w="1030" w:type="dxa"/>
          </w:tcPr>
          <w:p w:rsidR="00BC7438" w:rsidRDefault="00CF2AB6">
            <w:pPr>
              <w:pStyle w:val="TableParagraph"/>
              <w:ind w:left="197" w:right="197"/>
              <w:rPr>
                <w:sz w:val="16"/>
              </w:rPr>
            </w:pPr>
            <w:r>
              <w:rPr>
                <w:sz w:val="16"/>
              </w:rPr>
              <w:t>FY 2014</w:t>
            </w:r>
          </w:p>
        </w:tc>
        <w:tc>
          <w:tcPr>
            <w:tcW w:w="954" w:type="dxa"/>
          </w:tcPr>
          <w:p w:rsidR="00BC7438" w:rsidRDefault="00CF2AB6">
            <w:pPr>
              <w:pStyle w:val="TableParagraph"/>
              <w:ind w:left="268"/>
              <w:jc w:val="left"/>
              <w:rPr>
                <w:sz w:val="16"/>
              </w:rPr>
            </w:pPr>
            <w:r>
              <w:rPr>
                <w:sz w:val="16"/>
              </w:rPr>
              <w:t>7,111</w:t>
            </w:r>
          </w:p>
        </w:tc>
        <w:tc>
          <w:tcPr>
            <w:tcW w:w="1117" w:type="dxa"/>
          </w:tcPr>
          <w:p w:rsidR="00BC7438" w:rsidRDefault="00CF2AB6">
            <w:pPr>
              <w:pStyle w:val="TableParagraph"/>
              <w:ind w:left="295" w:right="295"/>
              <w:rPr>
                <w:sz w:val="16"/>
              </w:rPr>
            </w:pPr>
            <w:r>
              <w:rPr>
                <w:sz w:val="16"/>
              </w:rPr>
              <w:t>40.0%</w:t>
            </w:r>
          </w:p>
        </w:tc>
        <w:tc>
          <w:tcPr>
            <w:tcW w:w="1086" w:type="dxa"/>
          </w:tcPr>
          <w:p w:rsidR="00BC7438" w:rsidRDefault="00CF2AB6">
            <w:pPr>
              <w:pStyle w:val="TableParagraph"/>
              <w:ind w:left="323" w:right="323"/>
              <w:rPr>
                <w:sz w:val="16"/>
              </w:rPr>
            </w:pPr>
            <w:r>
              <w:rPr>
                <w:sz w:val="16"/>
              </w:rPr>
              <w:t>4.0%</w:t>
            </w:r>
          </w:p>
        </w:tc>
        <w:tc>
          <w:tcPr>
            <w:tcW w:w="965" w:type="dxa"/>
          </w:tcPr>
          <w:p w:rsidR="00BC7438" w:rsidRDefault="00CF2AB6">
            <w:pPr>
              <w:pStyle w:val="TableParagraph"/>
              <w:ind w:right="281"/>
              <w:jc w:val="right"/>
              <w:rPr>
                <w:sz w:val="16"/>
              </w:rPr>
            </w:pPr>
            <w:r>
              <w:rPr>
                <w:sz w:val="16"/>
              </w:rPr>
              <w:t>3.6%</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0.2%</w:t>
            </w:r>
          </w:p>
        </w:tc>
        <w:tc>
          <w:tcPr>
            <w:tcW w:w="1319" w:type="dxa"/>
          </w:tcPr>
          <w:p w:rsidR="00BC7438" w:rsidRDefault="00CF2AB6">
            <w:pPr>
              <w:pStyle w:val="TableParagraph"/>
              <w:ind w:left="266" w:right="267"/>
              <w:rPr>
                <w:sz w:val="16"/>
              </w:rPr>
            </w:pPr>
            <w:r>
              <w:rPr>
                <w:sz w:val="16"/>
              </w:rPr>
              <w:t>4.9%</w:t>
            </w:r>
          </w:p>
        </w:tc>
        <w:tc>
          <w:tcPr>
            <w:tcW w:w="916" w:type="dxa"/>
          </w:tcPr>
          <w:p w:rsidR="00BC7438" w:rsidRDefault="00CF2AB6">
            <w:pPr>
              <w:pStyle w:val="TableParagraph"/>
              <w:ind w:left="54" w:right="55"/>
              <w:rPr>
                <w:sz w:val="16"/>
              </w:rPr>
            </w:pPr>
            <w:r>
              <w:rPr>
                <w:sz w:val="16"/>
              </w:rPr>
              <w:t>25.4%</w:t>
            </w:r>
          </w:p>
        </w:tc>
        <w:tc>
          <w:tcPr>
            <w:tcW w:w="1033" w:type="dxa"/>
          </w:tcPr>
          <w:p w:rsidR="00BC7438" w:rsidRDefault="00CF2AB6">
            <w:pPr>
              <w:pStyle w:val="TableParagraph"/>
              <w:ind w:left="273"/>
              <w:jc w:val="left"/>
              <w:rPr>
                <w:sz w:val="16"/>
              </w:rPr>
            </w:pPr>
            <w:r>
              <w:rPr>
                <w:sz w:val="16"/>
              </w:rPr>
              <w:t>11.3%</w:t>
            </w:r>
          </w:p>
        </w:tc>
        <w:tc>
          <w:tcPr>
            <w:tcW w:w="954" w:type="dxa"/>
          </w:tcPr>
          <w:p w:rsidR="00BC7438" w:rsidRDefault="00CF2AB6">
            <w:pPr>
              <w:pStyle w:val="TableParagraph"/>
              <w:ind w:left="141" w:right="141"/>
              <w:rPr>
                <w:sz w:val="16"/>
              </w:rPr>
            </w:pPr>
            <w:r>
              <w:rPr>
                <w:sz w:val="16"/>
              </w:rPr>
              <w:t>0.1%</w:t>
            </w:r>
          </w:p>
        </w:tc>
        <w:tc>
          <w:tcPr>
            <w:tcW w:w="816" w:type="dxa"/>
          </w:tcPr>
          <w:p w:rsidR="00BC7438" w:rsidRDefault="00CF2AB6">
            <w:pPr>
              <w:pStyle w:val="TableParagraph"/>
              <w:ind w:left="188" w:right="188"/>
              <w:rPr>
                <w:sz w:val="16"/>
              </w:rPr>
            </w:pPr>
            <w:r>
              <w:rPr>
                <w:sz w:val="16"/>
              </w:rPr>
              <w:t>2.3%</w:t>
            </w:r>
          </w:p>
        </w:tc>
        <w:tc>
          <w:tcPr>
            <w:tcW w:w="934" w:type="dxa"/>
          </w:tcPr>
          <w:p w:rsidR="00BC7438" w:rsidRDefault="00CF2AB6">
            <w:pPr>
              <w:pStyle w:val="TableParagraph"/>
              <w:ind w:left="55" w:right="55"/>
              <w:rPr>
                <w:sz w:val="16"/>
              </w:rPr>
            </w:pPr>
            <w:r>
              <w:rPr>
                <w:sz w:val="16"/>
              </w:rPr>
              <w:t>8.2%</w:t>
            </w:r>
          </w:p>
        </w:tc>
      </w:tr>
      <w:tr w:rsidR="00BC7438">
        <w:trPr>
          <w:trHeight w:hRule="exact" w:val="304"/>
        </w:trPr>
        <w:tc>
          <w:tcPr>
            <w:tcW w:w="1030" w:type="dxa"/>
          </w:tcPr>
          <w:p w:rsidR="00BC7438" w:rsidRDefault="00CF2AB6">
            <w:pPr>
              <w:pStyle w:val="TableParagraph"/>
              <w:ind w:left="197" w:right="197"/>
              <w:rPr>
                <w:sz w:val="16"/>
              </w:rPr>
            </w:pPr>
            <w:r>
              <w:rPr>
                <w:sz w:val="16"/>
              </w:rPr>
              <w:t>FY 2015</w:t>
            </w:r>
          </w:p>
        </w:tc>
        <w:tc>
          <w:tcPr>
            <w:tcW w:w="954" w:type="dxa"/>
          </w:tcPr>
          <w:p w:rsidR="00BC7438" w:rsidRDefault="00CF2AB6">
            <w:pPr>
              <w:pStyle w:val="TableParagraph"/>
              <w:ind w:left="268"/>
              <w:jc w:val="left"/>
              <w:rPr>
                <w:sz w:val="16"/>
              </w:rPr>
            </w:pPr>
            <w:r>
              <w:rPr>
                <w:sz w:val="16"/>
              </w:rPr>
              <w:t>6,516</w:t>
            </w:r>
          </w:p>
        </w:tc>
        <w:tc>
          <w:tcPr>
            <w:tcW w:w="1117" w:type="dxa"/>
          </w:tcPr>
          <w:p w:rsidR="00BC7438" w:rsidRDefault="00CF2AB6">
            <w:pPr>
              <w:pStyle w:val="TableParagraph"/>
              <w:ind w:left="295" w:right="295"/>
              <w:rPr>
                <w:sz w:val="16"/>
              </w:rPr>
            </w:pPr>
            <w:r>
              <w:rPr>
                <w:sz w:val="16"/>
              </w:rPr>
              <w:t>39.7%</w:t>
            </w:r>
          </w:p>
        </w:tc>
        <w:tc>
          <w:tcPr>
            <w:tcW w:w="1086" w:type="dxa"/>
          </w:tcPr>
          <w:p w:rsidR="00BC7438" w:rsidRDefault="00CF2AB6">
            <w:pPr>
              <w:pStyle w:val="TableParagraph"/>
              <w:ind w:left="323" w:right="323"/>
              <w:rPr>
                <w:sz w:val="16"/>
              </w:rPr>
            </w:pPr>
            <w:r>
              <w:rPr>
                <w:sz w:val="16"/>
              </w:rPr>
              <w:t>3.5%</w:t>
            </w:r>
          </w:p>
        </w:tc>
        <w:tc>
          <w:tcPr>
            <w:tcW w:w="965" w:type="dxa"/>
          </w:tcPr>
          <w:p w:rsidR="00BC7438" w:rsidRDefault="00CF2AB6">
            <w:pPr>
              <w:pStyle w:val="TableParagraph"/>
              <w:ind w:right="281"/>
              <w:jc w:val="right"/>
              <w:rPr>
                <w:sz w:val="16"/>
              </w:rPr>
            </w:pPr>
            <w:r>
              <w:rPr>
                <w:sz w:val="16"/>
              </w:rPr>
              <w:t>3.6%</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0.2%</w:t>
            </w:r>
          </w:p>
        </w:tc>
        <w:tc>
          <w:tcPr>
            <w:tcW w:w="1319" w:type="dxa"/>
          </w:tcPr>
          <w:p w:rsidR="00BC7438" w:rsidRDefault="00CF2AB6">
            <w:pPr>
              <w:pStyle w:val="TableParagraph"/>
              <w:ind w:left="266" w:right="267"/>
              <w:rPr>
                <w:sz w:val="16"/>
              </w:rPr>
            </w:pPr>
            <w:r>
              <w:rPr>
                <w:sz w:val="16"/>
              </w:rPr>
              <w:t>4.8%</w:t>
            </w:r>
          </w:p>
        </w:tc>
        <w:tc>
          <w:tcPr>
            <w:tcW w:w="916" w:type="dxa"/>
          </w:tcPr>
          <w:p w:rsidR="00BC7438" w:rsidRDefault="00CF2AB6">
            <w:pPr>
              <w:pStyle w:val="TableParagraph"/>
              <w:ind w:left="54" w:right="55"/>
              <w:rPr>
                <w:sz w:val="16"/>
              </w:rPr>
            </w:pPr>
            <w:r>
              <w:rPr>
                <w:sz w:val="16"/>
              </w:rPr>
              <w:t>26.0%</w:t>
            </w:r>
          </w:p>
        </w:tc>
        <w:tc>
          <w:tcPr>
            <w:tcW w:w="1033" w:type="dxa"/>
          </w:tcPr>
          <w:p w:rsidR="00BC7438" w:rsidRDefault="00CF2AB6">
            <w:pPr>
              <w:pStyle w:val="TableParagraph"/>
              <w:ind w:left="273"/>
              <w:jc w:val="left"/>
              <w:rPr>
                <w:sz w:val="16"/>
              </w:rPr>
            </w:pPr>
            <w:r>
              <w:rPr>
                <w:sz w:val="16"/>
              </w:rPr>
              <w:t>11.9%</w:t>
            </w:r>
          </w:p>
        </w:tc>
        <w:tc>
          <w:tcPr>
            <w:tcW w:w="954" w:type="dxa"/>
          </w:tcPr>
          <w:p w:rsidR="00BC7438" w:rsidRDefault="00CF2AB6">
            <w:pPr>
              <w:pStyle w:val="TableParagraph"/>
              <w:rPr>
                <w:sz w:val="16"/>
              </w:rPr>
            </w:pPr>
            <w:r>
              <w:rPr>
                <w:sz w:val="16"/>
              </w:rPr>
              <w:t>*</w:t>
            </w:r>
          </w:p>
        </w:tc>
        <w:tc>
          <w:tcPr>
            <w:tcW w:w="816" w:type="dxa"/>
          </w:tcPr>
          <w:p w:rsidR="00BC7438" w:rsidRDefault="00CF2AB6">
            <w:pPr>
              <w:pStyle w:val="TableParagraph"/>
              <w:ind w:left="188" w:right="188"/>
              <w:rPr>
                <w:sz w:val="16"/>
              </w:rPr>
            </w:pPr>
            <w:r>
              <w:rPr>
                <w:sz w:val="16"/>
              </w:rPr>
              <w:t>1.9%</w:t>
            </w:r>
          </w:p>
        </w:tc>
        <w:tc>
          <w:tcPr>
            <w:tcW w:w="934" w:type="dxa"/>
          </w:tcPr>
          <w:p w:rsidR="00BC7438" w:rsidRDefault="00CF2AB6">
            <w:pPr>
              <w:pStyle w:val="TableParagraph"/>
              <w:ind w:left="55" w:right="55"/>
              <w:rPr>
                <w:sz w:val="16"/>
              </w:rPr>
            </w:pPr>
            <w:r>
              <w:rPr>
                <w:sz w:val="16"/>
              </w:rPr>
              <w:t>8.3%</w:t>
            </w:r>
          </w:p>
        </w:tc>
      </w:tr>
      <w:tr w:rsidR="00BC7438">
        <w:trPr>
          <w:trHeight w:hRule="exact" w:val="304"/>
        </w:trPr>
        <w:tc>
          <w:tcPr>
            <w:tcW w:w="1030" w:type="dxa"/>
          </w:tcPr>
          <w:p w:rsidR="00BC7438" w:rsidRDefault="00CF2AB6">
            <w:pPr>
              <w:pStyle w:val="TableParagraph"/>
              <w:ind w:left="197" w:right="197"/>
              <w:rPr>
                <w:sz w:val="16"/>
              </w:rPr>
            </w:pPr>
            <w:r>
              <w:rPr>
                <w:sz w:val="16"/>
              </w:rPr>
              <w:t>FY 2016</w:t>
            </w:r>
          </w:p>
        </w:tc>
        <w:tc>
          <w:tcPr>
            <w:tcW w:w="954" w:type="dxa"/>
          </w:tcPr>
          <w:p w:rsidR="00BC7438" w:rsidRDefault="00CF2AB6">
            <w:pPr>
              <w:pStyle w:val="TableParagraph"/>
              <w:ind w:left="268"/>
              <w:jc w:val="left"/>
              <w:rPr>
                <w:sz w:val="16"/>
              </w:rPr>
            </w:pPr>
            <w:r>
              <w:rPr>
                <w:sz w:val="16"/>
              </w:rPr>
              <w:t>7,047</w:t>
            </w:r>
          </w:p>
        </w:tc>
        <w:tc>
          <w:tcPr>
            <w:tcW w:w="1117" w:type="dxa"/>
          </w:tcPr>
          <w:p w:rsidR="00BC7438" w:rsidRDefault="00CF2AB6">
            <w:pPr>
              <w:pStyle w:val="TableParagraph"/>
              <w:ind w:left="295" w:right="295"/>
              <w:rPr>
                <w:sz w:val="16"/>
              </w:rPr>
            </w:pPr>
            <w:r>
              <w:rPr>
                <w:sz w:val="16"/>
              </w:rPr>
              <w:t>37.4%</w:t>
            </w:r>
          </w:p>
        </w:tc>
        <w:tc>
          <w:tcPr>
            <w:tcW w:w="1086" w:type="dxa"/>
          </w:tcPr>
          <w:p w:rsidR="00BC7438" w:rsidRDefault="00CF2AB6">
            <w:pPr>
              <w:pStyle w:val="TableParagraph"/>
              <w:ind w:left="323" w:right="323"/>
              <w:rPr>
                <w:sz w:val="16"/>
              </w:rPr>
            </w:pPr>
            <w:r>
              <w:rPr>
                <w:sz w:val="16"/>
              </w:rPr>
              <w:t>3.5%</w:t>
            </w:r>
          </w:p>
        </w:tc>
        <w:tc>
          <w:tcPr>
            <w:tcW w:w="965" w:type="dxa"/>
          </w:tcPr>
          <w:p w:rsidR="00BC7438" w:rsidRDefault="00CF2AB6">
            <w:pPr>
              <w:pStyle w:val="TableParagraph"/>
              <w:ind w:right="281"/>
              <w:jc w:val="right"/>
              <w:rPr>
                <w:sz w:val="16"/>
              </w:rPr>
            </w:pPr>
            <w:r>
              <w:rPr>
                <w:sz w:val="16"/>
              </w:rPr>
              <w:t>3.0%</w:t>
            </w:r>
          </w:p>
        </w:tc>
        <w:tc>
          <w:tcPr>
            <w:tcW w:w="1640" w:type="dxa"/>
          </w:tcPr>
          <w:p w:rsidR="00BC7438" w:rsidRDefault="00CF2AB6">
            <w:pPr>
              <w:pStyle w:val="TableParagraph"/>
              <w:ind w:left="600" w:right="600"/>
              <w:rPr>
                <w:sz w:val="16"/>
              </w:rPr>
            </w:pPr>
            <w:r>
              <w:rPr>
                <w:sz w:val="16"/>
              </w:rPr>
              <w:t>0.0%</w:t>
            </w:r>
          </w:p>
        </w:tc>
        <w:tc>
          <w:tcPr>
            <w:tcW w:w="1034" w:type="dxa"/>
          </w:tcPr>
          <w:p w:rsidR="00BC7438" w:rsidRDefault="00CF2AB6">
            <w:pPr>
              <w:pStyle w:val="TableParagraph"/>
              <w:ind w:left="55" w:right="55"/>
              <w:rPr>
                <w:sz w:val="16"/>
              </w:rPr>
            </w:pPr>
            <w:r>
              <w:rPr>
                <w:sz w:val="16"/>
              </w:rPr>
              <w:t>0.2%</w:t>
            </w:r>
          </w:p>
        </w:tc>
        <w:tc>
          <w:tcPr>
            <w:tcW w:w="1319" w:type="dxa"/>
          </w:tcPr>
          <w:p w:rsidR="00BC7438" w:rsidRDefault="00CF2AB6">
            <w:pPr>
              <w:pStyle w:val="TableParagraph"/>
              <w:ind w:left="266" w:right="267"/>
              <w:rPr>
                <w:sz w:val="16"/>
              </w:rPr>
            </w:pPr>
            <w:r>
              <w:rPr>
                <w:sz w:val="16"/>
              </w:rPr>
              <w:t>5.9%</w:t>
            </w:r>
          </w:p>
        </w:tc>
        <w:tc>
          <w:tcPr>
            <w:tcW w:w="916" w:type="dxa"/>
          </w:tcPr>
          <w:p w:rsidR="00BC7438" w:rsidRDefault="00CF2AB6">
            <w:pPr>
              <w:pStyle w:val="TableParagraph"/>
              <w:ind w:left="54" w:right="55"/>
              <w:rPr>
                <w:sz w:val="16"/>
              </w:rPr>
            </w:pPr>
            <w:r>
              <w:rPr>
                <w:sz w:val="16"/>
              </w:rPr>
              <w:t>25.1%</w:t>
            </w:r>
          </w:p>
        </w:tc>
        <w:tc>
          <w:tcPr>
            <w:tcW w:w="1033" w:type="dxa"/>
          </w:tcPr>
          <w:p w:rsidR="00BC7438" w:rsidRDefault="00CF2AB6">
            <w:pPr>
              <w:pStyle w:val="TableParagraph"/>
              <w:ind w:left="273"/>
              <w:jc w:val="left"/>
              <w:rPr>
                <w:sz w:val="16"/>
              </w:rPr>
            </w:pPr>
            <w:r>
              <w:rPr>
                <w:sz w:val="16"/>
              </w:rPr>
              <w:t>13.5%</w:t>
            </w:r>
          </w:p>
        </w:tc>
        <w:tc>
          <w:tcPr>
            <w:tcW w:w="954" w:type="dxa"/>
          </w:tcPr>
          <w:p w:rsidR="00BC7438" w:rsidRDefault="00CF2AB6">
            <w:pPr>
              <w:pStyle w:val="TableParagraph"/>
              <w:ind w:left="141" w:right="141"/>
              <w:rPr>
                <w:sz w:val="16"/>
              </w:rPr>
            </w:pPr>
            <w:r>
              <w:rPr>
                <w:sz w:val="16"/>
              </w:rPr>
              <w:t>0.1%</w:t>
            </w:r>
          </w:p>
        </w:tc>
        <w:tc>
          <w:tcPr>
            <w:tcW w:w="816" w:type="dxa"/>
          </w:tcPr>
          <w:p w:rsidR="00BC7438" w:rsidRDefault="00CF2AB6">
            <w:pPr>
              <w:pStyle w:val="TableParagraph"/>
              <w:ind w:left="188" w:right="188"/>
              <w:rPr>
                <w:sz w:val="16"/>
              </w:rPr>
            </w:pPr>
            <w:r>
              <w:rPr>
                <w:sz w:val="16"/>
              </w:rPr>
              <w:t>2.7%</w:t>
            </w:r>
          </w:p>
        </w:tc>
        <w:tc>
          <w:tcPr>
            <w:tcW w:w="934" w:type="dxa"/>
          </w:tcPr>
          <w:p w:rsidR="00BC7438" w:rsidRDefault="00CF2AB6">
            <w:pPr>
              <w:pStyle w:val="TableParagraph"/>
              <w:ind w:left="55" w:right="55"/>
              <w:rPr>
                <w:sz w:val="16"/>
              </w:rPr>
            </w:pPr>
            <w:r>
              <w:rPr>
                <w:sz w:val="16"/>
              </w:rPr>
              <w:t>8.7%</w:t>
            </w:r>
          </w:p>
        </w:tc>
      </w:tr>
      <w:tr w:rsidR="00BC7438">
        <w:trPr>
          <w:trHeight w:hRule="exact" w:val="304"/>
        </w:trPr>
        <w:tc>
          <w:tcPr>
            <w:tcW w:w="1030" w:type="dxa"/>
          </w:tcPr>
          <w:p w:rsidR="00BC7438" w:rsidRDefault="00CF2AB6">
            <w:pPr>
              <w:pStyle w:val="TableParagraph"/>
              <w:ind w:left="197" w:right="197"/>
              <w:rPr>
                <w:sz w:val="16"/>
              </w:rPr>
            </w:pPr>
            <w:r>
              <w:rPr>
                <w:sz w:val="16"/>
              </w:rPr>
              <w:t>FY 2017</w:t>
            </w:r>
          </w:p>
        </w:tc>
        <w:tc>
          <w:tcPr>
            <w:tcW w:w="954" w:type="dxa"/>
          </w:tcPr>
          <w:p w:rsidR="00BC7438" w:rsidRDefault="00CF2AB6">
            <w:pPr>
              <w:pStyle w:val="TableParagraph"/>
              <w:ind w:left="268"/>
              <w:jc w:val="left"/>
              <w:rPr>
                <w:sz w:val="16"/>
              </w:rPr>
            </w:pPr>
            <w:r>
              <w:rPr>
                <w:sz w:val="16"/>
              </w:rPr>
              <w:t>8,104</w:t>
            </w:r>
          </w:p>
        </w:tc>
        <w:tc>
          <w:tcPr>
            <w:tcW w:w="1117" w:type="dxa"/>
          </w:tcPr>
          <w:p w:rsidR="00BC7438" w:rsidRDefault="00CF2AB6">
            <w:pPr>
              <w:pStyle w:val="TableParagraph"/>
              <w:ind w:left="295" w:right="295"/>
              <w:rPr>
                <w:sz w:val="16"/>
              </w:rPr>
            </w:pPr>
            <w:r>
              <w:rPr>
                <w:sz w:val="16"/>
              </w:rPr>
              <w:t>37.3%</w:t>
            </w:r>
          </w:p>
        </w:tc>
        <w:tc>
          <w:tcPr>
            <w:tcW w:w="1086" w:type="dxa"/>
          </w:tcPr>
          <w:p w:rsidR="00BC7438" w:rsidRDefault="00CF2AB6">
            <w:pPr>
              <w:pStyle w:val="TableParagraph"/>
              <w:ind w:left="323" w:right="323"/>
              <w:rPr>
                <w:sz w:val="16"/>
              </w:rPr>
            </w:pPr>
            <w:r>
              <w:rPr>
                <w:sz w:val="16"/>
              </w:rPr>
              <w:t>3.4%</w:t>
            </w:r>
          </w:p>
        </w:tc>
        <w:tc>
          <w:tcPr>
            <w:tcW w:w="965" w:type="dxa"/>
          </w:tcPr>
          <w:p w:rsidR="00BC7438" w:rsidRDefault="00CF2AB6">
            <w:pPr>
              <w:pStyle w:val="TableParagraph"/>
              <w:ind w:right="281"/>
              <w:jc w:val="right"/>
              <w:rPr>
                <w:sz w:val="16"/>
              </w:rPr>
            </w:pPr>
            <w:r>
              <w:rPr>
                <w:sz w:val="16"/>
              </w:rPr>
              <w:t>2.9%</w:t>
            </w:r>
          </w:p>
        </w:tc>
        <w:tc>
          <w:tcPr>
            <w:tcW w:w="1640" w:type="dxa"/>
          </w:tcPr>
          <w:p w:rsidR="00BC7438" w:rsidRDefault="00CF2AB6">
            <w:pPr>
              <w:pStyle w:val="TableParagraph"/>
              <w:ind w:left="600" w:right="600"/>
              <w:rPr>
                <w:sz w:val="16"/>
              </w:rPr>
            </w:pPr>
            <w:r>
              <w:rPr>
                <w:sz w:val="16"/>
              </w:rPr>
              <w:t>3.8%</w:t>
            </w:r>
          </w:p>
        </w:tc>
        <w:tc>
          <w:tcPr>
            <w:tcW w:w="1034" w:type="dxa"/>
          </w:tcPr>
          <w:p w:rsidR="00BC7438" w:rsidRDefault="00CF2AB6">
            <w:pPr>
              <w:pStyle w:val="TableParagraph"/>
              <w:ind w:left="55" w:right="55"/>
              <w:rPr>
                <w:sz w:val="16"/>
              </w:rPr>
            </w:pPr>
            <w:r>
              <w:rPr>
                <w:sz w:val="16"/>
              </w:rPr>
              <w:t>0.2%</w:t>
            </w:r>
          </w:p>
        </w:tc>
        <w:tc>
          <w:tcPr>
            <w:tcW w:w="1319" w:type="dxa"/>
          </w:tcPr>
          <w:p w:rsidR="00BC7438" w:rsidRDefault="00CF2AB6">
            <w:pPr>
              <w:pStyle w:val="TableParagraph"/>
              <w:ind w:left="266" w:right="267"/>
              <w:rPr>
                <w:sz w:val="16"/>
              </w:rPr>
            </w:pPr>
            <w:r>
              <w:rPr>
                <w:sz w:val="16"/>
              </w:rPr>
              <w:t>5.7%</w:t>
            </w:r>
          </w:p>
        </w:tc>
        <w:tc>
          <w:tcPr>
            <w:tcW w:w="916" w:type="dxa"/>
          </w:tcPr>
          <w:p w:rsidR="00BC7438" w:rsidRDefault="00CF2AB6">
            <w:pPr>
              <w:pStyle w:val="TableParagraph"/>
              <w:ind w:left="54" w:right="55"/>
              <w:rPr>
                <w:sz w:val="16"/>
              </w:rPr>
            </w:pPr>
            <w:r>
              <w:rPr>
                <w:sz w:val="16"/>
              </w:rPr>
              <w:t>22.1%</w:t>
            </w:r>
          </w:p>
        </w:tc>
        <w:tc>
          <w:tcPr>
            <w:tcW w:w="1033" w:type="dxa"/>
          </w:tcPr>
          <w:p w:rsidR="00BC7438" w:rsidRDefault="00CF2AB6">
            <w:pPr>
              <w:pStyle w:val="TableParagraph"/>
              <w:ind w:left="273"/>
              <w:jc w:val="left"/>
              <w:rPr>
                <w:sz w:val="16"/>
              </w:rPr>
            </w:pPr>
            <w:r>
              <w:rPr>
                <w:sz w:val="16"/>
              </w:rPr>
              <w:t>14.0%</w:t>
            </w:r>
          </w:p>
        </w:tc>
        <w:tc>
          <w:tcPr>
            <w:tcW w:w="954" w:type="dxa"/>
          </w:tcPr>
          <w:p w:rsidR="00BC7438" w:rsidRDefault="00CF2AB6">
            <w:pPr>
              <w:pStyle w:val="TableParagraph"/>
              <w:rPr>
                <w:sz w:val="16"/>
              </w:rPr>
            </w:pPr>
            <w:r>
              <w:rPr>
                <w:sz w:val="16"/>
              </w:rPr>
              <w:t>*</w:t>
            </w:r>
          </w:p>
        </w:tc>
        <w:tc>
          <w:tcPr>
            <w:tcW w:w="816" w:type="dxa"/>
          </w:tcPr>
          <w:p w:rsidR="00BC7438" w:rsidRDefault="00CF2AB6">
            <w:pPr>
              <w:pStyle w:val="TableParagraph"/>
              <w:ind w:left="188" w:right="188"/>
              <w:rPr>
                <w:sz w:val="16"/>
              </w:rPr>
            </w:pPr>
            <w:r>
              <w:rPr>
                <w:sz w:val="16"/>
              </w:rPr>
              <w:t>2.9%</w:t>
            </w:r>
          </w:p>
        </w:tc>
        <w:tc>
          <w:tcPr>
            <w:tcW w:w="934" w:type="dxa"/>
          </w:tcPr>
          <w:p w:rsidR="00BC7438" w:rsidRDefault="00CF2AB6">
            <w:pPr>
              <w:pStyle w:val="TableParagraph"/>
              <w:ind w:left="55" w:right="55"/>
              <w:rPr>
                <w:sz w:val="16"/>
              </w:rPr>
            </w:pPr>
            <w:r>
              <w:rPr>
                <w:sz w:val="16"/>
              </w:rPr>
              <w:t>7.6%</w:t>
            </w:r>
          </w:p>
        </w:tc>
      </w:tr>
    </w:tbl>
    <w:p w:rsidR="00BC7438" w:rsidRDefault="00743F8C">
      <w:pPr>
        <w:pStyle w:val="ListParagraph"/>
        <w:numPr>
          <w:ilvl w:val="0"/>
          <w:numId w:val="2"/>
        </w:numPr>
        <w:tabs>
          <w:tab w:val="left" w:pos="284"/>
        </w:tabs>
        <w:spacing w:before="75"/>
        <w:ind w:hanging="108"/>
        <w:rPr>
          <w:i/>
          <w:sz w:val="16"/>
        </w:rPr>
      </w:pPr>
      <w:r>
        <w:pict>
          <v:group id="_x0000_s1032" style="position:absolute;left:0;text-align:left;margin-left:36pt;margin-top:36pt;width:698.4pt;height:91.5pt;z-index:-44464;mso-position-horizontal-relative:page;mso-position-vertical-relative:page" coordorigin="720,720" coordsize="13968,1830">
            <v:rect id="_x0000_s1034" style="position:absolute;left:788;top:787;width:13833;height:1695" filled="f" strokecolor="navy" strokeweight="2.25pt"/>
            <v:rect id="_x0000_s1033" style="position:absolute;left:743;top:742;width:13923;height:1785" filled="f" strokecolor="green" strokeweight="2.25pt"/>
            <w10:wrap anchorx="page" anchory="page"/>
          </v:group>
        </w:pict>
      </w:r>
      <w:r w:rsidR="00CF2AB6">
        <w:rPr>
          <w:i/>
          <w:sz w:val="16"/>
        </w:rPr>
        <w:t>The</w:t>
      </w:r>
      <w:r w:rsidR="00CF2AB6">
        <w:rPr>
          <w:i/>
          <w:spacing w:val="-2"/>
          <w:sz w:val="16"/>
        </w:rPr>
        <w:t xml:space="preserve"> </w:t>
      </w:r>
      <w:r w:rsidR="00CF2AB6">
        <w:rPr>
          <w:i/>
          <w:sz w:val="16"/>
        </w:rPr>
        <w:t>total</w:t>
      </w:r>
      <w:r w:rsidR="00CF2AB6">
        <w:rPr>
          <w:i/>
          <w:spacing w:val="-2"/>
          <w:sz w:val="16"/>
        </w:rPr>
        <w:t xml:space="preserve"> </w:t>
      </w:r>
      <w:r w:rsidR="00CF2AB6">
        <w:rPr>
          <w:i/>
          <w:sz w:val="16"/>
        </w:rPr>
        <w:t>admissions</w:t>
      </w:r>
      <w:r w:rsidR="00CF2AB6">
        <w:rPr>
          <w:i/>
          <w:spacing w:val="-3"/>
          <w:sz w:val="16"/>
        </w:rPr>
        <w:t xml:space="preserve"> </w:t>
      </w:r>
      <w:r w:rsidR="00CF2AB6">
        <w:rPr>
          <w:i/>
          <w:sz w:val="16"/>
        </w:rPr>
        <w:t>reported</w:t>
      </w:r>
      <w:r w:rsidR="00CF2AB6">
        <w:rPr>
          <w:i/>
          <w:spacing w:val="-2"/>
          <w:sz w:val="16"/>
        </w:rPr>
        <w:t xml:space="preserve"> </w:t>
      </w:r>
      <w:r w:rsidR="00CF2AB6">
        <w:rPr>
          <w:i/>
          <w:sz w:val="16"/>
        </w:rPr>
        <w:t>in</w:t>
      </w:r>
      <w:r w:rsidR="00CF2AB6">
        <w:rPr>
          <w:i/>
          <w:spacing w:val="-2"/>
          <w:sz w:val="16"/>
        </w:rPr>
        <w:t xml:space="preserve"> </w:t>
      </w:r>
      <w:r w:rsidR="00CF2AB6">
        <w:rPr>
          <w:i/>
          <w:sz w:val="16"/>
        </w:rPr>
        <w:t>this</w:t>
      </w:r>
      <w:r w:rsidR="00CF2AB6">
        <w:rPr>
          <w:i/>
          <w:spacing w:val="-2"/>
          <w:sz w:val="16"/>
        </w:rPr>
        <w:t xml:space="preserve"> </w:t>
      </w:r>
      <w:r w:rsidR="00CF2AB6">
        <w:rPr>
          <w:i/>
          <w:sz w:val="16"/>
        </w:rPr>
        <w:t>table</w:t>
      </w:r>
      <w:r w:rsidR="00CF2AB6">
        <w:rPr>
          <w:i/>
          <w:spacing w:val="-2"/>
          <w:sz w:val="16"/>
        </w:rPr>
        <w:t xml:space="preserve"> </w:t>
      </w:r>
      <w:r w:rsidR="00CF2AB6">
        <w:rPr>
          <w:i/>
          <w:sz w:val="16"/>
        </w:rPr>
        <w:t>may</w:t>
      </w:r>
      <w:r w:rsidR="00CF2AB6">
        <w:rPr>
          <w:i/>
          <w:spacing w:val="-2"/>
          <w:sz w:val="16"/>
        </w:rPr>
        <w:t xml:space="preserve"> </w:t>
      </w:r>
      <w:r w:rsidR="00CF2AB6">
        <w:rPr>
          <w:i/>
          <w:sz w:val="16"/>
        </w:rPr>
        <w:t>vary</w:t>
      </w:r>
      <w:r w:rsidR="00CF2AB6">
        <w:rPr>
          <w:i/>
          <w:spacing w:val="-2"/>
          <w:sz w:val="16"/>
        </w:rPr>
        <w:t xml:space="preserve"> </w:t>
      </w:r>
      <w:r w:rsidR="00CF2AB6">
        <w:rPr>
          <w:i/>
          <w:sz w:val="16"/>
        </w:rPr>
        <w:t>from</w:t>
      </w:r>
      <w:r w:rsidR="00CF2AB6">
        <w:rPr>
          <w:i/>
          <w:spacing w:val="-2"/>
          <w:sz w:val="16"/>
        </w:rPr>
        <w:t xml:space="preserve"> </w:t>
      </w:r>
      <w:r w:rsidR="00CF2AB6">
        <w:rPr>
          <w:i/>
          <w:sz w:val="16"/>
        </w:rPr>
        <w:t>the</w:t>
      </w:r>
      <w:r w:rsidR="00CF2AB6">
        <w:rPr>
          <w:i/>
          <w:spacing w:val="-2"/>
          <w:sz w:val="16"/>
        </w:rPr>
        <w:t xml:space="preserve"> </w:t>
      </w:r>
      <w:r w:rsidR="00CF2AB6">
        <w:rPr>
          <w:i/>
          <w:sz w:val="16"/>
        </w:rPr>
        <w:t>total</w:t>
      </w:r>
      <w:r w:rsidR="00CF2AB6">
        <w:rPr>
          <w:i/>
          <w:spacing w:val="-2"/>
          <w:sz w:val="16"/>
        </w:rPr>
        <w:t xml:space="preserve"> </w:t>
      </w:r>
      <w:r w:rsidR="00CF2AB6">
        <w:rPr>
          <w:i/>
          <w:sz w:val="16"/>
        </w:rPr>
        <w:t>admissions</w:t>
      </w:r>
      <w:r w:rsidR="00CF2AB6">
        <w:rPr>
          <w:i/>
          <w:spacing w:val="-3"/>
          <w:sz w:val="16"/>
        </w:rPr>
        <w:t xml:space="preserve"> </w:t>
      </w:r>
      <w:r w:rsidR="00CF2AB6">
        <w:rPr>
          <w:i/>
          <w:sz w:val="16"/>
        </w:rPr>
        <w:t>for</w:t>
      </w:r>
      <w:r w:rsidR="00CF2AB6">
        <w:rPr>
          <w:i/>
          <w:spacing w:val="-3"/>
          <w:sz w:val="16"/>
        </w:rPr>
        <w:t xml:space="preserve"> </w:t>
      </w:r>
      <w:r w:rsidR="00CF2AB6">
        <w:rPr>
          <w:i/>
          <w:sz w:val="16"/>
        </w:rPr>
        <w:t>Black,</w:t>
      </w:r>
      <w:r w:rsidR="00CF2AB6">
        <w:rPr>
          <w:i/>
          <w:spacing w:val="-2"/>
          <w:sz w:val="16"/>
        </w:rPr>
        <w:t xml:space="preserve"> </w:t>
      </w:r>
      <w:r w:rsidR="00CF2AB6">
        <w:rPr>
          <w:i/>
          <w:sz w:val="16"/>
        </w:rPr>
        <w:t>African</w:t>
      </w:r>
      <w:r w:rsidR="00CF2AB6">
        <w:rPr>
          <w:i/>
          <w:spacing w:val="-3"/>
          <w:sz w:val="16"/>
        </w:rPr>
        <w:t xml:space="preserve"> </w:t>
      </w:r>
      <w:r w:rsidR="00CF2AB6">
        <w:rPr>
          <w:i/>
          <w:sz w:val="16"/>
        </w:rPr>
        <w:t>American</w:t>
      </w:r>
      <w:r w:rsidR="00CF2AB6">
        <w:rPr>
          <w:i/>
          <w:spacing w:val="-3"/>
          <w:sz w:val="16"/>
        </w:rPr>
        <w:t xml:space="preserve"> </w:t>
      </w:r>
      <w:r w:rsidR="00CF2AB6">
        <w:rPr>
          <w:i/>
          <w:sz w:val="16"/>
        </w:rPr>
        <w:t>admissions;</w:t>
      </w:r>
      <w:r w:rsidR="00CF2AB6">
        <w:rPr>
          <w:i/>
          <w:spacing w:val="-2"/>
          <w:sz w:val="16"/>
        </w:rPr>
        <w:t xml:space="preserve"> </w:t>
      </w:r>
      <w:r w:rsidR="00CF2AB6">
        <w:rPr>
          <w:i/>
          <w:sz w:val="16"/>
        </w:rPr>
        <w:t>for</w:t>
      </w:r>
      <w:r w:rsidR="00CF2AB6">
        <w:rPr>
          <w:i/>
          <w:spacing w:val="-2"/>
          <w:sz w:val="16"/>
        </w:rPr>
        <w:t xml:space="preserve"> </w:t>
      </w:r>
      <w:r w:rsidR="00CF2AB6">
        <w:rPr>
          <w:i/>
          <w:sz w:val="16"/>
        </w:rPr>
        <w:t>additional</w:t>
      </w:r>
      <w:r w:rsidR="00CF2AB6">
        <w:rPr>
          <w:i/>
          <w:spacing w:val="-2"/>
          <w:sz w:val="16"/>
        </w:rPr>
        <w:t xml:space="preserve"> </w:t>
      </w:r>
      <w:r w:rsidR="00CF2AB6">
        <w:rPr>
          <w:i/>
          <w:sz w:val="16"/>
        </w:rPr>
        <w:t>information,</w:t>
      </w:r>
      <w:r w:rsidR="00CF2AB6">
        <w:rPr>
          <w:i/>
          <w:spacing w:val="-4"/>
          <w:sz w:val="16"/>
        </w:rPr>
        <w:t xml:space="preserve"> </w:t>
      </w:r>
      <w:r w:rsidR="00CF2AB6">
        <w:rPr>
          <w:i/>
          <w:sz w:val="16"/>
        </w:rPr>
        <w:t>please</w:t>
      </w:r>
      <w:r w:rsidR="00CF2AB6">
        <w:rPr>
          <w:i/>
          <w:spacing w:val="-3"/>
          <w:sz w:val="16"/>
        </w:rPr>
        <w:t xml:space="preserve"> </w:t>
      </w:r>
      <w:r w:rsidR="00CF2AB6">
        <w:rPr>
          <w:i/>
          <w:sz w:val="16"/>
        </w:rPr>
        <w:t>refer</w:t>
      </w:r>
      <w:r w:rsidR="00CF2AB6">
        <w:rPr>
          <w:i/>
          <w:spacing w:val="-2"/>
          <w:sz w:val="16"/>
        </w:rPr>
        <w:t xml:space="preserve"> </w:t>
      </w:r>
      <w:r w:rsidR="00CF2AB6">
        <w:rPr>
          <w:i/>
          <w:sz w:val="16"/>
        </w:rPr>
        <w:t>to</w:t>
      </w:r>
      <w:r w:rsidR="00CF2AB6">
        <w:rPr>
          <w:i/>
          <w:spacing w:val="-2"/>
          <w:sz w:val="16"/>
        </w:rPr>
        <w:t xml:space="preserve"> </w:t>
      </w:r>
      <w:r w:rsidR="00CF2AB6">
        <w:rPr>
          <w:i/>
          <w:sz w:val="16"/>
        </w:rPr>
        <w:t>the</w:t>
      </w:r>
      <w:r w:rsidR="00CF2AB6">
        <w:rPr>
          <w:i/>
          <w:spacing w:val="-2"/>
          <w:sz w:val="16"/>
        </w:rPr>
        <w:t xml:space="preserve"> </w:t>
      </w:r>
      <w:r w:rsidR="00CF2AB6">
        <w:rPr>
          <w:i/>
          <w:sz w:val="16"/>
        </w:rPr>
        <w:t>appendix.</w:t>
      </w:r>
    </w:p>
    <w:p w:rsidR="00BC7438" w:rsidRDefault="00CF2AB6">
      <w:pPr>
        <w:pStyle w:val="ListParagraph"/>
        <w:numPr>
          <w:ilvl w:val="0"/>
          <w:numId w:val="2"/>
        </w:numPr>
        <w:tabs>
          <w:tab w:val="left" w:pos="284"/>
        </w:tabs>
        <w:spacing w:before="1"/>
        <w:ind w:hanging="108"/>
        <w:rPr>
          <w:i/>
          <w:sz w:val="16"/>
        </w:rPr>
      </w:pPr>
      <w:r>
        <w:rPr>
          <w:i/>
          <w:sz w:val="16"/>
        </w:rPr>
        <w:t>Service</w:t>
      </w:r>
      <w:r>
        <w:rPr>
          <w:i/>
          <w:spacing w:val="-5"/>
          <w:sz w:val="16"/>
        </w:rPr>
        <w:t xml:space="preserve"> </w:t>
      </w:r>
      <w:r>
        <w:rPr>
          <w:i/>
          <w:sz w:val="16"/>
        </w:rPr>
        <w:t>types</w:t>
      </w:r>
      <w:r>
        <w:rPr>
          <w:i/>
          <w:spacing w:val="-5"/>
          <w:sz w:val="16"/>
        </w:rPr>
        <w:t xml:space="preserve"> </w:t>
      </w:r>
      <w:r>
        <w:rPr>
          <w:i/>
          <w:sz w:val="16"/>
        </w:rPr>
        <w:t>are</w:t>
      </w:r>
      <w:r>
        <w:rPr>
          <w:i/>
          <w:spacing w:val="-6"/>
          <w:sz w:val="16"/>
        </w:rPr>
        <w:t xml:space="preserve"> </w:t>
      </w:r>
      <w:r>
        <w:rPr>
          <w:i/>
          <w:sz w:val="16"/>
        </w:rPr>
        <w:t>classified</w:t>
      </w:r>
      <w:r>
        <w:rPr>
          <w:i/>
          <w:spacing w:val="-4"/>
          <w:sz w:val="16"/>
        </w:rPr>
        <w:t xml:space="preserve"> </w:t>
      </w:r>
      <w:r>
        <w:rPr>
          <w:i/>
          <w:sz w:val="16"/>
        </w:rPr>
        <w:t>into</w:t>
      </w:r>
      <w:r>
        <w:rPr>
          <w:i/>
          <w:spacing w:val="-6"/>
          <w:sz w:val="16"/>
        </w:rPr>
        <w:t xml:space="preserve"> </w:t>
      </w:r>
      <w:r>
        <w:rPr>
          <w:i/>
          <w:sz w:val="16"/>
        </w:rPr>
        <w:t>service</w:t>
      </w:r>
      <w:r>
        <w:rPr>
          <w:i/>
          <w:spacing w:val="-5"/>
          <w:sz w:val="16"/>
        </w:rPr>
        <w:t xml:space="preserve"> </w:t>
      </w:r>
      <w:r>
        <w:rPr>
          <w:i/>
          <w:sz w:val="16"/>
        </w:rPr>
        <w:t>categories</w:t>
      </w:r>
      <w:r>
        <w:rPr>
          <w:i/>
          <w:spacing w:val="-4"/>
          <w:sz w:val="16"/>
        </w:rPr>
        <w:t xml:space="preserve"> </w:t>
      </w:r>
      <w:r>
        <w:rPr>
          <w:i/>
          <w:sz w:val="16"/>
        </w:rPr>
        <w:t>based</w:t>
      </w:r>
      <w:r>
        <w:rPr>
          <w:i/>
          <w:spacing w:val="-6"/>
          <w:sz w:val="16"/>
        </w:rPr>
        <w:t xml:space="preserve"> </w:t>
      </w:r>
      <w:r>
        <w:rPr>
          <w:i/>
          <w:sz w:val="16"/>
        </w:rPr>
        <w:t>on</w:t>
      </w:r>
      <w:r>
        <w:rPr>
          <w:i/>
          <w:spacing w:val="-5"/>
          <w:sz w:val="16"/>
        </w:rPr>
        <w:t xml:space="preserve"> </w:t>
      </w:r>
      <w:r>
        <w:rPr>
          <w:i/>
          <w:sz w:val="16"/>
        </w:rPr>
        <w:t>setting.</w:t>
      </w:r>
    </w:p>
    <w:p w:rsidR="00BC7438" w:rsidRDefault="00CF2AB6">
      <w:pPr>
        <w:pStyle w:val="ListParagraph"/>
        <w:numPr>
          <w:ilvl w:val="0"/>
          <w:numId w:val="2"/>
        </w:numPr>
        <w:tabs>
          <w:tab w:val="left" w:pos="284"/>
        </w:tabs>
        <w:spacing w:before="1"/>
        <w:ind w:hanging="108"/>
        <w:rPr>
          <w:i/>
          <w:sz w:val="16"/>
        </w:rPr>
      </w:pPr>
      <w:r>
        <w:rPr>
          <w:i/>
          <w:sz w:val="16"/>
        </w:rPr>
        <w:t>Engagement, Assessment and Referral includes opioid urgent care</w:t>
      </w:r>
      <w:r>
        <w:rPr>
          <w:i/>
          <w:spacing w:val="-15"/>
          <w:sz w:val="16"/>
        </w:rPr>
        <w:t xml:space="preserve"> </w:t>
      </w:r>
      <w:r>
        <w:rPr>
          <w:i/>
          <w:sz w:val="16"/>
        </w:rPr>
        <w:t>centers</w:t>
      </w:r>
    </w:p>
    <w:p w:rsidR="00BC7438" w:rsidRDefault="00CF2AB6">
      <w:pPr>
        <w:pStyle w:val="ListParagraph"/>
        <w:numPr>
          <w:ilvl w:val="0"/>
          <w:numId w:val="2"/>
        </w:numPr>
        <w:tabs>
          <w:tab w:val="left" w:pos="284"/>
        </w:tabs>
        <w:spacing w:before="1"/>
        <w:ind w:hanging="108"/>
        <w:rPr>
          <w:i/>
          <w:sz w:val="16"/>
        </w:rPr>
      </w:pPr>
      <w:r>
        <w:rPr>
          <w:i/>
          <w:sz w:val="16"/>
        </w:rPr>
        <w:t>Medication</w:t>
      </w:r>
      <w:r>
        <w:rPr>
          <w:i/>
          <w:spacing w:val="-5"/>
          <w:sz w:val="16"/>
        </w:rPr>
        <w:t xml:space="preserve"> </w:t>
      </w:r>
      <w:r>
        <w:rPr>
          <w:i/>
          <w:sz w:val="16"/>
        </w:rPr>
        <w:t>Assisted</w:t>
      </w:r>
      <w:r>
        <w:rPr>
          <w:i/>
          <w:spacing w:val="-4"/>
          <w:sz w:val="16"/>
        </w:rPr>
        <w:t xml:space="preserve"> </w:t>
      </w:r>
      <w:r>
        <w:rPr>
          <w:i/>
          <w:sz w:val="16"/>
        </w:rPr>
        <w:t>Treatment</w:t>
      </w:r>
      <w:r>
        <w:rPr>
          <w:i/>
          <w:spacing w:val="-4"/>
          <w:sz w:val="16"/>
        </w:rPr>
        <w:t xml:space="preserve"> </w:t>
      </w:r>
      <w:r>
        <w:rPr>
          <w:i/>
          <w:sz w:val="16"/>
        </w:rPr>
        <w:t>includes</w:t>
      </w:r>
      <w:r>
        <w:rPr>
          <w:i/>
          <w:spacing w:val="-4"/>
          <w:sz w:val="16"/>
        </w:rPr>
        <w:t xml:space="preserve"> </w:t>
      </w:r>
      <w:r>
        <w:rPr>
          <w:i/>
          <w:sz w:val="16"/>
        </w:rPr>
        <w:t>all</w:t>
      </w:r>
      <w:r>
        <w:rPr>
          <w:i/>
          <w:spacing w:val="-3"/>
          <w:sz w:val="16"/>
        </w:rPr>
        <w:t xml:space="preserve"> </w:t>
      </w:r>
      <w:r>
        <w:rPr>
          <w:i/>
          <w:sz w:val="16"/>
        </w:rPr>
        <w:t>three</w:t>
      </w:r>
      <w:r>
        <w:rPr>
          <w:i/>
          <w:spacing w:val="-3"/>
          <w:sz w:val="16"/>
        </w:rPr>
        <w:t xml:space="preserve"> </w:t>
      </w:r>
      <w:r>
        <w:rPr>
          <w:i/>
          <w:sz w:val="16"/>
        </w:rPr>
        <w:t>FDA-approved</w:t>
      </w:r>
      <w:r>
        <w:rPr>
          <w:i/>
          <w:spacing w:val="-2"/>
          <w:sz w:val="16"/>
        </w:rPr>
        <w:t xml:space="preserve"> </w:t>
      </w:r>
      <w:r>
        <w:rPr>
          <w:i/>
          <w:sz w:val="16"/>
        </w:rPr>
        <w:t>MAT</w:t>
      </w:r>
      <w:r>
        <w:rPr>
          <w:i/>
          <w:spacing w:val="-4"/>
          <w:sz w:val="16"/>
        </w:rPr>
        <w:t xml:space="preserve"> </w:t>
      </w:r>
      <w:r>
        <w:rPr>
          <w:i/>
          <w:sz w:val="16"/>
        </w:rPr>
        <w:t>treatments:</w:t>
      </w:r>
      <w:r>
        <w:rPr>
          <w:i/>
          <w:spacing w:val="-2"/>
          <w:sz w:val="16"/>
        </w:rPr>
        <w:t xml:space="preserve"> </w:t>
      </w:r>
      <w:r>
        <w:rPr>
          <w:i/>
          <w:sz w:val="16"/>
        </w:rPr>
        <w:t>methadone,</w:t>
      </w:r>
      <w:r>
        <w:rPr>
          <w:i/>
          <w:spacing w:val="-4"/>
          <w:sz w:val="16"/>
        </w:rPr>
        <w:t xml:space="preserve"> </w:t>
      </w:r>
      <w:r>
        <w:rPr>
          <w:i/>
          <w:sz w:val="16"/>
        </w:rPr>
        <w:t>buprenorphine</w:t>
      </w:r>
      <w:r>
        <w:rPr>
          <w:i/>
          <w:spacing w:val="-4"/>
          <w:sz w:val="16"/>
        </w:rPr>
        <w:t xml:space="preserve"> </w:t>
      </w:r>
      <w:r>
        <w:rPr>
          <w:i/>
          <w:sz w:val="16"/>
        </w:rPr>
        <w:t>and</w:t>
      </w:r>
      <w:r>
        <w:rPr>
          <w:i/>
          <w:spacing w:val="-3"/>
          <w:sz w:val="16"/>
        </w:rPr>
        <w:t xml:space="preserve"> </w:t>
      </w:r>
      <w:r>
        <w:rPr>
          <w:i/>
          <w:sz w:val="16"/>
        </w:rPr>
        <w:t>extended-release</w:t>
      </w:r>
      <w:r>
        <w:rPr>
          <w:i/>
          <w:spacing w:val="-2"/>
          <w:sz w:val="16"/>
        </w:rPr>
        <w:t xml:space="preserve"> </w:t>
      </w:r>
      <w:r>
        <w:rPr>
          <w:i/>
          <w:sz w:val="16"/>
        </w:rPr>
        <w:t>injectable</w:t>
      </w:r>
      <w:r>
        <w:rPr>
          <w:i/>
          <w:spacing w:val="-5"/>
          <w:sz w:val="16"/>
        </w:rPr>
        <w:t xml:space="preserve"> </w:t>
      </w:r>
      <w:r>
        <w:rPr>
          <w:i/>
          <w:sz w:val="16"/>
        </w:rPr>
        <w:t>naltrexone</w:t>
      </w:r>
    </w:p>
    <w:p w:rsidR="00BC7438" w:rsidRDefault="00CF2AB6">
      <w:pPr>
        <w:pStyle w:val="ListParagraph"/>
        <w:numPr>
          <w:ilvl w:val="0"/>
          <w:numId w:val="2"/>
        </w:numPr>
        <w:tabs>
          <w:tab w:val="left" w:pos="284"/>
        </w:tabs>
        <w:spacing w:before="1"/>
        <w:ind w:hanging="108"/>
        <w:rPr>
          <w:i/>
          <w:sz w:val="16"/>
        </w:rPr>
      </w:pPr>
      <w:r>
        <w:rPr>
          <w:i/>
          <w:sz w:val="16"/>
        </w:rPr>
        <w:t>Acute Treatment Services includes acute treatment services and section</w:t>
      </w:r>
      <w:r>
        <w:rPr>
          <w:i/>
          <w:spacing w:val="-31"/>
          <w:sz w:val="16"/>
        </w:rPr>
        <w:t xml:space="preserve"> </w:t>
      </w:r>
      <w:r>
        <w:rPr>
          <w:i/>
          <w:sz w:val="16"/>
        </w:rPr>
        <w:t>35</w:t>
      </w:r>
    </w:p>
    <w:p w:rsidR="00BC7438" w:rsidRDefault="00BC7438">
      <w:pPr>
        <w:rPr>
          <w:sz w:val="16"/>
        </w:rPr>
        <w:sectPr w:rsidR="00BC7438">
          <w:pgSz w:w="15410" w:h="20160"/>
          <w:pgMar w:top="0" w:right="600" w:bottom="920" w:left="620" w:header="0" w:footer="661" w:gutter="0"/>
          <w:cols w:space="720"/>
        </w:sectPr>
      </w:pPr>
    </w:p>
    <w:p w:rsidR="00BC7438" w:rsidRDefault="00743F8C">
      <w:pPr>
        <w:pStyle w:val="BodyText"/>
        <w:ind w:left="100"/>
        <w:rPr>
          <w:sz w:val="20"/>
        </w:rPr>
      </w:pPr>
      <w:r>
        <w:rPr>
          <w:sz w:val="20"/>
        </w:rPr>
      </w:r>
      <w:r>
        <w:rPr>
          <w:sz w:val="20"/>
        </w:rPr>
        <w:pict>
          <v:group id="_x0000_s1026" style="width:698.4pt;height:91.5pt;mso-position-horizontal-relative:char;mso-position-vertical-relative:line" coordsize="13968,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240;top:90;width:1619;height:1650">
              <v:imagedata r:id="rId10" o:title=""/>
            </v:shape>
            <v:shape id="_x0000_s1030" type="#_x0000_t75" style="position:absolute;left:11028;top:90;width:2850;height:1650">
              <v:imagedata r:id="rId11" o:title=""/>
            </v:shape>
            <v:rect id="_x0000_s1029" style="position:absolute;left:68;top:68;width:13833;height:1695" filled="f" strokecolor="navy" strokeweight="2.25pt"/>
            <v:rect id="_x0000_s1028" style="position:absolute;left:23;top:23;width:13923;height:1785" filled="f" strokecolor="green" strokeweight="2.25pt"/>
            <v:shape id="_x0000_s1027" type="#_x0000_t202" style="position:absolute;left:45;top:45;width:13878;height:1740" filled="f" stroked="f">
              <v:textbox inset="0,0,0,0">
                <w:txbxContent>
                  <w:p w:rsidR="00BC7438" w:rsidRDefault="00BC7438">
                    <w:pPr>
                      <w:rPr>
                        <w:i/>
                        <w:sz w:val="36"/>
                      </w:rPr>
                    </w:pPr>
                  </w:p>
                  <w:p w:rsidR="00BC7438" w:rsidRDefault="00CF2AB6">
                    <w:pPr>
                      <w:ind w:left="4032" w:right="4032"/>
                      <w:jc w:val="center"/>
                      <w:rPr>
                        <w:b/>
                        <w:sz w:val="24"/>
                      </w:rPr>
                    </w:pPr>
                    <w:r>
                      <w:rPr>
                        <w:b/>
                        <w:sz w:val="24"/>
                      </w:rPr>
                      <w:t>Description of Admissions</w:t>
                    </w:r>
                  </w:p>
                  <w:p w:rsidR="00BC7438" w:rsidRDefault="00CF2AB6">
                    <w:pPr>
                      <w:ind w:left="4034" w:right="4032"/>
                      <w:jc w:val="center"/>
                      <w:rPr>
                        <w:b/>
                        <w:sz w:val="24"/>
                      </w:rPr>
                    </w:pPr>
                    <w:r>
                      <w:rPr>
                        <w:b/>
                        <w:sz w:val="24"/>
                      </w:rPr>
                      <w:t>Fact Sheet - Black, African American Admissions FY 2017</w:t>
                    </w:r>
                  </w:p>
                </w:txbxContent>
              </v:textbox>
            </v:shape>
            <w10:wrap type="none"/>
            <w10:anchorlock/>
          </v:group>
        </w:pict>
      </w:r>
    </w:p>
    <w:p w:rsidR="00BC7438" w:rsidRDefault="00BC7438">
      <w:pPr>
        <w:pStyle w:val="BodyText"/>
        <w:spacing w:before="5"/>
        <w:rPr>
          <w:i/>
          <w:sz w:val="12"/>
        </w:rPr>
      </w:pPr>
    </w:p>
    <w:p w:rsidR="00BC7438" w:rsidRDefault="00BC7438">
      <w:pPr>
        <w:rPr>
          <w:sz w:val="12"/>
        </w:rPr>
        <w:sectPr w:rsidR="00BC7438">
          <w:headerReference w:type="default" r:id="rId12"/>
          <w:footerReference w:type="default" r:id="rId13"/>
          <w:pgSz w:w="15410" w:h="20160"/>
          <w:pgMar w:top="720" w:right="600" w:bottom="920" w:left="620" w:header="0" w:footer="721" w:gutter="0"/>
          <w:pgNumType w:start="5"/>
          <w:cols w:space="720"/>
        </w:sectPr>
      </w:pPr>
    </w:p>
    <w:p w:rsidR="00BC7438" w:rsidRDefault="00BC7438">
      <w:pPr>
        <w:pStyle w:val="BodyText"/>
        <w:rPr>
          <w:i/>
          <w:sz w:val="24"/>
        </w:rPr>
      </w:pPr>
    </w:p>
    <w:p w:rsidR="00BC7438" w:rsidRDefault="00BC7438">
      <w:pPr>
        <w:pStyle w:val="BodyText"/>
        <w:spacing w:before="11"/>
        <w:rPr>
          <w:i/>
          <w:sz w:val="30"/>
        </w:rPr>
      </w:pPr>
    </w:p>
    <w:p w:rsidR="00BC7438" w:rsidRDefault="00CF2AB6">
      <w:pPr>
        <w:pStyle w:val="Heading1"/>
      </w:pPr>
      <w:r>
        <w:rPr>
          <w:u w:val="single"/>
        </w:rPr>
        <w:t>General Notes</w:t>
      </w:r>
    </w:p>
    <w:p w:rsidR="00BC7438" w:rsidRDefault="00CF2AB6">
      <w:pPr>
        <w:spacing w:before="100"/>
        <w:ind w:left="175"/>
        <w:rPr>
          <w:b/>
          <w:sz w:val="28"/>
        </w:rPr>
      </w:pPr>
      <w:r>
        <w:br w:type="column"/>
      </w:r>
      <w:r>
        <w:rPr>
          <w:b/>
          <w:sz w:val="28"/>
        </w:rPr>
        <w:lastRenderedPageBreak/>
        <w:t>Appendix</w:t>
      </w:r>
    </w:p>
    <w:p w:rsidR="00BC7438" w:rsidRDefault="00BC7438">
      <w:pPr>
        <w:rPr>
          <w:sz w:val="28"/>
        </w:rPr>
        <w:sectPr w:rsidR="00BC7438">
          <w:type w:val="continuous"/>
          <w:pgSz w:w="15410" w:h="20160"/>
          <w:pgMar w:top="0" w:right="600" w:bottom="860" w:left="620" w:header="720" w:footer="720" w:gutter="0"/>
          <w:cols w:num="2" w:space="720" w:equalWidth="0">
            <w:col w:w="1599" w:space="4650"/>
            <w:col w:w="7941"/>
          </w:cols>
        </w:sectPr>
      </w:pPr>
    </w:p>
    <w:p w:rsidR="00BC7438" w:rsidRDefault="00CF2AB6">
      <w:pPr>
        <w:pStyle w:val="ListParagraph"/>
        <w:numPr>
          <w:ilvl w:val="0"/>
          <w:numId w:val="1"/>
        </w:numPr>
        <w:tabs>
          <w:tab w:val="left" w:pos="297"/>
        </w:tabs>
        <w:spacing w:before="150"/>
        <w:ind w:firstLine="0"/>
        <w:rPr>
          <w:sz w:val="18"/>
        </w:rPr>
      </w:pPr>
      <w:r>
        <w:rPr>
          <w:sz w:val="18"/>
        </w:rPr>
        <w:lastRenderedPageBreak/>
        <w:t>To</w:t>
      </w:r>
      <w:r>
        <w:rPr>
          <w:spacing w:val="-4"/>
          <w:sz w:val="18"/>
        </w:rPr>
        <w:t xml:space="preserve"> </w:t>
      </w:r>
      <w:r>
        <w:rPr>
          <w:sz w:val="18"/>
        </w:rPr>
        <w:t>protect</w:t>
      </w:r>
      <w:r>
        <w:rPr>
          <w:spacing w:val="-5"/>
          <w:sz w:val="18"/>
        </w:rPr>
        <w:t xml:space="preserve"> </w:t>
      </w:r>
      <w:r>
        <w:rPr>
          <w:sz w:val="18"/>
        </w:rPr>
        <w:t>client</w:t>
      </w:r>
      <w:r>
        <w:rPr>
          <w:spacing w:val="-4"/>
          <w:sz w:val="18"/>
        </w:rPr>
        <w:t xml:space="preserve"> </w:t>
      </w:r>
      <w:r>
        <w:rPr>
          <w:sz w:val="18"/>
        </w:rPr>
        <w:t>confidentiality,</w:t>
      </w:r>
      <w:r>
        <w:rPr>
          <w:spacing w:val="-3"/>
          <w:sz w:val="18"/>
        </w:rPr>
        <w:t xml:space="preserve"> </w:t>
      </w:r>
      <w:r>
        <w:rPr>
          <w:sz w:val="18"/>
        </w:rPr>
        <w:t>the</w:t>
      </w:r>
      <w:r>
        <w:rPr>
          <w:spacing w:val="-4"/>
          <w:sz w:val="18"/>
        </w:rPr>
        <w:t xml:space="preserve"> </w:t>
      </w:r>
      <w:r>
        <w:rPr>
          <w:sz w:val="18"/>
        </w:rPr>
        <w:t>data</w:t>
      </w:r>
      <w:r>
        <w:rPr>
          <w:spacing w:val="-5"/>
          <w:sz w:val="18"/>
        </w:rPr>
        <w:t xml:space="preserve"> </w:t>
      </w:r>
      <w:r>
        <w:rPr>
          <w:sz w:val="18"/>
        </w:rPr>
        <w:t>in</w:t>
      </w:r>
      <w:r>
        <w:rPr>
          <w:spacing w:val="-4"/>
          <w:sz w:val="18"/>
        </w:rPr>
        <w:t xml:space="preserve"> </w:t>
      </w:r>
      <w:r>
        <w:rPr>
          <w:sz w:val="18"/>
        </w:rPr>
        <w:t>cells</w:t>
      </w:r>
      <w:r>
        <w:rPr>
          <w:spacing w:val="-4"/>
          <w:sz w:val="18"/>
        </w:rPr>
        <w:t xml:space="preserve"> </w:t>
      </w:r>
      <w:r>
        <w:rPr>
          <w:sz w:val="18"/>
        </w:rPr>
        <w:t>containing</w:t>
      </w:r>
      <w:r>
        <w:rPr>
          <w:spacing w:val="-3"/>
          <w:sz w:val="18"/>
        </w:rPr>
        <w:t xml:space="preserve"> </w:t>
      </w:r>
      <w:r>
        <w:rPr>
          <w:sz w:val="18"/>
        </w:rPr>
        <w:t>5</w:t>
      </w:r>
      <w:r>
        <w:rPr>
          <w:spacing w:val="-4"/>
          <w:sz w:val="18"/>
        </w:rPr>
        <w:t xml:space="preserve"> </w:t>
      </w:r>
      <w:r>
        <w:rPr>
          <w:sz w:val="18"/>
        </w:rPr>
        <w:t>or</w:t>
      </w:r>
      <w:r>
        <w:rPr>
          <w:spacing w:val="-4"/>
          <w:sz w:val="18"/>
        </w:rPr>
        <w:t xml:space="preserve"> </w:t>
      </w:r>
      <w:r>
        <w:rPr>
          <w:sz w:val="18"/>
        </w:rPr>
        <w:t>fewer</w:t>
      </w:r>
      <w:r>
        <w:rPr>
          <w:spacing w:val="-4"/>
          <w:sz w:val="18"/>
        </w:rPr>
        <w:t xml:space="preserve"> </w:t>
      </w:r>
      <w:r>
        <w:rPr>
          <w:sz w:val="18"/>
        </w:rPr>
        <w:t>counts</w:t>
      </w:r>
      <w:r>
        <w:rPr>
          <w:spacing w:val="-4"/>
          <w:sz w:val="18"/>
        </w:rPr>
        <w:t xml:space="preserve"> </w:t>
      </w:r>
      <w:r>
        <w:rPr>
          <w:sz w:val="18"/>
        </w:rPr>
        <w:t>are</w:t>
      </w:r>
      <w:r>
        <w:rPr>
          <w:spacing w:val="-5"/>
          <w:sz w:val="18"/>
        </w:rPr>
        <w:t xml:space="preserve"> </w:t>
      </w:r>
      <w:r>
        <w:rPr>
          <w:sz w:val="18"/>
        </w:rPr>
        <w:t>suppressed.</w:t>
      </w:r>
    </w:p>
    <w:p w:rsidR="00BC7438" w:rsidRDefault="00CF2AB6">
      <w:pPr>
        <w:pStyle w:val="ListParagraph"/>
        <w:numPr>
          <w:ilvl w:val="0"/>
          <w:numId w:val="1"/>
        </w:numPr>
        <w:tabs>
          <w:tab w:val="left" w:pos="297"/>
        </w:tabs>
        <w:ind w:left="296" w:hanging="121"/>
        <w:rPr>
          <w:sz w:val="18"/>
        </w:rPr>
      </w:pPr>
      <w:r>
        <w:rPr>
          <w:sz w:val="18"/>
        </w:rPr>
        <w:t>Data</w:t>
      </w:r>
      <w:r>
        <w:rPr>
          <w:spacing w:val="-3"/>
          <w:sz w:val="18"/>
        </w:rPr>
        <w:t xml:space="preserve"> </w:t>
      </w:r>
      <w:r>
        <w:rPr>
          <w:sz w:val="18"/>
        </w:rPr>
        <w:t>includes</w:t>
      </w:r>
      <w:r>
        <w:rPr>
          <w:spacing w:val="-4"/>
          <w:sz w:val="18"/>
        </w:rPr>
        <w:t xml:space="preserve"> </w:t>
      </w:r>
      <w:r>
        <w:rPr>
          <w:sz w:val="18"/>
        </w:rPr>
        <w:t>primary</w:t>
      </w:r>
      <w:r>
        <w:rPr>
          <w:spacing w:val="-4"/>
          <w:sz w:val="18"/>
        </w:rPr>
        <w:t xml:space="preserve"> </w:t>
      </w:r>
      <w:r>
        <w:rPr>
          <w:sz w:val="18"/>
        </w:rPr>
        <w:t>clients</w:t>
      </w:r>
      <w:r>
        <w:rPr>
          <w:spacing w:val="-3"/>
          <w:sz w:val="18"/>
        </w:rPr>
        <w:t xml:space="preserve"> </w:t>
      </w:r>
      <w:r>
        <w:rPr>
          <w:sz w:val="18"/>
        </w:rPr>
        <w:t>only;</w:t>
      </w:r>
      <w:r>
        <w:rPr>
          <w:spacing w:val="-3"/>
          <w:sz w:val="18"/>
        </w:rPr>
        <w:t xml:space="preserve"> </w:t>
      </w:r>
      <w:r>
        <w:rPr>
          <w:sz w:val="18"/>
        </w:rPr>
        <w:t>a</w:t>
      </w:r>
      <w:r>
        <w:rPr>
          <w:spacing w:val="-3"/>
          <w:sz w:val="18"/>
        </w:rPr>
        <w:t xml:space="preserve"> </w:t>
      </w:r>
      <w:r>
        <w:rPr>
          <w:sz w:val="18"/>
        </w:rPr>
        <w:t>primary</w:t>
      </w:r>
      <w:r>
        <w:rPr>
          <w:spacing w:val="-4"/>
          <w:sz w:val="18"/>
        </w:rPr>
        <w:t xml:space="preserve"> </w:t>
      </w:r>
      <w:r>
        <w:rPr>
          <w:sz w:val="18"/>
        </w:rPr>
        <w:t>client</w:t>
      </w:r>
      <w:r>
        <w:rPr>
          <w:spacing w:val="-3"/>
          <w:sz w:val="18"/>
        </w:rPr>
        <w:t xml:space="preserve"> </w:t>
      </w:r>
      <w:r>
        <w:rPr>
          <w:sz w:val="18"/>
        </w:rPr>
        <w:t>is</w:t>
      </w:r>
      <w:r>
        <w:rPr>
          <w:spacing w:val="-4"/>
          <w:sz w:val="18"/>
        </w:rPr>
        <w:t xml:space="preserve"> </w:t>
      </w:r>
      <w:r>
        <w:rPr>
          <w:sz w:val="18"/>
        </w:rPr>
        <w:t>defined</w:t>
      </w:r>
      <w:r>
        <w:rPr>
          <w:spacing w:val="-4"/>
          <w:sz w:val="18"/>
        </w:rPr>
        <w:t xml:space="preserve"> </w:t>
      </w:r>
      <w:r>
        <w:rPr>
          <w:sz w:val="18"/>
        </w:rPr>
        <w:t>as</w:t>
      </w:r>
      <w:r>
        <w:rPr>
          <w:spacing w:val="-3"/>
          <w:sz w:val="18"/>
        </w:rPr>
        <w:t xml:space="preserve"> </w:t>
      </w:r>
      <w:r>
        <w:rPr>
          <w:sz w:val="18"/>
        </w:rPr>
        <w:t>a</w:t>
      </w:r>
      <w:r>
        <w:rPr>
          <w:spacing w:val="-3"/>
          <w:sz w:val="18"/>
        </w:rPr>
        <w:t xml:space="preserve"> </w:t>
      </w:r>
      <w:r>
        <w:rPr>
          <w:sz w:val="18"/>
        </w:rPr>
        <w:t>person</w:t>
      </w:r>
      <w:r>
        <w:rPr>
          <w:spacing w:val="-4"/>
          <w:sz w:val="18"/>
        </w:rPr>
        <w:t xml:space="preserve"> </w:t>
      </w:r>
      <w:r>
        <w:rPr>
          <w:sz w:val="18"/>
        </w:rPr>
        <w:t>seeking</w:t>
      </w:r>
      <w:r>
        <w:rPr>
          <w:spacing w:val="-3"/>
          <w:sz w:val="18"/>
        </w:rPr>
        <w:t xml:space="preserve"> </w:t>
      </w:r>
      <w:r>
        <w:rPr>
          <w:sz w:val="18"/>
        </w:rPr>
        <w:t>treatment</w:t>
      </w:r>
      <w:r>
        <w:rPr>
          <w:spacing w:val="-2"/>
          <w:sz w:val="18"/>
        </w:rPr>
        <w:t xml:space="preserve"> </w:t>
      </w:r>
      <w:r>
        <w:rPr>
          <w:sz w:val="18"/>
        </w:rPr>
        <w:t>for</w:t>
      </w:r>
      <w:r>
        <w:rPr>
          <w:spacing w:val="-3"/>
          <w:sz w:val="18"/>
        </w:rPr>
        <w:t xml:space="preserve"> </w:t>
      </w:r>
      <w:r>
        <w:rPr>
          <w:sz w:val="18"/>
        </w:rPr>
        <w:t>their</w:t>
      </w:r>
      <w:r>
        <w:rPr>
          <w:spacing w:val="-3"/>
          <w:sz w:val="18"/>
        </w:rPr>
        <w:t xml:space="preserve"> </w:t>
      </w:r>
      <w:r>
        <w:rPr>
          <w:sz w:val="18"/>
        </w:rPr>
        <w:t>personal</w:t>
      </w:r>
      <w:r>
        <w:rPr>
          <w:spacing w:val="-4"/>
          <w:sz w:val="18"/>
        </w:rPr>
        <w:t xml:space="preserve"> </w:t>
      </w:r>
      <w:r>
        <w:rPr>
          <w:sz w:val="18"/>
        </w:rPr>
        <w:t>substance</w:t>
      </w:r>
      <w:r>
        <w:rPr>
          <w:spacing w:val="-3"/>
          <w:sz w:val="18"/>
        </w:rPr>
        <w:t xml:space="preserve"> </w:t>
      </w:r>
      <w:r>
        <w:rPr>
          <w:sz w:val="18"/>
        </w:rPr>
        <w:t>use</w:t>
      </w:r>
      <w:r>
        <w:rPr>
          <w:spacing w:val="-4"/>
          <w:sz w:val="18"/>
        </w:rPr>
        <w:t xml:space="preserve"> </w:t>
      </w:r>
      <w:r>
        <w:rPr>
          <w:sz w:val="18"/>
        </w:rPr>
        <w:t>problem(s).</w:t>
      </w:r>
    </w:p>
    <w:p w:rsidR="00BC7438" w:rsidRDefault="00CF2AB6">
      <w:pPr>
        <w:pStyle w:val="ListParagraph"/>
        <w:numPr>
          <w:ilvl w:val="0"/>
          <w:numId w:val="1"/>
        </w:numPr>
        <w:tabs>
          <w:tab w:val="left" w:pos="297"/>
        </w:tabs>
        <w:ind w:right="510" w:firstLine="0"/>
        <w:rPr>
          <w:sz w:val="18"/>
        </w:rPr>
      </w:pPr>
      <w:r>
        <w:rPr>
          <w:sz w:val="18"/>
        </w:rPr>
        <w:t>Missing/unknown/not applicable responses are excluded from the data. Therefore, the number of admissions for each category/table may vary from the total number of admissions.</w:t>
      </w:r>
    </w:p>
    <w:p w:rsidR="00BC7438" w:rsidRDefault="00CF2AB6">
      <w:pPr>
        <w:pStyle w:val="ListParagraph"/>
        <w:numPr>
          <w:ilvl w:val="0"/>
          <w:numId w:val="1"/>
        </w:numPr>
        <w:tabs>
          <w:tab w:val="left" w:pos="297"/>
        </w:tabs>
        <w:ind w:right="381" w:firstLine="0"/>
        <w:rPr>
          <w:sz w:val="18"/>
        </w:rPr>
      </w:pPr>
      <w:r>
        <w:rPr>
          <w:sz w:val="18"/>
        </w:rPr>
        <w:t>In 2014, a new system of reporting was adopted by some Methadone treatment providers. Due to this system change, the reported enrollment numbers for FY 2014 may be</w:t>
      </w:r>
      <w:r>
        <w:rPr>
          <w:spacing w:val="-3"/>
          <w:sz w:val="18"/>
        </w:rPr>
        <w:t xml:space="preserve"> </w:t>
      </w:r>
      <w:r>
        <w:rPr>
          <w:sz w:val="18"/>
        </w:rPr>
        <w:t>higher</w:t>
      </w:r>
      <w:r>
        <w:rPr>
          <w:spacing w:val="-3"/>
          <w:sz w:val="18"/>
        </w:rPr>
        <w:t xml:space="preserve"> </w:t>
      </w:r>
      <w:r>
        <w:rPr>
          <w:sz w:val="18"/>
        </w:rPr>
        <w:t>than</w:t>
      </w:r>
      <w:r>
        <w:rPr>
          <w:spacing w:val="-2"/>
          <w:sz w:val="18"/>
        </w:rPr>
        <w:t xml:space="preserve"> </w:t>
      </w:r>
      <w:r>
        <w:rPr>
          <w:sz w:val="18"/>
        </w:rPr>
        <w:t>the</w:t>
      </w:r>
      <w:r>
        <w:rPr>
          <w:spacing w:val="-2"/>
          <w:sz w:val="18"/>
        </w:rPr>
        <w:t xml:space="preserve"> </w:t>
      </w:r>
      <w:r>
        <w:rPr>
          <w:sz w:val="18"/>
        </w:rPr>
        <w:t>actual</w:t>
      </w:r>
      <w:r>
        <w:rPr>
          <w:spacing w:val="-3"/>
          <w:sz w:val="18"/>
        </w:rPr>
        <w:t xml:space="preserve"> </w:t>
      </w:r>
      <w:r>
        <w:rPr>
          <w:sz w:val="18"/>
        </w:rPr>
        <w:t>number</w:t>
      </w:r>
      <w:r>
        <w:rPr>
          <w:spacing w:val="-3"/>
          <w:sz w:val="18"/>
        </w:rPr>
        <w:t xml:space="preserve"> </w:t>
      </w:r>
      <w:r>
        <w:rPr>
          <w:sz w:val="18"/>
        </w:rPr>
        <w:t>of</w:t>
      </w:r>
      <w:r>
        <w:rPr>
          <w:spacing w:val="-2"/>
          <w:sz w:val="18"/>
        </w:rPr>
        <w:t xml:space="preserve"> </w:t>
      </w:r>
      <w:r>
        <w:rPr>
          <w:sz w:val="18"/>
        </w:rPr>
        <w:t>enrollments.</w:t>
      </w:r>
      <w:r>
        <w:rPr>
          <w:spacing w:val="-2"/>
          <w:sz w:val="18"/>
        </w:rPr>
        <w:t xml:space="preserve"> </w:t>
      </w:r>
      <w:r>
        <w:rPr>
          <w:sz w:val="18"/>
        </w:rPr>
        <w:t>This</w:t>
      </w:r>
      <w:r>
        <w:rPr>
          <w:spacing w:val="-2"/>
          <w:sz w:val="18"/>
        </w:rPr>
        <w:t xml:space="preserve"> </w:t>
      </w:r>
      <w:r>
        <w:rPr>
          <w:sz w:val="18"/>
        </w:rPr>
        <w:t>also</w:t>
      </w:r>
      <w:r>
        <w:rPr>
          <w:spacing w:val="-3"/>
          <w:sz w:val="18"/>
        </w:rPr>
        <w:t xml:space="preserve"> </w:t>
      </w:r>
      <w:r>
        <w:rPr>
          <w:sz w:val="18"/>
        </w:rPr>
        <w:t>influences</w:t>
      </w:r>
      <w:r>
        <w:rPr>
          <w:spacing w:val="-4"/>
          <w:sz w:val="18"/>
        </w:rPr>
        <w:t xml:space="preserve"> </w:t>
      </w:r>
      <w:r>
        <w:rPr>
          <w:sz w:val="18"/>
        </w:rPr>
        <w:t>any</w:t>
      </w:r>
      <w:r>
        <w:rPr>
          <w:spacing w:val="-2"/>
          <w:sz w:val="18"/>
        </w:rPr>
        <w:t xml:space="preserve"> </w:t>
      </w:r>
      <w:r>
        <w:rPr>
          <w:sz w:val="18"/>
        </w:rPr>
        <w:t>assessment</w:t>
      </w:r>
      <w:r>
        <w:rPr>
          <w:spacing w:val="-3"/>
          <w:sz w:val="18"/>
        </w:rPr>
        <w:t xml:space="preserve"> </w:t>
      </w:r>
      <w:r>
        <w:rPr>
          <w:sz w:val="18"/>
        </w:rPr>
        <w:t>data</w:t>
      </w:r>
      <w:r>
        <w:rPr>
          <w:spacing w:val="-3"/>
          <w:sz w:val="18"/>
        </w:rPr>
        <w:t xml:space="preserve"> </w:t>
      </w:r>
      <w:r>
        <w:rPr>
          <w:sz w:val="18"/>
        </w:rPr>
        <w:t>captured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trend</w:t>
      </w:r>
      <w:r>
        <w:rPr>
          <w:spacing w:val="-2"/>
          <w:sz w:val="18"/>
        </w:rPr>
        <w:t xml:space="preserve"> </w:t>
      </w:r>
      <w:r>
        <w:rPr>
          <w:sz w:val="18"/>
        </w:rPr>
        <w:t>tables</w:t>
      </w:r>
      <w:r>
        <w:rPr>
          <w:spacing w:val="-2"/>
          <w:sz w:val="18"/>
        </w:rPr>
        <w:t xml:space="preserve"> </w:t>
      </w:r>
      <w:r>
        <w:rPr>
          <w:sz w:val="18"/>
        </w:rPr>
        <w:t>starting</w:t>
      </w:r>
      <w:r>
        <w:rPr>
          <w:spacing w:val="-2"/>
          <w:sz w:val="18"/>
        </w:rPr>
        <w:t xml:space="preserve"> </w:t>
      </w:r>
      <w:r>
        <w:rPr>
          <w:sz w:val="18"/>
        </w:rPr>
        <w:t>from</w:t>
      </w:r>
      <w:r>
        <w:rPr>
          <w:spacing w:val="-2"/>
          <w:sz w:val="18"/>
        </w:rPr>
        <w:t xml:space="preserve"> </w:t>
      </w:r>
      <w:r>
        <w:rPr>
          <w:sz w:val="18"/>
        </w:rPr>
        <w:t>2014</w:t>
      </w:r>
      <w:r>
        <w:rPr>
          <w:spacing w:val="-2"/>
          <w:sz w:val="18"/>
        </w:rPr>
        <w:t xml:space="preserve"> </w:t>
      </w:r>
      <w:r>
        <w:rPr>
          <w:sz w:val="18"/>
        </w:rPr>
        <w:t>onward.</w:t>
      </w:r>
    </w:p>
    <w:p w:rsidR="00BC7438" w:rsidRDefault="00CF2AB6">
      <w:pPr>
        <w:pStyle w:val="ListParagraph"/>
        <w:numPr>
          <w:ilvl w:val="0"/>
          <w:numId w:val="1"/>
        </w:numPr>
        <w:tabs>
          <w:tab w:val="left" w:pos="297"/>
        </w:tabs>
        <w:ind w:left="296" w:hanging="121"/>
        <w:rPr>
          <w:sz w:val="18"/>
        </w:rPr>
      </w:pPr>
      <w:r>
        <w:rPr>
          <w:sz w:val="18"/>
        </w:rPr>
        <w:t>Homelessness</w:t>
      </w:r>
      <w:r>
        <w:rPr>
          <w:spacing w:val="-3"/>
          <w:sz w:val="18"/>
        </w:rPr>
        <w:t xml:space="preserve"> </w:t>
      </w:r>
      <w:r>
        <w:rPr>
          <w:sz w:val="18"/>
        </w:rPr>
        <w:t>at</w:t>
      </w:r>
      <w:r>
        <w:rPr>
          <w:spacing w:val="-3"/>
          <w:sz w:val="18"/>
        </w:rPr>
        <w:t xml:space="preserve"> </w:t>
      </w:r>
      <w:r>
        <w:rPr>
          <w:sz w:val="18"/>
        </w:rPr>
        <w:t>enrollment</w:t>
      </w:r>
      <w:r>
        <w:rPr>
          <w:spacing w:val="-3"/>
          <w:sz w:val="18"/>
        </w:rPr>
        <w:t xml:space="preserve"> </w:t>
      </w:r>
      <w:r>
        <w:rPr>
          <w:sz w:val="18"/>
        </w:rPr>
        <w:t>is</w:t>
      </w:r>
      <w:r>
        <w:rPr>
          <w:spacing w:val="-4"/>
          <w:sz w:val="18"/>
        </w:rPr>
        <w:t xml:space="preserve"> </w:t>
      </w:r>
      <w:r>
        <w:rPr>
          <w:sz w:val="18"/>
        </w:rPr>
        <w:t>determined</w:t>
      </w:r>
      <w:r>
        <w:rPr>
          <w:spacing w:val="-4"/>
          <w:sz w:val="18"/>
        </w:rPr>
        <w:t xml:space="preserve"> </w:t>
      </w:r>
      <w:r>
        <w:rPr>
          <w:sz w:val="18"/>
        </w:rPr>
        <w:t>based</w:t>
      </w:r>
      <w:r>
        <w:rPr>
          <w:spacing w:val="-4"/>
          <w:sz w:val="18"/>
        </w:rPr>
        <w:t xml:space="preserve"> </w:t>
      </w:r>
      <w:r>
        <w:rPr>
          <w:sz w:val="18"/>
        </w:rPr>
        <w:t>on</w:t>
      </w:r>
      <w:r>
        <w:rPr>
          <w:spacing w:val="-3"/>
          <w:sz w:val="18"/>
        </w:rPr>
        <w:t xml:space="preserve"> </w:t>
      </w:r>
      <w:r>
        <w:rPr>
          <w:sz w:val="18"/>
        </w:rPr>
        <w:t>the</w:t>
      </w:r>
      <w:r>
        <w:rPr>
          <w:spacing w:val="-3"/>
          <w:sz w:val="18"/>
        </w:rPr>
        <w:t xml:space="preserve"> </w:t>
      </w:r>
      <w:r>
        <w:rPr>
          <w:sz w:val="18"/>
        </w:rPr>
        <w:t>client's</w:t>
      </w:r>
      <w:r>
        <w:rPr>
          <w:spacing w:val="-3"/>
          <w:sz w:val="18"/>
        </w:rPr>
        <w:t xml:space="preserve"> </w:t>
      </w:r>
      <w:r>
        <w:rPr>
          <w:sz w:val="18"/>
        </w:rPr>
        <w:t>housing</w:t>
      </w:r>
      <w:r>
        <w:rPr>
          <w:spacing w:val="-4"/>
          <w:sz w:val="18"/>
        </w:rPr>
        <w:t xml:space="preserve"> </w:t>
      </w:r>
      <w:r>
        <w:rPr>
          <w:sz w:val="18"/>
        </w:rPr>
        <w:t>disposition</w:t>
      </w:r>
      <w:r>
        <w:rPr>
          <w:spacing w:val="-4"/>
          <w:sz w:val="18"/>
        </w:rPr>
        <w:t xml:space="preserve"> </w:t>
      </w:r>
      <w:r>
        <w:rPr>
          <w:sz w:val="18"/>
        </w:rPr>
        <w:t>at</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3"/>
          <w:sz w:val="18"/>
        </w:rPr>
        <w:t xml:space="preserve"> </w:t>
      </w:r>
      <w:r>
        <w:rPr>
          <w:sz w:val="18"/>
        </w:rPr>
        <w:t>enrollment.</w:t>
      </w:r>
    </w:p>
    <w:p w:rsidR="00BC7438" w:rsidRDefault="00CF2AB6">
      <w:pPr>
        <w:pStyle w:val="ListParagraph"/>
        <w:numPr>
          <w:ilvl w:val="0"/>
          <w:numId w:val="1"/>
        </w:numPr>
        <w:tabs>
          <w:tab w:val="left" w:pos="297"/>
        </w:tabs>
        <w:spacing w:line="213" w:lineRule="exact"/>
        <w:ind w:left="296" w:hanging="121"/>
        <w:rPr>
          <w:sz w:val="18"/>
        </w:rPr>
      </w:pPr>
      <w:r>
        <w:rPr>
          <w:sz w:val="18"/>
        </w:rPr>
        <w:t>Due</w:t>
      </w:r>
      <w:r>
        <w:rPr>
          <w:spacing w:val="-2"/>
          <w:sz w:val="18"/>
        </w:rPr>
        <w:t xml:space="preserve"> </w:t>
      </w:r>
      <w:r>
        <w:rPr>
          <w:sz w:val="18"/>
        </w:rPr>
        <w:t>to</w:t>
      </w:r>
      <w:r>
        <w:rPr>
          <w:spacing w:val="-2"/>
          <w:sz w:val="18"/>
        </w:rPr>
        <w:t xml:space="preserve"> </w:t>
      </w:r>
      <w:r>
        <w:rPr>
          <w:sz w:val="18"/>
        </w:rPr>
        <w:t>data</w:t>
      </w:r>
      <w:r>
        <w:rPr>
          <w:spacing w:val="-3"/>
          <w:sz w:val="18"/>
        </w:rPr>
        <w:t xml:space="preserve"> </w:t>
      </w:r>
      <w:r>
        <w:rPr>
          <w:sz w:val="18"/>
        </w:rPr>
        <w:t>updates</w:t>
      </w:r>
      <w:r>
        <w:rPr>
          <w:spacing w:val="-3"/>
          <w:sz w:val="18"/>
        </w:rPr>
        <w:t xml:space="preserve"> </w:t>
      </w:r>
      <w:r>
        <w:rPr>
          <w:sz w:val="18"/>
        </w:rPr>
        <w:t>and</w:t>
      </w:r>
      <w:r>
        <w:rPr>
          <w:spacing w:val="-2"/>
          <w:sz w:val="18"/>
        </w:rPr>
        <w:t xml:space="preserve"> </w:t>
      </w:r>
      <w:r>
        <w:rPr>
          <w:sz w:val="18"/>
        </w:rPr>
        <w:t>changes</w:t>
      </w:r>
      <w:r>
        <w:rPr>
          <w:spacing w:val="-1"/>
          <w:sz w:val="18"/>
        </w:rPr>
        <w:t xml:space="preserve"> </w:t>
      </w:r>
      <w:r>
        <w:rPr>
          <w:sz w:val="18"/>
        </w:rPr>
        <w:t>to</w:t>
      </w:r>
      <w:r>
        <w:rPr>
          <w:spacing w:val="-2"/>
          <w:sz w:val="18"/>
        </w:rPr>
        <w:t xml:space="preserve"> </w:t>
      </w:r>
      <w:r>
        <w:rPr>
          <w:sz w:val="18"/>
        </w:rPr>
        <w:t>definitions,</w:t>
      </w:r>
      <w:r>
        <w:rPr>
          <w:spacing w:val="-3"/>
          <w:sz w:val="18"/>
        </w:rPr>
        <w:t xml:space="preserve"> </w:t>
      </w:r>
      <w:r>
        <w:rPr>
          <w:sz w:val="18"/>
        </w:rPr>
        <w:t>data</w:t>
      </w:r>
      <w:r>
        <w:rPr>
          <w:spacing w:val="-3"/>
          <w:sz w:val="18"/>
        </w:rPr>
        <w:t xml:space="preserve"> </w:t>
      </w:r>
      <w:r>
        <w:rPr>
          <w:sz w:val="18"/>
        </w:rPr>
        <w:t>included</w:t>
      </w:r>
      <w:r>
        <w:rPr>
          <w:spacing w:val="-4"/>
          <w:sz w:val="18"/>
        </w:rPr>
        <w:t xml:space="preserve"> </w:t>
      </w:r>
      <w:r>
        <w:rPr>
          <w:sz w:val="18"/>
        </w:rPr>
        <w:t>in</w:t>
      </w:r>
      <w:r>
        <w:rPr>
          <w:spacing w:val="-2"/>
          <w:sz w:val="18"/>
        </w:rPr>
        <w:t xml:space="preserve"> </w:t>
      </w:r>
      <w:r>
        <w:rPr>
          <w:sz w:val="18"/>
        </w:rPr>
        <w:t>this</w:t>
      </w:r>
      <w:r>
        <w:rPr>
          <w:spacing w:val="-2"/>
          <w:sz w:val="18"/>
        </w:rPr>
        <w:t xml:space="preserve"> </w:t>
      </w:r>
      <w:r>
        <w:rPr>
          <w:sz w:val="18"/>
        </w:rPr>
        <w:t>fact</w:t>
      </w:r>
      <w:r>
        <w:rPr>
          <w:spacing w:val="-2"/>
          <w:sz w:val="18"/>
        </w:rPr>
        <w:t xml:space="preserve"> </w:t>
      </w:r>
      <w:r>
        <w:rPr>
          <w:sz w:val="18"/>
        </w:rPr>
        <w:t>sheet</w:t>
      </w:r>
      <w:r>
        <w:rPr>
          <w:spacing w:val="-3"/>
          <w:sz w:val="18"/>
        </w:rPr>
        <w:t xml:space="preserve"> </w:t>
      </w:r>
      <w:r>
        <w:rPr>
          <w:b/>
          <w:sz w:val="18"/>
        </w:rPr>
        <w:t>should</w:t>
      </w:r>
      <w:r>
        <w:rPr>
          <w:b/>
          <w:spacing w:val="-3"/>
          <w:sz w:val="18"/>
        </w:rPr>
        <w:t xml:space="preserve"> </w:t>
      </w:r>
      <w:r>
        <w:rPr>
          <w:b/>
          <w:sz w:val="18"/>
        </w:rPr>
        <w:t>not</w:t>
      </w:r>
      <w:r>
        <w:rPr>
          <w:b/>
          <w:spacing w:val="-2"/>
          <w:sz w:val="18"/>
        </w:rPr>
        <w:t xml:space="preserve"> </w:t>
      </w:r>
      <w:r>
        <w:rPr>
          <w:b/>
          <w:sz w:val="18"/>
        </w:rPr>
        <w:t>be</w:t>
      </w:r>
      <w:r>
        <w:rPr>
          <w:b/>
          <w:spacing w:val="-2"/>
          <w:sz w:val="18"/>
        </w:rPr>
        <w:t xml:space="preserve"> </w:t>
      </w:r>
      <w:r>
        <w:rPr>
          <w:b/>
          <w:sz w:val="18"/>
        </w:rPr>
        <w:t>compared</w:t>
      </w:r>
      <w:r>
        <w:rPr>
          <w:b/>
          <w:spacing w:val="-1"/>
          <w:sz w:val="18"/>
        </w:rPr>
        <w:t xml:space="preserve"> </w:t>
      </w:r>
      <w:r>
        <w:rPr>
          <w:sz w:val="18"/>
        </w:rPr>
        <w:t>to</w:t>
      </w:r>
      <w:r>
        <w:rPr>
          <w:spacing w:val="-2"/>
          <w:sz w:val="18"/>
        </w:rPr>
        <w:t xml:space="preserve"> </w:t>
      </w:r>
      <w:r>
        <w:rPr>
          <w:sz w:val="18"/>
        </w:rPr>
        <w:t>similar</w:t>
      </w:r>
      <w:r>
        <w:rPr>
          <w:spacing w:val="-2"/>
          <w:sz w:val="18"/>
        </w:rPr>
        <w:t xml:space="preserve"> </w:t>
      </w:r>
      <w:r>
        <w:rPr>
          <w:sz w:val="18"/>
        </w:rPr>
        <w:t>data</w:t>
      </w:r>
      <w:r>
        <w:rPr>
          <w:spacing w:val="-3"/>
          <w:sz w:val="18"/>
        </w:rPr>
        <w:t xml:space="preserve"> </w:t>
      </w:r>
      <w:r>
        <w:rPr>
          <w:sz w:val="18"/>
        </w:rPr>
        <w:t>published</w:t>
      </w:r>
      <w:r>
        <w:rPr>
          <w:spacing w:val="-3"/>
          <w:sz w:val="18"/>
        </w:rPr>
        <w:t xml:space="preserve"> </w:t>
      </w:r>
      <w:r>
        <w:rPr>
          <w:sz w:val="18"/>
        </w:rPr>
        <w:t>in</w:t>
      </w:r>
      <w:r>
        <w:rPr>
          <w:spacing w:val="-2"/>
          <w:sz w:val="18"/>
        </w:rPr>
        <w:t xml:space="preserve"> </w:t>
      </w:r>
      <w:r>
        <w:rPr>
          <w:sz w:val="18"/>
        </w:rPr>
        <w:t>prior</w:t>
      </w:r>
      <w:r>
        <w:rPr>
          <w:spacing w:val="-3"/>
          <w:sz w:val="18"/>
        </w:rPr>
        <w:t xml:space="preserve"> </w:t>
      </w:r>
      <w:r>
        <w:rPr>
          <w:sz w:val="18"/>
        </w:rPr>
        <w:t>years.</w:t>
      </w:r>
    </w:p>
    <w:p w:rsidR="00BC7438" w:rsidRDefault="00CF2AB6">
      <w:pPr>
        <w:pStyle w:val="ListParagraph"/>
        <w:numPr>
          <w:ilvl w:val="0"/>
          <w:numId w:val="1"/>
        </w:numPr>
        <w:tabs>
          <w:tab w:val="left" w:pos="297"/>
        </w:tabs>
        <w:spacing w:line="219" w:lineRule="exact"/>
        <w:ind w:left="296" w:hanging="121"/>
        <w:rPr>
          <w:sz w:val="16"/>
        </w:rPr>
      </w:pPr>
      <w:r>
        <w:rPr>
          <w:sz w:val="18"/>
        </w:rPr>
        <w:t>Data</w:t>
      </w:r>
      <w:r>
        <w:rPr>
          <w:spacing w:val="-9"/>
          <w:sz w:val="18"/>
        </w:rPr>
        <w:t xml:space="preserve"> </w:t>
      </w:r>
      <w:r>
        <w:rPr>
          <w:sz w:val="18"/>
        </w:rPr>
        <w:t>and</w:t>
      </w:r>
      <w:r>
        <w:rPr>
          <w:spacing w:val="-9"/>
          <w:sz w:val="18"/>
        </w:rPr>
        <w:t xml:space="preserve"> </w:t>
      </w:r>
      <w:r>
        <w:rPr>
          <w:sz w:val="18"/>
        </w:rPr>
        <w:t>definitions</w:t>
      </w:r>
      <w:r>
        <w:rPr>
          <w:spacing w:val="-9"/>
          <w:sz w:val="18"/>
        </w:rPr>
        <w:t xml:space="preserve"> </w:t>
      </w:r>
      <w:r>
        <w:rPr>
          <w:sz w:val="18"/>
        </w:rPr>
        <w:t>used</w:t>
      </w:r>
      <w:r>
        <w:rPr>
          <w:spacing w:val="-9"/>
          <w:sz w:val="18"/>
        </w:rPr>
        <w:t xml:space="preserve"> </w:t>
      </w:r>
      <w:r>
        <w:rPr>
          <w:sz w:val="18"/>
        </w:rPr>
        <w:t>were</w:t>
      </w:r>
      <w:r>
        <w:rPr>
          <w:spacing w:val="-9"/>
          <w:sz w:val="18"/>
        </w:rPr>
        <w:t xml:space="preserve"> </w:t>
      </w:r>
      <w:r>
        <w:rPr>
          <w:sz w:val="18"/>
        </w:rPr>
        <w:t>as</w:t>
      </w:r>
      <w:r>
        <w:rPr>
          <w:spacing w:val="-9"/>
          <w:sz w:val="18"/>
        </w:rPr>
        <w:t xml:space="preserve"> </w:t>
      </w:r>
      <w:r>
        <w:rPr>
          <w:sz w:val="18"/>
        </w:rPr>
        <w:t>of</w:t>
      </w:r>
      <w:r>
        <w:rPr>
          <w:spacing w:val="-9"/>
          <w:sz w:val="18"/>
        </w:rPr>
        <w:t xml:space="preserve"> </w:t>
      </w:r>
      <w:r>
        <w:rPr>
          <w:i/>
          <w:sz w:val="19"/>
        </w:rPr>
        <w:t>August</w:t>
      </w:r>
      <w:r>
        <w:rPr>
          <w:i/>
          <w:spacing w:val="-12"/>
          <w:sz w:val="19"/>
        </w:rPr>
        <w:t xml:space="preserve"> </w:t>
      </w:r>
      <w:r>
        <w:rPr>
          <w:i/>
          <w:sz w:val="19"/>
        </w:rPr>
        <w:t>10,</w:t>
      </w:r>
      <w:r>
        <w:rPr>
          <w:i/>
          <w:spacing w:val="-12"/>
          <w:sz w:val="19"/>
        </w:rPr>
        <w:t xml:space="preserve"> </w:t>
      </w:r>
      <w:r>
        <w:rPr>
          <w:i/>
          <w:sz w:val="19"/>
        </w:rPr>
        <w:t>2018</w:t>
      </w:r>
      <w:r>
        <w:rPr>
          <w:sz w:val="16"/>
        </w:rPr>
        <w:t>.</w:t>
      </w:r>
    </w:p>
    <w:p w:rsidR="00BC7438" w:rsidRDefault="00CF2AB6">
      <w:pPr>
        <w:pStyle w:val="ListParagraph"/>
        <w:numPr>
          <w:ilvl w:val="0"/>
          <w:numId w:val="1"/>
        </w:numPr>
        <w:tabs>
          <w:tab w:val="left" w:pos="297"/>
        </w:tabs>
        <w:spacing w:line="224" w:lineRule="exact"/>
        <w:ind w:left="296" w:hanging="121"/>
        <w:rPr>
          <w:sz w:val="16"/>
        </w:rPr>
      </w:pPr>
      <w:r>
        <w:rPr>
          <w:sz w:val="18"/>
        </w:rPr>
        <w:t>Prepared</w:t>
      </w:r>
      <w:r>
        <w:rPr>
          <w:spacing w:val="-8"/>
          <w:sz w:val="18"/>
        </w:rPr>
        <w:t xml:space="preserve"> </w:t>
      </w:r>
      <w:r>
        <w:rPr>
          <w:sz w:val="18"/>
        </w:rPr>
        <w:t>by:</w:t>
      </w:r>
      <w:r>
        <w:rPr>
          <w:spacing w:val="-8"/>
          <w:sz w:val="18"/>
        </w:rPr>
        <w:t xml:space="preserve"> </w:t>
      </w:r>
      <w:r>
        <w:rPr>
          <w:sz w:val="18"/>
        </w:rPr>
        <w:t>Massachusetts</w:t>
      </w:r>
      <w:r>
        <w:rPr>
          <w:spacing w:val="-10"/>
          <w:sz w:val="18"/>
        </w:rPr>
        <w:t xml:space="preserve"> </w:t>
      </w:r>
      <w:r>
        <w:rPr>
          <w:sz w:val="18"/>
        </w:rPr>
        <w:t>Department</w:t>
      </w:r>
      <w:r>
        <w:rPr>
          <w:spacing w:val="-8"/>
          <w:sz w:val="18"/>
        </w:rPr>
        <w:t xml:space="preserve"> </w:t>
      </w:r>
      <w:r>
        <w:rPr>
          <w:sz w:val="18"/>
        </w:rPr>
        <w:t>of</w:t>
      </w:r>
      <w:r>
        <w:rPr>
          <w:spacing w:val="-8"/>
          <w:sz w:val="18"/>
        </w:rPr>
        <w:t xml:space="preserve"> </w:t>
      </w:r>
      <w:r>
        <w:rPr>
          <w:sz w:val="18"/>
        </w:rPr>
        <w:t>Public</w:t>
      </w:r>
      <w:r>
        <w:rPr>
          <w:spacing w:val="-8"/>
          <w:sz w:val="18"/>
        </w:rPr>
        <w:t xml:space="preserve"> </w:t>
      </w:r>
      <w:r>
        <w:rPr>
          <w:sz w:val="18"/>
        </w:rPr>
        <w:t>Health,</w:t>
      </w:r>
      <w:r>
        <w:rPr>
          <w:spacing w:val="-8"/>
          <w:sz w:val="18"/>
        </w:rPr>
        <w:t xml:space="preserve"> </w:t>
      </w:r>
      <w:r>
        <w:rPr>
          <w:sz w:val="18"/>
        </w:rPr>
        <w:t>Bureau</w:t>
      </w:r>
      <w:r>
        <w:rPr>
          <w:spacing w:val="-8"/>
          <w:sz w:val="18"/>
        </w:rPr>
        <w:t xml:space="preserve"> </w:t>
      </w:r>
      <w:r>
        <w:rPr>
          <w:sz w:val="18"/>
        </w:rPr>
        <w:t>of</w:t>
      </w:r>
      <w:r>
        <w:rPr>
          <w:spacing w:val="-8"/>
          <w:sz w:val="18"/>
        </w:rPr>
        <w:t xml:space="preserve"> </w:t>
      </w:r>
      <w:r>
        <w:rPr>
          <w:sz w:val="18"/>
        </w:rPr>
        <w:t>Substance</w:t>
      </w:r>
      <w:r>
        <w:rPr>
          <w:spacing w:val="-8"/>
          <w:sz w:val="18"/>
        </w:rPr>
        <w:t xml:space="preserve"> </w:t>
      </w:r>
      <w:r>
        <w:rPr>
          <w:sz w:val="18"/>
        </w:rPr>
        <w:t>Addiction</w:t>
      </w:r>
      <w:r>
        <w:rPr>
          <w:spacing w:val="-9"/>
          <w:sz w:val="18"/>
        </w:rPr>
        <w:t xml:space="preserve"> </w:t>
      </w:r>
      <w:r>
        <w:rPr>
          <w:sz w:val="18"/>
        </w:rPr>
        <w:t>Services,</w:t>
      </w:r>
      <w:r>
        <w:rPr>
          <w:spacing w:val="-8"/>
          <w:sz w:val="18"/>
        </w:rPr>
        <w:t xml:space="preserve"> </w:t>
      </w:r>
      <w:r>
        <w:rPr>
          <w:sz w:val="18"/>
        </w:rPr>
        <w:t>Office</w:t>
      </w:r>
      <w:r>
        <w:rPr>
          <w:spacing w:val="-9"/>
          <w:sz w:val="18"/>
        </w:rPr>
        <w:t xml:space="preserve"> </w:t>
      </w:r>
      <w:r>
        <w:rPr>
          <w:sz w:val="18"/>
        </w:rPr>
        <w:t>of</w:t>
      </w:r>
      <w:r>
        <w:rPr>
          <w:spacing w:val="-8"/>
          <w:sz w:val="18"/>
        </w:rPr>
        <w:t xml:space="preserve"> </w:t>
      </w:r>
      <w:r>
        <w:rPr>
          <w:sz w:val="18"/>
        </w:rPr>
        <w:t>Statistics</w:t>
      </w:r>
      <w:r>
        <w:rPr>
          <w:spacing w:val="-8"/>
          <w:sz w:val="18"/>
        </w:rPr>
        <w:t xml:space="preserve"> </w:t>
      </w:r>
      <w:r>
        <w:rPr>
          <w:sz w:val="18"/>
        </w:rPr>
        <w:t>and</w:t>
      </w:r>
      <w:r>
        <w:rPr>
          <w:spacing w:val="-8"/>
          <w:sz w:val="18"/>
        </w:rPr>
        <w:t xml:space="preserve"> </w:t>
      </w:r>
      <w:r>
        <w:rPr>
          <w:sz w:val="18"/>
        </w:rPr>
        <w:t>Evaluation</w:t>
      </w:r>
      <w:r>
        <w:rPr>
          <w:spacing w:val="-8"/>
          <w:sz w:val="18"/>
        </w:rPr>
        <w:t xml:space="preserve"> </w:t>
      </w:r>
      <w:r>
        <w:rPr>
          <w:sz w:val="18"/>
        </w:rPr>
        <w:t>on</w:t>
      </w:r>
      <w:r>
        <w:rPr>
          <w:spacing w:val="-8"/>
          <w:sz w:val="18"/>
        </w:rPr>
        <w:t xml:space="preserve"> </w:t>
      </w:r>
      <w:r>
        <w:rPr>
          <w:i/>
          <w:sz w:val="19"/>
        </w:rPr>
        <w:t>September</w:t>
      </w:r>
      <w:r>
        <w:rPr>
          <w:i/>
          <w:spacing w:val="-11"/>
          <w:sz w:val="19"/>
        </w:rPr>
        <w:t xml:space="preserve"> </w:t>
      </w:r>
      <w:r>
        <w:rPr>
          <w:i/>
          <w:sz w:val="19"/>
        </w:rPr>
        <w:t>6,</w:t>
      </w:r>
      <w:r>
        <w:rPr>
          <w:i/>
          <w:spacing w:val="-11"/>
          <w:sz w:val="19"/>
        </w:rPr>
        <w:t xml:space="preserve"> </w:t>
      </w:r>
      <w:r>
        <w:rPr>
          <w:i/>
          <w:sz w:val="19"/>
        </w:rPr>
        <w:t>2018</w:t>
      </w:r>
      <w:r>
        <w:rPr>
          <w:sz w:val="16"/>
        </w:rPr>
        <w:t>.</w:t>
      </w:r>
    </w:p>
    <w:p w:rsidR="00BC7438" w:rsidRDefault="00BC7438">
      <w:pPr>
        <w:pStyle w:val="BodyText"/>
        <w:spacing w:before="8"/>
        <w:rPr>
          <w:sz w:val="24"/>
        </w:rPr>
      </w:pPr>
    </w:p>
    <w:p w:rsidR="00BC7438" w:rsidRDefault="00CF2AB6">
      <w:pPr>
        <w:pStyle w:val="Heading1"/>
      </w:pPr>
      <w:bookmarkStart w:id="1" w:name="_bookmark0"/>
      <w:bookmarkEnd w:id="1"/>
      <w:r>
        <w:rPr>
          <w:u w:val="single"/>
        </w:rPr>
        <w:t>Not Applicable Values</w:t>
      </w:r>
    </w:p>
    <w:p w:rsidR="00BC7438" w:rsidRDefault="00CF2AB6">
      <w:pPr>
        <w:pStyle w:val="BodyText"/>
        <w:spacing w:before="150"/>
        <w:ind w:left="175" w:right="944"/>
      </w:pPr>
      <w:r>
        <w:t>The table below shows values that reflect a valid response for the element, but were excluded from the percent calculations. Specifically, in the calculation of the % employed, we exclude clients who are not in the labor force and clients who reported an employment status of other.</w:t>
      </w:r>
    </w:p>
    <w:p w:rsidR="00BC7438" w:rsidRDefault="00BC7438">
      <w:pPr>
        <w:pStyle w:val="BodyText"/>
        <w:spacing w:before="6"/>
        <w:rPr>
          <w:sz w:val="19"/>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8"/>
        <w:gridCol w:w="1499"/>
        <w:gridCol w:w="1978"/>
      </w:tblGrid>
      <w:tr w:rsidR="00BC7438" w:rsidTr="00CF2AB6">
        <w:trPr>
          <w:trHeight w:hRule="exact" w:val="304"/>
        </w:trPr>
        <w:tc>
          <w:tcPr>
            <w:tcW w:w="1048" w:type="dxa"/>
          </w:tcPr>
          <w:p w:rsidR="00BC7438" w:rsidRDefault="00CF2AB6">
            <w:pPr>
              <w:pStyle w:val="TableParagraph"/>
              <w:ind w:left="64" w:right="56"/>
              <w:rPr>
                <w:b/>
                <w:sz w:val="16"/>
              </w:rPr>
            </w:pPr>
            <w:r>
              <w:rPr>
                <w:b/>
                <w:sz w:val="16"/>
              </w:rPr>
              <w:t>Category</w:t>
            </w:r>
          </w:p>
        </w:tc>
        <w:tc>
          <w:tcPr>
            <w:tcW w:w="1499" w:type="dxa"/>
          </w:tcPr>
          <w:p w:rsidR="00BC7438" w:rsidRDefault="00CF2AB6">
            <w:pPr>
              <w:pStyle w:val="TableParagraph"/>
              <w:ind w:left="352"/>
              <w:jc w:val="left"/>
              <w:rPr>
                <w:b/>
                <w:sz w:val="16"/>
              </w:rPr>
            </w:pPr>
            <w:r>
              <w:rPr>
                <w:b/>
                <w:sz w:val="16"/>
              </w:rPr>
              <w:t>Response</w:t>
            </w:r>
          </w:p>
        </w:tc>
        <w:tc>
          <w:tcPr>
            <w:tcW w:w="1978" w:type="dxa"/>
          </w:tcPr>
          <w:p w:rsidR="00BC7438" w:rsidRDefault="00CF2AB6">
            <w:pPr>
              <w:pStyle w:val="TableParagraph"/>
              <w:ind w:left="55" w:right="55"/>
              <w:rPr>
                <w:b/>
                <w:sz w:val="16"/>
              </w:rPr>
            </w:pPr>
            <w:r>
              <w:rPr>
                <w:b/>
                <w:sz w:val="16"/>
              </w:rPr>
              <w:t>% of Total Admissions</w:t>
            </w:r>
          </w:p>
        </w:tc>
      </w:tr>
      <w:tr w:rsidR="00BC7438" w:rsidTr="00CF2AB6">
        <w:trPr>
          <w:trHeight w:hRule="exact" w:val="304"/>
        </w:trPr>
        <w:tc>
          <w:tcPr>
            <w:tcW w:w="1048" w:type="dxa"/>
          </w:tcPr>
          <w:p w:rsidR="00BC7438" w:rsidRDefault="00CF2AB6">
            <w:pPr>
              <w:pStyle w:val="TableParagraph"/>
              <w:ind w:left="64" w:right="56"/>
              <w:rPr>
                <w:sz w:val="16"/>
              </w:rPr>
            </w:pPr>
            <w:r>
              <w:rPr>
                <w:sz w:val="16"/>
              </w:rPr>
              <w:t>Employment</w:t>
            </w:r>
          </w:p>
        </w:tc>
        <w:tc>
          <w:tcPr>
            <w:tcW w:w="1499" w:type="dxa"/>
          </w:tcPr>
          <w:p w:rsidR="00BC7438" w:rsidRDefault="00CF2AB6">
            <w:pPr>
              <w:pStyle w:val="TableParagraph"/>
              <w:ind w:left="75"/>
              <w:jc w:val="left"/>
              <w:rPr>
                <w:sz w:val="16"/>
              </w:rPr>
            </w:pPr>
            <w:r>
              <w:rPr>
                <w:sz w:val="16"/>
              </w:rPr>
              <w:t>Not In Labor Force</w:t>
            </w:r>
          </w:p>
        </w:tc>
        <w:tc>
          <w:tcPr>
            <w:tcW w:w="1978" w:type="dxa"/>
          </w:tcPr>
          <w:p w:rsidR="00BC7438" w:rsidRDefault="00CF2AB6">
            <w:pPr>
              <w:pStyle w:val="TableParagraph"/>
              <w:ind w:left="54" w:right="55"/>
              <w:rPr>
                <w:sz w:val="16"/>
              </w:rPr>
            </w:pPr>
            <w:r>
              <w:rPr>
                <w:sz w:val="16"/>
              </w:rPr>
              <w:t>64.4%</w:t>
            </w:r>
          </w:p>
        </w:tc>
      </w:tr>
      <w:tr w:rsidR="00BC7438" w:rsidTr="00CF2AB6">
        <w:trPr>
          <w:trHeight w:hRule="exact" w:val="304"/>
        </w:trPr>
        <w:tc>
          <w:tcPr>
            <w:tcW w:w="1048" w:type="dxa"/>
          </w:tcPr>
          <w:p w:rsidR="00BC7438" w:rsidRDefault="00BC7438"/>
        </w:tc>
        <w:tc>
          <w:tcPr>
            <w:tcW w:w="1499" w:type="dxa"/>
          </w:tcPr>
          <w:p w:rsidR="00BC7438" w:rsidRDefault="00CF2AB6">
            <w:pPr>
              <w:pStyle w:val="TableParagraph"/>
              <w:ind w:left="75"/>
              <w:jc w:val="left"/>
              <w:rPr>
                <w:sz w:val="16"/>
              </w:rPr>
            </w:pPr>
            <w:r>
              <w:rPr>
                <w:sz w:val="16"/>
              </w:rPr>
              <w:t>Other</w:t>
            </w:r>
          </w:p>
        </w:tc>
        <w:tc>
          <w:tcPr>
            <w:tcW w:w="1978" w:type="dxa"/>
          </w:tcPr>
          <w:p w:rsidR="00BC7438" w:rsidRDefault="00CF2AB6">
            <w:pPr>
              <w:pStyle w:val="TableParagraph"/>
              <w:ind w:left="55" w:right="55"/>
              <w:rPr>
                <w:sz w:val="16"/>
              </w:rPr>
            </w:pPr>
            <w:r>
              <w:rPr>
                <w:sz w:val="16"/>
              </w:rPr>
              <w:t>0.6%</w:t>
            </w:r>
          </w:p>
        </w:tc>
      </w:tr>
    </w:tbl>
    <w:p w:rsidR="004347CF" w:rsidRDefault="004347CF"/>
    <w:sectPr w:rsidR="004347CF">
      <w:type w:val="continuous"/>
      <w:pgSz w:w="15410" w:h="20160"/>
      <w:pgMar w:top="0" w:right="600" w:bottom="86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CF" w:rsidRDefault="00CF2AB6">
      <w:r>
        <w:separator/>
      </w:r>
    </w:p>
  </w:endnote>
  <w:endnote w:type="continuationSeparator" w:id="0">
    <w:p w:rsidR="004347CF" w:rsidRDefault="00CF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38" w:rsidRDefault="00743F8C">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960.95pt;width:74.95pt;height:12.15pt;z-index:-44536;mso-position-horizontal-relative:page;mso-position-vertical-relative:page" filled="f" stroked="f">
          <v:textbox inset="0,0,0,0">
            <w:txbxContent>
              <w:p w:rsidR="00BC7438" w:rsidRDefault="00CF2AB6">
                <w:pPr>
                  <w:spacing w:before="27"/>
                  <w:ind w:left="20"/>
                  <w:rPr>
                    <w:i/>
                    <w:sz w:val="16"/>
                  </w:rPr>
                </w:pPr>
                <w:r>
                  <w:rPr>
                    <w:i/>
                    <w:sz w:val="16"/>
                  </w:rPr>
                  <w:t>Run on: Sep 6, 2018</w:t>
                </w:r>
              </w:p>
            </w:txbxContent>
          </v:textbox>
          <w10:wrap anchorx="page" anchory="page"/>
        </v:shape>
      </w:pict>
    </w:r>
    <w:r>
      <w:pict>
        <v:shape id="_x0000_s2053" type="#_x0000_t202" style="position:absolute;margin-left:278.55pt;margin-top:960.95pt;width:171.9pt;height:12.15pt;z-index:-44512;mso-position-horizontal-relative:page;mso-position-vertical-relative:page" filled="f" stroked="f">
          <v:textbox inset="0,0,0,0">
            <w:txbxContent>
              <w:p w:rsidR="00BC7438" w:rsidRDefault="00CF2AB6">
                <w:pPr>
                  <w:spacing w:before="27"/>
                  <w:ind w:left="20"/>
                  <w:rPr>
                    <w:i/>
                    <w:sz w:val="16"/>
                  </w:rPr>
                </w:pPr>
                <w:r>
                  <w:rPr>
                    <w:i/>
                    <w:sz w:val="16"/>
                  </w:rPr>
                  <w:t>Fact Sheet - Black, African American Admissions</w:t>
                </w:r>
              </w:p>
            </w:txbxContent>
          </v:textbox>
          <w10:wrap anchorx="page" anchory="page"/>
        </v:shape>
      </w:pict>
    </w:r>
    <w:r>
      <w:pict>
        <v:shape id="_x0000_s2052" type="#_x0000_t202" style="position:absolute;margin-left:693pt;margin-top:960.95pt;width:42.4pt;height:12.15pt;z-index:-44488;mso-position-horizontal-relative:page;mso-position-vertical-relative:page" filled="f" stroked="f">
          <v:textbox inset="0,0,0,0">
            <w:txbxContent>
              <w:p w:rsidR="00BC7438" w:rsidRDefault="00CF2AB6">
                <w:pPr>
                  <w:spacing w:before="27"/>
                  <w:ind w:left="20"/>
                  <w:rPr>
                    <w:i/>
                    <w:sz w:val="16"/>
                  </w:rPr>
                </w:pPr>
                <w:r>
                  <w:rPr>
                    <w:i/>
                    <w:sz w:val="16"/>
                  </w:rPr>
                  <w:t xml:space="preserve">Page </w:t>
                </w:r>
                <w:r>
                  <w:fldChar w:fldCharType="begin"/>
                </w:r>
                <w:r>
                  <w:rPr>
                    <w:i/>
                    <w:sz w:val="16"/>
                  </w:rPr>
                  <w:instrText xml:space="preserve"> PAGE </w:instrText>
                </w:r>
                <w:r>
                  <w:fldChar w:fldCharType="separate"/>
                </w:r>
                <w:r w:rsidR="00743F8C">
                  <w:rPr>
                    <w:i/>
                    <w:noProof/>
                    <w:sz w:val="16"/>
                  </w:rPr>
                  <w:t>4</w:t>
                </w:r>
                <w:r>
                  <w:fldChar w:fldCharType="end"/>
                </w:r>
                <w:r>
                  <w:rPr>
                    <w:i/>
                    <w:sz w:val="16"/>
                  </w:rPr>
                  <w:t xml:space="preserve"> of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38" w:rsidRDefault="00743F8C">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960.95pt;width:74.95pt;height:12.15pt;z-index:-44464;mso-position-horizontal-relative:page;mso-position-vertical-relative:page" filled="f" stroked="f">
          <v:textbox inset="0,0,0,0">
            <w:txbxContent>
              <w:p w:rsidR="00BC7438" w:rsidRDefault="00CF2AB6">
                <w:pPr>
                  <w:spacing w:before="27"/>
                  <w:ind w:left="20"/>
                  <w:rPr>
                    <w:i/>
                    <w:sz w:val="16"/>
                  </w:rPr>
                </w:pPr>
                <w:r>
                  <w:rPr>
                    <w:i/>
                    <w:sz w:val="16"/>
                  </w:rPr>
                  <w:t>Run on: Sep 6, 2018</w:t>
                </w:r>
              </w:p>
            </w:txbxContent>
          </v:textbox>
          <w10:wrap anchorx="page" anchory="page"/>
        </v:shape>
      </w:pict>
    </w:r>
    <w:r>
      <w:pict>
        <v:shape id="_x0000_s2050" type="#_x0000_t202" style="position:absolute;margin-left:278.55pt;margin-top:960.95pt;width:171.9pt;height:12.15pt;z-index:-44440;mso-position-horizontal-relative:page;mso-position-vertical-relative:page" filled="f" stroked="f">
          <v:textbox inset="0,0,0,0">
            <w:txbxContent>
              <w:p w:rsidR="00BC7438" w:rsidRDefault="00CF2AB6">
                <w:pPr>
                  <w:spacing w:before="27"/>
                  <w:ind w:left="20"/>
                  <w:rPr>
                    <w:sz w:val="16"/>
                  </w:rPr>
                </w:pPr>
                <w:r>
                  <w:rPr>
                    <w:i/>
                    <w:sz w:val="16"/>
                  </w:rPr>
                  <w:t xml:space="preserve">Fact Sheet - </w:t>
                </w:r>
                <w:r>
                  <w:rPr>
                    <w:sz w:val="16"/>
                  </w:rPr>
                  <w:t>Black, African American Admissions</w:t>
                </w:r>
              </w:p>
            </w:txbxContent>
          </v:textbox>
          <w10:wrap anchorx="page" anchory="page"/>
        </v:shape>
      </w:pict>
    </w:r>
    <w:r>
      <w:pict>
        <v:shape id="_x0000_s2049" type="#_x0000_t202" style="position:absolute;margin-left:693pt;margin-top:960.95pt;width:42.4pt;height:12.15pt;z-index:-44416;mso-position-horizontal-relative:page;mso-position-vertical-relative:page" filled="f" stroked="f">
          <v:textbox inset="0,0,0,0">
            <w:txbxContent>
              <w:p w:rsidR="00BC7438" w:rsidRDefault="00CF2AB6">
                <w:pPr>
                  <w:spacing w:before="27"/>
                  <w:ind w:left="20"/>
                  <w:rPr>
                    <w:i/>
                    <w:sz w:val="16"/>
                  </w:rPr>
                </w:pPr>
                <w:r>
                  <w:rPr>
                    <w:i/>
                    <w:sz w:val="16"/>
                  </w:rPr>
                  <w:t xml:space="preserve">Page </w:t>
                </w:r>
                <w:r>
                  <w:fldChar w:fldCharType="begin"/>
                </w:r>
                <w:r>
                  <w:rPr>
                    <w:i/>
                    <w:sz w:val="16"/>
                  </w:rPr>
                  <w:instrText xml:space="preserve"> PAGE </w:instrText>
                </w:r>
                <w:r>
                  <w:fldChar w:fldCharType="separate"/>
                </w:r>
                <w:r w:rsidR="00743F8C">
                  <w:rPr>
                    <w:i/>
                    <w:noProof/>
                    <w:sz w:val="16"/>
                  </w:rPr>
                  <w:t>5</w:t>
                </w:r>
                <w:r>
                  <w:fldChar w:fldCharType="end"/>
                </w:r>
                <w:r>
                  <w:rPr>
                    <w:i/>
                    <w:sz w:val="16"/>
                  </w:rPr>
                  <w:t xml:space="preserve"> of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CF" w:rsidRDefault="00CF2AB6">
      <w:r>
        <w:separator/>
      </w:r>
    </w:p>
  </w:footnote>
  <w:footnote w:type="continuationSeparator" w:id="0">
    <w:p w:rsidR="004347CF" w:rsidRDefault="00CF2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38" w:rsidRDefault="00743F8C">
    <w:pPr>
      <w:pStyle w:val="BodyText"/>
      <w:spacing w:line="14" w:lineRule="auto"/>
      <w:rPr>
        <w:sz w:val="2"/>
      </w:rPr>
    </w:pPr>
    <w:r>
      <w:pict>
        <v:group id="_x0000_s2055" style="position:absolute;margin-left:36pt;margin-top:36pt;width:698.4pt;height:91.5pt;z-index:-44560;mso-position-horizontal-relative:page;mso-position-vertical-relative:page" coordorigin="720,720" coordsize="13968,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960;top:810;width:1619;height:1650">
            <v:imagedata r:id="rId1" o:title=""/>
          </v:shape>
          <v:shape id="_x0000_s2058" type="#_x0000_t75" style="position:absolute;left:11748;top:810;width:2850;height:1650">
            <v:imagedata r:id="rId2" o:title=""/>
          </v:shape>
          <v:rect id="_x0000_s2057" style="position:absolute;left:788;top:787;width:13833;height:1695" filled="f" strokecolor="navy" strokeweight="2.25pt"/>
          <v:rect id="_x0000_s2056" style="position:absolute;left:743;top:742;width:13923;height:1785" filled="f" strokecolor="green" strokeweight="2.25pt"/>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438" w:rsidRDefault="00BC743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787"/>
    <w:multiLevelType w:val="hybridMultilevel"/>
    <w:tmpl w:val="6C266994"/>
    <w:lvl w:ilvl="0" w:tplc="B7ACF4E8">
      <w:numFmt w:val="bullet"/>
      <w:lvlText w:val="-"/>
      <w:lvlJc w:val="left"/>
      <w:pPr>
        <w:ind w:left="175" w:hanging="122"/>
      </w:pPr>
      <w:rPr>
        <w:rFonts w:ascii="Tahoma" w:eastAsia="Tahoma" w:hAnsi="Tahoma" w:cs="Tahoma" w:hint="default"/>
        <w:spacing w:val="-1"/>
        <w:w w:val="100"/>
        <w:sz w:val="18"/>
        <w:szCs w:val="18"/>
      </w:rPr>
    </w:lvl>
    <w:lvl w:ilvl="1" w:tplc="0FFA4F3A">
      <w:numFmt w:val="bullet"/>
      <w:lvlText w:val="•"/>
      <w:lvlJc w:val="left"/>
      <w:pPr>
        <w:ind w:left="1580" w:hanging="122"/>
      </w:pPr>
      <w:rPr>
        <w:rFonts w:hint="default"/>
      </w:rPr>
    </w:lvl>
    <w:lvl w:ilvl="2" w:tplc="BCD48E94">
      <w:numFmt w:val="bullet"/>
      <w:lvlText w:val="•"/>
      <w:lvlJc w:val="left"/>
      <w:pPr>
        <w:ind w:left="2981" w:hanging="122"/>
      </w:pPr>
      <w:rPr>
        <w:rFonts w:hint="default"/>
      </w:rPr>
    </w:lvl>
    <w:lvl w:ilvl="3" w:tplc="4F68B924">
      <w:numFmt w:val="bullet"/>
      <w:lvlText w:val="•"/>
      <w:lvlJc w:val="left"/>
      <w:pPr>
        <w:ind w:left="4382" w:hanging="122"/>
      </w:pPr>
      <w:rPr>
        <w:rFonts w:hint="default"/>
      </w:rPr>
    </w:lvl>
    <w:lvl w:ilvl="4" w:tplc="0A128F82">
      <w:numFmt w:val="bullet"/>
      <w:lvlText w:val="•"/>
      <w:lvlJc w:val="left"/>
      <w:pPr>
        <w:ind w:left="5783" w:hanging="122"/>
      </w:pPr>
      <w:rPr>
        <w:rFonts w:hint="default"/>
      </w:rPr>
    </w:lvl>
    <w:lvl w:ilvl="5" w:tplc="F14480BA">
      <w:numFmt w:val="bullet"/>
      <w:lvlText w:val="•"/>
      <w:lvlJc w:val="left"/>
      <w:pPr>
        <w:ind w:left="7184" w:hanging="122"/>
      </w:pPr>
      <w:rPr>
        <w:rFonts w:hint="default"/>
      </w:rPr>
    </w:lvl>
    <w:lvl w:ilvl="6" w:tplc="CC960FAA">
      <w:numFmt w:val="bullet"/>
      <w:lvlText w:val="•"/>
      <w:lvlJc w:val="left"/>
      <w:pPr>
        <w:ind w:left="8584" w:hanging="122"/>
      </w:pPr>
      <w:rPr>
        <w:rFonts w:hint="default"/>
      </w:rPr>
    </w:lvl>
    <w:lvl w:ilvl="7" w:tplc="4F946858">
      <w:numFmt w:val="bullet"/>
      <w:lvlText w:val="•"/>
      <w:lvlJc w:val="left"/>
      <w:pPr>
        <w:ind w:left="9985" w:hanging="122"/>
      </w:pPr>
      <w:rPr>
        <w:rFonts w:hint="default"/>
      </w:rPr>
    </w:lvl>
    <w:lvl w:ilvl="8" w:tplc="4F46804A">
      <w:numFmt w:val="bullet"/>
      <w:lvlText w:val="•"/>
      <w:lvlJc w:val="left"/>
      <w:pPr>
        <w:ind w:left="11386" w:hanging="122"/>
      </w:pPr>
      <w:rPr>
        <w:rFonts w:hint="default"/>
      </w:rPr>
    </w:lvl>
  </w:abstractNum>
  <w:abstractNum w:abstractNumId="1">
    <w:nsid w:val="3B6C5245"/>
    <w:multiLevelType w:val="hybridMultilevel"/>
    <w:tmpl w:val="D14E517C"/>
    <w:lvl w:ilvl="0" w:tplc="77CC6100">
      <w:numFmt w:val="bullet"/>
      <w:lvlText w:val="-"/>
      <w:lvlJc w:val="left"/>
      <w:pPr>
        <w:ind w:left="125" w:hanging="136"/>
      </w:pPr>
      <w:rPr>
        <w:rFonts w:ascii="Tahoma" w:eastAsia="Tahoma" w:hAnsi="Tahoma" w:cs="Tahoma" w:hint="default"/>
        <w:spacing w:val="-1"/>
        <w:w w:val="100"/>
        <w:sz w:val="20"/>
        <w:szCs w:val="20"/>
      </w:rPr>
    </w:lvl>
    <w:lvl w:ilvl="1" w:tplc="A85AFB52">
      <w:numFmt w:val="bullet"/>
      <w:lvlText w:val="•"/>
      <w:lvlJc w:val="left"/>
      <w:pPr>
        <w:ind w:left="1487" w:hanging="136"/>
      </w:pPr>
      <w:rPr>
        <w:rFonts w:hint="default"/>
      </w:rPr>
    </w:lvl>
    <w:lvl w:ilvl="2" w:tplc="1A769FAA">
      <w:numFmt w:val="bullet"/>
      <w:lvlText w:val="•"/>
      <w:lvlJc w:val="left"/>
      <w:pPr>
        <w:ind w:left="2855" w:hanging="136"/>
      </w:pPr>
      <w:rPr>
        <w:rFonts w:hint="default"/>
      </w:rPr>
    </w:lvl>
    <w:lvl w:ilvl="3" w:tplc="C902C450">
      <w:numFmt w:val="bullet"/>
      <w:lvlText w:val="•"/>
      <w:lvlJc w:val="left"/>
      <w:pPr>
        <w:ind w:left="4223" w:hanging="136"/>
      </w:pPr>
      <w:rPr>
        <w:rFonts w:hint="default"/>
      </w:rPr>
    </w:lvl>
    <w:lvl w:ilvl="4" w:tplc="A698872C">
      <w:numFmt w:val="bullet"/>
      <w:lvlText w:val="•"/>
      <w:lvlJc w:val="left"/>
      <w:pPr>
        <w:ind w:left="5591" w:hanging="136"/>
      </w:pPr>
      <w:rPr>
        <w:rFonts w:hint="default"/>
      </w:rPr>
    </w:lvl>
    <w:lvl w:ilvl="5" w:tplc="1558264E">
      <w:numFmt w:val="bullet"/>
      <w:lvlText w:val="•"/>
      <w:lvlJc w:val="left"/>
      <w:pPr>
        <w:ind w:left="6959" w:hanging="136"/>
      </w:pPr>
      <w:rPr>
        <w:rFonts w:hint="default"/>
      </w:rPr>
    </w:lvl>
    <w:lvl w:ilvl="6" w:tplc="FC0852D4">
      <w:numFmt w:val="bullet"/>
      <w:lvlText w:val="•"/>
      <w:lvlJc w:val="left"/>
      <w:pPr>
        <w:ind w:left="8326" w:hanging="136"/>
      </w:pPr>
      <w:rPr>
        <w:rFonts w:hint="default"/>
      </w:rPr>
    </w:lvl>
    <w:lvl w:ilvl="7" w:tplc="06CE4F08">
      <w:numFmt w:val="bullet"/>
      <w:lvlText w:val="•"/>
      <w:lvlJc w:val="left"/>
      <w:pPr>
        <w:ind w:left="9694" w:hanging="136"/>
      </w:pPr>
      <w:rPr>
        <w:rFonts w:hint="default"/>
      </w:rPr>
    </w:lvl>
    <w:lvl w:ilvl="8" w:tplc="75EC7E46">
      <w:numFmt w:val="bullet"/>
      <w:lvlText w:val="•"/>
      <w:lvlJc w:val="left"/>
      <w:pPr>
        <w:ind w:left="11062" w:hanging="136"/>
      </w:pPr>
      <w:rPr>
        <w:rFonts w:hint="default"/>
      </w:rPr>
    </w:lvl>
  </w:abstractNum>
  <w:abstractNum w:abstractNumId="2">
    <w:nsid w:val="505C1DA6"/>
    <w:multiLevelType w:val="hybridMultilevel"/>
    <w:tmpl w:val="3BF0DEF0"/>
    <w:lvl w:ilvl="0" w:tplc="20F22F1A">
      <w:numFmt w:val="bullet"/>
      <w:lvlText w:val="-"/>
      <w:lvlJc w:val="left"/>
      <w:pPr>
        <w:ind w:left="125" w:hanging="136"/>
      </w:pPr>
      <w:rPr>
        <w:rFonts w:ascii="Tahoma" w:eastAsia="Tahoma" w:hAnsi="Tahoma" w:cs="Tahoma" w:hint="default"/>
        <w:spacing w:val="-1"/>
        <w:w w:val="100"/>
        <w:sz w:val="20"/>
        <w:szCs w:val="20"/>
      </w:rPr>
    </w:lvl>
    <w:lvl w:ilvl="1" w:tplc="67B89CAE">
      <w:numFmt w:val="bullet"/>
      <w:lvlText w:val="•"/>
      <w:lvlJc w:val="left"/>
      <w:pPr>
        <w:ind w:left="1487" w:hanging="136"/>
      </w:pPr>
      <w:rPr>
        <w:rFonts w:hint="default"/>
      </w:rPr>
    </w:lvl>
    <w:lvl w:ilvl="2" w:tplc="6C124ADA">
      <w:numFmt w:val="bullet"/>
      <w:lvlText w:val="•"/>
      <w:lvlJc w:val="left"/>
      <w:pPr>
        <w:ind w:left="2855" w:hanging="136"/>
      </w:pPr>
      <w:rPr>
        <w:rFonts w:hint="default"/>
      </w:rPr>
    </w:lvl>
    <w:lvl w:ilvl="3" w:tplc="FEA0E450">
      <w:numFmt w:val="bullet"/>
      <w:lvlText w:val="•"/>
      <w:lvlJc w:val="left"/>
      <w:pPr>
        <w:ind w:left="4223" w:hanging="136"/>
      </w:pPr>
      <w:rPr>
        <w:rFonts w:hint="default"/>
      </w:rPr>
    </w:lvl>
    <w:lvl w:ilvl="4" w:tplc="7E4C941E">
      <w:numFmt w:val="bullet"/>
      <w:lvlText w:val="•"/>
      <w:lvlJc w:val="left"/>
      <w:pPr>
        <w:ind w:left="5591" w:hanging="136"/>
      </w:pPr>
      <w:rPr>
        <w:rFonts w:hint="default"/>
      </w:rPr>
    </w:lvl>
    <w:lvl w:ilvl="5" w:tplc="C44C4F8A">
      <w:numFmt w:val="bullet"/>
      <w:lvlText w:val="•"/>
      <w:lvlJc w:val="left"/>
      <w:pPr>
        <w:ind w:left="6959" w:hanging="136"/>
      </w:pPr>
      <w:rPr>
        <w:rFonts w:hint="default"/>
      </w:rPr>
    </w:lvl>
    <w:lvl w:ilvl="6" w:tplc="DE26D50C">
      <w:numFmt w:val="bullet"/>
      <w:lvlText w:val="•"/>
      <w:lvlJc w:val="left"/>
      <w:pPr>
        <w:ind w:left="8326" w:hanging="136"/>
      </w:pPr>
      <w:rPr>
        <w:rFonts w:hint="default"/>
      </w:rPr>
    </w:lvl>
    <w:lvl w:ilvl="7" w:tplc="C57E2EB4">
      <w:numFmt w:val="bullet"/>
      <w:lvlText w:val="•"/>
      <w:lvlJc w:val="left"/>
      <w:pPr>
        <w:ind w:left="9694" w:hanging="136"/>
      </w:pPr>
      <w:rPr>
        <w:rFonts w:hint="default"/>
      </w:rPr>
    </w:lvl>
    <w:lvl w:ilvl="8" w:tplc="10B09CFE">
      <w:numFmt w:val="bullet"/>
      <w:lvlText w:val="•"/>
      <w:lvlJc w:val="left"/>
      <w:pPr>
        <w:ind w:left="11062" w:hanging="136"/>
      </w:pPr>
      <w:rPr>
        <w:rFonts w:hint="default"/>
      </w:rPr>
    </w:lvl>
  </w:abstractNum>
  <w:abstractNum w:abstractNumId="3">
    <w:nsid w:val="7BB6507A"/>
    <w:multiLevelType w:val="hybridMultilevel"/>
    <w:tmpl w:val="28F22398"/>
    <w:lvl w:ilvl="0" w:tplc="C946008A">
      <w:numFmt w:val="bullet"/>
      <w:lvlText w:val="-"/>
      <w:lvlJc w:val="left"/>
      <w:pPr>
        <w:ind w:left="283" w:hanging="109"/>
      </w:pPr>
      <w:rPr>
        <w:rFonts w:ascii="Tahoma" w:eastAsia="Tahoma" w:hAnsi="Tahoma" w:cs="Tahoma" w:hint="default"/>
        <w:i/>
        <w:spacing w:val="-2"/>
        <w:w w:val="100"/>
        <w:sz w:val="16"/>
        <w:szCs w:val="16"/>
      </w:rPr>
    </w:lvl>
    <w:lvl w:ilvl="1" w:tplc="EDB4D0BA">
      <w:numFmt w:val="bullet"/>
      <w:lvlText w:val="•"/>
      <w:lvlJc w:val="left"/>
      <w:pPr>
        <w:ind w:left="1670" w:hanging="109"/>
      </w:pPr>
      <w:rPr>
        <w:rFonts w:hint="default"/>
      </w:rPr>
    </w:lvl>
    <w:lvl w:ilvl="2" w:tplc="23A011C0">
      <w:numFmt w:val="bullet"/>
      <w:lvlText w:val="•"/>
      <w:lvlJc w:val="left"/>
      <w:pPr>
        <w:ind w:left="3061" w:hanging="109"/>
      </w:pPr>
      <w:rPr>
        <w:rFonts w:hint="default"/>
      </w:rPr>
    </w:lvl>
    <w:lvl w:ilvl="3" w:tplc="6EA4FEFE">
      <w:numFmt w:val="bullet"/>
      <w:lvlText w:val="•"/>
      <w:lvlJc w:val="left"/>
      <w:pPr>
        <w:ind w:left="4452" w:hanging="109"/>
      </w:pPr>
      <w:rPr>
        <w:rFonts w:hint="default"/>
      </w:rPr>
    </w:lvl>
    <w:lvl w:ilvl="4" w:tplc="F5A6A970">
      <w:numFmt w:val="bullet"/>
      <w:lvlText w:val="•"/>
      <w:lvlJc w:val="left"/>
      <w:pPr>
        <w:ind w:left="5843" w:hanging="109"/>
      </w:pPr>
      <w:rPr>
        <w:rFonts w:hint="default"/>
      </w:rPr>
    </w:lvl>
    <w:lvl w:ilvl="5" w:tplc="A07C2056">
      <w:numFmt w:val="bullet"/>
      <w:lvlText w:val="•"/>
      <w:lvlJc w:val="left"/>
      <w:pPr>
        <w:ind w:left="7234" w:hanging="109"/>
      </w:pPr>
      <w:rPr>
        <w:rFonts w:hint="default"/>
      </w:rPr>
    </w:lvl>
    <w:lvl w:ilvl="6" w:tplc="D8B2B750">
      <w:numFmt w:val="bullet"/>
      <w:lvlText w:val="•"/>
      <w:lvlJc w:val="left"/>
      <w:pPr>
        <w:ind w:left="8624" w:hanging="109"/>
      </w:pPr>
      <w:rPr>
        <w:rFonts w:hint="default"/>
      </w:rPr>
    </w:lvl>
    <w:lvl w:ilvl="7" w:tplc="0374BCF2">
      <w:numFmt w:val="bullet"/>
      <w:lvlText w:val="•"/>
      <w:lvlJc w:val="left"/>
      <w:pPr>
        <w:ind w:left="10015" w:hanging="109"/>
      </w:pPr>
      <w:rPr>
        <w:rFonts w:hint="default"/>
      </w:rPr>
    </w:lvl>
    <w:lvl w:ilvl="8" w:tplc="2EA24542">
      <w:numFmt w:val="bullet"/>
      <w:lvlText w:val="•"/>
      <w:lvlJc w:val="left"/>
      <w:pPr>
        <w:ind w:left="11406" w:hanging="109"/>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C7438"/>
    <w:rsid w:val="004347CF"/>
    <w:rsid w:val="00743F8C"/>
    <w:rsid w:val="00833D33"/>
    <w:rsid w:val="00BC7438"/>
    <w:rsid w:val="00CF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7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83" w:hanging="121"/>
    </w:pPr>
  </w:style>
  <w:style w:type="paragraph" w:customStyle="1" w:styleId="TableParagraph">
    <w:name w:val="Table Paragraph"/>
    <w:basedOn w:val="Normal"/>
    <w:uiPriority w:val="1"/>
    <w:qFormat/>
    <w:pPr>
      <w:spacing w:before="45"/>
      <w:jc w:val="center"/>
    </w:pPr>
  </w:style>
  <w:style w:type="paragraph" w:styleId="Header">
    <w:name w:val="header"/>
    <w:basedOn w:val="Normal"/>
    <w:link w:val="HeaderChar"/>
    <w:uiPriority w:val="99"/>
    <w:unhideWhenUsed/>
    <w:rsid w:val="00CF2AB6"/>
    <w:pPr>
      <w:tabs>
        <w:tab w:val="center" w:pos="4680"/>
        <w:tab w:val="right" w:pos="9360"/>
      </w:tabs>
    </w:pPr>
  </w:style>
  <w:style w:type="character" w:customStyle="1" w:styleId="HeaderChar">
    <w:name w:val="Header Char"/>
    <w:basedOn w:val="DefaultParagraphFont"/>
    <w:link w:val="Header"/>
    <w:uiPriority w:val="99"/>
    <w:rsid w:val="00CF2AB6"/>
    <w:rPr>
      <w:rFonts w:ascii="Tahoma" w:eastAsia="Tahoma" w:hAnsi="Tahoma" w:cs="Tahoma"/>
    </w:rPr>
  </w:style>
  <w:style w:type="paragraph" w:styleId="Footer">
    <w:name w:val="footer"/>
    <w:basedOn w:val="Normal"/>
    <w:link w:val="FooterChar"/>
    <w:uiPriority w:val="99"/>
    <w:unhideWhenUsed/>
    <w:rsid w:val="00CF2AB6"/>
    <w:pPr>
      <w:tabs>
        <w:tab w:val="center" w:pos="4680"/>
        <w:tab w:val="right" w:pos="9360"/>
      </w:tabs>
    </w:pPr>
  </w:style>
  <w:style w:type="character" w:customStyle="1" w:styleId="FooterChar">
    <w:name w:val="Footer Char"/>
    <w:basedOn w:val="DefaultParagraphFont"/>
    <w:link w:val="Footer"/>
    <w:uiPriority w:val="99"/>
    <w:rsid w:val="00CF2AB6"/>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1306</Words>
  <Characters>7448</Characters>
  <Application>Microsoft Office Word</Application>
  <DocSecurity>0</DocSecurity>
  <Lines>62</Lines>
  <Paragraphs>17</Paragraphs>
  <ScaleCrop>false</ScaleCrop>
  <Company>EOHHS</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Tyler</cp:lastModifiedBy>
  <cp:revision>4</cp:revision>
  <dcterms:created xsi:type="dcterms:W3CDTF">2019-02-12T10:10:00Z</dcterms:created>
  <dcterms:modified xsi:type="dcterms:W3CDTF">2019-02-15T19:07:00Z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2018-09-06T00:00:00Z</vt:filetime>
  </property>
  <property fmtid="{D5CDD505-2E9C-101B-9397-08002B2CF9AE}" pid="3" name="LastSaved">
    <vt:filetime>2018-09-06T00:00:00Z</vt:filetime>
  </property>
</Properties>
</file>