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904BE" w14:textId="77777777" w:rsidR="00C96967" w:rsidRDefault="00C96967" w:rsidP="00C96967">
      <w:pPr>
        <w:pStyle w:val="Default"/>
        <w:rPr>
          <w:rFonts w:ascii="Segoe UI" w:hAnsi="Segoe UI" w:cs="Segoe UI"/>
          <w:sz w:val="22"/>
          <w:szCs w:val="22"/>
        </w:rPr>
      </w:pPr>
      <w:r w:rsidRPr="00B250AD">
        <w:rPr>
          <w:rFonts w:ascii="Segoe UI" w:hAnsi="Segoe UI" w:cs="Segoe UI"/>
          <w:sz w:val="22"/>
          <w:szCs w:val="22"/>
        </w:rPr>
        <w:t>July 27, 2026</w:t>
      </w:r>
    </w:p>
    <w:p w14:paraId="62D479E6" w14:textId="77777777" w:rsidR="00B250AD" w:rsidRPr="00B250AD" w:rsidRDefault="00B250AD" w:rsidP="00C96967">
      <w:pPr>
        <w:pStyle w:val="Default"/>
        <w:rPr>
          <w:rFonts w:ascii="Segoe UI" w:hAnsi="Segoe UI" w:cs="Segoe UI"/>
          <w:sz w:val="22"/>
          <w:szCs w:val="22"/>
        </w:rPr>
      </w:pPr>
    </w:p>
    <w:p w14:paraId="2613BFD8"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Honorable Robert Goldstein</w:t>
      </w:r>
    </w:p>
    <w:p w14:paraId="5EB37A0A"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Commissioner, Massachusetts Department of Public Health  </w:t>
      </w:r>
    </w:p>
    <w:p w14:paraId="265DB0CB"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250 Washington Street</w:t>
      </w:r>
    </w:p>
    <w:p w14:paraId="73542972"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Boston, MA 02108</w:t>
      </w:r>
      <w:r w:rsidRPr="00B250AD">
        <w:rPr>
          <w:rFonts w:ascii="Segoe UI" w:hAnsi="Segoe UI" w:cs="Segoe UI"/>
          <w:sz w:val="22"/>
          <w:szCs w:val="22"/>
        </w:rPr>
        <w:tab/>
      </w:r>
    </w:p>
    <w:p w14:paraId="7EC6E21C" w14:textId="77777777" w:rsidR="00C96967" w:rsidRPr="00B250AD" w:rsidRDefault="00C96967" w:rsidP="00C96967">
      <w:pPr>
        <w:pStyle w:val="Default"/>
        <w:rPr>
          <w:rFonts w:ascii="Segoe UI" w:hAnsi="Segoe UI" w:cs="Segoe UI"/>
          <w:sz w:val="22"/>
          <w:szCs w:val="22"/>
        </w:rPr>
      </w:pPr>
    </w:p>
    <w:p w14:paraId="2EDD5B5C" w14:textId="1095509D"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Re: Proposed </w:t>
      </w:r>
      <w:r w:rsidRPr="00ED1EE0">
        <w:rPr>
          <w:rFonts w:ascii="Segoe UI" w:hAnsi="Segoe UI" w:cs="Segoe UI"/>
          <w:sz w:val="22"/>
          <w:szCs w:val="22"/>
        </w:rPr>
        <w:t xml:space="preserve">promulgation of </w:t>
      </w:r>
      <w:r w:rsidR="00ED1EE0" w:rsidRPr="00ED1EE0">
        <w:rPr>
          <w:rFonts w:ascii="Segoe UI" w:eastAsia="Times New Roman" w:hAnsi="Segoe UI" w:cs="Segoe UI"/>
          <w:sz w:val="22"/>
          <w:szCs w:val="22"/>
        </w:rPr>
        <w:t>140 CMR 2</w:t>
      </w:r>
      <w:r w:rsidRPr="00ED1EE0">
        <w:rPr>
          <w:rFonts w:ascii="Segoe UI" w:hAnsi="Segoe UI" w:cs="Segoe UI"/>
          <w:sz w:val="22"/>
          <w:szCs w:val="22"/>
        </w:rPr>
        <w:t>,</w:t>
      </w:r>
      <w:r w:rsidRPr="00B250AD">
        <w:rPr>
          <w:rFonts w:ascii="Segoe UI" w:hAnsi="Segoe UI" w:cs="Segoe UI"/>
          <w:sz w:val="22"/>
          <w:szCs w:val="22"/>
        </w:rPr>
        <w:t xml:space="preserve"> Medical Debt Reporting Requirements for Health Care Facilities and Providers Licensed by the Department of Public Health</w:t>
      </w:r>
    </w:p>
    <w:p w14:paraId="7D06B6C1" w14:textId="77777777" w:rsidR="00C96967" w:rsidRPr="00B250AD" w:rsidRDefault="00C96967" w:rsidP="00C96967">
      <w:pPr>
        <w:pStyle w:val="Default"/>
        <w:rPr>
          <w:rFonts w:ascii="Segoe UI" w:hAnsi="Segoe UI" w:cs="Segoe UI"/>
          <w:sz w:val="22"/>
          <w:szCs w:val="22"/>
        </w:rPr>
      </w:pPr>
    </w:p>
    <w:p w14:paraId="35378C65" w14:textId="61E17E72" w:rsidR="00230AAE"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Dear Commissioner Goldstein, </w:t>
      </w:r>
    </w:p>
    <w:p w14:paraId="192FCC12" w14:textId="77777777" w:rsidR="00C96967" w:rsidRPr="00B250AD" w:rsidRDefault="00C96967" w:rsidP="00C96967">
      <w:pPr>
        <w:pStyle w:val="Default"/>
        <w:rPr>
          <w:rFonts w:ascii="Segoe UI" w:hAnsi="Segoe UI" w:cs="Segoe UI"/>
          <w:sz w:val="22"/>
          <w:szCs w:val="22"/>
        </w:rPr>
      </w:pPr>
    </w:p>
    <w:p w14:paraId="59B49AD1" w14:textId="1597E2A0"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Thank you for the opportunity to submit comments on </w:t>
      </w:r>
      <w:r w:rsidR="00910180" w:rsidRPr="00B250AD">
        <w:rPr>
          <w:rFonts w:ascii="Segoe UI" w:hAnsi="Segoe UI" w:cs="Segoe UI"/>
          <w:sz w:val="22"/>
          <w:szCs w:val="22"/>
        </w:rPr>
        <w:t xml:space="preserve">behalf of Blood Cancer United </w:t>
      </w:r>
      <w:r w:rsidR="00977E5E" w:rsidRPr="00B250AD">
        <w:rPr>
          <w:rFonts w:ascii="Segoe UI" w:hAnsi="Segoe UI" w:cs="Segoe UI"/>
          <w:sz w:val="22"/>
          <w:szCs w:val="22"/>
        </w:rPr>
        <w:t xml:space="preserve">for </w:t>
      </w:r>
      <w:r w:rsidRPr="00B250AD">
        <w:rPr>
          <w:rFonts w:ascii="Segoe UI" w:hAnsi="Segoe UI" w:cs="Segoe UI"/>
          <w:sz w:val="22"/>
          <w:szCs w:val="22"/>
        </w:rPr>
        <w:t xml:space="preserve">the proposed promulgation of </w:t>
      </w:r>
      <w:r w:rsidR="00ED1EE0" w:rsidRPr="00ED1EE0">
        <w:rPr>
          <w:rFonts w:ascii="Segoe UI" w:eastAsia="Times New Roman" w:hAnsi="Segoe UI" w:cs="Segoe UI"/>
          <w:sz w:val="22"/>
          <w:szCs w:val="22"/>
        </w:rPr>
        <w:t>140 CMR 2</w:t>
      </w:r>
      <w:r w:rsidRPr="00B250AD">
        <w:rPr>
          <w:rFonts w:ascii="Segoe UI" w:hAnsi="Segoe UI" w:cs="Segoe UI"/>
          <w:sz w:val="22"/>
          <w:szCs w:val="22"/>
        </w:rPr>
        <w:t xml:space="preserve">, Medical Debt Reporting Requirements for Health Care Facilities and Providers Licensed by the Department of Public Health. The proposed regulation has the potential to bring significant relief to consumers across the state who struggle with medical debt and the financial impacts of having medical debt. </w:t>
      </w:r>
    </w:p>
    <w:p w14:paraId="0A64A5C0" w14:textId="77777777" w:rsidR="00977E5E" w:rsidRPr="00B250AD" w:rsidRDefault="00977E5E" w:rsidP="00C96967">
      <w:pPr>
        <w:pStyle w:val="Default"/>
        <w:rPr>
          <w:rFonts w:ascii="Segoe UI" w:hAnsi="Segoe UI" w:cs="Segoe UI"/>
          <w:sz w:val="22"/>
          <w:szCs w:val="22"/>
        </w:rPr>
      </w:pPr>
    </w:p>
    <w:p w14:paraId="341B176C" w14:textId="7BDA37CD" w:rsidR="00977E5E" w:rsidRPr="00B250AD" w:rsidRDefault="00977E5E" w:rsidP="00977E5E">
      <w:pPr>
        <w:rPr>
          <w:rStyle w:val="normaltextrun"/>
          <w:rFonts w:ascii="Segoe UI" w:eastAsiaTheme="majorEastAsia" w:hAnsi="Segoe UI" w:cs="Segoe UI"/>
          <w:sz w:val="22"/>
          <w:szCs w:val="22"/>
        </w:rPr>
      </w:pPr>
      <w:r w:rsidRPr="00B250AD">
        <w:rPr>
          <w:rStyle w:val="normaltextrun"/>
          <w:rFonts w:ascii="Segoe UI" w:eastAsiaTheme="majorEastAsia" w:hAnsi="Segoe UI" w:cs="Segoe UI"/>
          <w:sz w:val="22"/>
          <w:szCs w:val="22"/>
        </w:rPr>
        <w:t>Blood Cancer United’s (formerly The Leukemia and Lymphoma Society) mission is to cure blood cancer and improve the quality of life of all patients and their families. The</w:t>
      </w:r>
      <w:r w:rsidR="002745C3" w:rsidRPr="00B250AD">
        <w:rPr>
          <w:rStyle w:val="normaltextrun"/>
          <w:rFonts w:ascii="Segoe UI" w:eastAsiaTheme="majorEastAsia" w:hAnsi="Segoe UI" w:cs="Segoe UI"/>
          <w:sz w:val="22"/>
          <w:szCs w:val="22"/>
        </w:rPr>
        <w:t xml:space="preserve"> first year of treatment </w:t>
      </w:r>
      <w:r w:rsidR="003C0DDE" w:rsidRPr="00B250AD">
        <w:rPr>
          <w:rStyle w:val="normaltextrun"/>
          <w:rFonts w:ascii="Segoe UI" w:eastAsiaTheme="majorEastAsia" w:hAnsi="Segoe UI" w:cs="Segoe UI"/>
          <w:sz w:val="22"/>
          <w:szCs w:val="22"/>
        </w:rPr>
        <w:t xml:space="preserve">of a blood cancer patient averages $470,000. Even patients with </w:t>
      </w:r>
      <w:r w:rsidR="00F37BD3" w:rsidRPr="00B250AD">
        <w:rPr>
          <w:rStyle w:val="normaltextrun"/>
          <w:rFonts w:ascii="Segoe UI" w:eastAsiaTheme="majorEastAsia" w:hAnsi="Segoe UI" w:cs="Segoe UI"/>
          <w:sz w:val="22"/>
          <w:szCs w:val="22"/>
        </w:rPr>
        <w:t>comprehensive, quality insurance often struggle with the crush of medical debt.</w:t>
      </w:r>
    </w:p>
    <w:p w14:paraId="566326F6" w14:textId="30971424" w:rsidR="00F37BD3" w:rsidRPr="00B250AD" w:rsidRDefault="00F37BD3" w:rsidP="00977E5E">
      <w:pPr>
        <w:rPr>
          <w:rFonts w:ascii="Segoe UI" w:eastAsiaTheme="majorEastAsia" w:hAnsi="Segoe UI" w:cs="Segoe UI"/>
          <w:sz w:val="22"/>
          <w:szCs w:val="22"/>
        </w:rPr>
      </w:pPr>
      <w:r w:rsidRPr="00B250AD">
        <w:rPr>
          <w:rStyle w:val="normaltextrun"/>
          <w:rFonts w:ascii="Segoe UI" w:eastAsiaTheme="majorEastAsia" w:hAnsi="Segoe UI" w:cs="Segoe UI"/>
          <w:sz w:val="22"/>
          <w:szCs w:val="22"/>
        </w:rPr>
        <w:t xml:space="preserve">Blood Cancer United has </w:t>
      </w:r>
      <w:r w:rsidR="00521EA1" w:rsidRPr="00B250AD">
        <w:rPr>
          <w:rStyle w:val="normaltextrun"/>
          <w:rFonts w:ascii="Segoe UI" w:eastAsiaTheme="majorEastAsia" w:hAnsi="Segoe UI" w:cs="Segoe UI"/>
          <w:sz w:val="22"/>
          <w:szCs w:val="22"/>
        </w:rPr>
        <w:t>led or collaborated</w:t>
      </w:r>
      <w:r w:rsidRPr="00B250AD">
        <w:rPr>
          <w:rStyle w:val="normaltextrun"/>
          <w:rFonts w:ascii="Segoe UI" w:eastAsiaTheme="majorEastAsia" w:hAnsi="Segoe UI" w:cs="Segoe UI"/>
          <w:sz w:val="22"/>
          <w:szCs w:val="22"/>
        </w:rPr>
        <w:t xml:space="preserve"> on medical debt policy </w:t>
      </w:r>
      <w:r w:rsidR="00B757B0" w:rsidRPr="00B250AD">
        <w:rPr>
          <w:rStyle w:val="normaltextrun"/>
          <w:rFonts w:ascii="Segoe UI" w:eastAsiaTheme="majorEastAsia" w:hAnsi="Segoe UI" w:cs="Segoe UI"/>
          <w:sz w:val="22"/>
          <w:szCs w:val="22"/>
        </w:rPr>
        <w:t xml:space="preserve">at the national level and has done so </w:t>
      </w:r>
      <w:r w:rsidR="0068380E" w:rsidRPr="00B250AD">
        <w:rPr>
          <w:rStyle w:val="normaltextrun"/>
          <w:rFonts w:ascii="Segoe UI" w:eastAsiaTheme="majorEastAsia" w:hAnsi="Segoe UI" w:cs="Segoe UI"/>
          <w:sz w:val="22"/>
          <w:szCs w:val="22"/>
        </w:rPr>
        <w:t>very successfully in the Northeast</w:t>
      </w:r>
      <w:r w:rsidR="002157FD" w:rsidRPr="00B250AD">
        <w:rPr>
          <w:rStyle w:val="normaltextrun"/>
          <w:rFonts w:ascii="Segoe UI" w:eastAsiaTheme="majorEastAsia" w:hAnsi="Segoe UI" w:cs="Segoe UI"/>
          <w:sz w:val="22"/>
          <w:szCs w:val="22"/>
        </w:rPr>
        <w:t>. W</w:t>
      </w:r>
      <w:r w:rsidR="00521EA1" w:rsidRPr="00B250AD">
        <w:rPr>
          <w:rStyle w:val="normaltextrun"/>
          <w:rFonts w:ascii="Segoe UI" w:eastAsiaTheme="majorEastAsia" w:hAnsi="Segoe UI" w:cs="Segoe UI"/>
          <w:sz w:val="22"/>
          <w:szCs w:val="22"/>
        </w:rPr>
        <w:t xml:space="preserve">e </w:t>
      </w:r>
      <w:r w:rsidR="002157FD" w:rsidRPr="00B250AD">
        <w:rPr>
          <w:rStyle w:val="normaltextrun"/>
          <w:rFonts w:ascii="Segoe UI" w:eastAsiaTheme="majorEastAsia" w:hAnsi="Segoe UI" w:cs="Segoe UI"/>
          <w:sz w:val="22"/>
          <w:szCs w:val="22"/>
        </w:rPr>
        <w:t xml:space="preserve">thank </w:t>
      </w:r>
      <w:r w:rsidR="00521EA1" w:rsidRPr="00B250AD">
        <w:rPr>
          <w:rStyle w:val="normaltextrun"/>
          <w:rFonts w:ascii="Segoe UI" w:eastAsiaTheme="majorEastAsia" w:hAnsi="Segoe UI" w:cs="Segoe UI"/>
          <w:sz w:val="22"/>
          <w:szCs w:val="22"/>
        </w:rPr>
        <w:t xml:space="preserve">the Administration for </w:t>
      </w:r>
      <w:r w:rsidR="00BC3749" w:rsidRPr="00B250AD">
        <w:rPr>
          <w:rStyle w:val="normaltextrun"/>
          <w:rFonts w:ascii="Segoe UI" w:eastAsiaTheme="majorEastAsia" w:hAnsi="Segoe UI" w:cs="Segoe UI"/>
          <w:sz w:val="22"/>
          <w:szCs w:val="22"/>
        </w:rPr>
        <w:t>its</w:t>
      </w:r>
      <w:r w:rsidR="00521EA1" w:rsidRPr="00B250AD">
        <w:rPr>
          <w:rStyle w:val="normaltextrun"/>
          <w:rFonts w:ascii="Segoe UI" w:eastAsiaTheme="majorEastAsia" w:hAnsi="Segoe UI" w:cs="Segoe UI"/>
          <w:sz w:val="22"/>
          <w:szCs w:val="22"/>
        </w:rPr>
        <w:t xml:space="preserve"> advocacy</w:t>
      </w:r>
      <w:r w:rsidR="0050066C" w:rsidRPr="00B250AD">
        <w:rPr>
          <w:rStyle w:val="normaltextrun"/>
          <w:rFonts w:ascii="Segoe UI" w:eastAsiaTheme="majorEastAsia" w:hAnsi="Segoe UI" w:cs="Segoe UI"/>
          <w:sz w:val="22"/>
          <w:szCs w:val="22"/>
        </w:rPr>
        <w:t xml:space="preserve"> in </w:t>
      </w:r>
      <w:r w:rsidR="00BC3749" w:rsidRPr="00B250AD">
        <w:rPr>
          <w:rStyle w:val="normaltextrun"/>
          <w:rFonts w:ascii="Segoe UI" w:eastAsiaTheme="majorEastAsia" w:hAnsi="Segoe UI" w:cs="Segoe UI"/>
          <w:sz w:val="22"/>
          <w:szCs w:val="22"/>
        </w:rPr>
        <w:t xml:space="preserve">the </w:t>
      </w:r>
      <w:r w:rsidR="0050066C" w:rsidRPr="00B250AD">
        <w:rPr>
          <w:rStyle w:val="normaltextrun"/>
          <w:rFonts w:ascii="Segoe UI" w:eastAsiaTheme="majorEastAsia" w:hAnsi="Segoe UI" w:cs="Segoe UI"/>
          <w:sz w:val="22"/>
          <w:szCs w:val="22"/>
        </w:rPr>
        <w:t>proposal of this rule.</w:t>
      </w:r>
      <w:r w:rsidR="00521EA1" w:rsidRPr="00B250AD">
        <w:rPr>
          <w:rStyle w:val="normaltextrun"/>
          <w:rFonts w:ascii="Segoe UI" w:eastAsiaTheme="majorEastAsia" w:hAnsi="Segoe UI" w:cs="Segoe UI"/>
          <w:sz w:val="22"/>
          <w:szCs w:val="22"/>
        </w:rPr>
        <w:t xml:space="preserve"> </w:t>
      </w:r>
      <w:r w:rsidR="0050066C" w:rsidRPr="00B250AD">
        <w:rPr>
          <w:rStyle w:val="normaltextrun"/>
          <w:rFonts w:ascii="Segoe UI" w:eastAsiaTheme="majorEastAsia" w:hAnsi="Segoe UI" w:cs="Segoe UI"/>
          <w:sz w:val="22"/>
          <w:szCs w:val="22"/>
        </w:rPr>
        <w:t>We also</w:t>
      </w:r>
      <w:r w:rsidR="00521EA1" w:rsidRPr="00B250AD">
        <w:rPr>
          <w:rStyle w:val="normaltextrun"/>
          <w:rFonts w:ascii="Segoe UI" w:eastAsiaTheme="majorEastAsia" w:hAnsi="Segoe UI" w:cs="Segoe UI"/>
          <w:sz w:val="22"/>
          <w:szCs w:val="22"/>
        </w:rPr>
        <w:t xml:space="preserve"> </w:t>
      </w:r>
      <w:r w:rsidR="006C2003" w:rsidRPr="00B250AD">
        <w:rPr>
          <w:rStyle w:val="normaltextrun"/>
          <w:rFonts w:ascii="Segoe UI" w:eastAsiaTheme="majorEastAsia" w:hAnsi="Segoe UI" w:cs="Segoe UI"/>
          <w:sz w:val="22"/>
          <w:szCs w:val="22"/>
        </w:rPr>
        <w:t>urge th</w:t>
      </w:r>
      <w:r w:rsidR="00521EA1" w:rsidRPr="00B250AD">
        <w:rPr>
          <w:rStyle w:val="normaltextrun"/>
          <w:rFonts w:ascii="Segoe UI" w:eastAsiaTheme="majorEastAsia" w:hAnsi="Segoe UI" w:cs="Segoe UI"/>
          <w:sz w:val="22"/>
          <w:szCs w:val="22"/>
        </w:rPr>
        <w:t>e legislature to pass</w:t>
      </w:r>
      <w:r w:rsidR="006C2003" w:rsidRPr="00B250AD">
        <w:rPr>
          <w:rStyle w:val="normaltextrun"/>
          <w:rFonts w:ascii="Segoe UI" w:eastAsiaTheme="majorEastAsia" w:hAnsi="Segoe UI" w:cs="Segoe UI"/>
          <w:sz w:val="22"/>
          <w:szCs w:val="22"/>
        </w:rPr>
        <w:t xml:space="preserve"> comprehensive medical debt reform that brings the Commonwealth up to the level of </w:t>
      </w:r>
      <w:r w:rsidR="00BC3749" w:rsidRPr="00B250AD">
        <w:rPr>
          <w:rStyle w:val="normaltextrun"/>
          <w:rFonts w:ascii="Segoe UI" w:eastAsiaTheme="majorEastAsia" w:hAnsi="Segoe UI" w:cs="Segoe UI"/>
          <w:sz w:val="22"/>
          <w:szCs w:val="22"/>
        </w:rPr>
        <w:t>its neighbors by limiting interest rates and fees, wage garnishments,</w:t>
      </w:r>
      <w:r w:rsidR="0068380E" w:rsidRPr="00B250AD">
        <w:rPr>
          <w:rStyle w:val="normaltextrun"/>
          <w:rFonts w:ascii="Segoe UI" w:eastAsiaTheme="majorEastAsia" w:hAnsi="Segoe UI" w:cs="Segoe UI"/>
          <w:sz w:val="22"/>
          <w:szCs w:val="22"/>
        </w:rPr>
        <w:t xml:space="preserve"> liens</w:t>
      </w:r>
      <w:r w:rsidR="009A564B">
        <w:rPr>
          <w:rStyle w:val="normaltextrun"/>
          <w:rFonts w:ascii="Segoe UI" w:eastAsiaTheme="majorEastAsia" w:hAnsi="Segoe UI" w:cs="Segoe UI"/>
          <w:sz w:val="22"/>
          <w:szCs w:val="22"/>
        </w:rPr>
        <w:t>,</w:t>
      </w:r>
      <w:r w:rsidR="00EB5D3C" w:rsidRPr="00B250AD">
        <w:rPr>
          <w:rStyle w:val="normaltextrun"/>
          <w:rFonts w:ascii="Segoe UI" w:eastAsiaTheme="majorEastAsia" w:hAnsi="Segoe UI" w:cs="Segoe UI"/>
          <w:sz w:val="22"/>
          <w:szCs w:val="22"/>
        </w:rPr>
        <w:t xml:space="preserve"> and other patient protections</w:t>
      </w:r>
      <w:r w:rsidR="0068380E" w:rsidRPr="00B250AD">
        <w:rPr>
          <w:rStyle w:val="normaltextrun"/>
          <w:rFonts w:ascii="Segoe UI" w:eastAsiaTheme="majorEastAsia" w:hAnsi="Segoe UI" w:cs="Segoe UI"/>
          <w:sz w:val="22"/>
          <w:szCs w:val="22"/>
        </w:rPr>
        <w:t xml:space="preserve"> by passing</w:t>
      </w:r>
      <w:r w:rsidR="00521EA1" w:rsidRPr="00B250AD">
        <w:rPr>
          <w:rStyle w:val="normaltextrun"/>
          <w:rFonts w:ascii="Segoe UI" w:eastAsiaTheme="majorEastAsia" w:hAnsi="Segoe UI" w:cs="Segoe UI"/>
          <w:sz w:val="22"/>
          <w:szCs w:val="22"/>
        </w:rPr>
        <w:t xml:space="preserve"> </w:t>
      </w:r>
      <w:r w:rsidR="00101498" w:rsidRPr="00B250AD">
        <w:rPr>
          <w:rStyle w:val="normaltextrun"/>
          <w:rFonts w:ascii="Segoe UI" w:eastAsiaTheme="majorEastAsia" w:hAnsi="Segoe UI" w:cs="Segoe UI"/>
          <w:sz w:val="22"/>
          <w:szCs w:val="22"/>
        </w:rPr>
        <w:t>H4809 and S214.</w:t>
      </w:r>
      <w:r w:rsidR="00521EA1" w:rsidRPr="00B250AD">
        <w:rPr>
          <w:rStyle w:val="normaltextrun"/>
          <w:rFonts w:ascii="Segoe UI" w:eastAsiaTheme="majorEastAsia" w:hAnsi="Segoe UI" w:cs="Segoe UI"/>
          <w:sz w:val="22"/>
          <w:szCs w:val="22"/>
        </w:rPr>
        <w:t xml:space="preserve"> </w:t>
      </w:r>
    </w:p>
    <w:p w14:paraId="348FC783" w14:textId="1FD8AF97" w:rsidR="000C3D53" w:rsidRPr="00B250AD" w:rsidRDefault="00DB3094" w:rsidP="00C96967">
      <w:pPr>
        <w:spacing w:after="0" w:line="240" w:lineRule="auto"/>
        <w:rPr>
          <w:rFonts w:ascii="Segoe UI" w:eastAsia="Aptos" w:hAnsi="Segoe UI" w:cs="Segoe UI"/>
          <w:sz w:val="22"/>
          <w:szCs w:val="22"/>
          <w:u w:val="single"/>
        </w:rPr>
      </w:pPr>
      <w:r w:rsidRPr="00B250AD">
        <w:rPr>
          <w:rFonts w:ascii="Segoe UI" w:eastAsia="Aptos" w:hAnsi="Segoe UI" w:cs="Segoe UI"/>
          <w:sz w:val="22"/>
          <w:szCs w:val="22"/>
          <w:u w:val="single"/>
        </w:rPr>
        <w:t>O</w:t>
      </w:r>
      <w:r w:rsidR="001F50D8" w:rsidRPr="00B250AD">
        <w:rPr>
          <w:rFonts w:ascii="Segoe UI" w:eastAsia="Aptos" w:hAnsi="Segoe UI" w:cs="Segoe UI"/>
          <w:sz w:val="22"/>
          <w:szCs w:val="22"/>
          <w:u w:val="single"/>
        </w:rPr>
        <w:t>ur initial comments</w:t>
      </w:r>
      <w:r w:rsidR="006B2F59" w:rsidRPr="00B250AD">
        <w:rPr>
          <w:rFonts w:ascii="Segoe UI" w:eastAsia="Aptos" w:hAnsi="Segoe UI" w:cs="Segoe UI"/>
          <w:sz w:val="22"/>
          <w:szCs w:val="22"/>
          <w:u w:val="single"/>
        </w:rPr>
        <w:t xml:space="preserve"> for m</w:t>
      </w:r>
      <w:r w:rsidR="00154076" w:rsidRPr="00B250AD">
        <w:rPr>
          <w:rFonts w:ascii="Segoe UI" w:eastAsia="Aptos" w:hAnsi="Segoe UI" w:cs="Segoe UI"/>
          <w:sz w:val="22"/>
          <w:szCs w:val="22"/>
          <w:u w:val="single"/>
        </w:rPr>
        <w:t>odification to the proposed rules</w:t>
      </w:r>
      <w:r w:rsidR="001F50D8" w:rsidRPr="00B250AD">
        <w:rPr>
          <w:rFonts w:ascii="Segoe UI" w:eastAsia="Aptos" w:hAnsi="Segoe UI" w:cs="Segoe UI"/>
          <w:sz w:val="22"/>
          <w:szCs w:val="22"/>
          <w:u w:val="single"/>
        </w:rPr>
        <w:t xml:space="preserve"> </w:t>
      </w:r>
      <w:r w:rsidR="00154076" w:rsidRPr="00B250AD">
        <w:rPr>
          <w:rFonts w:ascii="Segoe UI" w:eastAsia="Aptos" w:hAnsi="Segoe UI" w:cs="Segoe UI"/>
          <w:sz w:val="22"/>
          <w:szCs w:val="22"/>
          <w:u w:val="single"/>
        </w:rPr>
        <w:t>are</w:t>
      </w:r>
      <w:r w:rsidR="006B2F59" w:rsidRPr="00B250AD">
        <w:rPr>
          <w:rFonts w:ascii="Segoe UI" w:eastAsia="Aptos" w:hAnsi="Segoe UI" w:cs="Segoe UI"/>
          <w:sz w:val="22"/>
          <w:szCs w:val="22"/>
          <w:u w:val="single"/>
        </w:rPr>
        <w:t xml:space="preserve"> to </w:t>
      </w:r>
      <w:r w:rsidR="009A7E77" w:rsidRPr="00B250AD">
        <w:rPr>
          <w:rFonts w:ascii="Segoe UI" w:eastAsia="Aptos" w:hAnsi="Segoe UI" w:cs="Segoe UI"/>
          <w:sz w:val="22"/>
          <w:szCs w:val="22"/>
          <w:u w:val="single"/>
        </w:rPr>
        <w:t>urge the removal of the waiver language, as none of the thirte</w:t>
      </w:r>
      <w:r w:rsidR="001801E5" w:rsidRPr="00B250AD">
        <w:rPr>
          <w:rFonts w:ascii="Segoe UI" w:eastAsia="Aptos" w:hAnsi="Segoe UI" w:cs="Segoe UI"/>
          <w:sz w:val="22"/>
          <w:szCs w:val="22"/>
          <w:u w:val="single"/>
        </w:rPr>
        <w:t>en states</w:t>
      </w:r>
      <w:r w:rsidR="005D28CA" w:rsidRPr="00B250AD">
        <w:rPr>
          <w:rFonts w:ascii="Segoe UI" w:eastAsia="Aptos" w:hAnsi="Segoe UI" w:cs="Segoe UI"/>
          <w:sz w:val="22"/>
          <w:szCs w:val="22"/>
          <w:u w:val="single"/>
        </w:rPr>
        <w:t xml:space="preserve"> that ban reporting, many of which are</w:t>
      </w:r>
      <w:r w:rsidR="001801E5" w:rsidRPr="00B250AD">
        <w:rPr>
          <w:rFonts w:ascii="Segoe UI" w:eastAsia="Aptos" w:hAnsi="Segoe UI" w:cs="Segoe UI"/>
          <w:sz w:val="22"/>
          <w:szCs w:val="22"/>
          <w:u w:val="single"/>
        </w:rPr>
        <w:t xml:space="preserve"> Massachusetts neighbors, contain a waiver </w:t>
      </w:r>
      <w:r w:rsidR="001F50D8" w:rsidRPr="00B250AD">
        <w:rPr>
          <w:rFonts w:ascii="Segoe UI" w:eastAsia="Aptos" w:hAnsi="Segoe UI" w:cs="Segoe UI"/>
          <w:sz w:val="22"/>
          <w:szCs w:val="22"/>
          <w:u w:val="single"/>
        </w:rPr>
        <w:t>provision.</w:t>
      </w:r>
      <w:r w:rsidR="00DB7170" w:rsidRPr="00B250AD">
        <w:rPr>
          <w:rFonts w:ascii="Segoe UI" w:eastAsia="Aptos" w:hAnsi="Segoe UI" w:cs="Segoe UI"/>
          <w:sz w:val="22"/>
          <w:szCs w:val="22"/>
          <w:u w:val="single"/>
        </w:rPr>
        <w:t xml:space="preserve"> We also suggest a modification to the definition of debt collector.</w:t>
      </w:r>
    </w:p>
    <w:p w14:paraId="27CA0BE0" w14:textId="77777777" w:rsidR="000C3D53" w:rsidRPr="00B250AD" w:rsidRDefault="000C3D53" w:rsidP="00C96967">
      <w:pPr>
        <w:spacing w:after="0" w:line="240" w:lineRule="auto"/>
        <w:rPr>
          <w:rFonts w:ascii="Segoe UI" w:eastAsia="Aptos" w:hAnsi="Segoe UI" w:cs="Segoe UI"/>
          <w:sz w:val="22"/>
          <w:szCs w:val="22"/>
        </w:rPr>
      </w:pPr>
    </w:p>
    <w:p w14:paraId="32927FD3" w14:textId="5A996B7A" w:rsidR="00C96967" w:rsidRPr="00B250AD" w:rsidRDefault="00C96967" w:rsidP="00C96967">
      <w:pPr>
        <w:spacing w:after="0" w:line="240" w:lineRule="auto"/>
        <w:rPr>
          <w:rFonts w:ascii="Segoe UI" w:eastAsia="Aptos" w:hAnsi="Segoe UI" w:cs="Segoe UI"/>
          <w:sz w:val="22"/>
          <w:szCs w:val="22"/>
        </w:rPr>
      </w:pPr>
      <w:r w:rsidRPr="00B250AD">
        <w:rPr>
          <w:rFonts w:ascii="Segoe UI" w:eastAsia="Aptos" w:hAnsi="Segoe UI" w:cs="Segoe UI"/>
          <w:sz w:val="22"/>
          <w:szCs w:val="22"/>
        </w:rPr>
        <w:lastRenderedPageBreak/>
        <w:t>Massachusetts (MA) families spend</w:t>
      </w:r>
      <w:r w:rsidR="00357B56" w:rsidRPr="00B250AD">
        <w:rPr>
          <w:rFonts w:ascii="Segoe UI" w:eastAsia="Aptos" w:hAnsi="Segoe UI" w:cs="Segoe UI"/>
          <w:sz w:val="22"/>
          <w:szCs w:val="22"/>
        </w:rPr>
        <w:t>, on average,</w:t>
      </w:r>
      <w:r w:rsidRPr="00B250AD">
        <w:rPr>
          <w:rFonts w:ascii="Segoe UI" w:eastAsia="Aptos" w:hAnsi="Segoe UI" w:cs="Segoe UI"/>
          <w:sz w:val="22"/>
          <w:szCs w:val="22"/>
        </w:rPr>
        <w:t xml:space="preserve"> more than $29,000 a year on health care expenses.</w:t>
      </w:r>
      <w:r w:rsidRPr="00B250AD">
        <w:rPr>
          <w:rFonts w:ascii="Segoe UI" w:eastAsia="Aptos" w:hAnsi="Segoe UI" w:cs="Segoe UI"/>
          <w:sz w:val="22"/>
          <w:szCs w:val="22"/>
          <w:vertAlign w:val="superscript"/>
        </w:rPr>
        <w:footnoteReference w:id="1"/>
      </w:r>
      <w:r w:rsidRPr="00B250AD">
        <w:rPr>
          <w:rFonts w:ascii="Segoe UI" w:eastAsia="Aptos" w:hAnsi="Segoe UI" w:cs="Segoe UI"/>
          <w:sz w:val="22"/>
          <w:szCs w:val="22"/>
        </w:rPr>
        <w:t xml:space="preserve"> As a result, more than 40% of families in the state report issues affording their health care, and 1 in 8 residents (13.5%) report that they have family medical debt.</w:t>
      </w:r>
      <w:r w:rsidRPr="00B250AD">
        <w:rPr>
          <w:rFonts w:ascii="Segoe UI" w:eastAsia="Aptos" w:hAnsi="Segoe UI" w:cs="Segoe UI"/>
          <w:sz w:val="22"/>
          <w:szCs w:val="22"/>
          <w:vertAlign w:val="superscript"/>
        </w:rPr>
        <w:footnoteReference w:id="2"/>
      </w:r>
      <w:r w:rsidRPr="00B250AD">
        <w:rPr>
          <w:rFonts w:ascii="Segoe UI" w:eastAsia="Aptos" w:hAnsi="Segoe UI" w:cs="Segoe UI"/>
          <w:sz w:val="22"/>
          <w:szCs w:val="22"/>
        </w:rPr>
        <w:t xml:space="preserve"> The burden of this affordability challenge is not carried equally. Hispanic residents report issues affording health care at the highest rate in the Commonwealth, and nearly twice as many non-Hispanic Black </w:t>
      </w:r>
      <w:proofErr w:type="gramStart"/>
      <w:r w:rsidRPr="00B250AD">
        <w:rPr>
          <w:rFonts w:ascii="Segoe UI" w:eastAsia="Aptos" w:hAnsi="Segoe UI" w:cs="Segoe UI"/>
          <w:sz w:val="22"/>
          <w:szCs w:val="22"/>
        </w:rPr>
        <w:t>residents</w:t>
      </w:r>
      <w:proofErr w:type="gramEnd"/>
      <w:r w:rsidRPr="00B250AD">
        <w:rPr>
          <w:rFonts w:ascii="Segoe UI" w:eastAsia="Aptos" w:hAnsi="Segoe UI" w:cs="Segoe UI"/>
          <w:sz w:val="22"/>
          <w:szCs w:val="22"/>
        </w:rPr>
        <w:t xml:space="preserve"> report having family medical debt than white residents.</w:t>
      </w:r>
      <w:r w:rsidRPr="00B250AD">
        <w:rPr>
          <w:rFonts w:ascii="Segoe UI" w:eastAsia="Aptos" w:hAnsi="Segoe UI" w:cs="Segoe UI"/>
          <w:sz w:val="22"/>
          <w:szCs w:val="22"/>
          <w:vertAlign w:val="superscript"/>
        </w:rPr>
        <w:footnoteReference w:id="3"/>
      </w:r>
    </w:p>
    <w:p w14:paraId="393E98CC" w14:textId="77777777" w:rsidR="00C96967" w:rsidRPr="00B250AD" w:rsidRDefault="00C96967" w:rsidP="00C96967">
      <w:pPr>
        <w:pStyle w:val="Default"/>
        <w:rPr>
          <w:rFonts w:ascii="Segoe UI" w:hAnsi="Segoe UI" w:cs="Segoe UI"/>
          <w:sz w:val="22"/>
          <w:szCs w:val="22"/>
        </w:rPr>
      </w:pPr>
    </w:p>
    <w:p w14:paraId="3178929B"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Medical debt itself is a social determinant of health that can have a profound impact on a person’s health and financial wellbeing. More than 28% of Massachusetts residents say they or a family member have delayed or gone without needed care because of the cost and emerging financial toxicity research has found that decreases in credit score can increase a cancer patient’s mortality.</w:t>
      </w:r>
      <w:r w:rsidRPr="00B250AD">
        <w:rPr>
          <w:rStyle w:val="FootnoteReference"/>
          <w:rFonts w:ascii="Segoe UI" w:hAnsi="Segoe UI" w:cs="Segoe UI"/>
          <w:sz w:val="22"/>
          <w:szCs w:val="22"/>
        </w:rPr>
        <w:footnoteReference w:id="4"/>
      </w:r>
      <w:r w:rsidRPr="00B250AD">
        <w:rPr>
          <w:rFonts w:ascii="Segoe UI" w:hAnsi="Segoe UI" w:cs="Segoe UI"/>
          <w:sz w:val="22"/>
          <w:szCs w:val="22"/>
        </w:rPr>
        <w:t xml:space="preserve"> </w:t>
      </w:r>
      <w:r w:rsidRPr="00B250AD">
        <w:rPr>
          <w:rStyle w:val="FootnoteReference"/>
          <w:rFonts w:ascii="Segoe UI" w:hAnsi="Segoe UI" w:cs="Segoe UI"/>
          <w:sz w:val="22"/>
          <w:szCs w:val="22"/>
        </w:rPr>
        <w:footnoteReference w:id="5"/>
      </w:r>
      <w:r w:rsidRPr="00B250AD">
        <w:rPr>
          <w:rFonts w:ascii="Segoe UI" w:hAnsi="Segoe UI" w:cs="Segoe UI"/>
          <w:sz w:val="22"/>
          <w:szCs w:val="22"/>
        </w:rPr>
        <w:t xml:space="preserve"> The added financial distress from medical debt and subsequent collection practices can also trap people in a complicated cycle of poverty. Problems paying medical bills have forced families and individuals in MA to cut into savings (53.3%), borrow money or acquire credit card debt to pay for medical bills (35.9%), or even file for bankruptcy (0.8%).</w:t>
      </w:r>
      <w:r w:rsidRPr="00B250AD">
        <w:rPr>
          <w:rFonts w:ascii="Segoe UI" w:eastAsia="Aptos" w:hAnsi="Segoe UI" w:cs="Segoe UI"/>
          <w:color w:val="auto"/>
          <w:sz w:val="22"/>
          <w:szCs w:val="22"/>
          <w:vertAlign w:val="superscript"/>
        </w:rPr>
        <w:footnoteReference w:id="6"/>
      </w:r>
      <w:r w:rsidRPr="00B250AD">
        <w:rPr>
          <w:rFonts w:ascii="Segoe UI" w:hAnsi="Segoe UI" w:cs="Segoe UI"/>
          <w:sz w:val="22"/>
          <w:szCs w:val="22"/>
        </w:rPr>
        <w:t xml:space="preserve">  Black and Hispanic individuals, as well as low-income individuals, experience more significant consequences as a result of their debt.</w:t>
      </w:r>
      <w:r w:rsidRPr="00B250AD">
        <w:rPr>
          <w:rStyle w:val="FootnoteReference"/>
          <w:rFonts w:ascii="Segoe UI" w:hAnsi="Segoe UI" w:cs="Segoe UI"/>
          <w:sz w:val="22"/>
          <w:szCs w:val="22"/>
        </w:rPr>
        <w:footnoteReference w:id="7"/>
      </w:r>
      <w:r w:rsidRPr="00B250AD">
        <w:rPr>
          <w:rFonts w:ascii="Segoe UI" w:hAnsi="Segoe UI" w:cs="Segoe UI"/>
          <w:sz w:val="22"/>
          <w:szCs w:val="22"/>
        </w:rPr>
        <w:t xml:space="preserve"> </w:t>
      </w:r>
      <w:r w:rsidRPr="00B250AD">
        <w:rPr>
          <w:rStyle w:val="FootnoteReference"/>
          <w:rFonts w:ascii="Segoe UI" w:hAnsi="Segoe UI" w:cs="Segoe UI"/>
          <w:sz w:val="22"/>
          <w:szCs w:val="22"/>
        </w:rPr>
        <w:footnoteReference w:id="8"/>
      </w:r>
      <w:r w:rsidRPr="00B250AD">
        <w:rPr>
          <w:rFonts w:ascii="Segoe UI" w:hAnsi="Segoe UI" w:cs="Segoe UI"/>
          <w:sz w:val="22"/>
          <w:szCs w:val="22"/>
        </w:rPr>
        <w:t xml:space="preserve"> Nearly half of Black Americans said that their credit score was negatively impacted by their medical debt, compared to 32% of  white Americans, and Black Americans are twice as likely to be subjected to aggressive collections practices.</w:t>
      </w:r>
      <w:r w:rsidRPr="00B250AD">
        <w:rPr>
          <w:rFonts w:ascii="Segoe UI" w:hAnsi="Segoe UI" w:cs="Segoe UI"/>
          <w:color w:val="auto"/>
          <w:sz w:val="22"/>
          <w:szCs w:val="22"/>
        </w:rPr>
        <w:t xml:space="preserve"> </w:t>
      </w:r>
      <w:r w:rsidRPr="00B250AD">
        <w:rPr>
          <w:rStyle w:val="FootnoteReference"/>
          <w:rFonts w:ascii="Segoe UI" w:hAnsi="Segoe UI" w:cs="Segoe UI"/>
          <w:color w:val="auto"/>
          <w:sz w:val="22"/>
          <w:szCs w:val="22"/>
        </w:rPr>
        <w:footnoteReference w:id="9"/>
      </w:r>
      <w:r w:rsidRPr="00B250AD">
        <w:rPr>
          <w:rFonts w:ascii="Segoe UI" w:hAnsi="Segoe UI" w:cs="Segoe UI"/>
          <w:color w:val="auto"/>
          <w:sz w:val="22"/>
          <w:szCs w:val="22"/>
        </w:rPr>
        <w:t xml:space="preserve">   </w:t>
      </w:r>
    </w:p>
    <w:p w14:paraId="799D00D9" w14:textId="77777777" w:rsidR="00C96967" w:rsidRPr="00B250AD" w:rsidRDefault="00C96967" w:rsidP="00C96967">
      <w:pPr>
        <w:pStyle w:val="Default"/>
        <w:rPr>
          <w:rFonts w:ascii="Segoe UI" w:hAnsi="Segoe UI" w:cs="Segoe UI"/>
          <w:sz w:val="22"/>
          <w:szCs w:val="22"/>
        </w:rPr>
      </w:pPr>
    </w:p>
    <w:p w14:paraId="17367C0C" w14:textId="2ED40BAD" w:rsidR="00C96967" w:rsidRPr="00B250AD" w:rsidRDefault="00C96967" w:rsidP="00C96967">
      <w:pPr>
        <w:spacing w:after="0" w:line="240" w:lineRule="auto"/>
        <w:rPr>
          <w:rFonts w:ascii="Segoe UI" w:eastAsia="Aptos" w:hAnsi="Segoe UI" w:cs="Segoe UI"/>
          <w:sz w:val="22"/>
          <w:szCs w:val="22"/>
        </w:rPr>
      </w:pPr>
      <w:r w:rsidRPr="00B250AD">
        <w:rPr>
          <w:rFonts w:ascii="Segoe UI" w:hAnsi="Segoe UI" w:cs="Segoe UI"/>
          <w:sz w:val="22"/>
          <w:szCs w:val="22"/>
        </w:rPr>
        <w:lastRenderedPageBreak/>
        <w:t xml:space="preserve">While </w:t>
      </w:r>
      <w:r w:rsidRPr="00B250AD">
        <w:rPr>
          <w:rFonts w:ascii="Segoe UI" w:eastAsia="Aptos" w:hAnsi="Segoe UI" w:cs="Segoe UI"/>
          <w:sz w:val="22"/>
          <w:szCs w:val="22"/>
        </w:rPr>
        <w:t>lack of robust coverage options remains one of the main drivers of medical debt nationwide.</w:t>
      </w:r>
      <w:r w:rsidRPr="00B250AD">
        <w:rPr>
          <w:rFonts w:ascii="Segoe UI" w:eastAsia="Aptos" w:hAnsi="Segoe UI" w:cs="Segoe UI"/>
          <w:sz w:val="22"/>
          <w:szCs w:val="22"/>
          <w:vertAlign w:val="superscript"/>
        </w:rPr>
        <w:footnoteReference w:id="10"/>
      </w:r>
      <w:r w:rsidRPr="00B250AD">
        <w:rPr>
          <w:rFonts w:ascii="Segoe UI" w:eastAsia="Aptos" w:hAnsi="Segoe UI" w:cs="Segoe UI"/>
          <w:sz w:val="22"/>
          <w:szCs w:val="22"/>
        </w:rPr>
        <w:t xml:space="preserve"> The causes of medical debt are multifaceted</w:t>
      </w:r>
      <w:r w:rsidR="00E42DDD">
        <w:rPr>
          <w:rFonts w:ascii="Segoe UI" w:eastAsia="Aptos" w:hAnsi="Segoe UI" w:cs="Segoe UI"/>
          <w:sz w:val="22"/>
          <w:szCs w:val="22"/>
        </w:rPr>
        <w:t>,</w:t>
      </w:r>
      <w:r w:rsidRPr="00B250AD">
        <w:rPr>
          <w:rFonts w:ascii="Segoe UI" w:eastAsia="Aptos" w:hAnsi="Segoe UI" w:cs="Segoe UI"/>
          <w:sz w:val="22"/>
          <w:szCs w:val="22"/>
        </w:rPr>
        <w:t xml:space="preserve"> and almost 90% of medical debt in MA occurred when the person had insurance.</w:t>
      </w:r>
      <w:r w:rsidRPr="00B250AD">
        <w:rPr>
          <w:rFonts w:ascii="Segoe UI" w:eastAsia="Aptos" w:hAnsi="Segoe UI" w:cs="Segoe UI"/>
          <w:sz w:val="22"/>
          <w:szCs w:val="22"/>
          <w:vertAlign w:val="superscript"/>
        </w:rPr>
        <w:t xml:space="preserve"> </w:t>
      </w:r>
      <w:r w:rsidRPr="00B250AD">
        <w:rPr>
          <w:rFonts w:ascii="Segoe UI" w:eastAsia="Aptos" w:hAnsi="Segoe UI" w:cs="Segoe UI"/>
          <w:sz w:val="22"/>
          <w:szCs w:val="22"/>
          <w:vertAlign w:val="superscript"/>
        </w:rPr>
        <w:footnoteReference w:id="11"/>
      </w:r>
      <w:r w:rsidRPr="00B250AD">
        <w:rPr>
          <w:rFonts w:ascii="Segoe UI" w:eastAsia="Aptos" w:hAnsi="Segoe UI" w:cs="Segoe UI"/>
          <w:sz w:val="22"/>
          <w:szCs w:val="22"/>
        </w:rPr>
        <w:t xml:space="preserve"> Our </w:t>
      </w:r>
      <w:r w:rsidR="00C07648">
        <w:rPr>
          <w:rFonts w:ascii="Segoe UI" w:eastAsia="Aptos" w:hAnsi="Segoe UI" w:cs="Segoe UI"/>
          <w:sz w:val="22"/>
          <w:szCs w:val="22"/>
        </w:rPr>
        <w:t>patient advocates and our medical debt help program</w:t>
      </w:r>
      <w:r w:rsidRPr="00B250AD">
        <w:rPr>
          <w:rFonts w:ascii="Segoe UI" w:eastAsia="Aptos" w:hAnsi="Segoe UI" w:cs="Segoe UI"/>
          <w:sz w:val="22"/>
          <w:szCs w:val="22"/>
        </w:rPr>
        <w:t xml:space="preserve"> hear </w:t>
      </w:r>
      <w:r w:rsidR="00E42DDD">
        <w:rPr>
          <w:rFonts w:ascii="Segoe UI" w:eastAsia="Aptos" w:hAnsi="Segoe UI" w:cs="Segoe UI"/>
          <w:sz w:val="22"/>
          <w:szCs w:val="22"/>
        </w:rPr>
        <w:t>from individuals every day</w:t>
      </w:r>
      <w:r w:rsidRPr="00B250AD">
        <w:rPr>
          <w:rFonts w:ascii="Segoe UI" w:eastAsia="Aptos" w:hAnsi="Segoe UI" w:cs="Segoe UI"/>
          <w:sz w:val="22"/>
          <w:szCs w:val="22"/>
        </w:rPr>
        <w:t xml:space="preserve"> who have medical debt due to </w:t>
      </w:r>
      <w:r w:rsidR="00E42DDD">
        <w:rPr>
          <w:rFonts w:ascii="Segoe UI" w:eastAsia="Aptos" w:hAnsi="Segoe UI" w:cs="Segoe UI"/>
          <w:sz w:val="22"/>
          <w:szCs w:val="22"/>
        </w:rPr>
        <w:t>billing errors</w:t>
      </w:r>
      <w:r w:rsidRPr="00B250AD">
        <w:rPr>
          <w:rFonts w:ascii="Segoe UI" w:eastAsia="Aptos" w:hAnsi="Segoe UI" w:cs="Segoe UI"/>
          <w:sz w:val="22"/>
          <w:szCs w:val="22"/>
        </w:rPr>
        <w:t xml:space="preserve"> or miscommunication between the provider and the insurance company. Research from the Consumer Financial Protection Bureau (CFPB) found that people with medical debt are more likely to file collections complaints claiming that the medical debt in collections was already paid, that they weren’t given enough information to verify the debt, or that the collector was attempting to collect the wrong amount. </w:t>
      </w:r>
      <w:r w:rsidRPr="00B250AD">
        <w:rPr>
          <w:rFonts w:ascii="Segoe UI" w:eastAsia="Aptos" w:hAnsi="Segoe UI" w:cs="Segoe UI"/>
          <w:sz w:val="22"/>
          <w:szCs w:val="22"/>
          <w:vertAlign w:val="superscript"/>
        </w:rPr>
        <w:footnoteReference w:id="12"/>
      </w:r>
    </w:p>
    <w:p w14:paraId="20418B8A" w14:textId="77777777" w:rsidR="00C96967" w:rsidRPr="00B250AD" w:rsidRDefault="00C96967" w:rsidP="00C96967">
      <w:pPr>
        <w:spacing w:after="0" w:line="240" w:lineRule="auto"/>
        <w:rPr>
          <w:rFonts w:ascii="Segoe UI" w:eastAsia="Aptos" w:hAnsi="Segoe UI" w:cs="Segoe UI"/>
          <w:sz w:val="22"/>
          <w:szCs w:val="22"/>
        </w:rPr>
      </w:pPr>
    </w:p>
    <w:p w14:paraId="0D92E2EF"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Additionally, medical debt is not like other types of debt since it is nearly impossible to plan for and largely unavoidable. The CFPB found that consumers with medical debt in collections show no other evidence of financial distress with about 50% having otherwise “clean” credit reports and no other indication of serious past delinquencies.</w:t>
      </w:r>
      <w:r w:rsidRPr="00B250AD">
        <w:rPr>
          <w:rFonts w:ascii="Segoe UI" w:eastAsia="Aptos" w:hAnsi="Segoe UI" w:cs="Segoe UI"/>
          <w:sz w:val="22"/>
          <w:szCs w:val="22"/>
          <w:vertAlign w:val="superscript"/>
        </w:rPr>
        <w:t xml:space="preserve"> </w:t>
      </w:r>
      <w:r w:rsidRPr="00B250AD">
        <w:rPr>
          <w:rFonts w:ascii="Segoe UI" w:eastAsia="Aptos" w:hAnsi="Segoe UI" w:cs="Segoe UI"/>
          <w:sz w:val="22"/>
          <w:szCs w:val="22"/>
          <w:vertAlign w:val="superscript"/>
        </w:rPr>
        <w:footnoteReference w:id="13"/>
      </w:r>
      <w:r w:rsidRPr="00B250AD">
        <w:rPr>
          <w:rFonts w:ascii="Segoe UI" w:hAnsi="Segoe UI" w:cs="Segoe UI"/>
          <w:sz w:val="22"/>
          <w:szCs w:val="22"/>
        </w:rPr>
        <w:t xml:space="preserve"> Ultimately indicating that medical debt reported to a consumer credit report offers little predictive value to lenders. </w:t>
      </w:r>
    </w:p>
    <w:p w14:paraId="0DAD1A78" w14:textId="77777777" w:rsidR="004769CE" w:rsidRPr="00B250AD" w:rsidRDefault="004769CE" w:rsidP="00C96967">
      <w:pPr>
        <w:pStyle w:val="Default"/>
        <w:rPr>
          <w:rFonts w:ascii="Segoe UI" w:hAnsi="Segoe UI" w:cs="Segoe UI"/>
          <w:sz w:val="22"/>
          <w:szCs w:val="22"/>
        </w:rPr>
      </w:pPr>
    </w:p>
    <w:p w14:paraId="1C209AE1" w14:textId="3D7FEC78" w:rsidR="004769CE" w:rsidRPr="00B250AD" w:rsidRDefault="004769CE" w:rsidP="004769CE">
      <w:pPr>
        <w:pStyle w:val="Default"/>
        <w:rPr>
          <w:rFonts w:ascii="Segoe UI" w:hAnsi="Segoe UI" w:cs="Segoe UI"/>
          <w:sz w:val="22"/>
          <w:szCs w:val="22"/>
        </w:rPr>
      </w:pPr>
      <w:r w:rsidRPr="00B250AD">
        <w:rPr>
          <w:rFonts w:ascii="Segoe UI" w:hAnsi="Segoe UI" w:cs="Segoe UI"/>
          <w:sz w:val="22"/>
          <w:szCs w:val="22"/>
        </w:rPr>
        <w:t xml:space="preserve">The proposed promulgation of 105 CMR 95.00 would help ensure that MA residents are able to consider their health first when making healthcare decisions and that residents with medical debt are not prevented from obtaining housing, loans, or even employment which can also have devastating impacts on their health. </w:t>
      </w:r>
    </w:p>
    <w:p w14:paraId="29E26D40" w14:textId="77777777" w:rsidR="004769CE" w:rsidRPr="00B250AD" w:rsidRDefault="004769CE" w:rsidP="004769CE">
      <w:pPr>
        <w:pStyle w:val="Default"/>
        <w:rPr>
          <w:rFonts w:ascii="Segoe UI" w:hAnsi="Segoe UI" w:cs="Segoe UI"/>
          <w:sz w:val="22"/>
          <w:szCs w:val="22"/>
        </w:rPr>
      </w:pPr>
    </w:p>
    <w:p w14:paraId="6E85FCF9" w14:textId="77777777" w:rsidR="004769CE" w:rsidRPr="00B250AD" w:rsidRDefault="004769CE" w:rsidP="004769CE">
      <w:pPr>
        <w:pStyle w:val="Default"/>
        <w:rPr>
          <w:rFonts w:ascii="Segoe UI" w:hAnsi="Segoe UI" w:cs="Segoe UI"/>
          <w:sz w:val="22"/>
          <w:szCs w:val="22"/>
        </w:rPr>
      </w:pPr>
      <w:r w:rsidRPr="00B250AD">
        <w:rPr>
          <w:rFonts w:ascii="Segoe UI" w:hAnsi="Segoe UI" w:cs="Segoe UI"/>
          <w:sz w:val="22"/>
          <w:szCs w:val="22"/>
        </w:rPr>
        <w:t xml:space="preserve">There are two adjustments to the proposed regulation that we believe would guarantee it achieves its intended impact and protects consumers. </w:t>
      </w:r>
    </w:p>
    <w:p w14:paraId="2546DCA9" w14:textId="77777777" w:rsidR="004769CE" w:rsidRPr="00B250AD" w:rsidRDefault="004769CE" w:rsidP="004769CE">
      <w:pPr>
        <w:pStyle w:val="Default"/>
        <w:rPr>
          <w:rFonts w:ascii="Segoe UI" w:hAnsi="Segoe UI" w:cs="Segoe UI"/>
          <w:sz w:val="22"/>
          <w:szCs w:val="22"/>
        </w:rPr>
      </w:pPr>
    </w:p>
    <w:p w14:paraId="2A8C1125" w14:textId="77777777" w:rsidR="004769CE" w:rsidRPr="00B250AD" w:rsidRDefault="004769CE" w:rsidP="004769CE">
      <w:pPr>
        <w:pStyle w:val="Default"/>
        <w:numPr>
          <w:ilvl w:val="0"/>
          <w:numId w:val="1"/>
        </w:numPr>
        <w:contextualSpacing/>
        <w:rPr>
          <w:rFonts w:ascii="Segoe UI" w:hAnsi="Segoe UI" w:cs="Segoe UI"/>
          <w:b/>
          <w:bCs/>
          <w:sz w:val="22"/>
          <w:szCs w:val="22"/>
        </w:rPr>
      </w:pPr>
      <w:r w:rsidRPr="00B250AD">
        <w:rPr>
          <w:rFonts w:ascii="Segoe UI" w:hAnsi="Segoe UI" w:cs="Segoe UI"/>
          <w:b/>
          <w:bCs/>
          <w:sz w:val="22"/>
          <w:szCs w:val="22"/>
        </w:rPr>
        <w:t>Ensuring a full ban on medical debt credit reporting</w:t>
      </w:r>
    </w:p>
    <w:p w14:paraId="5A7A726F" w14:textId="77777777" w:rsidR="004769CE" w:rsidRPr="00B250AD" w:rsidRDefault="004769CE" w:rsidP="004769CE">
      <w:pPr>
        <w:pStyle w:val="Default"/>
        <w:ind w:left="720"/>
        <w:contextualSpacing/>
        <w:rPr>
          <w:rFonts w:ascii="Segoe UI" w:hAnsi="Segoe UI" w:cs="Segoe UI"/>
          <w:b/>
          <w:bCs/>
          <w:sz w:val="22"/>
          <w:szCs w:val="22"/>
        </w:rPr>
      </w:pPr>
    </w:p>
    <w:p w14:paraId="2684FCCB" w14:textId="0411FC80" w:rsidR="004769CE" w:rsidRPr="00B250AD" w:rsidRDefault="004769CE" w:rsidP="002A276F">
      <w:pPr>
        <w:pStyle w:val="Default"/>
        <w:ind w:left="720"/>
        <w:contextualSpacing/>
        <w:rPr>
          <w:rFonts w:ascii="Segoe UI" w:hAnsi="Segoe UI" w:cs="Segoe UI"/>
          <w:b/>
          <w:bCs/>
          <w:sz w:val="22"/>
          <w:szCs w:val="22"/>
          <w:u w:val="single"/>
        </w:rPr>
      </w:pPr>
      <w:r w:rsidRPr="00B250AD">
        <w:rPr>
          <w:rFonts w:ascii="Segoe UI" w:hAnsi="Segoe UI" w:cs="Segoe UI"/>
          <w:i/>
          <w:iCs/>
          <w:sz w:val="22"/>
          <w:szCs w:val="22"/>
        </w:rPr>
        <w:t>Section 95.04</w:t>
      </w:r>
      <w:r w:rsidRPr="00B250AD">
        <w:rPr>
          <w:rFonts w:ascii="Segoe UI" w:hAnsi="Segoe UI" w:cs="Segoe UI"/>
          <w:sz w:val="22"/>
          <w:szCs w:val="22"/>
        </w:rPr>
        <w:t xml:space="preserve"> – To ensure medical debt is no longer able to impact a person’s credit report and close any loopholes, we recommend that the option for providers to obtain a waiver that would remove the applicability of these requirements be eliminated. Allowing some providers to report medical debts on a consumer credit report would create a </w:t>
      </w:r>
      <w:r w:rsidRPr="00B250AD">
        <w:rPr>
          <w:rFonts w:ascii="Segoe UI" w:hAnsi="Segoe UI" w:cs="Segoe UI"/>
          <w:sz w:val="22"/>
          <w:szCs w:val="22"/>
        </w:rPr>
        <w:lastRenderedPageBreak/>
        <w:t xml:space="preserve">patchwork of credit reporting bans that would be difficult for a consumer to navigate and that would continue to </w:t>
      </w:r>
      <w:proofErr w:type="gramStart"/>
      <w:r w:rsidRPr="00B250AD">
        <w:rPr>
          <w:rFonts w:ascii="Segoe UI" w:hAnsi="Segoe UI" w:cs="Segoe UI"/>
          <w:sz w:val="22"/>
          <w:szCs w:val="22"/>
        </w:rPr>
        <w:t>complex</w:t>
      </w:r>
      <w:proofErr w:type="gramEnd"/>
      <w:r w:rsidRPr="00B250AD">
        <w:rPr>
          <w:rFonts w:ascii="Segoe UI" w:hAnsi="Segoe UI" w:cs="Segoe UI"/>
          <w:sz w:val="22"/>
          <w:szCs w:val="22"/>
        </w:rPr>
        <w:t xml:space="preserve"> landscape of credit reporting that currently exists where some providers do not report and others do. Additionally, thirteen states</w:t>
      </w:r>
      <w:r w:rsidR="00C44D34" w:rsidRPr="00B250AD">
        <w:rPr>
          <w:rFonts w:ascii="Segoe UI" w:hAnsi="Segoe UI" w:cs="Segoe UI"/>
          <w:sz w:val="22"/>
          <w:szCs w:val="22"/>
        </w:rPr>
        <w:t xml:space="preserve"> </w:t>
      </w:r>
      <w:r w:rsidR="002A276F" w:rsidRPr="00B250AD">
        <w:rPr>
          <w:rFonts w:ascii="Segoe UI" w:hAnsi="Segoe UI" w:cs="Segoe UI"/>
          <w:sz w:val="22"/>
          <w:szCs w:val="22"/>
        </w:rPr>
        <w:t xml:space="preserve">and </w:t>
      </w:r>
      <w:r w:rsidR="00C44D34" w:rsidRPr="00B250AD">
        <w:rPr>
          <w:rFonts w:ascii="Segoe UI" w:hAnsi="Segoe UI" w:cs="Segoe UI"/>
          <w:sz w:val="22"/>
          <w:szCs w:val="22"/>
        </w:rPr>
        <w:t>r</w:t>
      </w:r>
      <w:r w:rsidR="00960AD3" w:rsidRPr="00B250AD">
        <w:rPr>
          <w:rFonts w:ascii="Segoe UI" w:hAnsi="Segoe UI" w:cs="Segoe UI"/>
          <w:sz w:val="22"/>
          <w:szCs w:val="22"/>
        </w:rPr>
        <w:t xml:space="preserve">egionally, RI, CT, ME, VT, NY, NJ, and DE </w:t>
      </w:r>
      <w:r w:rsidRPr="00B250AD">
        <w:rPr>
          <w:rFonts w:ascii="Segoe UI" w:hAnsi="Segoe UI" w:cs="Segoe UI"/>
          <w:sz w:val="22"/>
          <w:szCs w:val="22"/>
        </w:rPr>
        <w:t>have passed laws prohibiting providers from reporting medical debt to a credit reporting agency and</w:t>
      </w:r>
      <w:r w:rsidRPr="00B250AD">
        <w:rPr>
          <w:rFonts w:ascii="Segoe UI" w:hAnsi="Segoe UI" w:cs="Segoe UI"/>
          <w:b/>
          <w:bCs/>
          <w:sz w:val="22"/>
          <w:szCs w:val="22"/>
          <w:u w:val="single"/>
        </w:rPr>
        <w:t xml:space="preserve"> none of the</w:t>
      </w:r>
      <w:r w:rsidR="00992DD7" w:rsidRPr="00B250AD">
        <w:rPr>
          <w:rFonts w:ascii="Segoe UI" w:hAnsi="Segoe UI" w:cs="Segoe UI"/>
          <w:b/>
          <w:bCs/>
          <w:sz w:val="22"/>
          <w:szCs w:val="22"/>
          <w:u w:val="single"/>
        </w:rPr>
        <w:t xml:space="preserve"> thirteen </w:t>
      </w:r>
      <w:r w:rsidR="00027564" w:rsidRPr="00B250AD">
        <w:rPr>
          <w:rFonts w:ascii="Segoe UI" w:hAnsi="Segoe UI" w:cs="Segoe UI"/>
          <w:b/>
          <w:bCs/>
          <w:sz w:val="22"/>
          <w:szCs w:val="22"/>
          <w:u w:val="single"/>
        </w:rPr>
        <w:t xml:space="preserve">states </w:t>
      </w:r>
      <w:r w:rsidR="00992DD7" w:rsidRPr="00B250AD">
        <w:rPr>
          <w:rFonts w:ascii="Segoe UI" w:hAnsi="Segoe UI" w:cs="Segoe UI"/>
          <w:b/>
          <w:bCs/>
          <w:sz w:val="22"/>
          <w:szCs w:val="22"/>
          <w:u w:val="single"/>
        </w:rPr>
        <w:t>that ban reporting</w:t>
      </w:r>
      <w:r w:rsidRPr="00B250AD">
        <w:rPr>
          <w:rFonts w:ascii="Segoe UI" w:hAnsi="Segoe UI" w:cs="Segoe UI"/>
          <w:b/>
          <w:bCs/>
          <w:sz w:val="22"/>
          <w:szCs w:val="22"/>
          <w:u w:val="single"/>
        </w:rPr>
        <w:t xml:space="preserve"> have included a waiver option. </w:t>
      </w:r>
      <w:r w:rsidRPr="00B250AD">
        <w:rPr>
          <w:rStyle w:val="FootnoteReference"/>
          <w:rFonts w:ascii="Segoe UI" w:hAnsi="Segoe UI" w:cs="Segoe UI"/>
          <w:b/>
          <w:bCs/>
          <w:sz w:val="22"/>
          <w:szCs w:val="22"/>
          <w:u w:val="single"/>
        </w:rPr>
        <w:footnoteReference w:id="14"/>
      </w:r>
    </w:p>
    <w:p w14:paraId="56E2C3DF" w14:textId="77777777" w:rsidR="004769CE" w:rsidRPr="00B250AD" w:rsidRDefault="004769CE" w:rsidP="004769CE">
      <w:pPr>
        <w:pStyle w:val="Default"/>
        <w:ind w:left="720"/>
        <w:contextualSpacing/>
        <w:rPr>
          <w:rFonts w:ascii="Segoe UI" w:hAnsi="Segoe UI" w:cs="Segoe UI"/>
          <w:sz w:val="22"/>
          <w:szCs w:val="22"/>
        </w:rPr>
      </w:pPr>
    </w:p>
    <w:p w14:paraId="7FA59EE2" w14:textId="05405B46" w:rsidR="0024321C" w:rsidRPr="00B250AD" w:rsidRDefault="004769CE" w:rsidP="00B250AD">
      <w:pPr>
        <w:pStyle w:val="Default"/>
        <w:ind w:left="720"/>
        <w:contextualSpacing/>
        <w:rPr>
          <w:rFonts w:ascii="Segoe UI" w:hAnsi="Segoe UI" w:cs="Segoe UI"/>
          <w:sz w:val="22"/>
          <w:szCs w:val="22"/>
        </w:rPr>
      </w:pPr>
      <w:r w:rsidRPr="00B250AD">
        <w:rPr>
          <w:rFonts w:ascii="Segoe UI" w:hAnsi="Segoe UI" w:cs="Segoe UI"/>
          <w:sz w:val="22"/>
          <w:szCs w:val="22"/>
        </w:rPr>
        <w:t xml:space="preserve">If this section cannot be eliminated, we recommend that the Department propose clear and specific regulations indicating the criteria providers must meet to be approved for a waiver. Providing narrow and specific criteria will ensure that the waiver option does not dilute the effectiveness of the regulations by creating a loophole that most providers are able to utilize. </w:t>
      </w:r>
    </w:p>
    <w:p w14:paraId="7B3B27A7" w14:textId="77777777" w:rsidR="004769CE" w:rsidRPr="00B250AD" w:rsidRDefault="004769CE" w:rsidP="004769CE">
      <w:pPr>
        <w:pStyle w:val="Default"/>
        <w:ind w:left="720"/>
        <w:contextualSpacing/>
        <w:rPr>
          <w:rFonts w:ascii="Segoe UI" w:hAnsi="Segoe UI" w:cs="Segoe UI"/>
          <w:sz w:val="22"/>
          <w:szCs w:val="22"/>
        </w:rPr>
      </w:pPr>
    </w:p>
    <w:p w14:paraId="276D2E6D" w14:textId="77777777" w:rsidR="004769CE" w:rsidRPr="00B250AD" w:rsidRDefault="004769CE" w:rsidP="004769CE">
      <w:pPr>
        <w:pStyle w:val="Default"/>
        <w:numPr>
          <w:ilvl w:val="0"/>
          <w:numId w:val="1"/>
        </w:numPr>
        <w:contextualSpacing/>
        <w:rPr>
          <w:rFonts w:ascii="Segoe UI" w:hAnsi="Segoe UI" w:cs="Segoe UI"/>
          <w:b/>
          <w:bCs/>
          <w:sz w:val="22"/>
          <w:szCs w:val="22"/>
        </w:rPr>
      </w:pPr>
      <w:r w:rsidRPr="00B250AD">
        <w:rPr>
          <w:rFonts w:ascii="Segoe UI" w:hAnsi="Segoe UI" w:cs="Segoe UI"/>
          <w:b/>
          <w:bCs/>
          <w:sz w:val="22"/>
          <w:szCs w:val="22"/>
        </w:rPr>
        <w:t>Define debt collector</w:t>
      </w:r>
    </w:p>
    <w:p w14:paraId="229ACFB6" w14:textId="77777777" w:rsidR="004769CE" w:rsidRPr="00B250AD" w:rsidRDefault="004769CE" w:rsidP="004769CE">
      <w:pPr>
        <w:pStyle w:val="Default"/>
        <w:rPr>
          <w:rFonts w:ascii="Segoe UI" w:hAnsi="Segoe UI" w:cs="Segoe UI"/>
          <w:sz w:val="22"/>
          <w:szCs w:val="22"/>
        </w:rPr>
      </w:pPr>
    </w:p>
    <w:p w14:paraId="281F30DE" w14:textId="77777777" w:rsidR="004769CE" w:rsidRPr="00B250AD" w:rsidRDefault="004769CE" w:rsidP="004769CE">
      <w:pPr>
        <w:pStyle w:val="NormalWeb"/>
        <w:spacing w:after="0" w:line="240" w:lineRule="auto"/>
        <w:ind w:left="720"/>
        <w:textAlignment w:val="baseline"/>
        <w:rPr>
          <w:rFonts w:ascii="Segoe UI" w:eastAsia="Times New Roman" w:hAnsi="Segoe UI" w:cs="Segoe UI"/>
          <w:color w:val="000000"/>
          <w:kern w:val="0"/>
          <w:sz w:val="22"/>
          <w:szCs w:val="22"/>
          <w14:ligatures w14:val="none"/>
        </w:rPr>
      </w:pPr>
      <w:r w:rsidRPr="00B250AD">
        <w:rPr>
          <w:rFonts w:ascii="Segoe UI" w:hAnsi="Segoe UI" w:cs="Segoe UI"/>
          <w:i/>
          <w:iCs/>
          <w:sz w:val="22"/>
          <w:szCs w:val="22"/>
        </w:rPr>
        <w:t xml:space="preserve">Section 95.02 – </w:t>
      </w:r>
      <w:r w:rsidRPr="00B250AD">
        <w:rPr>
          <w:rFonts w:ascii="Segoe UI" w:hAnsi="Segoe UI" w:cs="Segoe UI"/>
          <w:sz w:val="22"/>
          <w:szCs w:val="22"/>
        </w:rPr>
        <w:t>To avoid confusion and ensure consistent application across providers and their contracts with debt collectors, we recommend defining the term “debt collector.”</w:t>
      </w:r>
      <w:r w:rsidRPr="00B250AD">
        <w:rPr>
          <w:rFonts w:ascii="Segoe UI" w:hAnsi="Segoe UI" w:cs="Segoe UI"/>
          <w:i/>
          <w:iCs/>
          <w:sz w:val="22"/>
          <w:szCs w:val="22"/>
        </w:rPr>
        <w:t xml:space="preserve"> </w:t>
      </w:r>
      <w:r w:rsidRPr="00B250AD">
        <w:rPr>
          <w:rFonts w:ascii="Segoe UI" w:eastAsia="Times New Roman" w:hAnsi="Segoe UI" w:cs="Segoe UI"/>
          <w:color w:val="000000"/>
          <w:kern w:val="0"/>
          <w:sz w:val="22"/>
          <w:szCs w:val="22"/>
          <w:bdr w:val="none" w:sz="0" w:space="0" w:color="auto" w:frame="1"/>
          <w14:ligatures w14:val="none"/>
        </w:rPr>
        <w:t xml:space="preserve"> We recommend a modified version of the definition included in MGL c. 93 § 24: </w:t>
      </w:r>
    </w:p>
    <w:p w14:paraId="4FA26D85" w14:textId="77777777" w:rsidR="004769CE" w:rsidRPr="00B250AD" w:rsidRDefault="004769CE" w:rsidP="004769CE">
      <w:pPr>
        <w:spacing w:after="0" w:line="240" w:lineRule="auto"/>
        <w:rPr>
          <w:rFonts w:ascii="Segoe UI" w:eastAsia="Times New Roman" w:hAnsi="Segoe UI" w:cs="Segoe UI"/>
          <w:kern w:val="0"/>
          <w:sz w:val="22"/>
          <w:szCs w:val="22"/>
          <w14:ligatures w14:val="none"/>
        </w:rPr>
      </w:pPr>
      <w:r w:rsidRPr="00B250AD">
        <w:rPr>
          <w:rFonts w:ascii="Segoe UI" w:eastAsia="Times New Roman" w:hAnsi="Segoe UI" w:cs="Segoe UI"/>
          <w:color w:val="242424"/>
          <w:kern w:val="0"/>
          <w:sz w:val="22"/>
          <w:szCs w:val="22"/>
          <w14:ligatures w14:val="none"/>
        </w:rPr>
        <w:br/>
      </w:r>
    </w:p>
    <w:p w14:paraId="25505BFD" w14:textId="77777777" w:rsidR="004769CE" w:rsidRPr="00B250AD" w:rsidRDefault="004769CE" w:rsidP="004769CE">
      <w:pPr>
        <w:shd w:val="clear" w:color="auto" w:fill="FFFFFF"/>
        <w:spacing w:after="0" w:line="240" w:lineRule="auto"/>
        <w:ind w:left="1395" w:right="720"/>
        <w:rPr>
          <w:rFonts w:ascii="Segoe UI" w:eastAsia="Times New Roman" w:hAnsi="Segoe UI" w:cs="Segoe UI"/>
          <w:color w:val="242424"/>
          <w:kern w:val="0"/>
          <w:sz w:val="22"/>
          <w:szCs w:val="22"/>
          <w14:ligatures w14:val="none"/>
        </w:rPr>
      </w:pPr>
      <w:r w:rsidRPr="00B250AD">
        <w:rPr>
          <w:rFonts w:ascii="Segoe UI" w:eastAsia="Times New Roman" w:hAnsi="Segoe UI" w:cs="Segoe UI"/>
          <w:color w:val="000000"/>
          <w:kern w:val="0"/>
          <w:sz w:val="22"/>
          <w:szCs w:val="22"/>
          <w:bdr w:val="none" w:sz="0" w:space="0" w:color="auto" w:frame="1"/>
          <w14:ligatures w14:val="none"/>
        </w:rPr>
        <w:t>“Debt collector”, any person who uses an instrumentality of interstate commerce or the mails in any business the principal purpose of which is the collection of a debt, or who regularly collects or attempts to collect, directly or indirectly, a debt owed or due or asserted to be owed or due another.</w:t>
      </w:r>
    </w:p>
    <w:p w14:paraId="16E5B621" w14:textId="77777777" w:rsidR="004769CE" w:rsidRPr="00B250AD" w:rsidRDefault="004769CE" w:rsidP="004769CE">
      <w:pPr>
        <w:spacing w:after="0" w:line="240" w:lineRule="auto"/>
        <w:rPr>
          <w:rFonts w:ascii="Segoe UI" w:eastAsia="Times New Roman" w:hAnsi="Segoe UI" w:cs="Segoe UI"/>
          <w:kern w:val="0"/>
          <w:sz w:val="22"/>
          <w:szCs w:val="22"/>
          <w14:ligatures w14:val="none"/>
        </w:rPr>
      </w:pPr>
    </w:p>
    <w:p w14:paraId="0588D2D4" w14:textId="77777777" w:rsidR="004769CE" w:rsidRPr="00B250AD" w:rsidRDefault="004769CE" w:rsidP="004769CE">
      <w:pPr>
        <w:shd w:val="clear" w:color="auto" w:fill="FFFFFF"/>
        <w:spacing w:after="0" w:line="240" w:lineRule="auto"/>
        <w:ind w:left="720"/>
        <w:rPr>
          <w:rFonts w:ascii="Segoe UI" w:eastAsia="Times New Roman" w:hAnsi="Segoe UI" w:cs="Segoe UI"/>
          <w:color w:val="242424"/>
          <w:kern w:val="0"/>
          <w:sz w:val="22"/>
          <w:szCs w:val="22"/>
          <w14:ligatures w14:val="none"/>
        </w:rPr>
      </w:pPr>
      <w:r w:rsidRPr="00B250AD">
        <w:rPr>
          <w:rFonts w:ascii="Segoe UI" w:eastAsia="Times New Roman" w:hAnsi="Segoe UI" w:cs="Segoe UI"/>
          <w:color w:val="000000"/>
          <w:kern w:val="0"/>
          <w:sz w:val="22"/>
          <w:szCs w:val="22"/>
          <w:bdr w:val="none" w:sz="0" w:space="0" w:color="auto" w:frame="1"/>
          <w14:ligatures w14:val="none"/>
        </w:rPr>
        <w:t>This modified definition appropriately omits the exclusions contained in M.G.L. c. 93, § 24. We believe those exclusions are unnecessary in this context because the purpose of the regulation is to broadly prohibit entities that collect medical debt from reporting such debt to credit reporting agencies. Accordingly, the definition should include all persons engaged in the collection of medical debt, including attorneys collecting medical debt and entities collecting medical debt that they acquired before default, both of which are excluded under the current statutory definition.</w:t>
      </w:r>
    </w:p>
    <w:p w14:paraId="6D0CC363" w14:textId="77777777" w:rsidR="004769CE" w:rsidRPr="00B250AD" w:rsidRDefault="004769CE" w:rsidP="004769CE">
      <w:pPr>
        <w:pStyle w:val="Default"/>
        <w:ind w:left="720"/>
        <w:contextualSpacing/>
        <w:rPr>
          <w:rFonts w:ascii="Segoe UI" w:hAnsi="Segoe UI" w:cs="Segoe UI"/>
          <w:sz w:val="22"/>
          <w:szCs w:val="22"/>
        </w:rPr>
      </w:pPr>
    </w:p>
    <w:p w14:paraId="2C63ACA2" w14:textId="31CCF56E" w:rsidR="002B65DF" w:rsidRPr="00B250AD" w:rsidRDefault="000573A4" w:rsidP="004769CE">
      <w:pPr>
        <w:pStyle w:val="Default"/>
        <w:rPr>
          <w:rFonts w:ascii="Segoe UI" w:hAnsi="Segoe UI" w:cs="Segoe UI"/>
          <w:sz w:val="22"/>
          <w:szCs w:val="22"/>
        </w:rPr>
      </w:pPr>
      <w:r w:rsidRPr="00B250AD">
        <w:rPr>
          <w:rFonts w:ascii="Segoe UI" w:hAnsi="Segoe UI" w:cs="Segoe UI"/>
          <w:sz w:val="22"/>
          <w:szCs w:val="22"/>
        </w:rPr>
        <w:lastRenderedPageBreak/>
        <w:t xml:space="preserve">This modified definition is more the norm in </w:t>
      </w:r>
      <w:r w:rsidR="00027564" w:rsidRPr="00B250AD">
        <w:rPr>
          <w:rFonts w:ascii="Segoe UI" w:hAnsi="Segoe UI" w:cs="Segoe UI"/>
          <w:sz w:val="22"/>
          <w:szCs w:val="22"/>
        </w:rPr>
        <w:t>the thirteen</w:t>
      </w:r>
      <w:r w:rsidR="00626A56" w:rsidRPr="00B250AD">
        <w:rPr>
          <w:rFonts w:ascii="Segoe UI" w:hAnsi="Segoe UI" w:cs="Segoe UI"/>
          <w:sz w:val="22"/>
          <w:szCs w:val="22"/>
        </w:rPr>
        <w:t xml:space="preserve"> </w:t>
      </w:r>
      <w:r w:rsidRPr="00B250AD">
        <w:rPr>
          <w:rFonts w:ascii="Segoe UI" w:hAnsi="Segoe UI" w:cs="Segoe UI"/>
          <w:sz w:val="22"/>
          <w:szCs w:val="22"/>
        </w:rPr>
        <w:t xml:space="preserve">states that prohibit </w:t>
      </w:r>
      <w:r w:rsidR="002B65DF" w:rsidRPr="00B250AD">
        <w:rPr>
          <w:rFonts w:ascii="Segoe UI" w:hAnsi="Segoe UI" w:cs="Segoe UI"/>
          <w:sz w:val="22"/>
          <w:szCs w:val="22"/>
        </w:rPr>
        <w:t>reporting of medical debt.</w:t>
      </w:r>
    </w:p>
    <w:p w14:paraId="1DB0ABE5" w14:textId="32A98518" w:rsidR="004769CE" w:rsidRPr="00B250AD" w:rsidRDefault="000573A4" w:rsidP="004769CE">
      <w:pPr>
        <w:pStyle w:val="Default"/>
        <w:rPr>
          <w:rFonts w:ascii="Segoe UI" w:hAnsi="Segoe UI" w:cs="Segoe UI"/>
          <w:sz w:val="22"/>
          <w:szCs w:val="22"/>
        </w:rPr>
      </w:pPr>
      <w:r w:rsidRPr="00B250AD">
        <w:rPr>
          <w:rFonts w:ascii="Segoe UI" w:hAnsi="Segoe UI" w:cs="Segoe UI"/>
          <w:sz w:val="22"/>
          <w:szCs w:val="22"/>
        </w:rPr>
        <w:t xml:space="preserve"> </w:t>
      </w:r>
    </w:p>
    <w:p w14:paraId="4CD2FA3C" w14:textId="1B43AD65" w:rsidR="004769CE" w:rsidRPr="00B250AD" w:rsidRDefault="004769CE" w:rsidP="004769CE">
      <w:pPr>
        <w:pStyle w:val="Default"/>
        <w:rPr>
          <w:rFonts w:ascii="Segoe UI" w:hAnsi="Segoe UI" w:cs="Segoe UI"/>
          <w:sz w:val="22"/>
          <w:szCs w:val="22"/>
        </w:rPr>
      </w:pPr>
      <w:r w:rsidRPr="00B250AD">
        <w:rPr>
          <w:rFonts w:ascii="Segoe UI" w:hAnsi="Segoe UI" w:cs="Segoe UI"/>
          <w:sz w:val="22"/>
          <w:szCs w:val="22"/>
        </w:rPr>
        <w:t xml:space="preserve">With these adjustments, the rule would represent a broad and highly impactful protection for people with medical debt and prevent medical debt from causing future financial ruin. </w:t>
      </w:r>
    </w:p>
    <w:p w14:paraId="54D6B5C6" w14:textId="77777777" w:rsidR="004769CE" w:rsidRPr="00B250AD" w:rsidRDefault="004769CE" w:rsidP="004769CE">
      <w:pPr>
        <w:pStyle w:val="Default"/>
        <w:rPr>
          <w:rFonts w:ascii="Segoe UI" w:hAnsi="Segoe UI" w:cs="Segoe UI"/>
          <w:sz w:val="22"/>
          <w:szCs w:val="22"/>
        </w:rPr>
      </w:pPr>
    </w:p>
    <w:p w14:paraId="79BDCA0E" w14:textId="3D3BA6AB" w:rsidR="004769CE" w:rsidRPr="00B250AD" w:rsidRDefault="004769CE" w:rsidP="00C96967">
      <w:pPr>
        <w:pStyle w:val="Default"/>
        <w:rPr>
          <w:rFonts w:ascii="Segoe UI" w:hAnsi="Segoe UI" w:cs="Segoe UI"/>
          <w:sz w:val="22"/>
          <w:szCs w:val="22"/>
        </w:rPr>
      </w:pPr>
      <w:r w:rsidRPr="00B250AD">
        <w:rPr>
          <w:rFonts w:ascii="Segoe UI" w:hAnsi="Segoe UI" w:cs="Segoe UI"/>
          <w:sz w:val="22"/>
          <w:szCs w:val="22"/>
        </w:rPr>
        <w:t>Thank you for the opportunity to provide comments on these important proposed regulations.</w:t>
      </w:r>
    </w:p>
    <w:p w14:paraId="5718AE55" w14:textId="77777777" w:rsidR="00C96967" w:rsidRPr="00B250AD" w:rsidRDefault="00C96967" w:rsidP="00C96967">
      <w:pPr>
        <w:rPr>
          <w:rFonts w:ascii="Segoe UI" w:hAnsi="Segoe UI" w:cs="Segoe UI"/>
          <w:sz w:val="22"/>
          <w:szCs w:val="22"/>
        </w:rPr>
      </w:pPr>
    </w:p>
    <w:p w14:paraId="3911A61A" w14:textId="4B2A4107"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Ernie Davis </w:t>
      </w:r>
      <w:r w:rsidRPr="00B250AD">
        <w:rPr>
          <w:rStyle w:val="eop"/>
          <w:rFonts w:ascii="Segoe UI" w:eastAsiaTheme="majorEastAsia" w:hAnsi="Segoe UI" w:cs="Segoe UI"/>
          <w:sz w:val="22"/>
          <w:szCs w:val="22"/>
        </w:rPr>
        <w:t> </w:t>
      </w:r>
    </w:p>
    <w:p w14:paraId="751DF860" w14:textId="77777777"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Senior Director, Northeast State Government Affairs</w:t>
      </w:r>
      <w:r w:rsidRPr="00B250AD">
        <w:rPr>
          <w:rStyle w:val="eop"/>
          <w:rFonts w:ascii="Segoe UI" w:eastAsiaTheme="majorEastAsia" w:hAnsi="Segoe UI" w:cs="Segoe UI"/>
          <w:sz w:val="22"/>
          <w:szCs w:val="22"/>
        </w:rPr>
        <w:t> </w:t>
      </w:r>
    </w:p>
    <w:p w14:paraId="19CE7F47" w14:textId="56F3F818"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Blood Cancer United</w:t>
      </w:r>
    </w:p>
    <w:p w14:paraId="21F578C6" w14:textId="69C0D78F"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Ernie.Davis@lls.org</w:t>
      </w:r>
    </w:p>
    <w:p w14:paraId="27D27DD5" w14:textId="77777777" w:rsidR="00DB04DD" w:rsidRPr="00B250AD" w:rsidRDefault="00DB04DD" w:rsidP="001F6D4D">
      <w:pPr>
        <w:spacing w:after="0" w:line="288" w:lineRule="auto"/>
        <w:ind w:left="2880"/>
        <w:rPr>
          <w:rFonts w:ascii="Segoe UI" w:hAnsi="Segoe UI" w:cs="Segoe UI"/>
          <w:sz w:val="22"/>
          <w:szCs w:val="22"/>
        </w:rPr>
      </w:pPr>
    </w:p>
    <w:sectPr w:rsidR="00DB04DD" w:rsidRPr="00B250AD" w:rsidSect="001C39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B1BC8" w14:textId="77777777" w:rsidR="00687B56" w:rsidRDefault="00687B56" w:rsidP="0022682E">
      <w:pPr>
        <w:spacing w:after="0" w:line="240" w:lineRule="auto"/>
      </w:pPr>
      <w:r>
        <w:separator/>
      </w:r>
    </w:p>
  </w:endnote>
  <w:endnote w:type="continuationSeparator" w:id="0">
    <w:p w14:paraId="3EFFF67A" w14:textId="77777777" w:rsidR="00687B56" w:rsidRDefault="00687B56" w:rsidP="00226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90D4" w14:textId="77777777" w:rsidR="00A156A9" w:rsidRDefault="00A15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2EF5" w14:textId="77777777" w:rsidR="0022682E" w:rsidRDefault="0022682E" w:rsidP="0022682E">
    <w:pPr>
      <w:pStyle w:val="Footer"/>
      <w:tabs>
        <w:tab w:val="clear" w:pos="4680"/>
        <w:tab w:val="clear" w:pos="9360"/>
        <w:tab w:val="left" w:pos="3331"/>
      </w:tabs>
      <w:ind w:left="-1440"/>
      <w:jc w:val="both"/>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0177" w14:textId="77777777" w:rsidR="001C3943" w:rsidRDefault="001C3943" w:rsidP="001C3943">
    <w:pPr>
      <w:pStyle w:val="Footer"/>
      <w:ind w:hanging="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8DB3" w14:textId="77777777" w:rsidR="00687B56" w:rsidRDefault="00687B56" w:rsidP="0022682E">
      <w:pPr>
        <w:spacing w:after="0" w:line="240" w:lineRule="auto"/>
      </w:pPr>
      <w:r>
        <w:separator/>
      </w:r>
    </w:p>
  </w:footnote>
  <w:footnote w:type="continuationSeparator" w:id="0">
    <w:p w14:paraId="48D1847A" w14:textId="77777777" w:rsidR="00687B56" w:rsidRDefault="00687B56" w:rsidP="0022682E">
      <w:pPr>
        <w:spacing w:after="0" w:line="240" w:lineRule="auto"/>
      </w:pPr>
      <w:r>
        <w:continuationSeparator/>
      </w:r>
    </w:p>
  </w:footnote>
  <w:footnote w:id="1">
    <w:p w14:paraId="305734EF" w14:textId="77777777" w:rsidR="00C96967" w:rsidRDefault="00C96967" w:rsidP="00C96967">
      <w:pPr>
        <w:pStyle w:val="FootnoteText1"/>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Massachusetts HPC. (2025, March). </w:t>
      </w:r>
      <w:r>
        <w:rPr>
          <w:rFonts w:ascii="Times New Roman" w:hAnsi="Times New Roman" w:cs="Times New Roman"/>
          <w:i/>
          <w:iCs/>
        </w:rPr>
        <w:t>Health Care Spending Grew Faster Than Inflation, Labor Costs, and Income, Exacerbating Affordability Challenges for Massachusetts Residents</w:t>
      </w:r>
      <w:r>
        <w:rPr>
          <w:rFonts w:ascii="Times New Roman" w:hAnsi="Times New Roman" w:cs="Times New Roman"/>
        </w:rPr>
        <w:t xml:space="preserve">. </w:t>
      </w:r>
      <w:hyperlink r:id="rId1" w:anchor=":~:text=Massachusetts%20has%20among%20the%20highest,average%20families%20across%20the%20state" w:history="1">
        <w:r>
          <w:rPr>
            <w:rStyle w:val="Hyperlink1"/>
            <w:rFonts w:ascii="Times New Roman" w:hAnsi="Times New Roman" w:cs="Times New Roman"/>
          </w:rPr>
          <w:t>https://masshpc.gov/news/press-release/health-care-spending-grew-faster-inflation-labor-costs-and-income-exacerbating</w:t>
        </w:r>
      </w:hyperlink>
    </w:p>
  </w:footnote>
  <w:footnote w:id="2">
    <w:p w14:paraId="1C968680" w14:textId="77777777" w:rsidR="00C96967" w:rsidRDefault="00C96967" w:rsidP="00C96967">
      <w:pPr>
        <w:pStyle w:val="FootnoteText1"/>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CHIA. (2024, June). </w:t>
      </w:r>
      <w:r>
        <w:rPr>
          <w:rFonts w:ascii="Times New Roman" w:hAnsi="Times New Roman" w:cs="Times New Roman"/>
          <w:i/>
          <w:iCs/>
        </w:rPr>
        <w:t>Findings from the 2023 Massachusetts Health Insurance Survey</w:t>
      </w:r>
      <w:r>
        <w:rPr>
          <w:rFonts w:ascii="Times New Roman" w:hAnsi="Times New Roman" w:cs="Times New Roman"/>
        </w:rPr>
        <w:t xml:space="preserve">. </w:t>
      </w:r>
      <w:hyperlink r:id="rId2" w:history="1">
        <w:r>
          <w:rPr>
            <w:rStyle w:val="Hyperlink1"/>
            <w:rFonts w:ascii="Times New Roman" w:hAnsi="Times New Roman" w:cs="Times New Roman"/>
          </w:rPr>
          <w:t>https://www.chiamass.gov/massachusetts-health-insurance-survey/</w:t>
        </w:r>
      </w:hyperlink>
      <w:r>
        <w:rPr>
          <w:rFonts w:ascii="Times New Roman" w:hAnsi="Times New Roman" w:cs="Times New Roman"/>
        </w:rPr>
        <w:t xml:space="preserve"> </w:t>
      </w:r>
    </w:p>
  </w:footnote>
  <w:footnote w:id="3">
    <w:p w14:paraId="55B28F86" w14:textId="3A011F9B" w:rsidR="00C96967" w:rsidRDefault="00C96967" w:rsidP="00C96967">
      <w:pPr>
        <w:pStyle w:val="FootnoteText1"/>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Urban Institute. (2024, September). </w:t>
      </w:r>
      <w:r>
        <w:rPr>
          <w:rFonts w:ascii="Times New Roman" w:hAnsi="Times New Roman" w:cs="Times New Roman"/>
          <w:i/>
          <w:iCs/>
        </w:rPr>
        <w:t>Debt in America: An Interactive Map.</w:t>
      </w:r>
      <w:r>
        <w:rPr>
          <w:rFonts w:ascii="Times New Roman" w:hAnsi="Times New Roman" w:cs="Times New Roman"/>
        </w:rPr>
        <w:t xml:space="preserve"> </w:t>
      </w:r>
      <w:hyperlink r:id="rId3" w:history="1">
        <w:r w:rsidR="000A4CAF">
          <w:rPr>
            <w:rStyle w:val="Hyperlink1"/>
            <w:rFonts w:ascii="Times New Roman" w:hAnsi="Times New Roman" w:cs="Times New Roman"/>
          </w:rPr>
          <w:t>hyperlink</w:t>
        </w:r>
      </w:hyperlink>
      <w:r>
        <w:rPr>
          <w:rFonts w:ascii="Times New Roman" w:hAnsi="Times New Roman" w:cs="Times New Roman"/>
        </w:rPr>
        <w:t xml:space="preserve"> </w:t>
      </w:r>
    </w:p>
  </w:footnote>
  <w:footnote w:id="4">
    <w:p w14:paraId="3E38FC45"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CHIA. (2025, December). </w:t>
      </w:r>
      <w:r>
        <w:rPr>
          <w:rFonts w:ascii="Times New Roman" w:hAnsi="Times New Roman" w:cs="Times New Roman"/>
          <w:i/>
          <w:iCs/>
        </w:rPr>
        <w:t xml:space="preserve">Findings from the 2025 Massachusetts Health Insurance Survey. </w:t>
      </w:r>
      <w:hyperlink r:id="rId4" w:history="1">
        <w:r>
          <w:rPr>
            <w:rStyle w:val="Hyperlink1"/>
            <w:rFonts w:ascii="Times New Roman" w:hAnsi="Times New Roman" w:cs="Times New Roman"/>
          </w:rPr>
          <w:t>https://www.chiamass.gov/massachusetts-health-insurance-survey/</w:t>
        </w:r>
      </w:hyperlink>
    </w:p>
  </w:footnote>
  <w:footnote w:id="5">
    <w:p w14:paraId="2B32AED2"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The Harvard Gazette. (2025, November). </w:t>
      </w:r>
      <w:r>
        <w:rPr>
          <w:rFonts w:ascii="Times New Roman" w:hAnsi="Times New Roman" w:cs="Times New Roman"/>
          <w:i/>
          <w:iCs/>
        </w:rPr>
        <w:t>Odds of surviving cancer drop drastically when credit score dips.</w:t>
      </w:r>
      <w:r>
        <w:rPr>
          <w:rFonts w:ascii="Times New Roman" w:hAnsi="Times New Roman" w:cs="Times New Roman"/>
        </w:rPr>
        <w:t xml:space="preserve"> https://news.harvard.edu/gazette/story/2025/11/odds-of-surviving-cancer-drop-drastically-when-credit-score-dips/</w:t>
      </w:r>
    </w:p>
  </w:footnote>
  <w:footnote w:id="6">
    <w:p w14:paraId="52697A44"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CHIA. (2025, December). </w:t>
      </w:r>
      <w:r>
        <w:rPr>
          <w:rFonts w:ascii="Times New Roman" w:hAnsi="Times New Roman" w:cs="Times New Roman"/>
          <w:i/>
          <w:iCs/>
        </w:rPr>
        <w:t>Findings from the 2025 Massachusetts Health Insurance Survey</w:t>
      </w:r>
      <w:r>
        <w:rPr>
          <w:rFonts w:ascii="Times New Roman" w:hAnsi="Times New Roman" w:cs="Times New Roman"/>
        </w:rPr>
        <w:t>. https://www.chiamass.gov/massachusetts-health-insurance-survey/</w:t>
      </w:r>
    </w:p>
  </w:footnote>
  <w:footnote w:id="7">
    <w:p w14:paraId="33846396"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ptos" w:hAnsi="Times New Roman" w:cs="Times New Roman"/>
        </w:rPr>
        <w:t xml:space="preserve">Miranda Santillo, et al. Urban Institute. (2022, October). </w:t>
      </w:r>
      <w:r>
        <w:rPr>
          <w:rFonts w:ascii="Times New Roman" w:eastAsia="Aptos" w:hAnsi="Times New Roman" w:cs="Times New Roman"/>
          <w:i/>
          <w:iCs/>
        </w:rPr>
        <w:t>Communities of Color Disproportionally Suffer from Medical Debt.</w:t>
      </w:r>
      <w:r>
        <w:rPr>
          <w:rFonts w:ascii="Times New Roman" w:eastAsia="Aptos" w:hAnsi="Times New Roman" w:cs="Times New Roman"/>
        </w:rPr>
        <w:t xml:space="preserve"> </w:t>
      </w:r>
      <w:hyperlink r:id="rId5" w:anchor=":~:text=Structural%20barriers%20and%20systemic%20racism%20in%20housing%2C,medical%20bills%20and%20pay%20debts%20on%20time.&amp;text=Wage%20garnishments%20that%20stem%20from%20hospital%20lawsuits,as%20food%2C%20housing%2C%20and%20continued%20health%20care" w:history="1">
        <w:r>
          <w:rPr>
            <w:rStyle w:val="Hyperlink"/>
            <w:rFonts w:ascii="Times New Roman" w:eastAsia="Aptos" w:hAnsi="Times New Roman" w:cs="Times New Roman"/>
            <w:color w:val="467886"/>
          </w:rPr>
          <w:t>https://www.urban.org/urban-wire/communities-color-disproportionally-suffer-medical-debt</w:t>
        </w:r>
      </w:hyperlink>
    </w:p>
  </w:footnote>
  <w:footnote w:id="8">
    <w:p w14:paraId="78ED4602" w14:textId="77777777" w:rsidR="00C96967" w:rsidRDefault="00C96967" w:rsidP="00C96967">
      <w:pPr>
        <w:pStyle w:val="FootnoteText"/>
        <w:rPr>
          <w:rFonts w:ascii="Times New Roman" w:eastAsia="Aptos" w:hAnsi="Times New Roman" w:cs="Times New Roman"/>
        </w:rPr>
      </w:pPr>
      <w:r>
        <w:rPr>
          <w:rStyle w:val="FootnoteReference"/>
        </w:rPr>
        <w:footnoteRef/>
      </w:r>
      <w:r>
        <w:t xml:space="preserve"> </w:t>
      </w:r>
      <w:r>
        <w:rPr>
          <w:rFonts w:ascii="Times New Roman" w:eastAsia="Aptos" w:hAnsi="Times New Roman" w:cs="Times New Roman"/>
        </w:rPr>
        <w:t xml:space="preserve">Berneta L. Haynes. National Consumer Law Center. (2022, March). </w:t>
      </w:r>
      <w:r>
        <w:rPr>
          <w:rFonts w:ascii="Times New Roman" w:eastAsia="Aptos" w:hAnsi="Times New Roman" w:cs="Times New Roman"/>
          <w:i/>
          <w:iCs/>
        </w:rPr>
        <w:t xml:space="preserve">The Racial Health and Wealth Gap: Impact of Medical Debt on Black Families. </w:t>
      </w:r>
      <w:hyperlink r:id="rId6" w:history="1">
        <w:r>
          <w:rPr>
            <w:rStyle w:val="Hyperlink"/>
            <w:rFonts w:ascii="Times New Roman" w:eastAsia="Aptos" w:hAnsi="Times New Roman" w:cs="Times New Roman"/>
            <w:color w:val="467886"/>
          </w:rPr>
          <w:t>https://www.nclc.org/wp-content/uploads/2022/09/RacialHealth-Rpt-2022.pdf</w:t>
        </w:r>
      </w:hyperlink>
      <w:r>
        <w:rPr>
          <w:rFonts w:ascii="Times New Roman" w:eastAsia="Aptos" w:hAnsi="Times New Roman" w:cs="Times New Roman"/>
        </w:rPr>
        <w:t xml:space="preserve"> </w:t>
      </w:r>
    </w:p>
  </w:footnote>
  <w:footnote w:id="9">
    <w:p w14:paraId="41A3B6BC" w14:textId="77777777" w:rsidR="00C96967" w:rsidRDefault="00C96967" w:rsidP="00C96967">
      <w:pPr>
        <w:pStyle w:val="FootnoteText"/>
      </w:pPr>
      <w:r>
        <w:rPr>
          <w:rStyle w:val="FootnoteReference"/>
        </w:rPr>
        <w:footnoteRef/>
      </w:r>
      <w:r>
        <w:t xml:space="preserve"> </w:t>
      </w:r>
      <w:r>
        <w:rPr>
          <w:rFonts w:ascii="Times New Roman" w:eastAsia="Aptos" w:hAnsi="Times New Roman" w:cs="Times New Roman"/>
        </w:rPr>
        <w:t xml:space="preserve">Lunna Lopes, Audrey Kearney, Alex Montero, Liz Hamel, and Mollyann Brodie. KFF. (2022, June). </w:t>
      </w:r>
      <w:r>
        <w:rPr>
          <w:rFonts w:ascii="Times New Roman" w:eastAsia="Aptos" w:hAnsi="Times New Roman" w:cs="Times New Roman"/>
          <w:i/>
          <w:iCs/>
        </w:rPr>
        <w:t xml:space="preserve">Health Care Debt In The U.S.: The Broad Consequences Of Medical and Dental Bills. </w:t>
      </w:r>
      <w:hyperlink r:id="rId7" w:history="1">
        <w:r>
          <w:rPr>
            <w:rStyle w:val="Hyperlink"/>
            <w:rFonts w:ascii="Times New Roman" w:eastAsia="Aptos" w:hAnsi="Times New Roman" w:cs="Times New Roman"/>
            <w:color w:val="467886"/>
          </w:rPr>
          <w:t>https://www.kff.org/report-section/kff-health-care-debt-survey-main-findings/</w:t>
        </w:r>
      </w:hyperlink>
    </w:p>
  </w:footnote>
  <w:footnote w:id="10">
    <w:p w14:paraId="40A61573"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AHA. (2023, June). </w:t>
      </w:r>
      <w:r>
        <w:rPr>
          <w:rFonts w:ascii="Times New Roman" w:hAnsi="Times New Roman" w:cs="Times New Roman"/>
          <w:i/>
          <w:iCs/>
        </w:rPr>
        <w:t>Fact Sheet: Medical Debt</w:t>
      </w:r>
      <w:r>
        <w:rPr>
          <w:rFonts w:ascii="Times New Roman" w:hAnsi="Times New Roman" w:cs="Times New Roman"/>
        </w:rPr>
        <w:t>.</w:t>
      </w:r>
      <w:hyperlink r:id="rId8" w:anchor=":~:text=The%20Issue,and%20back%20end%20of%20coverage." w:history="1">
        <w:r w:rsidRPr="000A4CAF">
          <w:rPr>
            <w:rStyle w:val="Hyperlink"/>
            <w:rFonts w:ascii="Times New Roman" w:hAnsi="Times New Roman" w:cs="Times New Roman"/>
            <w:color w:val="134EC5" w:themeColor="accent1" w:themeShade="BF"/>
          </w:rPr>
          <w:t xml:space="preserve"> https://www.aha.org/fact-sheets/2023-06-12-fact-sheet-medical-debt</w:t>
        </w:r>
      </w:hyperlink>
      <w:r>
        <w:rPr>
          <w:rFonts w:ascii="Times New Roman" w:hAnsi="Times New Roman" w:cs="Times New Roman"/>
        </w:rPr>
        <w:t xml:space="preserve"> </w:t>
      </w:r>
    </w:p>
  </w:footnote>
  <w:footnote w:id="11">
    <w:p w14:paraId="3E91BDBC"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CHIA. (2025, December). </w:t>
      </w:r>
      <w:r>
        <w:rPr>
          <w:rFonts w:ascii="Times New Roman" w:hAnsi="Times New Roman" w:cs="Times New Roman"/>
          <w:i/>
          <w:iCs/>
        </w:rPr>
        <w:t>Findings from the 2025 Massachusetts Health Insurance Survey</w:t>
      </w:r>
      <w:r>
        <w:rPr>
          <w:rFonts w:ascii="Times New Roman" w:hAnsi="Times New Roman" w:cs="Times New Roman"/>
        </w:rPr>
        <w:t>. https://www.chiamass.gov/massachusetts-health-insurance-survey/</w:t>
      </w:r>
    </w:p>
  </w:footnote>
  <w:footnote w:id="12">
    <w:p w14:paraId="7828B0C8"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CFPB. (2014, December.) </w:t>
      </w:r>
      <w:r>
        <w:rPr>
          <w:rFonts w:ascii="Times New Roman" w:hAnsi="Times New Roman" w:cs="Times New Roman"/>
          <w:i/>
          <w:iCs/>
        </w:rPr>
        <w:t>Consumer credit reports: A study of medical and non-medical collections.</w:t>
      </w:r>
      <w:r>
        <w:rPr>
          <w:rFonts w:ascii="Times New Roman" w:hAnsi="Times New Roman" w:cs="Times New Roman"/>
        </w:rPr>
        <w:t xml:space="preserve"> </w:t>
      </w:r>
      <w:hyperlink r:id="rId9" w:history="1">
        <w:r w:rsidRPr="000A4CAF">
          <w:rPr>
            <w:rStyle w:val="Hyperlink"/>
            <w:rFonts w:ascii="Times New Roman" w:hAnsi="Times New Roman" w:cs="Times New Roman"/>
            <w:color w:val="134EC5" w:themeColor="accent1" w:themeShade="BF"/>
          </w:rPr>
          <w:t>https://files.consumerfinance.gov/f/201412_cfpb_reports_consumer-credit-medical-and-non-medical-collections.pdf</w:t>
        </w:r>
      </w:hyperlink>
      <w:r>
        <w:t xml:space="preserve"> </w:t>
      </w:r>
    </w:p>
  </w:footnote>
  <w:footnote w:id="13">
    <w:p w14:paraId="4C12E08B"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CFPB. (2014, December.) </w:t>
      </w:r>
      <w:r>
        <w:rPr>
          <w:rFonts w:ascii="Times New Roman" w:hAnsi="Times New Roman" w:cs="Times New Roman"/>
          <w:i/>
          <w:iCs/>
        </w:rPr>
        <w:t>Consumer credit reports: A study of medical and non-medical collections.</w:t>
      </w:r>
      <w:r>
        <w:rPr>
          <w:rFonts w:ascii="Times New Roman" w:hAnsi="Times New Roman" w:cs="Times New Roman"/>
        </w:rPr>
        <w:t xml:space="preserve"> </w:t>
      </w:r>
      <w:hyperlink r:id="rId10" w:history="1">
        <w:r w:rsidRPr="000A4CAF">
          <w:rPr>
            <w:rStyle w:val="Hyperlink"/>
            <w:rFonts w:ascii="Times New Roman" w:hAnsi="Times New Roman" w:cs="Times New Roman"/>
            <w:color w:val="134EC5" w:themeColor="accent1" w:themeShade="BF"/>
          </w:rPr>
          <w:t>https://files.consumerfinance.gov/f/201412_cfpb_reports_consumer-credit-medical-and-non-medical-collections.pdf</w:t>
        </w:r>
      </w:hyperlink>
      <w:r>
        <w:t xml:space="preserve"> </w:t>
      </w:r>
    </w:p>
  </w:footnote>
  <w:footnote w:id="14">
    <w:p w14:paraId="3E89A4A2" w14:textId="77777777" w:rsidR="004769CE" w:rsidRDefault="004769CE" w:rsidP="004769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Consumer Federation of America. (2025, July). Does your state allow medical bills to appear on credit reports? </w:t>
      </w:r>
      <w:hyperlink r:id="rId11" w:history="1">
        <w:r w:rsidRPr="000A4CAF">
          <w:rPr>
            <w:rStyle w:val="Hyperlink"/>
            <w:rFonts w:ascii="Times New Roman" w:hAnsi="Times New Roman" w:cs="Times New Roman"/>
            <w:color w:val="134EC5" w:themeColor="accent1" w:themeShade="BF"/>
          </w:rPr>
          <w:t>https://consumerfed.org/does-your-state-allow-medical-bills-to-appear-on-credit-reports/</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4544" w14:textId="77777777" w:rsidR="00A156A9" w:rsidRDefault="00A15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11DD" w14:textId="77777777" w:rsidR="0022682E" w:rsidRDefault="001C3943" w:rsidP="0022682E">
    <w:pPr>
      <w:pStyle w:val="Header"/>
      <w:ind w:left="-1440"/>
    </w:pPr>
    <w:r>
      <w:rPr>
        <w:noProof/>
      </w:rPr>
      <w:drawing>
        <wp:inline distT="0" distB="0" distL="0" distR="0" wp14:anchorId="52E8F61E" wp14:editId="6D3AAA5C">
          <wp:extent cx="2221992" cy="2092807"/>
          <wp:effectExtent l="0" t="0" r="0" b="0"/>
          <wp:docPr id="1210843117"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43117" name="Picture 3" descr="Logo"/>
                  <pic:cNvPicPr/>
                </pic:nvPicPr>
                <pic:blipFill>
                  <a:blip r:embed="rId1">
                    <a:extLst>
                      <a:ext uri="{28A0092B-C50C-407E-A947-70E740481C1C}">
                        <a14:useLocalDpi xmlns:a14="http://schemas.microsoft.com/office/drawing/2010/main" val="0"/>
                      </a:ext>
                    </a:extLst>
                  </a:blip>
                  <a:stretch>
                    <a:fillRect/>
                  </a:stretch>
                </pic:blipFill>
                <pic:spPr>
                  <a:xfrm>
                    <a:off x="0" y="0"/>
                    <a:ext cx="2221992" cy="209280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5BD0" w14:textId="77777777" w:rsidR="001C3943" w:rsidRDefault="001C3943" w:rsidP="001C3943">
    <w:pPr>
      <w:pStyle w:val="Header"/>
      <w:ind w:left="-1440"/>
    </w:pPr>
    <w:r>
      <w:rPr>
        <w:noProof/>
      </w:rPr>
      <w:drawing>
        <wp:inline distT="0" distB="0" distL="0" distR="0" wp14:anchorId="27829A80" wp14:editId="689F1867">
          <wp:extent cx="2620947" cy="2306434"/>
          <wp:effectExtent l="0" t="0" r="0" b="5080"/>
          <wp:docPr id="537317780"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17780" name="Picture 1" descr="Logo"/>
                  <pic:cNvPicPr/>
                </pic:nvPicPr>
                <pic:blipFill>
                  <a:blip r:embed="rId1">
                    <a:extLst>
                      <a:ext uri="{28A0092B-C50C-407E-A947-70E740481C1C}">
                        <a14:useLocalDpi xmlns:a14="http://schemas.microsoft.com/office/drawing/2010/main" val="0"/>
                      </a:ext>
                    </a:extLst>
                  </a:blip>
                  <a:stretch>
                    <a:fillRect/>
                  </a:stretch>
                </pic:blipFill>
                <pic:spPr>
                  <a:xfrm>
                    <a:off x="0" y="0"/>
                    <a:ext cx="2620947" cy="2306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65B47"/>
    <w:multiLevelType w:val="hybridMultilevel"/>
    <w:tmpl w:val="221CE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95947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ADE"/>
    <w:rsid w:val="00020143"/>
    <w:rsid w:val="00027564"/>
    <w:rsid w:val="0003700E"/>
    <w:rsid w:val="000573A4"/>
    <w:rsid w:val="0009307A"/>
    <w:rsid w:val="000A1A24"/>
    <w:rsid w:val="000A4CAF"/>
    <w:rsid w:val="000A7161"/>
    <w:rsid w:val="000C0E0F"/>
    <w:rsid w:val="000C3D53"/>
    <w:rsid w:val="00101498"/>
    <w:rsid w:val="00103EDC"/>
    <w:rsid w:val="00132A5F"/>
    <w:rsid w:val="00134319"/>
    <w:rsid w:val="00154076"/>
    <w:rsid w:val="00176555"/>
    <w:rsid w:val="001801E5"/>
    <w:rsid w:val="001A1FE8"/>
    <w:rsid w:val="001B1BEE"/>
    <w:rsid w:val="001B35D3"/>
    <w:rsid w:val="001B53D8"/>
    <w:rsid w:val="001C3943"/>
    <w:rsid w:val="001D454D"/>
    <w:rsid w:val="001F50D8"/>
    <w:rsid w:val="001F6D4D"/>
    <w:rsid w:val="002157FD"/>
    <w:rsid w:val="0022682E"/>
    <w:rsid w:val="00230AAE"/>
    <w:rsid w:val="00234FF4"/>
    <w:rsid w:val="0024321C"/>
    <w:rsid w:val="00266BA7"/>
    <w:rsid w:val="002745C3"/>
    <w:rsid w:val="00285895"/>
    <w:rsid w:val="002940C0"/>
    <w:rsid w:val="002A276F"/>
    <w:rsid w:val="002B65DF"/>
    <w:rsid w:val="002E4D20"/>
    <w:rsid w:val="002F60E5"/>
    <w:rsid w:val="00357B56"/>
    <w:rsid w:val="003A5324"/>
    <w:rsid w:val="003B4546"/>
    <w:rsid w:val="003C0DDE"/>
    <w:rsid w:val="0042797C"/>
    <w:rsid w:val="004309EC"/>
    <w:rsid w:val="004769CE"/>
    <w:rsid w:val="0049055E"/>
    <w:rsid w:val="004B33DD"/>
    <w:rsid w:val="004C0B72"/>
    <w:rsid w:val="004D7B1E"/>
    <w:rsid w:val="004E21E0"/>
    <w:rsid w:val="004F25A0"/>
    <w:rsid w:val="004F2F2E"/>
    <w:rsid w:val="0050066C"/>
    <w:rsid w:val="00521EA1"/>
    <w:rsid w:val="00527F69"/>
    <w:rsid w:val="00540230"/>
    <w:rsid w:val="00554D0F"/>
    <w:rsid w:val="005D148A"/>
    <w:rsid w:val="005D28CA"/>
    <w:rsid w:val="00604E15"/>
    <w:rsid w:val="00626A56"/>
    <w:rsid w:val="006348B0"/>
    <w:rsid w:val="006557C4"/>
    <w:rsid w:val="00674ADE"/>
    <w:rsid w:val="0068380E"/>
    <w:rsid w:val="00687B56"/>
    <w:rsid w:val="006B2F59"/>
    <w:rsid w:val="006C2003"/>
    <w:rsid w:val="006D4ABA"/>
    <w:rsid w:val="006F39C3"/>
    <w:rsid w:val="00706D45"/>
    <w:rsid w:val="00711EE6"/>
    <w:rsid w:val="007352E8"/>
    <w:rsid w:val="00775DE2"/>
    <w:rsid w:val="007B00C9"/>
    <w:rsid w:val="00800057"/>
    <w:rsid w:val="008141C9"/>
    <w:rsid w:val="00837868"/>
    <w:rsid w:val="008A1E4C"/>
    <w:rsid w:val="008D6709"/>
    <w:rsid w:val="008D6789"/>
    <w:rsid w:val="00903076"/>
    <w:rsid w:val="009066C1"/>
    <w:rsid w:val="00910180"/>
    <w:rsid w:val="00960AD3"/>
    <w:rsid w:val="00966C4D"/>
    <w:rsid w:val="00974C69"/>
    <w:rsid w:val="00977E5E"/>
    <w:rsid w:val="00992DD7"/>
    <w:rsid w:val="009A3D33"/>
    <w:rsid w:val="009A564B"/>
    <w:rsid w:val="009A7E77"/>
    <w:rsid w:val="009C400B"/>
    <w:rsid w:val="009C4311"/>
    <w:rsid w:val="00A0212B"/>
    <w:rsid w:val="00A156A9"/>
    <w:rsid w:val="00A31752"/>
    <w:rsid w:val="00A447F4"/>
    <w:rsid w:val="00A8387A"/>
    <w:rsid w:val="00AA216A"/>
    <w:rsid w:val="00AE34F4"/>
    <w:rsid w:val="00AF18D6"/>
    <w:rsid w:val="00B14A15"/>
    <w:rsid w:val="00B17761"/>
    <w:rsid w:val="00B250AD"/>
    <w:rsid w:val="00B338EE"/>
    <w:rsid w:val="00B33946"/>
    <w:rsid w:val="00B36711"/>
    <w:rsid w:val="00B37BED"/>
    <w:rsid w:val="00B64E5B"/>
    <w:rsid w:val="00B757B0"/>
    <w:rsid w:val="00BC3749"/>
    <w:rsid w:val="00BE2400"/>
    <w:rsid w:val="00BF7485"/>
    <w:rsid w:val="00C009FF"/>
    <w:rsid w:val="00C07648"/>
    <w:rsid w:val="00C44D34"/>
    <w:rsid w:val="00C46E5D"/>
    <w:rsid w:val="00C51B96"/>
    <w:rsid w:val="00C526C8"/>
    <w:rsid w:val="00C96967"/>
    <w:rsid w:val="00CA7C93"/>
    <w:rsid w:val="00CB4FFC"/>
    <w:rsid w:val="00CC727F"/>
    <w:rsid w:val="00CD5964"/>
    <w:rsid w:val="00CE7B4C"/>
    <w:rsid w:val="00D009CF"/>
    <w:rsid w:val="00D12B5A"/>
    <w:rsid w:val="00D15204"/>
    <w:rsid w:val="00D80B95"/>
    <w:rsid w:val="00D9073C"/>
    <w:rsid w:val="00D97030"/>
    <w:rsid w:val="00DA1A24"/>
    <w:rsid w:val="00DB04DD"/>
    <w:rsid w:val="00DB3094"/>
    <w:rsid w:val="00DB7170"/>
    <w:rsid w:val="00DC49AD"/>
    <w:rsid w:val="00DE58B8"/>
    <w:rsid w:val="00E04E6C"/>
    <w:rsid w:val="00E13F7B"/>
    <w:rsid w:val="00E36A72"/>
    <w:rsid w:val="00E42DDD"/>
    <w:rsid w:val="00EB5D3C"/>
    <w:rsid w:val="00EC1B06"/>
    <w:rsid w:val="00ED1EE0"/>
    <w:rsid w:val="00F0285F"/>
    <w:rsid w:val="00F319D5"/>
    <w:rsid w:val="00F36ADE"/>
    <w:rsid w:val="00F37BD3"/>
    <w:rsid w:val="00F55D3E"/>
    <w:rsid w:val="00F57F26"/>
    <w:rsid w:val="00F674AC"/>
    <w:rsid w:val="00F834C0"/>
    <w:rsid w:val="00F86E5B"/>
    <w:rsid w:val="00FA7132"/>
    <w:rsid w:val="00FC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8A7A6"/>
  <w15:chartTrackingRefBased/>
  <w15:docId w15:val="{141F5F14-0CAB-4FBF-A2B6-32919BC9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82E"/>
    <w:pPr>
      <w:keepNext/>
      <w:keepLines/>
      <w:spacing w:before="360" w:after="80"/>
      <w:outlineLvl w:val="0"/>
    </w:pPr>
    <w:rPr>
      <w:rFonts w:asciiTheme="majorHAnsi" w:eastAsiaTheme="majorEastAsia" w:hAnsiTheme="majorHAnsi" w:cstheme="majorBidi"/>
      <w:color w:val="134EC5" w:themeColor="accent1" w:themeShade="BF"/>
      <w:sz w:val="40"/>
      <w:szCs w:val="40"/>
    </w:rPr>
  </w:style>
  <w:style w:type="paragraph" w:styleId="Heading2">
    <w:name w:val="heading 2"/>
    <w:basedOn w:val="Normal"/>
    <w:next w:val="Normal"/>
    <w:link w:val="Heading2Char"/>
    <w:uiPriority w:val="9"/>
    <w:semiHidden/>
    <w:unhideWhenUsed/>
    <w:qFormat/>
    <w:rsid w:val="0022682E"/>
    <w:pPr>
      <w:keepNext/>
      <w:keepLines/>
      <w:spacing w:before="160" w:after="80"/>
      <w:outlineLvl w:val="1"/>
    </w:pPr>
    <w:rPr>
      <w:rFonts w:asciiTheme="majorHAnsi" w:eastAsiaTheme="majorEastAsia" w:hAnsiTheme="majorHAnsi" w:cstheme="majorBidi"/>
      <w:color w:val="134EC5" w:themeColor="accent1" w:themeShade="BF"/>
      <w:sz w:val="32"/>
      <w:szCs w:val="32"/>
    </w:rPr>
  </w:style>
  <w:style w:type="paragraph" w:styleId="Heading3">
    <w:name w:val="heading 3"/>
    <w:basedOn w:val="Normal"/>
    <w:next w:val="Normal"/>
    <w:link w:val="Heading3Char"/>
    <w:uiPriority w:val="9"/>
    <w:semiHidden/>
    <w:unhideWhenUsed/>
    <w:qFormat/>
    <w:rsid w:val="0022682E"/>
    <w:pPr>
      <w:keepNext/>
      <w:keepLines/>
      <w:spacing w:before="160" w:after="80"/>
      <w:outlineLvl w:val="2"/>
    </w:pPr>
    <w:rPr>
      <w:rFonts w:eastAsiaTheme="majorEastAsia" w:cstheme="majorBidi"/>
      <w:color w:val="134EC5" w:themeColor="accent1" w:themeShade="BF"/>
      <w:sz w:val="28"/>
      <w:szCs w:val="28"/>
    </w:rPr>
  </w:style>
  <w:style w:type="paragraph" w:styleId="Heading4">
    <w:name w:val="heading 4"/>
    <w:basedOn w:val="Normal"/>
    <w:next w:val="Normal"/>
    <w:link w:val="Heading4Char"/>
    <w:uiPriority w:val="9"/>
    <w:semiHidden/>
    <w:unhideWhenUsed/>
    <w:qFormat/>
    <w:rsid w:val="0022682E"/>
    <w:pPr>
      <w:keepNext/>
      <w:keepLines/>
      <w:spacing w:before="80" w:after="40"/>
      <w:outlineLvl w:val="3"/>
    </w:pPr>
    <w:rPr>
      <w:rFonts w:eastAsiaTheme="majorEastAsia" w:cstheme="majorBidi"/>
      <w:i/>
      <w:iCs/>
      <w:color w:val="134EC5" w:themeColor="accent1" w:themeShade="BF"/>
    </w:rPr>
  </w:style>
  <w:style w:type="paragraph" w:styleId="Heading5">
    <w:name w:val="heading 5"/>
    <w:basedOn w:val="Normal"/>
    <w:next w:val="Normal"/>
    <w:link w:val="Heading5Char"/>
    <w:uiPriority w:val="9"/>
    <w:semiHidden/>
    <w:unhideWhenUsed/>
    <w:qFormat/>
    <w:rsid w:val="0022682E"/>
    <w:pPr>
      <w:keepNext/>
      <w:keepLines/>
      <w:spacing w:before="80" w:after="40"/>
      <w:outlineLvl w:val="4"/>
    </w:pPr>
    <w:rPr>
      <w:rFonts w:eastAsiaTheme="majorEastAsia" w:cstheme="majorBidi"/>
      <w:color w:val="134EC5" w:themeColor="accent1" w:themeShade="BF"/>
    </w:rPr>
  </w:style>
  <w:style w:type="paragraph" w:styleId="Heading6">
    <w:name w:val="heading 6"/>
    <w:basedOn w:val="Normal"/>
    <w:next w:val="Normal"/>
    <w:link w:val="Heading6Char"/>
    <w:uiPriority w:val="9"/>
    <w:semiHidden/>
    <w:unhideWhenUsed/>
    <w:qFormat/>
    <w:rsid w:val="00226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82E"/>
    <w:rPr>
      <w:rFonts w:asciiTheme="majorHAnsi" w:eastAsiaTheme="majorEastAsia" w:hAnsiTheme="majorHAnsi" w:cstheme="majorBidi"/>
      <w:color w:val="134EC5" w:themeColor="accent1" w:themeShade="BF"/>
      <w:sz w:val="40"/>
      <w:szCs w:val="40"/>
    </w:rPr>
  </w:style>
  <w:style w:type="character" w:customStyle="1" w:styleId="Heading2Char">
    <w:name w:val="Heading 2 Char"/>
    <w:basedOn w:val="DefaultParagraphFont"/>
    <w:link w:val="Heading2"/>
    <w:uiPriority w:val="9"/>
    <w:semiHidden/>
    <w:rsid w:val="0022682E"/>
    <w:rPr>
      <w:rFonts w:asciiTheme="majorHAnsi" w:eastAsiaTheme="majorEastAsia" w:hAnsiTheme="majorHAnsi" w:cstheme="majorBidi"/>
      <w:color w:val="134EC5" w:themeColor="accent1" w:themeShade="BF"/>
      <w:sz w:val="32"/>
      <w:szCs w:val="32"/>
    </w:rPr>
  </w:style>
  <w:style w:type="character" w:customStyle="1" w:styleId="Heading3Char">
    <w:name w:val="Heading 3 Char"/>
    <w:basedOn w:val="DefaultParagraphFont"/>
    <w:link w:val="Heading3"/>
    <w:uiPriority w:val="9"/>
    <w:semiHidden/>
    <w:rsid w:val="0022682E"/>
    <w:rPr>
      <w:rFonts w:eastAsiaTheme="majorEastAsia" w:cstheme="majorBidi"/>
      <w:color w:val="134EC5" w:themeColor="accent1" w:themeShade="BF"/>
      <w:sz w:val="28"/>
      <w:szCs w:val="28"/>
    </w:rPr>
  </w:style>
  <w:style w:type="character" w:customStyle="1" w:styleId="Heading4Char">
    <w:name w:val="Heading 4 Char"/>
    <w:basedOn w:val="DefaultParagraphFont"/>
    <w:link w:val="Heading4"/>
    <w:uiPriority w:val="9"/>
    <w:semiHidden/>
    <w:rsid w:val="0022682E"/>
    <w:rPr>
      <w:rFonts w:eastAsiaTheme="majorEastAsia" w:cstheme="majorBidi"/>
      <w:i/>
      <w:iCs/>
      <w:color w:val="134EC5" w:themeColor="accent1" w:themeShade="BF"/>
    </w:rPr>
  </w:style>
  <w:style w:type="character" w:customStyle="1" w:styleId="Heading5Char">
    <w:name w:val="Heading 5 Char"/>
    <w:basedOn w:val="DefaultParagraphFont"/>
    <w:link w:val="Heading5"/>
    <w:uiPriority w:val="9"/>
    <w:semiHidden/>
    <w:rsid w:val="0022682E"/>
    <w:rPr>
      <w:rFonts w:eastAsiaTheme="majorEastAsia" w:cstheme="majorBidi"/>
      <w:color w:val="134EC5" w:themeColor="accent1" w:themeShade="BF"/>
    </w:rPr>
  </w:style>
  <w:style w:type="character" w:customStyle="1" w:styleId="Heading6Char">
    <w:name w:val="Heading 6 Char"/>
    <w:basedOn w:val="DefaultParagraphFont"/>
    <w:link w:val="Heading6"/>
    <w:uiPriority w:val="9"/>
    <w:semiHidden/>
    <w:rsid w:val="00226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82E"/>
    <w:rPr>
      <w:rFonts w:eastAsiaTheme="majorEastAsia" w:cstheme="majorBidi"/>
      <w:color w:val="272727" w:themeColor="text1" w:themeTint="D8"/>
    </w:rPr>
  </w:style>
  <w:style w:type="paragraph" w:styleId="Title">
    <w:name w:val="Title"/>
    <w:basedOn w:val="Normal"/>
    <w:next w:val="Normal"/>
    <w:link w:val="TitleChar"/>
    <w:uiPriority w:val="10"/>
    <w:qFormat/>
    <w:rsid w:val="00226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82E"/>
    <w:pPr>
      <w:spacing w:before="160"/>
      <w:jc w:val="center"/>
    </w:pPr>
    <w:rPr>
      <w:i/>
      <w:iCs/>
      <w:color w:val="404040" w:themeColor="text1" w:themeTint="BF"/>
    </w:rPr>
  </w:style>
  <w:style w:type="character" w:customStyle="1" w:styleId="QuoteChar">
    <w:name w:val="Quote Char"/>
    <w:basedOn w:val="DefaultParagraphFont"/>
    <w:link w:val="Quote"/>
    <w:uiPriority w:val="29"/>
    <w:rsid w:val="0022682E"/>
    <w:rPr>
      <w:i/>
      <w:iCs/>
      <w:color w:val="404040" w:themeColor="text1" w:themeTint="BF"/>
    </w:rPr>
  </w:style>
  <w:style w:type="paragraph" w:styleId="ListParagraph">
    <w:name w:val="List Paragraph"/>
    <w:basedOn w:val="Normal"/>
    <w:uiPriority w:val="34"/>
    <w:qFormat/>
    <w:rsid w:val="0022682E"/>
    <w:pPr>
      <w:ind w:left="720"/>
      <w:contextualSpacing/>
    </w:pPr>
  </w:style>
  <w:style w:type="character" w:styleId="IntenseEmphasis">
    <w:name w:val="Intense Emphasis"/>
    <w:basedOn w:val="DefaultParagraphFont"/>
    <w:uiPriority w:val="21"/>
    <w:qFormat/>
    <w:rsid w:val="0022682E"/>
    <w:rPr>
      <w:i/>
      <w:iCs/>
      <w:color w:val="134EC5" w:themeColor="accent1" w:themeShade="BF"/>
    </w:rPr>
  </w:style>
  <w:style w:type="paragraph" w:styleId="IntenseQuote">
    <w:name w:val="Intense Quote"/>
    <w:basedOn w:val="Normal"/>
    <w:next w:val="Normal"/>
    <w:link w:val="IntenseQuoteChar"/>
    <w:uiPriority w:val="30"/>
    <w:qFormat/>
    <w:rsid w:val="0022682E"/>
    <w:pPr>
      <w:pBdr>
        <w:top w:val="single" w:sz="4" w:space="10" w:color="134EC5" w:themeColor="accent1" w:themeShade="BF"/>
        <w:bottom w:val="single" w:sz="4" w:space="10" w:color="134EC5" w:themeColor="accent1" w:themeShade="BF"/>
      </w:pBdr>
      <w:spacing w:before="360" w:after="360"/>
      <w:ind w:left="864" w:right="864"/>
      <w:jc w:val="center"/>
    </w:pPr>
    <w:rPr>
      <w:i/>
      <w:iCs/>
      <w:color w:val="134EC5" w:themeColor="accent1" w:themeShade="BF"/>
    </w:rPr>
  </w:style>
  <w:style w:type="character" w:customStyle="1" w:styleId="IntenseQuoteChar">
    <w:name w:val="Intense Quote Char"/>
    <w:basedOn w:val="DefaultParagraphFont"/>
    <w:link w:val="IntenseQuote"/>
    <w:uiPriority w:val="30"/>
    <w:rsid w:val="0022682E"/>
    <w:rPr>
      <w:i/>
      <w:iCs/>
      <w:color w:val="134EC5" w:themeColor="accent1" w:themeShade="BF"/>
    </w:rPr>
  </w:style>
  <w:style w:type="character" w:styleId="IntenseReference">
    <w:name w:val="Intense Reference"/>
    <w:basedOn w:val="DefaultParagraphFont"/>
    <w:uiPriority w:val="32"/>
    <w:qFormat/>
    <w:rsid w:val="0022682E"/>
    <w:rPr>
      <w:b/>
      <w:bCs/>
      <w:smallCaps/>
      <w:color w:val="134EC5" w:themeColor="accent1" w:themeShade="BF"/>
      <w:spacing w:val="5"/>
    </w:rPr>
  </w:style>
  <w:style w:type="paragraph" w:styleId="Header">
    <w:name w:val="header"/>
    <w:basedOn w:val="Normal"/>
    <w:link w:val="HeaderChar"/>
    <w:uiPriority w:val="99"/>
    <w:unhideWhenUsed/>
    <w:rsid w:val="00226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82E"/>
  </w:style>
  <w:style w:type="paragraph" w:styleId="Footer">
    <w:name w:val="footer"/>
    <w:basedOn w:val="Normal"/>
    <w:link w:val="FooterChar"/>
    <w:uiPriority w:val="99"/>
    <w:unhideWhenUsed/>
    <w:rsid w:val="00226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82E"/>
  </w:style>
  <w:style w:type="character" w:customStyle="1" w:styleId="apple-converted-space">
    <w:name w:val="apple-converted-space"/>
    <w:basedOn w:val="DefaultParagraphFont"/>
    <w:rsid w:val="001F6D4D"/>
  </w:style>
  <w:style w:type="paragraph" w:customStyle="1" w:styleId="paragraph">
    <w:name w:val="paragraph"/>
    <w:basedOn w:val="Normal"/>
    <w:rsid w:val="00F36A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36ADE"/>
  </w:style>
  <w:style w:type="character" w:customStyle="1" w:styleId="eop">
    <w:name w:val="eop"/>
    <w:basedOn w:val="DefaultParagraphFont"/>
    <w:rsid w:val="00F36ADE"/>
  </w:style>
  <w:style w:type="character" w:styleId="Hyperlink">
    <w:name w:val="Hyperlink"/>
    <w:basedOn w:val="DefaultParagraphFont"/>
    <w:uiPriority w:val="99"/>
    <w:semiHidden/>
    <w:unhideWhenUsed/>
    <w:rsid w:val="00C96967"/>
    <w:rPr>
      <w:color w:val="3673E9" w:themeColor="hyperlink"/>
      <w:u w:val="single"/>
    </w:rPr>
  </w:style>
  <w:style w:type="paragraph" w:styleId="FootnoteText">
    <w:name w:val="footnote text"/>
    <w:basedOn w:val="Normal"/>
    <w:link w:val="FootnoteTextChar1"/>
    <w:uiPriority w:val="99"/>
    <w:semiHidden/>
    <w:unhideWhenUsed/>
    <w:rsid w:val="00C96967"/>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C96967"/>
    <w:rPr>
      <w:sz w:val="20"/>
      <w:szCs w:val="20"/>
    </w:rPr>
  </w:style>
  <w:style w:type="paragraph" w:styleId="CommentText">
    <w:name w:val="annotation text"/>
    <w:basedOn w:val="Normal"/>
    <w:link w:val="CommentTextChar"/>
    <w:uiPriority w:val="99"/>
    <w:semiHidden/>
    <w:unhideWhenUsed/>
    <w:rsid w:val="00C96967"/>
    <w:pPr>
      <w:spacing w:line="240" w:lineRule="auto"/>
    </w:pPr>
    <w:rPr>
      <w:sz w:val="20"/>
      <w:szCs w:val="20"/>
    </w:rPr>
  </w:style>
  <w:style w:type="character" w:customStyle="1" w:styleId="CommentTextChar">
    <w:name w:val="Comment Text Char"/>
    <w:basedOn w:val="DefaultParagraphFont"/>
    <w:link w:val="CommentText"/>
    <w:uiPriority w:val="99"/>
    <w:semiHidden/>
    <w:rsid w:val="00C96967"/>
    <w:rPr>
      <w:sz w:val="20"/>
      <w:szCs w:val="20"/>
    </w:rPr>
  </w:style>
  <w:style w:type="paragraph" w:customStyle="1" w:styleId="Default">
    <w:name w:val="Default"/>
    <w:uiPriority w:val="99"/>
    <w:rsid w:val="00C96967"/>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FootnoteText1">
    <w:name w:val="Footnote Text1"/>
    <w:basedOn w:val="Normal"/>
    <w:next w:val="FootnoteText"/>
    <w:link w:val="FootnoteTextChar"/>
    <w:uiPriority w:val="99"/>
    <w:semiHidden/>
    <w:rsid w:val="00C96967"/>
    <w:pPr>
      <w:spacing w:after="0" w:line="240" w:lineRule="auto"/>
    </w:pPr>
    <w:rPr>
      <w:sz w:val="20"/>
      <w:szCs w:val="20"/>
    </w:rPr>
  </w:style>
  <w:style w:type="character" w:styleId="FootnoteReference">
    <w:name w:val="footnote reference"/>
    <w:basedOn w:val="DefaultParagraphFont"/>
    <w:uiPriority w:val="99"/>
    <w:semiHidden/>
    <w:unhideWhenUsed/>
    <w:rsid w:val="00C96967"/>
    <w:rPr>
      <w:vertAlign w:val="superscript"/>
    </w:rPr>
  </w:style>
  <w:style w:type="character" w:styleId="CommentReference">
    <w:name w:val="annotation reference"/>
    <w:basedOn w:val="DefaultParagraphFont"/>
    <w:uiPriority w:val="99"/>
    <w:semiHidden/>
    <w:unhideWhenUsed/>
    <w:rsid w:val="00C96967"/>
    <w:rPr>
      <w:sz w:val="16"/>
      <w:szCs w:val="16"/>
    </w:rPr>
  </w:style>
  <w:style w:type="character" w:customStyle="1" w:styleId="Hyperlink1">
    <w:name w:val="Hyperlink1"/>
    <w:basedOn w:val="DefaultParagraphFont"/>
    <w:uiPriority w:val="99"/>
    <w:rsid w:val="00C96967"/>
    <w:rPr>
      <w:color w:val="467886"/>
      <w:u w:val="single"/>
    </w:rPr>
  </w:style>
  <w:style w:type="character" w:customStyle="1" w:styleId="FootnoteTextChar1">
    <w:name w:val="Footnote Text Char1"/>
    <w:basedOn w:val="DefaultParagraphFont"/>
    <w:link w:val="FootnoteText"/>
    <w:uiPriority w:val="99"/>
    <w:semiHidden/>
    <w:locked/>
    <w:rsid w:val="00C96967"/>
    <w:rPr>
      <w:sz w:val="20"/>
      <w:szCs w:val="20"/>
    </w:rPr>
  </w:style>
  <w:style w:type="paragraph" w:styleId="NormalWeb">
    <w:name w:val="Normal (Web)"/>
    <w:basedOn w:val="Normal"/>
    <w:uiPriority w:val="99"/>
    <w:semiHidden/>
    <w:unhideWhenUsed/>
    <w:rsid w:val="004769CE"/>
    <w:pPr>
      <w:spacing w:line="276"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aha.org/fact-sheets/2023-06-12-fact-sheet-medical-debt" TargetMode="External"/><Relationship Id="rId3" Type="http://schemas.openxmlformats.org/officeDocument/2006/relationships/hyperlink" Target="https://apps.urban.org/features/debt-interactive-map/?type=medical&amp;variable=medcoll&amp;state=25" TargetMode="External"/><Relationship Id="rId7" Type="http://schemas.openxmlformats.org/officeDocument/2006/relationships/hyperlink" Target="https://www.kff.org/report-section/kff-health-care-debt-survey-main-findings/" TargetMode="External"/><Relationship Id="rId2" Type="http://schemas.openxmlformats.org/officeDocument/2006/relationships/hyperlink" Target="https://www.chiamass.gov/massachusetts-health-insurance-survey/" TargetMode="External"/><Relationship Id="rId1" Type="http://schemas.openxmlformats.org/officeDocument/2006/relationships/hyperlink" Target="https://masshpc.gov/news/press-release/health-care-spending-grew-faster-inflation-labor-costs-and-income-exacerbating" TargetMode="External"/><Relationship Id="rId6" Type="http://schemas.openxmlformats.org/officeDocument/2006/relationships/hyperlink" Target="https://www.nclc.org/wp-content/uploads/2022/09/RacialHealth-Rpt-2022.pdf" TargetMode="External"/><Relationship Id="rId11" Type="http://schemas.openxmlformats.org/officeDocument/2006/relationships/hyperlink" Target="https://consumerfed.org/does-your-state-allow-medical-bills-to-appear-on-credit-reports/" TargetMode="External"/><Relationship Id="rId5" Type="http://schemas.openxmlformats.org/officeDocument/2006/relationships/hyperlink" Target="https://www.urban.org/urban-wire/communities-color-disproportionally-suffer-medical-debt" TargetMode="External"/><Relationship Id="rId10" Type="http://schemas.openxmlformats.org/officeDocument/2006/relationships/hyperlink" Target="https://files.consumerfinance.gov/f/201412_cfpb_reports_consumer-credit-medical-and-non-medical-collections.pdf" TargetMode="External"/><Relationship Id="rId4" Type="http://schemas.openxmlformats.org/officeDocument/2006/relationships/hyperlink" Target="https://www.chiamass.gov/massachusetts-health-insurance-survey/" TargetMode="External"/><Relationship Id="rId9" Type="http://schemas.openxmlformats.org/officeDocument/2006/relationships/hyperlink" Target="https://files.consumerfinance.gov/f/201412_cfpb_reports_consumer-credit-medical-and-non-medical-collection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se\OneDrive%20-%20The%20Leukemia%20and%20Lymphoma%20Society\Desktop\BCU%20backgrounds\BCU_Transitional%20Letterhead_NOW_General%20Brand_16024.dotx" TargetMode="External"/></Relationships>
</file>

<file path=word/theme/theme1.xml><?xml version="1.0" encoding="utf-8"?>
<a:theme xmlns:a="http://schemas.openxmlformats.org/drawingml/2006/main" name="Office Theme">
  <a:themeElements>
    <a:clrScheme name="BCU">
      <a:dk1>
        <a:srgbClr val="000000"/>
      </a:dk1>
      <a:lt1>
        <a:srgbClr val="FFFFFF"/>
      </a:lt1>
      <a:dk2>
        <a:srgbClr val="FB0000"/>
      </a:dk2>
      <a:lt2>
        <a:srgbClr val="FF786E"/>
      </a:lt2>
      <a:accent1>
        <a:srgbClr val="3773EB"/>
      </a:accent1>
      <a:accent2>
        <a:srgbClr val="230A7D"/>
      </a:accent2>
      <a:accent3>
        <a:srgbClr val="FFD232"/>
      </a:accent3>
      <a:accent4>
        <a:srgbClr val="FFAA00"/>
      </a:accent4>
      <a:accent5>
        <a:srgbClr val="B1B1B1"/>
      </a:accent5>
      <a:accent6>
        <a:srgbClr val="4F4F4F"/>
      </a:accent6>
      <a:hlink>
        <a:srgbClr val="3673E9"/>
      </a:hlink>
      <a:folHlink>
        <a:srgbClr val="FFFEB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A98DF2C33384CB42A41119423EE35" ma:contentTypeVersion="17" ma:contentTypeDescription="Create a new document." ma:contentTypeScope="" ma:versionID="7db27a76d3d3b76dcaa5efbf1aadd8cf">
  <xsd:schema xmlns:xsd="http://www.w3.org/2001/XMLSchema" xmlns:xs="http://www.w3.org/2001/XMLSchema" xmlns:p="http://schemas.microsoft.com/office/2006/metadata/properties" xmlns:ns2="8d8161c3-f0ac-4995-838f-6a69ab4e7c6c" xmlns:ns3="38cff860-79b2-46fe-8cf4-b04f0cd34b63" targetNamespace="http://schemas.microsoft.com/office/2006/metadata/properties" ma:root="true" ma:fieldsID="7233f097a8f9aec6d88314116cd4708c" ns2:_="" ns3:_="">
    <xsd:import namespace="8d8161c3-f0ac-4995-838f-6a69ab4e7c6c"/>
    <xsd:import namespace="38cff860-79b2-46fe-8cf4-b04f0cd34b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161c3-f0ac-4995-838f-6a69ab4e7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ff860-79b2-46fe-8cf4-b04f0cd34b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46ee5-b3e8-4acc-bc31-470b7dcac5ff}" ma:internalName="TaxCatchAll" ma:showField="CatchAllData" ma:web="38cff860-79b2-46fe-8cf4-b04f0cd34b6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cff860-79b2-46fe-8cf4-b04f0cd34b63" xsi:nil="true"/>
    <lcf76f155ced4ddcb4097134ff3c332f xmlns="8d8161c3-f0ac-4995-838f-6a69ab4e7c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C4841-DEF6-4F79-8D1B-56C3CA5FC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161c3-f0ac-4995-838f-6a69ab4e7c6c"/>
    <ds:schemaRef ds:uri="38cff860-79b2-46fe-8cf4-b04f0cd34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D4EEA-D617-4D56-B038-4E189CE0634B}">
  <ds:schemaRefs>
    <ds:schemaRef ds:uri="http://schemas.microsoft.com/sharepoint/v3/contenttype/forms"/>
  </ds:schemaRefs>
</ds:datastoreItem>
</file>

<file path=customXml/itemProps3.xml><?xml version="1.0" encoding="utf-8"?>
<ds:datastoreItem xmlns:ds="http://schemas.openxmlformats.org/officeDocument/2006/customXml" ds:itemID="{01F05600-24E7-4D18-BB53-EA828546D95D}">
  <ds:schemaRefs>
    <ds:schemaRef ds:uri="http://schemas.microsoft.com/office/2006/metadata/properties"/>
    <ds:schemaRef ds:uri="http://schemas.microsoft.com/office/infopath/2007/PartnerControls"/>
    <ds:schemaRef ds:uri="38cff860-79b2-46fe-8cf4-b04f0cd34b63"/>
    <ds:schemaRef ds:uri="8d8161c3-f0ac-4995-838f-6a69ab4e7c6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c35cb656-5c6b-4090-9e19-d635746242e4}" enabled="0" method="" siteId="{c35cb656-5c6b-4090-9e19-d635746242e4}" removed="1"/>
</clbl:labelList>
</file>

<file path=docProps/app.xml><?xml version="1.0" encoding="utf-8"?>
<Properties xmlns="http://schemas.openxmlformats.org/officeDocument/2006/extended-properties" xmlns:vt="http://schemas.openxmlformats.org/officeDocument/2006/docPropsVTypes">
  <Template>BCU_Transitional Letterhead_NOW_General Brand_16024</Template>
  <TotalTime>6</TotalTime>
  <Pages>5</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Ernie (National Office)</dc:creator>
  <cp:keywords/>
  <dc:description/>
  <cp:lastModifiedBy>Anderson, William (DPH)</cp:lastModifiedBy>
  <cp:revision>5</cp:revision>
  <cp:lastPrinted>2026-03-02T23:21:00Z</cp:lastPrinted>
  <dcterms:created xsi:type="dcterms:W3CDTF">2026-07-27T17:51:00Z</dcterms:created>
  <dcterms:modified xsi:type="dcterms:W3CDTF">2026-08-03T13:57:00Z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0x010100E26A98DF2C33384CB42A41119423EE35</vt:lpwstr>
  </property>
  <property fmtid="{D5CDD505-2E9C-101B-9397-08002B2CF9AE}" pid="3" name="GrammarlyDocumentId">
    <vt:lpwstr>5837b054-66db-41f1-b1d2-72b169b39fcd</vt:lpwstr>
  </property>
</Properties>
</file>