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31F9" w14:textId="77777777" w:rsidR="009654D7" w:rsidRDefault="00E1159A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>
        <w:rPr>
          <w:rFonts w:cs="Times New Roman"/>
          <w:b/>
          <w:smallCaps/>
          <w:sz w:val="28"/>
          <w:szCs w:val="28"/>
        </w:rPr>
        <w:t xml:space="preserve">Attachment </w:t>
      </w:r>
      <w:r w:rsidR="008C1D78">
        <w:rPr>
          <w:rFonts w:cs="Times New Roman"/>
          <w:b/>
          <w:smallCaps/>
          <w:sz w:val="28"/>
          <w:szCs w:val="28"/>
        </w:rPr>
        <w:t>APR</w:t>
      </w:r>
    </w:p>
    <w:p w14:paraId="0A970E74" w14:textId="77777777" w:rsidR="00595BD4" w:rsidRDefault="00595BD4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</w:p>
    <w:p w14:paraId="60122851" w14:textId="77777777" w:rsidR="009654D7" w:rsidRPr="00915703" w:rsidRDefault="009654D7" w:rsidP="00EA42C3">
      <w:pPr>
        <w:spacing w:after="120"/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>Delivery System Reform Incentive Payment (DSRIP) Program</w:t>
      </w:r>
    </w:p>
    <w:p w14:paraId="33A1A3C3" w14:textId="77777777" w:rsidR="009654D7" w:rsidRDefault="009654D7" w:rsidP="00EA42C3">
      <w:pPr>
        <w:contextualSpacing/>
        <w:jc w:val="center"/>
        <w:rPr>
          <w:rFonts w:cs="Times New Roman"/>
          <w:b/>
          <w:smallCaps/>
          <w:sz w:val="28"/>
          <w:szCs w:val="28"/>
        </w:rPr>
      </w:pPr>
      <w:r w:rsidRPr="00915703">
        <w:rPr>
          <w:rFonts w:cs="Times New Roman"/>
          <w:b/>
          <w:smallCaps/>
          <w:sz w:val="28"/>
          <w:szCs w:val="28"/>
        </w:rPr>
        <w:t xml:space="preserve">Accountable Care Organization (ACO) </w:t>
      </w:r>
      <w:r w:rsidR="00E1159A">
        <w:rPr>
          <w:rFonts w:cs="Times New Roman"/>
          <w:b/>
          <w:smallCaps/>
          <w:sz w:val="28"/>
          <w:szCs w:val="28"/>
        </w:rPr>
        <w:t>PY</w:t>
      </w:r>
      <w:r w:rsidR="008C1D78">
        <w:rPr>
          <w:rFonts w:cs="Times New Roman"/>
          <w:b/>
          <w:smallCaps/>
          <w:sz w:val="28"/>
          <w:szCs w:val="28"/>
        </w:rPr>
        <w:t>1</w:t>
      </w:r>
      <w:r w:rsidR="00E1159A">
        <w:rPr>
          <w:rFonts w:cs="Times New Roman"/>
          <w:b/>
          <w:smallCaps/>
          <w:sz w:val="28"/>
          <w:szCs w:val="28"/>
        </w:rPr>
        <w:t xml:space="preserve"> </w:t>
      </w:r>
      <w:r w:rsidR="008C1D78">
        <w:rPr>
          <w:rFonts w:cs="Times New Roman"/>
          <w:b/>
          <w:smallCaps/>
          <w:sz w:val="28"/>
          <w:szCs w:val="28"/>
        </w:rPr>
        <w:t xml:space="preserve">Annual </w:t>
      </w:r>
      <w:r w:rsidR="00E1159A">
        <w:rPr>
          <w:rFonts w:cs="Times New Roman"/>
          <w:b/>
          <w:smallCaps/>
          <w:sz w:val="28"/>
          <w:szCs w:val="28"/>
        </w:rPr>
        <w:t>Progress Report Response Form</w:t>
      </w:r>
    </w:p>
    <w:p w14:paraId="5B143EBD" w14:textId="20553452" w:rsidR="00595BD4" w:rsidRDefault="00595BD4" w:rsidP="00824849">
      <w:pPr>
        <w:contextualSpacing/>
        <w:rPr>
          <w:rFonts w:cs="Times New Roman"/>
          <w:bCs/>
          <w:smallCaps/>
          <w:sz w:val="28"/>
          <w:szCs w:val="28"/>
        </w:rPr>
      </w:pPr>
    </w:p>
    <w:p w14:paraId="411C4731" w14:textId="77777777" w:rsidR="00824849" w:rsidRPr="00D328CE" w:rsidRDefault="00824849" w:rsidP="00824849">
      <w:pPr>
        <w:pStyle w:val="Heading1"/>
        <w:numPr>
          <w:ilvl w:val="0"/>
          <w:numId w:val="0"/>
        </w:numPr>
        <w:ind w:left="360" w:hanging="360"/>
      </w:pPr>
      <w:r>
        <w:t>General Information</w:t>
      </w:r>
    </w:p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3400"/>
        <w:gridCol w:w="6160"/>
      </w:tblGrid>
      <w:tr w:rsidR="00824849" w:rsidRPr="00D328CE" w14:paraId="16F64F1C" w14:textId="77777777" w:rsidTr="00144A2D">
        <w:trPr>
          <w:trHeight w:val="375"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4E3F8E4" w14:textId="77777777" w:rsidR="00824849" w:rsidRPr="00D328CE" w:rsidRDefault="00824849" w:rsidP="00144A2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 w:rsidRPr="00D328CE">
              <w:rPr>
                <w:rFonts w:eastAsia="Times New Roman" w:cs="Times New Roman"/>
                <w:b/>
                <w:bCs/>
                <w:color w:val="000000"/>
              </w:rPr>
              <w:t>Full ACO Name:</w:t>
            </w:r>
          </w:p>
        </w:tc>
        <w:tc>
          <w:tcPr>
            <w:tcW w:w="6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8D037B7" w14:textId="77777777" w:rsidR="00824849" w:rsidRPr="00D328CE" w:rsidRDefault="00824849" w:rsidP="00144A2D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E76CAB">
              <w:rPr>
                <w:color w:val="313131"/>
              </w:rPr>
              <w:t>Mercy Health Accountable Care Organization</w:t>
            </w:r>
            <w:r w:rsidRPr="009D4FC2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824849" w:rsidRPr="00D328CE" w14:paraId="39743784" w14:textId="77777777" w:rsidTr="00144A2D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45A0AB" w14:textId="77777777" w:rsidR="00824849" w:rsidRPr="00D328CE" w:rsidRDefault="00824849" w:rsidP="00144A2D">
            <w:pPr>
              <w:spacing w:line="240" w:lineRule="auto"/>
              <w:contextualSpacing/>
              <w:rPr>
                <w:rFonts w:eastAsia="Times New Roman" w:cs="Times New Roman"/>
                <w:b/>
                <w:bCs/>
                <w:color w:val="000000"/>
              </w:rPr>
            </w:pPr>
            <w:r w:rsidRPr="00D328CE">
              <w:rPr>
                <w:rFonts w:eastAsia="Times New Roman" w:cs="Times New Roman"/>
                <w:b/>
                <w:bCs/>
                <w:color w:val="000000"/>
              </w:rPr>
              <w:t>ACO Address:</w:t>
            </w:r>
          </w:p>
        </w:tc>
        <w:tc>
          <w:tcPr>
            <w:tcW w:w="6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4317C24" w14:textId="77777777" w:rsidR="00824849" w:rsidRPr="00D328CE" w:rsidRDefault="00824849" w:rsidP="00144A2D">
            <w:pPr>
              <w:spacing w:line="240" w:lineRule="auto"/>
              <w:contextualSpacing/>
              <w:rPr>
                <w:rFonts w:eastAsia="Times New Roman" w:cs="Times New Roman"/>
              </w:rPr>
            </w:pPr>
            <w:r w:rsidRPr="009D4FC2">
              <w:rPr>
                <w:rFonts w:eastAsia="Times New Roman" w:cs="Times New Roman"/>
                <w:color w:val="000000"/>
              </w:rPr>
              <w:t> </w:t>
            </w:r>
            <w:r w:rsidRPr="00E76CAB">
              <w:rPr>
                <w:color w:val="313131"/>
              </w:rPr>
              <w:t>271 Carew Street</w:t>
            </w:r>
            <w:r w:rsidRPr="00E76CAB">
              <w:rPr>
                <w:rFonts w:ascii="MS Mincho" w:eastAsia="MS Mincho" w:hAnsi="MS Mincho" w:cs="MS Mincho" w:hint="eastAsia"/>
                <w:color w:val="313131"/>
              </w:rPr>
              <w:t> </w:t>
            </w:r>
            <w:r w:rsidRPr="00E76CAB">
              <w:rPr>
                <w:color w:val="313131"/>
              </w:rPr>
              <w:t>Springfield, MA 01104</w:t>
            </w:r>
          </w:p>
        </w:tc>
      </w:tr>
    </w:tbl>
    <w:p w14:paraId="69AD4767" w14:textId="1D25C1E0" w:rsidR="009654D7" w:rsidRPr="00662194" w:rsidRDefault="00D204A7" w:rsidP="00662194">
      <w:pPr>
        <w:pStyle w:val="Heading1"/>
      </w:pPr>
      <w:r>
        <w:t>PY</w:t>
      </w:r>
      <w:r w:rsidR="008C1D78">
        <w:t>1</w:t>
      </w:r>
      <w:r>
        <w:t xml:space="preserve"> Progress Report Executive Summary</w:t>
      </w:r>
    </w:p>
    <w:p w14:paraId="0A2EB12C" w14:textId="77777777" w:rsidR="009654D7" w:rsidRPr="00A2601B" w:rsidRDefault="009654D7" w:rsidP="00EA42C3">
      <w:pPr>
        <w:contextualSpacing/>
        <w:rPr>
          <w:rFonts w:cs="Times New Roman"/>
          <w:b/>
          <w:i/>
        </w:rPr>
      </w:pPr>
    </w:p>
    <w:p w14:paraId="3C4FA679" w14:textId="77777777" w:rsidR="009654D7" w:rsidRDefault="00595BD4" w:rsidP="007C2F88">
      <w:pPr>
        <w:pStyle w:val="Heading2"/>
        <w:spacing w:after="0"/>
      </w:pPr>
      <w:r>
        <w:t xml:space="preserve"> </w:t>
      </w:r>
      <w:r w:rsidR="00C14C85">
        <w:t xml:space="preserve">ACO Goals from </w:t>
      </w:r>
      <w:r w:rsidR="003A582B">
        <w:t xml:space="preserve">its </w:t>
      </w:r>
      <w:r w:rsidR="008C1D78">
        <w:t>Full</w:t>
      </w:r>
      <w:r w:rsidR="00C14C85">
        <w:t xml:space="preserve"> </w:t>
      </w:r>
      <w:r w:rsidR="00461D55">
        <w:t>Participation Plan</w:t>
      </w:r>
    </w:p>
    <w:p w14:paraId="56B2405B" w14:textId="77777777" w:rsidR="004C741A" w:rsidRDefault="004C741A" w:rsidP="004C741A"/>
    <w:p w14:paraId="0F5BB914" w14:textId="77777777" w:rsidR="00796875" w:rsidRPr="00796875" w:rsidRDefault="00796875" w:rsidP="00796875">
      <w:pPr>
        <w:rPr>
          <w:b/>
        </w:rPr>
      </w:pPr>
      <w:r w:rsidRPr="00796875">
        <w:rPr>
          <w:b/>
        </w:rPr>
        <w:t>Cost and Utilization Management:</w:t>
      </w:r>
    </w:p>
    <w:p w14:paraId="4CD7FBD2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 xml:space="preserve">Develop a Primary Care Based Complex Care Management (CCM) Program that targets high utilizer members (top 3%) in order to decrease costs.   </w:t>
      </w:r>
    </w:p>
    <w:p w14:paraId="14E4930A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>Develop an Emergency Department (ED) Care Management Program to reduce avoidable ED visits and admissions and lower costs.</w:t>
      </w:r>
    </w:p>
    <w:p w14:paraId="1FE9A1C1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 xml:space="preserve"> Develop a Transitions of Care Program to improve transitions after acute hospitalization.    </w:t>
      </w:r>
    </w:p>
    <w:p w14:paraId="60EF28A7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>Create a Specialty Pharmacy Program in order to support CCM, Transitions of Care, and ED CM Programs; conduct medication reconciliation and improve medication management in order to improve health outcomes.</w:t>
      </w:r>
    </w:p>
    <w:p w14:paraId="51F769B4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 xml:space="preserve"> Improve data and analytics capabilities to deliver actionable information that drives interventions influencing quality outcomes and TCOC.</w:t>
      </w:r>
    </w:p>
    <w:p w14:paraId="1B9F12D5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 xml:space="preserve">Ensure reliable EHR system across ACO in order to improve quality outcomes and lower TCOC. </w:t>
      </w:r>
    </w:p>
    <w:p w14:paraId="40A23332" w14:textId="77777777" w:rsidR="00796875" w:rsidRDefault="00796875" w:rsidP="00796875">
      <w:pPr>
        <w:pStyle w:val="ListParagraph"/>
        <w:numPr>
          <w:ilvl w:val="0"/>
          <w:numId w:val="24"/>
        </w:numPr>
      </w:pPr>
      <w:r>
        <w:t>Creation of dedicated hospitalist program for ACO members in order to improve health outcomes.</w:t>
      </w:r>
    </w:p>
    <w:p w14:paraId="2992D963" w14:textId="77777777" w:rsidR="00796875" w:rsidRPr="00796875" w:rsidRDefault="00796875" w:rsidP="00796875">
      <w:pPr>
        <w:rPr>
          <w:b/>
        </w:rPr>
      </w:pPr>
      <w:r w:rsidRPr="00796875">
        <w:rPr>
          <w:b/>
        </w:rPr>
        <w:t xml:space="preserve">Integration of Physical Health, BH, LTSS, and Health Related Social Services                                 </w:t>
      </w:r>
    </w:p>
    <w:p w14:paraId="13F183FB" w14:textId="77777777" w:rsidR="00796875" w:rsidRDefault="00796875" w:rsidP="006C7A86">
      <w:pPr>
        <w:pStyle w:val="ListParagraph"/>
        <w:numPr>
          <w:ilvl w:val="0"/>
          <w:numId w:val="24"/>
        </w:numPr>
      </w:pPr>
      <w:r>
        <w:t>Incorporate BH providers into primary care practices to expand services and close gap between physical health services</w:t>
      </w:r>
    </w:p>
    <w:p w14:paraId="3360E0C4" w14:textId="77777777" w:rsidR="00796875" w:rsidRDefault="00796875" w:rsidP="006C7A86">
      <w:pPr>
        <w:pStyle w:val="ListParagraph"/>
        <w:numPr>
          <w:ilvl w:val="0"/>
          <w:numId w:val="24"/>
        </w:numPr>
      </w:pPr>
      <w:r>
        <w:t>Develop in-person resources and online portal linking members with local social services in order to improve health outcomes.</w:t>
      </w:r>
    </w:p>
    <w:p w14:paraId="269B9BF7" w14:textId="77777777" w:rsidR="00796875" w:rsidRDefault="00796875" w:rsidP="006C7A86">
      <w:pPr>
        <w:pStyle w:val="ListParagraph"/>
        <w:numPr>
          <w:ilvl w:val="0"/>
          <w:numId w:val="24"/>
        </w:numPr>
      </w:pPr>
      <w:r>
        <w:t>Provide digital visits (tele-health) for patients with SMI/SUD in order to improve health outcomes and lower costs.</w:t>
      </w:r>
    </w:p>
    <w:p w14:paraId="3ABB27A0" w14:textId="77777777" w:rsidR="00796875" w:rsidRDefault="00796875" w:rsidP="006C7A86">
      <w:pPr>
        <w:pStyle w:val="ListParagraph"/>
        <w:numPr>
          <w:ilvl w:val="0"/>
          <w:numId w:val="24"/>
        </w:numPr>
      </w:pPr>
      <w:r>
        <w:t>Create an inpatient addiction consult service in order to coordinate care for patients admitted as a result of SUD and improve quality outcomes.</w:t>
      </w:r>
    </w:p>
    <w:p w14:paraId="38EBF73F" w14:textId="77777777" w:rsidR="00796875" w:rsidRDefault="00796875" w:rsidP="00796875">
      <w:pPr>
        <w:rPr>
          <w:b/>
        </w:rPr>
      </w:pPr>
      <w:r>
        <w:rPr>
          <w:b/>
        </w:rPr>
        <w:lastRenderedPageBreak/>
        <w:t xml:space="preserve">Member Engagement </w:t>
      </w:r>
    </w:p>
    <w:p w14:paraId="4F7908B9" w14:textId="77777777" w:rsidR="00796875" w:rsidRPr="00796875" w:rsidRDefault="00796875" w:rsidP="006C7A86">
      <w:pPr>
        <w:pStyle w:val="ListParagraph"/>
        <w:numPr>
          <w:ilvl w:val="0"/>
          <w:numId w:val="24"/>
        </w:numPr>
        <w:rPr>
          <w:b/>
        </w:rPr>
      </w:pPr>
      <w:r>
        <w:t>Create Disease Management and Education Program in order to improve patient engagement and improve health outcomes.</w:t>
      </w:r>
    </w:p>
    <w:p w14:paraId="71507D11" w14:textId="77777777" w:rsidR="00796875" w:rsidRDefault="00796875" w:rsidP="00796875">
      <w:pPr>
        <w:rPr>
          <w:b/>
        </w:rPr>
      </w:pPr>
      <w:r w:rsidRPr="00796875">
        <w:rPr>
          <w:b/>
        </w:rPr>
        <w:t>Quality</w:t>
      </w:r>
    </w:p>
    <w:p w14:paraId="37DAE98A" w14:textId="77777777" w:rsidR="00796875" w:rsidRPr="00796875" w:rsidRDefault="00796875" w:rsidP="006C7A86">
      <w:pPr>
        <w:pStyle w:val="ListParagraph"/>
        <w:numPr>
          <w:ilvl w:val="0"/>
          <w:numId w:val="24"/>
        </w:numPr>
        <w:rPr>
          <w:b/>
        </w:rPr>
      </w:pPr>
      <w:r>
        <w:t>Develop a Quality Improvement Program to enhance overall quality performance and the 39 MassHealth ACO quality metrics.</w:t>
      </w:r>
    </w:p>
    <w:p w14:paraId="643E306B" w14:textId="77777777" w:rsidR="00796875" w:rsidRPr="00796875" w:rsidRDefault="00796875" w:rsidP="00796875">
      <w:pPr>
        <w:rPr>
          <w:b/>
        </w:rPr>
      </w:pPr>
      <w:r w:rsidRPr="00796875">
        <w:rPr>
          <w:b/>
        </w:rPr>
        <w:t>Other</w:t>
      </w:r>
    </w:p>
    <w:p w14:paraId="40D4582E" w14:textId="77777777" w:rsidR="00796875" w:rsidRDefault="00796875" w:rsidP="006C7A86">
      <w:pPr>
        <w:pStyle w:val="ListParagraph"/>
        <w:numPr>
          <w:ilvl w:val="0"/>
          <w:numId w:val="24"/>
        </w:numPr>
      </w:pPr>
      <w:r>
        <w:t>Create an ACO program management structure in order to provide contract oversight, compliance, performance feedback, coaching and support in meeting TCOC and quality goals.</w:t>
      </w:r>
    </w:p>
    <w:p w14:paraId="2D47B85A" w14:textId="77777777" w:rsidR="004C741A" w:rsidRPr="004C741A" w:rsidRDefault="004C741A" w:rsidP="004C741A"/>
    <w:p w14:paraId="33780DCB" w14:textId="77777777" w:rsidR="009654D7" w:rsidRDefault="00C14C85" w:rsidP="00C14C85">
      <w:pPr>
        <w:pStyle w:val="Heading2"/>
      </w:pPr>
      <w:r>
        <w:t>PY</w:t>
      </w:r>
      <w:r w:rsidR="008C1D78">
        <w:t>1</w:t>
      </w:r>
      <w:r>
        <w:t xml:space="preserve"> Investments </w:t>
      </w:r>
      <w:r w:rsidR="003A582B">
        <w:t>Overview</w:t>
      </w:r>
      <w:r w:rsidR="002C271C">
        <w:t xml:space="preserve"> and Progress </w:t>
      </w:r>
      <w:r w:rsidR="00226D41">
        <w:t>toward</w:t>
      </w:r>
      <w:r w:rsidR="002C271C">
        <w:t xml:space="preserve">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2439"/>
        <w:gridCol w:w="3551"/>
      </w:tblGrid>
      <w:tr w:rsidR="006C1934" w:rsidRPr="0010533C" w14:paraId="1D3BC74C" w14:textId="77777777" w:rsidTr="00E13A59">
        <w:tc>
          <w:tcPr>
            <w:tcW w:w="3438" w:type="dxa"/>
            <w:shd w:val="clear" w:color="auto" w:fill="1F497D" w:themeFill="text2"/>
          </w:tcPr>
          <w:p w14:paraId="1FB5E7F6" w14:textId="77777777" w:rsidR="006C1934" w:rsidRPr="0010533C" w:rsidRDefault="006C1934" w:rsidP="00E13A59">
            <w:pPr>
              <w:rPr>
                <w:b/>
                <w:color w:val="FFFFFF" w:themeColor="background1"/>
              </w:rPr>
            </w:pPr>
            <w:r w:rsidRPr="0010533C">
              <w:rPr>
                <w:b/>
                <w:color w:val="FFFFFF" w:themeColor="background1"/>
              </w:rPr>
              <w:t>Overview of Investment</w:t>
            </w:r>
          </w:p>
        </w:tc>
        <w:tc>
          <w:tcPr>
            <w:tcW w:w="2472" w:type="dxa"/>
            <w:shd w:val="clear" w:color="auto" w:fill="1F497D" w:themeFill="text2"/>
          </w:tcPr>
          <w:p w14:paraId="20907939" w14:textId="77777777" w:rsidR="006C1934" w:rsidRPr="0010533C" w:rsidRDefault="006C1934" w:rsidP="00E13A59">
            <w:pPr>
              <w:rPr>
                <w:b/>
                <w:color w:val="FFFFFF" w:themeColor="background1"/>
              </w:rPr>
            </w:pPr>
            <w:r w:rsidRPr="0010533C">
              <w:rPr>
                <w:b/>
                <w:color w:val="FFFFFF" w:themeColor="background1"/>
              </w:rPr>
              <w:t>Implementation Status</w:t>
            </w:r>
          </w:p>
        </w:tc>
        <w:tc>
          <w:tcPr>
            <w:tcW w:w="3648" w:type="dxa"/>
            <w:shd w:val="clear" w:color="auto" w:fill="1F497D" w:themeFill="text2"/>
          </w:tcPr>
          <w:p w14:paraId="618743AA" w14:textId="77777777" w:rsidR="006C1934" w:rsidRPr="0010533C" w:rsidRDefault="006C1934" w:rsidP="00E13A59">
            <w:pPr>
              <w:rPr>
                <w:b/>
                <w:color w:val="FFFFFF" w:themeColor="background1"/>
              </w:rPr>
            </w:pPr>
            <w:r w:rsidRPr="0010533C">
              <w:rPr>
                <w:b/>
                <w:color w:val="FFFFFF" w:themeColor="background1"/>
              </w:rPr>
              <w:t>Examples of Progress</w:t>
            </w:r>
          </w:p>
        </w:tc>
      </w:tr>
      <w:tr w:rsidR="006C1934" w14:paraId="61F05AEE" w14:textId="77777777" w:rsidTr="00631966">
        <w:tc>
          <w:tcPr>
            <w:tcW w:w="3438" w:type="dxa"/>
          </w:tcPr>
          <w:p w14:paraId="19596FBA" w14:textId="77777777" w:rsidR="006C1934" w:rsidRPr="00AE5E27" w:rsidRDefault="006C1934" w:rsidP="00E13A59">
            <w:r w:rsidRPr="00AE5E27">
              <w:t xml:space="preserve">Invest in a </w:t>
            </w:r>
            <w:r w:rsidRPr="00AE5E27">
              <w:rPr>
                <w:b/>
              </w:rPr>
              <w:t>Primary Care Based Complex Care Management Workforce</w:t>
            </w:r>
            <w:r w:rsidRPr="00AE5E27">
              <w:t xml:space="preserve"> to be embedded in MercyHealth ACO primary care sites</w:t>
            </w:r>
          </w:p>
        </w:tc>
        <w:tc>
          <w:tcPr>
            <w:tcW w:w="2472" w:type="dxa"/>
          </w:tcPr>
          <w:p w14:paraId="171FE021" w14:textId="77777777" w:rsidR="006C1934" w:rsidRDefault="006C1934" w:rsidP="00E13A59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3CE61640" w14:textId="77777777" w:rsidR="006C1934" w:rsidRDefault="006C1934" w:rsidP="00E13A59"/>
        </w:tc>
      </w:tr>
      <w:tr w:rsidR="006C1934" w14:paraId="71AEF336" w14:textId="77777777" w:rsidTr="00631966">
        <w:tc>
          <w:tcPr>
            <w:tcW w:w="3438" w:type="dxa"/>
          </w:tcPr>
          <w:p w14:paraId="5CDD59D1" w14:textId="77777777" w:rsidR="006C1934" w:rsidRPr="00AE5E27" w:rsidRDefault="006C1934" w:rsidP="00E13A59">
            <w:r w:rsidRPr="00AE5E27">
              <w:t xml:space="preserve">Provide </w:t>
            </w:r>
            <w:r w:rsidRPr="00AE5E27">
              <w:rPr>
                <w:b/>
              </w:rPr>
              <w:t>Training for CCM Program Workforce</w:t>
            </w:r>
          </w:p>
        </w:tc>
        <w:tc>
          <w:tcPr>
            <w:tcW w:w="2472" w:type="dxa"/>
          </w:tcPr>
          <w:p w14:paraId="32CB7C58" w14:textId="77777777" w:rsidR="006C1934" w:rsidRDefault="006C1934" w:rsidP="00E13A59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436E1881" w14:textId="77777777" w:rsidR="006C1934" w:rsidRDefault="006C1934" w:rsidP="00E13A59"/>
        </w:tc>
      </w:tr>
      <w:tr w:rsidR="006C1934" w14:paraId="20A3FC2B" w14:textId="77777777" w:rsidTr="00631966">
        <w:tc>
          <w:tcPr>
            <w:tcW w:w="3438" w:type="dxa"/>
          </w:tcPr>
          <w:p w14:paraId="5FB56377" w14:textId="77777777" w:rsidR="006C1934" w:rsidRPr="00AE5E27" w:rsidRDefault="006C1934" w:rsidP="006C1934">
            <w:r w:rsidRPr="00AE5E27">
              <w:t xml:space="preserve">Expand existing </w:t>
            </w:r>
            <w:r w:rsidRPr="00AE5E27">
              <w:rPr>
                <w:b/>
              </w:rPr>
              <w:t xml:space="preserve">Specialty Pharmacy Program </w:t>
            </w:r>
            <w:r w:rsidRPr="00AE5E27">
              <w:t>to better support medication reconciliation and management for highest risk and highest utilizing members</w:t>
            </w:r>
          </w:p>
        </w:tc>
        <w:tc>
          <w:tcPr>
            <w:tcW w:w="2472" w:type="dxa"/>
          </w:tcPr>
          <w:p w14:paraId="4CB5A804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6FFB8ED9" w14:textId="77777777" w:rsidR="006C1934" w:rsidRDefault="006C1934" w:rsidP="006C1934"/>
        </w:tc>
      </w:tr>
      <w:tr w:rsidR="006C1934" w14:paraId="6340B44C" w14:textId="77777777" w:rsidTr="00631966">
        <w:tc>
          <w:tcPr>
            <w:tcW w:w="3438" w:type="dxa"/>
          </w:tcPr>
          <w:p w14:paraId="4E0DAF4C" w14:textId="77777777" w:rsidR="006C1934" w:rsidRPr="00AE5E27" w:rsidRDefault="006C1934" w:rsidP="006C1934">
            <w:pPr>
              <w:rPr>
                <w:b/>
              </w:rPr>
            </w:pPr>
            <w:r w:rsidRPr="00AE5E27">
              <w:t xml:space="preserve">Investment to help </w:t>
            </w:r>
            <w:r w:rsidRPr="00AE5E27">
              <w:rPr>
                <w:b/>
              </w:rPr>
              <w:t>Embed BH Workforce in Primary Care Practices</w:t>
            </w:r>
          </w:p>
        </w:tc>
        <w:tc>
          <w:tcPr>
            <w:tcW w:w="2472" w:type="dxa"/>
          </w:tcPr>
          <w:p w14:paraId="7E0AE0DB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02612122" w14:textId="7F5A7B99" w:rsidR="006C1934" w:rsidRDefault="00631966" w:rsidP="00631966">
            <w:r>
              <w:t xml:space="preserve">We have hired several BH clinicians who are working closely with our primary care practices consistent with our goal of incorporating </w:t>
            </w:r>
            <w:r w:rsidRPr="00631966">
              <w:t>BH providers into primary care practices to expand services and close gap between physical health services</w:t>
            </w:r>
          </w:p>
        </w:tc>
      </w:tr>
      <w:tr w:rsidR="006C1934" w14:paraId="43D0091B" w14:textId="77777777" w:rsidTr="00631966">
        <w:tc>
          <w:tcPr>
            <w:tcW w:w="3438" w:type="dxa"/>
          </w:tcPr>
          <w:p w14:paraId="4451A220" w14:textId="77777777" w:rsidR="006C1934" w:rsidRPr="00AE5E27" w:rsidRDefault="006C1934" w:rsidP="006C1934">
            <w:pPr>
              <w:rPr>
                <w:b/>
              </w:rPr>
            </w:pPr>
            <w:r w:rsidRPr="006C1934">
              <w:rPr>
                <w:b/>
              </w:rPr>
              <w:t xml:space="preserve">Disease management and education program workforce </w:t>
            </w:r>
          </w:p>
        </w:tc>
        <w:tc>
          <w:tcPr>
            <w:tcW w:w="2472" w:type="dxa"/>
          </w:tcPr>
          <w:p w14:paraId="0AC5804B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55D7687B" w14:textId="281B29B3" w:rsidR="006C1934" w:rsidRDefault="00631966" w:rsidP="006C1934">
            <w:r>
              <w:t>We have implemented disease management programming consistent with our goal of doing so to improve patient education and health outcomes</w:t>
            </w:r>
          </w:p>
        </w:tc>
      </w:tr>
      <w:tr w:rsidR="006C1934" w14:paraId="07646CA5" w14:textId="77777777" w:rsidTr="00631966">
        <w:tc>
          <w:tcPr>
            <w:tcW w:w="3438" w:type="dxa"/>
          </w:tcPr>
          <w:p w14:paraId="1EFA2328" w14:textId="77777777" w:rsidR="006C1934" w:rsidRPr="00AE5E27" w:rsidRDefault="006C1934" w:rsidP="006C1934">
            <w:r w:rsidRPr="00AE5E27">
              <w:lastRenderedPageBreak/>
              <w:t xml:space="preserve">Invest in </w:t>
            </w:r>
            <w:r w:rsidRPr="00AE5E27">
              <w:rPr>
                <w:b/>
              </w:rPr>
              <w:t>Quality Improvement Program Workforce</w:t>
            </w:r>
            <w:r w:rsidRPr="00AE5E27">
              <w:t xml:space="preserve"> to help improve quality performance and outcomes</w:t>
            </w:r>
          </w:p>
        </w:tc>
        <w:tc>
          <w:tcPr>
            <w:tcW w:w="2472" w:type="dxa"/>
          </w:tcPr>
          <w:p w14:paraId="7D2380E8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56153A24" w14:textId="77777777" w:rsidR="006C1934" w:rsidRDefault="006C1934" w:rsidP="006C1934"/>
        </w:tc>
      </w:tr>
      <w:tr w:rsidR="006C1934" w14:paraId="35203215" w14:textId="77777777" w:rsidTr="00631966">
        <w:tc>
          <w:tcPr>
            <w:tcW w:w="3438" w:type="dxa"/>
          </w:tcPr>
          <w:p w14:paraId="32A8A932" w14:textId="77777777" w:rsidR="006C1934" w:rsidRPr="00AE5E27" w:rsidRDefault="006C1934" w:rsidP="006C1934">
            <w:r w:rsidRPr="00AE5E27">
              <w:t xml:space="preserve">Invest in a </w:t>
            </w:r>
            <w:r w:rsidRPr="00AE5E27">
              <w:rPr>
                <w:b/>
              </w:rPr>
              <w:t xml:space="preserve">Care Management System </w:t>
            </w:r>
            <w:r w:rsidRPr="00AE5E27">
              <w:t>that allows care managers to communicate with broader care teams</w:t>
            </w:r>
          </w:p>
        </w:tc>
        <w:tc>
          <w:tcPr>
            <w:tcW w:w="2472" w:type="dxa"/>
          </w:tcPr>
          <w:p w14:paraId="0B6F9FEF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54575336" w14:textId="77777777" w:rsidR="006C1934" w:rsidRDefault="006C1934" w:rsidP="006C1934">
            <w:r w:rsidRPr="00F53E34">
              <w:t>We have implemented a new case management system with management tools to track productivity, case assignment, and completion of tasks. These tools allow us to support performance management of staff.</w:t>
            </w:r>
          </w:p>
        </w:tc>
      </w:tr>
      <w:tr w:rsidR="006C1934" w14:paraId="055F116B" w14:textId="77777777" w:rsidTr="00631966">
        <w:tc>
          <w:tcPr>
            <w:tcW w:w="3438" w:type="dxa"/>
          </w:tcPr>
          <w:p w14:paraId="2F2E25F3" w14:textId="77777777" w:rsidR="006C1934" w:rsidRPr="00AE5E27" w:rsidRDefault="006C1934" w:rsidP="006C1934">
            <w:r>
              <w:t>Investment in integrating</w:t>
            </w:r>
            <w:r w:rsidRPr="00AE5E27">
              <w:t xml:space="preserve"> </w:t>
            </w:r>
            <w:r>
              <w:rPr>
                <w:b/>
              </w:rPr>
              <w:t xml:space="preserve">Epic Platform </w:t>
            </w:r>
            <w:r w:rsidRPr="006C1934">
              <w:t>with all</w:t>
            </w:r>
            <w:r>
              <w:rPr>
                <w:b/>
              </w:rPr>
              <w:t xml:space="preserve"> </w:t>
            </w:r>
            <w:r w:rsidRPr="00AE5E27">
              <w:t xml:space="preserve">Mercy sites </w:t>
            </w:r>
          </w:p>
        </w:tc>
        <w:tc>
          <w:tcPr>
            <w:tcW w:w="2472" w:type="dxa"/>
          </w:tcPr>
          <w:p w14:paraId="18729859" w14:textId="77777777" w:rsidR="006C1934" w:rsidRDefault="006C1934" w:rsidP="006C1934">
            <w:r>
              <w:t>Delayed</w:t>
            </w:r>
          </w:p>
        </w:tc>
        <w:tc>
          <w:tcPr>
            <w:tcW w:w="3648" w:type="dxa"/>
            <w:shd w:val="clear" w:color="auto" w:fill="auto"/>
          </w:tcPr>
          <w:p w14:paraId="7F4B433A" w14:textId="77777777" w:rsidR="006C1934" w:rsidRDefault="006C1934" w:rsidP="006C1934"/>
        </w:tc>
      </w:tr>
      <w:tr w:rsidR="006C1934" w14:paraId="26F12D11" w14:textId="77777777" w:rsidTr="00631966">
        <w:tc>
          <w:tcPr>
            <w:tcW w:w="3438" w:type="dxa"/>
          </w:tcPr>
          <w:p w14:paraId="2B2BE766" w14:textId="77777777" w:rsidR="006C1934" w:rsidRPr="00AE5E27" w:rsidRDefault="006C1934" w:rsidP="006C1934">
            <w:r w:rsidRPr="00AE5E27">
              <w:t xml:space="preserve">Expand existing </w:t>
            </w:r>
            <w:r w:rsidRPr="00AE5E27">
              <w:rPr>
                <w:b/>
              </w:rPr>
              <w:t>ED Care Management Program</w:t>
            </w:r>
            <w:r w:rsidRPr="00AE5E27">
              <w:t xml:space="preserve"> by embedding RN care managers in Mercy ED and other local hospitals</w:t>
            </w:r>
          </w:p>
        </w:tc>
        <w:tc>
          <w:tcPr>
            <w:tcW w:w="2472" w:type="dxa"/>
          </w:tcPr>
          <w:p w14:paraId="4E59105E" w14:textId="3AD6B522" w:rsidR="006C1934" w:rsidRDefault="00DC579E" w:rsidP="00DC579E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49D5B798" w14:textId="77777777" w:rsidR="006C1934" w:rsidRDefault="006C1934" w:rsidP="006C1934"/>
        </w:tc>
      </w:tr>
      <w:tr w:rsidR="006C1934" w14:paraId="3F7538C8" w14:textId="77777777" w:rsidTr="00631966">
        <w:tc>
          <w:tcPr>
            <w:tcW w:w="3438" w:type="dxa"/>
          </w:tcPr>
          <w:p w14:paraId="0D5ABFC4" w14:textId="77777777" w:rsidR="006C1934" w:rsidRPr="00AE5E27" w:rsidRDefault="006C1934" w:rsidP="006C1934">
            <w:r w:rsidRPr="006C1934">
              <w:t>Implement</w:t>
            </w:r>
            <w:r w:rsidRPr="00AE5E27">
              <w:rPr>
                <w:b/>
              </w:rPr>
              <w:t xml:space="preserve"> </w:t>
            </w:r>
            <w:r>
              <w:rPr>
                <w:b/>
              </w:rPr>
              <w:t xml:space="preserve">Patient Ping </w:t>
            </w:r>
            <w:r w:rsidRPr="00AE5E27">
              <w:rPr>
                <w:b/>
              </w:rPr>
              <w:t xml:space="preserve">for Transitions of Care Program </w:t>
            </w:r>
            <w:r w:rsidRPr="00AE5E27">
              <w:t>to ensure delivery of information to appropriate staff at MercyHealth ACO to support members with out of network hospitalization and ED visits</w:t>
            </w:r>
          </w:p>
        </w:tc>
        <w:tc>
          <w:tcPr>
            <w:tcW w:w="2472" w:type="dxa"/>
          </w:tcPr>
          <w:p w14:paraId="6D7B8CD4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37D69DEC" w14:textId="77777777" w:rsidR="006C1934" w:rsidRDefault="006C1934" w:rsidP="006C1934"/>
        </w:tc>
      </w:tr>
      <w:tr w:rsidR="006C1934" w14:paraId="0E91AD56" w14:textId="77777777" w:rsidTr="00631966">
        <w:tc>
          <w:tcPr>
            <w:tcW w:w="3438" w:type="dxa"/>
          </w:tcPr>
          <w:p w14:paraId="0F102687" w14:textId="77777777" w:rsidR="006C1934" w:rsidRPr="00AE5E27" w:rsidRDefault="006C1934" w:rsidP="006C1934">
            <w:r w:rsidRPr="00AE5E27">
              <w:t xml:space="preserve">Invest in an </w:t>
            </w:r>
            <w:r w:rsidRPr="00AE5E27">
              <w:rPr>
                <w:b/>
              </w:rPr>
              <w:t>Analytics System</w:t>
            </w:r>
            <w:r>
              <w:rPr>
                <w:b/>
              </w:rPr>
              <w:t xml:space="preserve"> </w:t>
            </w:r>
            <w:r w:rsidRPr="00AE5E27">
              <w:t>for generating high-risk lists and other insights related to member health and total cost of care performance</w:t>
            </w:r>
          </w:p>
        </w:tc>
        <w:tc>
          <w:tcPr>
            <w:tcW w:w="2472" w:type="dxa"/>
          </w:tcPr>
          <w:p w14:paraId="79A2C2A9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7412C161" w14:textId="18C6C96E" w:rsidR="006C1934" w:rsidRDefault="00631966" w:rsidP="006C1934">
            <w:r>
              <w:t xml:space="preserve">Jointly with BMCHP we have stood up the Arcadia platform to review patient utilization, claims and do deep dives on medical needs and complexity consistent with our goal of developing </w:t>
            </w:r>
            <w:r w:rsidRPr="00631966">
              <w:t>data and analytics capabilities to deliver actionable information that drives interventions influencing quality outcomes and TCOC</w:t>
            </w:r>
          </w:p>
        </w:tc>
      </w:tr>
      <w:tr w:rsidR="006C1934" w14:paraId="22EE5E1B" w14:textId="77777777" w:rsidTr="00631966">
        <w:tc>
          <w:tcPr>
            <w:tcW w:w="3438" w:type="dxa"/>
          </w:tcPr>
          <w:p w14:paraId="05B382E7" w14:textId="77777777" w:rsidR="006C1934" w:rsidRPr="006C1934" w:rsidRDefault="006C1934" w:rsidP="006C1934">
            <w:r>
              <w:t xml:space="preserve">Implement </w:t>
            </w:r>
            <w:r>
              <w:rPr>
                <w:b/>
              </w:rPr>
              <w:t>telepsychiatry service</w:t>
            </w:r>
            <w:r>
              <w:t xml:space="preserve"> to meet needs of patients with BH diagnoses</w:t>
            </w:r>
          </w:p>
        </w:tc>
        <w:tc>
          <w:tcPr>
            <w:tcW w:w="2472" w:type="dxa"/>
          </w:tcPr>
          <w:p w14:paraId="52B19668" w14:textId="5A8831AD" w:rsidR="006C1934" w:rsidRDefault="00631966" w:rsidP="006C1934">
            <w:r>
              <w:t>Slightly delayed, will be implemented this year</w:t>
            </w:r>
          </w:p>
        </w:tc>
        <w:tc>
          <w:tcPr>
            <w:tcW w:w="3648" w:type="dxa"/>
            <w:shd w:val="clear" w:color="auto" w:fill="auto"/>
          </w:tcPr>
          <w:p w14:paraId="01E4005B" w14:textId="77777777" w:rsidR="006C1934" w:rsidRDefault="006C1934" w:rsidP="006C1934"/>
        </w:tc>
      </w:tr>
      <w:tr w:rsidR="006C1934" w14:paraId="5340083F" w14:textId="77777777" w:rsidTr="00631966">
        <w:tc>
          <w:tcPr>
            <w:tcW w:w="3438" w:type="dxa"/>
          </w:tcPr>
          <w:p w14:paraId="2D9CEA62" w14:textId="77777777" w:rsidR="006C1934" w:rsidRPr="00AE5E27" w:rsidRDefault="006C1934" w:rsidP="008D0A15">
            <w:r w:rsidRPr="00AE5E27">
              <w:rPr>
                <w:b/>
              </w:rPr>
              <w:t xml:space="preserve">Addiction Consult </w:t>
            </w:r>
            <w:r w:rsidR="008D0A15">
              <w:rPr>
                <w:b/>
              </w:rPr>
              <w:t xml:space="preserve">Service </w:t>
            </w:r>
            <w:r w:rsidRPr="00AE5E27">
              <w:t>to help coordinate care for patients admitted as a result of SUD</w:t>
            </w:r>
          </w:p>
        </w:tc>
        <w:tc>
          <w:tcPr>
            <w:tcW w:w="2472" w:type="dxa"/>
          </w:tcPr>
          <w:p w14:paraId="77D88166" w14:textId="77777777" w:rsidR="006C1934" w:rsidRDefault="006C1934" w:rsidP="006C1934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47E9110D" w14:textId="77777777" w:rsidR="006C1934" w:rsidRDefault="006C1934" w:rsidP="006C1934"/>
        </w:tc>
      </w:tr>
      <w:tr w:rsidR="008D0A15" w14:paraId="621CE195" w14:textId="77777777" w:rsidTr="00631966">
        <w:tc>
          <w:tcPr>
            <w:tcW w:w="3438" w:type="dxa"/>
          </w:tcPr>
          <w:p w14:paraId="5A8941A3" w14:textId="77777777" w:rsidR="008D0A15" w:rsidRPr="00AE5E27" w:rsidRDefault="008D0A15" w:rsidP="008D0A15">
            <w:r w:rsidRPr="00AE5E27">
              <w:t xml:space="preserve">Investment to support </w:t>
            </w:r>
            <w:r w:rsidRPr="00AE5E27">
              <w:rPr>
                <w:b/>
              </w:rPr>
              <w:t>ACO Program Management</w:t>
            </w:r>
            <w:r w:rsidRPr="00AE5E27">
              <w:t xml:space="preserve">, including workforce recruitment, training, </w:t>
            </w:r>
            <w:r w:rsidRPr="00AE5E27">
              <w:lastRenderedPageBreak/>
              <w:t>protocol development, &amp; consulting</w:t>
            </w:r>
          </w:p>
        </w:tc>
        <w:tc>
          <w:tcPr>
            <w:tcW w:w="2472" w:type="dxa"/>
          </w:tcPr>
          <w:p w14:paraId="5EA7E181" w14:textId="77777777" w:rsidR="008D0A15" w:rsidRDefault="008D0A15" w:rsidP="008D0A15">
            <w:r>
              <w:lastRenderedPageBreak/>
              <w:t xml:space="preserve">Fully implemented and operational </w:t>
            </w:r>
          </w:p>
        </w:tc>
        <w:tc>
          <w:tcPr>
            <w:tcW w:w="3648" w:type="dxa"/>
            <w:shd w:val="clear" w:color="auto" w:fill="auto"/>
          </w:tcPr>
          <w:p w14:paraId="69830327" w14:textId="77777777" w:rsidR="008D0A15" w:rsidRDefault="008D0A15" w:rsidP="008D0A15"/>
        </w:tc>
      </w:tr>
      <w:tr w:rsidR="008D0A15" w14:paraId="1E08285D" w14:textId="77777777" w:rsidTr="00631966">
        <w:tc>
          <w:tcPr>
            <w:tcW w:w="3438" w:type="dxa"/>
          </w:tcPr>
          <w:p w14:paraId="0906F8FC" w14:textId="77777777" w:rsidR="008D0A15" w:rsidRPr="00AE5E27" w:rsidRDefault="008D0A15" w:rsidP="008D0A15">
            <w:pPr>
              <w:rPr>
                <w:b/>
              </w:rPr>
            </w:pPr>
            <w:r w:rsidRPr="00AE5E27">
              <w:t xml:space="preserve">Centralize administrative costs for ACO members through </w:t>
            </w:r>
            <w:r w:rsidRPr="00AE5E27">
              <w:rPr>
                <w:b/>
              </w:rPr>
              <w:t>Clinical Administrative Activities</w:t>
            </w:r>
          </w:p>
        </w:tc>
        <w:tc>
          <w:tcPr>
            <w:tcW w:w="2472" w:type="dxa"/>
          </w:tcPr>
          <w:p w14:paraId="6B8A8594" w14:textId="77777777" w:rsidR="008D0A15" w:rsidRDefault="008D0A15" w:rsidP="008D0A15">
            <w:r>
              <w:t>Fully implemented and operational</w:t>
            </w:r>
          </w:p>
        </w:tc>
        <w:tc>
          <w:tcPr>
            <w:tcW w:w="3648" w:type="dxa"/>
            <w:shd w:val="clear" w:color="auto" w:fill="auto"/>
          </w:tcPr>
          <w:p w14:paraId="3C337B26" w14:textId="77777777" w:rsidR="008D0A15" w:rsidRDefault="008D0A15" w:rsidP="008D0A15"/>
        </w:tc>
      </w:tr>
    </w:tbl>
    <w:p w14:paraId="3A013D2B" w14:textId="77777777" w:rsidR="00C14C85" w:rsidRDefault="00C14C85" w:rsidP="00C14C85"/>
    <w:p w14:paraId="5C947C1A" w14:textId="77777777" w:rsidR="004C741A" w:rsidRDefault="004C741A" w:rsidP="00C14C85"/>
    <w:p w14:paraId="4769D759" w14:textId="77777777" w:rsidR="0029710B" w:rsidRPr="00C14C85" w:rsidRDefault="0029710B" w:rsidP="00C14C85"/>
    <w:p w14:paraId="42774C5F" w14:textId="77777777" w:rsidR="00C14C85" w:rsidRDefault="00C14C85" w:rsidP="00C14C85">
      <w:pPr>
        <w:pStyle w:val="Heading2"/>
      </w:pPr>
      <w:r>
        <w:t>Success and Challenges of PY</w:t>
      </w:r>
      <w:r w:rsidR="008C1D78">
        <w:t>1</w:t>
      </w:r>
    </w:p>
    <w:p w14:paraId="75B9A696" w14:textId="77777777" w:rsidR="00C14C85" w:rsidRDefault="00C14C85" w:rsidP="00C14C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7655"/>
      </w:tblGrid>
      <w:tr w:rsidR="00796875" w14:paraId="6887B778" w14:textId="77777777" w:rsidTr="00E13A59">
        <w:tc>
          <w:tcPr>
            <w:tcW w:w="1720" w:type="dxa"/>
            <w:shd w:val="clear" w:color="auto" w:fill="1F497D" w:themeFill="text2"/>
          </w:tcPr>
          <w:p w14:paraId="6E38ACAB" w14:textId="77777777" w:rsidR="00796875" w:rsidRPr="00B05376" w:rsidRDefault="00796875" w:rsidP="00E13A59">
            <w:pPr>
              <w:rPr>
                <w:b/>
                <w:color w:val="FFFFFF" w:themeColor="background1"/>
              </w:rPr>
            </w:pPr>
            <w:r w:rsidRPr="00B05376">
              <w:rPr>
                <w:b/>
                <w:color w:val="FFFFFF" w:themeColor="background1"/>
              </w:rPr>
              <w:t>Success Story 1</w:t>
            </w:r>
          </w:p>
        </w:tc>
        <w:tc>
          <w:tcPr>
            <w:tcW w:w="7838" w:type="dxa"/>
          </w:tcPr>
          <w:p w14:paraId="0F4516C8" w14:textId="5827829C" w:rsidR="00796875" w:rsidRPr="00185AC0" w:rsidRDefault="00631966" w:rsidP="00E13A59">
            <w:r>
              <w:t>Our</w:t>
            </w:r>
            <w:r w:rsidRPr="00631966">
              <w:t xml:space="preserve"> Homeless coordinator has been able to house 12 indi</w:t>
            </w:r>
            <w:r>
              <w:t>viduals/families since her hire</w:t>
            </w:r>
          </w:p>
        </w:tc>
      </w:tr>
      <w:tr w:rsidR="00796875" w:rsidRPr="00E400B8" w14:paraId="7AD3E25A" w14:textId="77777777" w:rsidTr="00E13A59">
        <w:tc>
          <w:tcPr>
            <w:tcW w:w="1720" w:type="dxa"/>
            <w:shd w:val="clear" w:color="auto" w:fill="1F497D" w:themeFill="text2"/>
          </w:tcPr>
          <w:p w14:paraId="39965501" w14:textId="77777777" w:rsidR="00796875" w:rsidRPr="00B05376" w:rsidRDefault="00796875" w:rsidP="00E13A59">
            <w:pPr>
              <w:rPr>
                <w:b/>
                <w:color w:val="FFFFFF" w:themeColor="background1"/>
              </w:rPr>
            </w:pPr>
            <w:r w:rsidRPr="00B05376">
              <w:rPr>
                <w:b/>
                <w:color w:val="FFFFFF" w:themeColor="background1"/>
              </w:rPr>
              <w:t>Success Story 2</w:t>
            </w:r>
          </w:p>
        </w:tc>
        <w:tc>
          <w:tcPr>
            <w:tcW w:w="7838" w:type="dxa"/>
          </w:tcPr>
          <w:p w14:paraId="5747DC1B" w14:textId="5A1BF96B" w:rsidR="00796875" w:rsidRPr="00E400B8" w:rsidRDefault="00631966" w:rsidP="00E13A59">
            <w:pPr>
              <w:rPr>
                <w:b/>
              </w:rPr>
            </w:pPr>
            <w:r>
              <w:t xml:space="preserve">Our transitions of care team was able to reduce readmissions by 26% in </w:t>
            </w:r>
            <w:r w:rsidR="00120679">
              <w:t xml:space="preserve">the Complex Care population identified by BMC </w:t>
            </w:r>
            <w:r w:rsidR="007C1A80">
              <w:t>(2% of total population)</w:t>
            </w:r>
            <w:r>
              <w:t xml:space="preserve">2018 </w:t>
            </w:r>
          </w:p>
        </w:tc>
      </w:tr>
    </w:tbl>
    <w:p w14:paraId="2D9FA223" w14:textId="77777777" w:rsidR="00796875" w:rsidRDefault="00796875" w:rsidP="007968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4"/>
        <w:gridCol w:w="3120"/>
      </w:tblGrid>
      <w:tr w:rsidR="00796875" w:rsidRPr="00A0699E" w14:paraId="5A9F8C06" w14:textId="77777777" w:rsidTr="00E13A59">
        <w:tc>
          <w:tcPr>
            <w:tcW w:w="3192" w:type="dxa"/>
            <w:shd w:val="clear" w:color="auto" w:fill="1F497D" w:themeFill="text2"/>
          </w:tcPr>
          <w:p w14:paraId="601BF3E7" w14:textId="77777777" w:rsidR="00796875" w:rsidRPr="00A0699E" w:rsidRDefault="00796875" w:rsidP="00E13A59">
            <w:pPr>
              <w:rPr>
                <w:b/>
                <w:color w:val="FFFFFF" w:themeColor="background1"/>
              </w:rPr>
            </w:pPr>
            <w:r w:rsidRPr="00A0699E">
              <w:rPr>
                <w:b/>
                <w:color w:val="FFFFFF" w:themeColor="background1"/>
              </w:rPr>
              <w:t>Challenge</w:t>
            </w:r>
          </w:p>
        </w:tc>
        <w:tc>
          <w:tcPr>
            <w:tcW w:w="3192" w:type="dxa"/>
            <w:shd w:val="clear" w:color="auto" w:fill="1F497D" w:themeFill="text2"/>
          </w:tcPr>
          <w:p w14:paraId="2B68C0EE" w14:textId="77777777" w:rsidR="00796875" w:rsidRPr="00A0699E" w:rsidRDefault="00796875" w:rsidP="00E13A59">
            <w:pPr>
              <w:rPr>
                <w:b/>
                <w:color w:val="FFFFFF" w:themeColor="background1"/>
              </w:rPr>
            </w:pPr>
            <w:r w:rsidRPr="00A0699E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192" w:type="dxa"/>
            <w:shd w:val="clear" w:color="auto" w:fill="1F497D" w:themeFill="text2"/>
          </w:tcPr>
          <w:p w14:paraId="6CBE4665" w14:textId="77777777" w:rsidR="00796875" w:rsidRPr="00A0699E" w:rsidRDefault="00796875" w:rsidP="00E13A59">
            <w:pPr>
              <w:rPr>
                <w:b/>
                <w:color w:val="FFFFFF" w:themeColor="background1"/>
              </w:rPr>
            </w:pPr>
            <w:r w:rsidRPr="00A0699E">
              <w:rPr>
                <w:b/>
                <w:color w:val="FFFFFF" w:themeColor="background1"/>
              </w:rPr>
              <w:t>Mitigation Strategy</w:t>
            </w:r>
          </w:p>
        </w:tc>
      </w:tr>
      <w:tr w:rsidR="00796875" w14:paraId="2EC7AE14" w14:textId="77777777" w:rsidTr="00E13A59">
        <w:tc>
          <w:tcPr>
            <w:tcW w:w="3192" w:type="dxa"/>
          </w:tcPr>
          <w:p w14:paraId="35CB9B6C" w14:textId="6BCB9075" w:rsidR="00796875" w:rsidRPr="00CC08F3" w:rsidRDefault="00796875" w:rsidP="00631966">
            <w:pPr>
              <w:rPr>
                <w:b/>
              </w:rPr>
            </w:pPr>
            <w:r w:rsidRPr="00CC08F3">
              <w:rPr>
                <w:b/>
              </w:rPr>
              <w:t>Challenge 1:</w:t>
            </w:r>
            <w:r>
              <w:rPr>
                <w:b/>
              </w:rPr>
              <w:t xml:space="preserve"> </w:t>
            </w:r>
            <w:r w:rsidR="00631966">
              <w:rPr>
                <w:b/>
              </w:rPr>
              <w:t>Maintaining adequate information</w:t>
            </w:r>
          </w:p>
        </w:tc>
        <w:tc>
          <w:tcPr>
            <w:tcW w:w="3192" w:type="dxa"/>
          </w:tcPr>
          <w:p w14:paraId="5F163E85" w14:textId="13844BC4" w:rsidR="00796875" w:rsidRDefault="00631966" w:rsidP="00E13A59">
            <w:r w:rsidRPr="00631966">
              <w:t>The ability to identify at-risk members and intervene in near real time is crucially important to reducing costs and achieving the best outcomes for our members.</w:t>
            </w:r>
          </w:p>
        </w:tc>
        <w:tc>
          <w:tcPr>
            <w:tcW w:w="3192" w:type="dxa"/>
          </w:tcPr>
          <w:p w14:paraId="73696EAC" w14:textId="60AE19DE" w:rsidR="00796875" w:rsidRDefault="00631966" w:rsidP="00631966">
            <w:r w:rsidRPr="00631966">
              <w:t xml:space="preserve">We </w:t>
            </w:r>
            <w:r>
              <w:t>are continuing to</w:t>
            </w:r>
            <w:r w:rsidRPr="00631966">
              <w:t xml:space="preserve"> work time to integrate claims, EHR, and practice data</w:t>
            </w:r>
            <w:r>
              <w:t xml:space="preserve"> and develop protocols to meet patients where they are in real time</w:t>
            </w:r>
          </w:p>
        </w:tc>
      </w:tr>
      <w:tr w:rsidR="00796875" w14:paraId="0FCC1D6F" w14:textId="77777777" w:rsidTr="00E13A59">
        <w:tc>
          <w:tcPr>
            <w:tcW w:w="3192" w:type="dxa"/>
          </w:tcPr>
          <w:p w14:paraId="3D6DF6D4" w14:textId="5976AACB" w:rsidR="00796875" w:rsidRPr="00CC08F3" w:rsidRDefault="00796875" w:rsidP="00631966">
            <w:pPr>
              <w:rPr>
                <w:b/>
              </w:rPr>
            </w:pPr>
            <w:r w:rsidRPr="00CC08F3">
              <w:rPr>
                <w:b/>
              </w:rPr>
              <w:t>Challenge 2:</w:t>
            </w:r>
            <w:r>
              <w:rPr>
                <w:b/>
              </w:rPr>
              <w:t xml:space="preserve"> </w:t>
            </w:r>
            <w:r w:rsidR="00631966">
              <w:rPr>
                <w:b/>
              </w:rPr>
              <w:t>Improving quality of life and health behaviors</w:t>
            </w:r>
          </w:p>
        </w:tc>
        <w:tc>
          <w:tcPr>
            <w:tcW w:w="3192" w:type="dxa"/>
          </w:tcPr>
          <w:p w14:paraId="3EA2FA62" w14:textId="51B83449" w:rsidR="00796875" w:rsidRDefault="00631966" w:rsidP="00E13A59">
            <w:r w:rsidRPr="00631966">
              <w:t>As mentioned above, the Greater Springfield area is a significant destination for refugee immigrants and Hampden County has the lowest overall ranking in health outcomes, quality of life, health behaviors, clinical care and social and economic factors.</w:t>
            </w:r>
          </w:p>
        </w:tc>
        <w:tc>
          <w:tcPr>
            <w:tcW w:w="3192" w:type="dxa"/>
          </w:tcPr>
          <w:p w14:paraId="0D6C5380" w14:textId="22BABCD2" w:rsidR="00796875" w:rsidRDefault="00796875" w:rsidP="00E13A59">
            <w:r>
              <w:t xml:space="preserve">Continue to partner </w:t>
            </w:r>
            <w:r w:rsidRPr="0038549F">
              <w:t xml:space="preserve">with </w:t>
            </w:r>
            <w:r w:rsidR="00631966">
              <w:t xml:space="preserve">other organizations, including </w:t>
            </w:r>
            <w:r w:rsidRPr="0038549F">
              <w:t>CPs, where appropriate,</w:t>
            </w:r>
            <w:r>
              <w:t xml:space="preserve"> to</w:t>
            </w:r>
            <w:r w:rsidRPr="0038549F">
              <w:t xml:space="preserve"> learn more about the population and how to reach those members, and institute actions from those learnings.</w:t>
            </w:r>
          </w:p>
        </w:tc>
      </w:tr>
    </w:tbl>
    <w:p w14:paraId="2491ED30" w14:textId="77777777" w:rsidR="0029710B" w:rsidRPr="00C14C85" w:rsidRDefault="0029710B" w:rsidP="00C14C85"/>
    <w:p w14:paraId="0D451751" w14:textId="77777777" w:rsidR="00C14C85" w:rsidRDefault="00C14C85" w:rsidP="00C14C85"/>
    <w:sectPr w:rsidR="00C14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F51"/>
    <w:multiLevelType w:val="hybridMultilevel"/>
    <w:tmpl w:val="0F7A2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50820"/>
    <w:multiLevelType w:val="hybridMultilevel"/>
    <w:tmpl w:val="D27C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35E16"/>
    <w:multiLevelType w:val="hybridMultilevel"/>
    <w:tmpl w:val="09288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4072"/>
    <w:multiLevelType w:val="hybridMultilevel"/>
    <w:tmpl w:val="363C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3479B"/>
    <w:multiLevelType w:val="hybridMultilevel"/>
    <w:tmpl w:val="94086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55528"/>
    <w:multiLevelType w:val="hybridMultilevel"/>
    <w:tmpl w:val="3A2E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560D"/>
    <w:multiLevelType w:val="hybridMultilevel"/>
    <w:tmpl w:val="EEAE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7B98"/>
    <w:multiLevelType w:val="multilevel"/>
    <w:tmpl w:val="36C48EF4"/>
    <w:lvl w:ilvl="0">
      <w:start w:val="1"/>
      <w:numFmt w:val="decimal"/>
      <w:pStyle w:val="Heading1"/>
      <w:suff w:val="space"/>
      <w:lvlText w:val="Part %1."/>
      <w:lvlJc w:val="left"/>
      <w:pPr>
        <w:ind w:left="360" w:hanging="360"/>
      </w:pPr>
      <w:rPr>
        <w:rFonts w:ascii="Times New Roman" w:hAnsi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2D930FEA"/>
    <w:multiLevelType w:val="multilevel"/>
    <w:tmpl w:val="D3E812DE"/>
    <w:lvl w:ilvl="0">
      <w:start w:val="1"/>
      <w:numFmt w:val="decimal"/>
      <w:lvlText w:val="Section %1.  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1C03CE8"/>
    <w:multiLevelType w:val="hybridMultilevel"/>
    <w:tmpl w:val="8C10B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420CE"/>
    <w:multiLevelType w:val="hybridMultilevel"/>
    <w:tmpl w:val="F092ABF4"/>
    <w:lvl w:ilvl="0" w:tplc="3BE07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660E8"/>
    <w:multiLevelType w:val="hybridMultilevel"/>
    <w:tmpl w:val="E1F2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D0467"/>
    <w:multiLevelType w:val="hybridMultilevel"/>
    <w:tmpl w:val="AB58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1990"/>
    <w:multiLevelType w:val="hybridMultilevel"/>
    <w:tmpl w:val="BC5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02B8C"/>
    <w:multiLevelType w:val="hybridMultilevel"/>
    <w:tmpl w:val="88A0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E2EDA"/>
    <w:multiLevelType w:val="hybridMultilevel"/>
    <w:tmpl w:val="1C34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14693"/>
    <w:multiLevelType w:val="hybridMultilevel"/>
    <w:tmpl w:val="1EE830DE"/>
    <w:lvl w:ilvl="0" w:tplc="B6AA15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B3FDD"/>
    <w:multiLevelType w:val="hybridMultilevel"/>
    <w:tmpl w:val="88B2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95EEE"/>
    <w:multiLevelType w:val="hybridMultilevel"/>
    <w:tmpl w:val="1840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9608E"/>
    <w:multiLevelType w:val="hybridMultilevel"/>
    <w:tmpl w:val="FF7023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A40B1D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C6956"/>
    <w:multiLevelType w:val="hybridMultilevel"/>
    <w:tmpl w:val="55F4D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70F55"/>
    <w:multiLevelType w:val="hybridMultilevel"/>
    <w:tmpl w:val="B052A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1AB"/>
    <w:multiLevelType w:val="hybridMultilevel"/>
    <w:tmpl w:val="AC14E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32CC4"/>
    <w:multiLevelType w:val="multilevel"/>
    <w:tmpl w:val="117415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23"/>
  </w:num>
  <w:num w:numId="10">
    <w:abstractNumId w:val="4"/>
  </w:num>
  <w:num w:numId="11">
    <w:abstractNumId w:val="19"/>
  </w:num>
  <w:num w:numId="12">
    <w:abstractNumId w:val="13"/>
  </w:num>
  <w:num w:numId="13">
    <w:abstractNumId w:val="22"/>
  </w:num>
  <w:num w:numId="14">
    <w:abstractNumId w:val="5"/>
  </w:num>
  <w:num w:numId="15">
    <w:abstractNumId w:val="7"/>
  </w:num>
  <w:num w:numId="16">
    <w:abstractNumId w:val="16"/>
    <w:lvlOverride w:ilvl="0">
      <w:startOverride w:val="1"/>
    </w:lvlOverride>
  </w:num>
  <w:num w:numId="17">
    <w:abstractNumId w:val="18"/>
  </w:num>
  <w:num w:numId="18">
    <w:abstractNumId w:val="0"/>
  </w:num>
  <w:num w:numId="19">
    <w:abstractNumId w:val="14"/>
  </w:num>
  <w:num w:numId="20">
    <w:abstractNumId w:val="17"/>
  </w:num>
  <w:num w:numId="21">
    <w:abstractNumId w:val="15"/>
  </w:num>
  <w:num w:numId="22">
    <w:abstractNumId w:val="3"/>
  </w:num>
  <w:num w:numId="23">
    <w:abstractNumId w:val="9"/>
  </w:num>
  <w:num w:numId="24">
    <w:abstractNumId w:val="2"/>
  </w:num>
  <w:num w:numId="25">
    <w:abstractNumId w:val="10"/>
  </w:num>
  <w:num w:numId="26">
    <w:abstractNumId w:val="12"/>
  </w:num>
  <w:num w:numId="27">
    <w:abstractNumId w:val="1"/>
  </w:num>
  <w:num w:numId="28">
    <w:abstractNumId w:val="20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D7"/>
    <w:rsid w:val="0002722F"/>
    <w:rsid w:val="000747C4"/>
    <w:rsid w:val="000822CF"/>
    <w:rsid w:val="000839C1"/>
    <w:rsid w:val="0009566E"/>
    <w:rsid w:val="000B54F1"/>
    <w:rsid w:val="000B7AA9"/>
    <w:rsid w:val="000E552B"/>
    <w:rsid w:val="000E5E09"/>
    <w:rsid w:val="000E5F21"/>
    <w:rsid w:val="000E7920"/>
    <w:rsid w:val="001130E2"/>
    <w:rsid w:val="00120679"/>
    <w:rsid w:val="0015412D"/>
    <w:rsid w:val="001E6009"/>
    <w:rsid w:val="002055CF"/>
    <w:rsid w:val="00226D41"/>
    <w:rsid w:val="00230C1B"/>
    <w:rsid w:val="00275549"/>
    <w:rsid w:val="00276DFD"/>
    <w:rsid w:val="0029710B"/>
    <w:rsid w:val="002B7E92"/>
    <w:rsid w:val="002C14E3"/>
    <w:rsid w:val="002C271C"/>
    <w:rsid w:val="002E022A"/>
    <w:rsid w:val="0031070C"/>
    <w:rsid w:val="00335DE2"/>
    <w:rsid w:val="003A582B"/>
    <w:rsid w:val="003D2D28"/>
    <w:rsid w:val="00461D55"/>
    <w:rsid w:val="004659A7"/>
    <w:rsid w:val="004B595B"/>
    <w:rsid w:val="004C741A"/>
    <w:rsid w:val="005049B2"/>
    <w:rsid w:val="00522EEE"/>
    <w:rsid w:val="00535ADB"/>
    <w:rsid w:val="00564E7D"/>
    <w:rsid w:val="005938E4"/>
    <w:rsid w:val="00595BD4"/>
    <w:rsid w:val="005C134A"/>
    <w:rsid w:val="00615BBA"/>
    <w:rsid w:val="00631966"/>
    <w:rsid w:val="00634DAD"/>
    <w:rsid w:val="00662194"/>
    <w:rsid w:val="00676D3D"/>
    <w:rsid w:val="00691F3B"/>
    <w:rsid w:val="006A2543"/>
    <w:rsid w:val="006B6EC7"/>
    <w:rsid w:val="006C1934"/>
    <w:rsid w:val="006C7A86"/>
    <w:rsid w:val="00727D4C"/>
    <w:rsid w:val="00766846"/>
    <w:rsid w:val="007923D1"/>
    <w:rsid w:val="00796875"/>
    <w:rsid w:val="007B2797"/>
    <w:rsid w:val="007C1A80"/>
    <w:rsid w:val="007C2F88"/>
    <w:rsid w:val="007D6D8A"/>
    <w:rsid w:val="007E0DBF"/>
    <w:rsid w:val="00801050"/>
    <w:rsid w:val="00824849"/>
    <w:rsid w:val="008B26A1"/>
    <w:rsid w:val="008C1D78"/>
    <w:rsid w:val="008D0A15"/>
    <w:rsid w:val="009017F0"/>
    <w:rsid w:val="009654D7"/>
    <w:rsid w:val="00997B35"/>
    <w:rsid w:val="009A1FB7"/>
    <w:rsid w:val="009D3717"/>
    <w:rsid w:val="009F775C"/>
    <w:rsid w:val="00A415B8"/>
    <w:rsid w:val="00A905C4"/>
    <w:rsid w:val="00AA3039"/>
    <w:rsid w:val="00AD330B"/>
    <w:rsid w:val="00B377AF"/>
    <w:rsid w:val="00B70116"/>
    <w:rsid w:val="00BC0125"/>
    <w:rsid w:val="00BD434D"/>
    <w:rsid w:val="00BE6C93"/>
    <w:rsid w:val="00BF0C3D"/>
    <w:rsid w:val="00BF760C"/>
    <w:rsid w:val="00C14C85"/>
    <w:rsid w:val="00C46E87"/>
    <w:rsid w:val="00C7469C"/>
    <w:rsid w:val="00C75F19"/>
    <w:rsid w:val="00D204A7"/>
    <w:rsid w:val="00D6413C"/>
    <w:rsid w:val="00D801E2"/>
    <w:rsid w:val="00D925DD"/>
    <w:rsid w:val="00DA42D8"/>
    <w:rsid w:val="00DA500D"/>
    <w:rsid w:val="00DC579E"/>
    <w:rsid w:val="00DD566E"/>
    <w:rsid w:val="00E1159A"/>
    <w:rsid w:val="00E12516"/>
    <w:rsid w:val="00E16780"/>
    <w:rsid w:val="00E3162D"/>
    <w:rsid w:val="00E51331"/>
    <w:rsid w:val="00E62CAF"/>
    <w:rsid w:val="00EA42C3"/>
    <w:rsid w:val="00EB4A8C"/>
    <w:rsid w:val="00ED1CB3"/>
    <w:rsid w:val="00EF5C7A"/>
    <w:rsid w:val="00F21088"/>
    <w:rsid w:val="00F243A4"/>
    <w:rsid w:val="00F4300A"/>
    <w:rsid w:val="00F456BD"/>
    <w:rsid w:val="00F5193A"/>
    <w:rsid w:val="00F635E2"/>
    <w:rsid w:val="00F648F9"/>
    <w:rsid w:val="00F7764A"/>
    <w:rsid w:val="00F932A4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71F2"/>
  <w15:docId w15:val="{1BF0D798-39D7-4FA1-A9F8-877CC95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A4"/>
    <w:pPr>
      <w:spacing w:after="200"/>
    </w:pPr>
    <w:rPr>
      <w:rFonts w:ascii="Times New Roman" w:hAnsi="Times New Roman"/>
    </w:rPr>
  </w:style>
  <w:style w:type="paragraph" w:styleId="Heading1">
    <w:name w:val="heading 1"/>
    <w:next w:val="Normal"/>
    <w:link w:val="Heading1Char"/>
    <w:uiPriority w:val="9"/>
    <w:qFormat/>
    <w:rsid w:val="00662194"/>
    <w:pPr>
      <w:keepNext/>
      <w:keepLines/>
      <w:numPr>
        <w:numId w:val="4"/>
      </w:numPr>
      <w:spacing w:before="240"/>
      <w:contextualSpacing/>
      <w:outlineLvl w:val="0"/>
    </w:pPr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43A4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34D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434D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94"/>
    <w:rPr>
      <w:rFonts w:asciiTheme="majorHAnsi" w:eastAsiaTheme="majorEastAsia" w:hAnsiTheme="majorHAnsi" w:cstheme="majorBidi"/>
      <w:b/>
      <w:bCs/>
      <w:color w:val="244061" w:themeColor="accent1" w:themeShade="80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43A4"/>
    <w:rPr>
      <w:rFonts w:asciiTheme="majorHAnsi" w:eastAsiaTheme="majorEastAsia" w:hAnsiTheme="majorHAnsi" w:cstheme="majorBidi"/>
      <w:b/>
      <w:bCs/>
      <w:color w:val="244061" w:themeColor="accent1" w:themeShade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43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43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BD434D"/>
    <w:pPr>
      <w:ind w:left="720"/>
      <w:contextualSpacing/>
    </w:p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BD434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34D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66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4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4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764A"/>
    <w:pPr>
      <w:spacing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7968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78067-295F-4EF9-A64C-4D8A6F40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Hayashi</dc:creator>
  <cp:lastModifiedBy>Labkovskaia, Yuliya</cp:lastModifiedBy>
  <cp:revision>3</cp:revision>
  <dcterms:created xsi:type="dcterms:W3CDTF">2020-12-09T20:36:00Z</dcterms:created>
  <dcterms:modified xsi:type="dcterms:W3CDTF">2021-04-16T18:09:00Z</dcterms:modified>
</cp:coreProperties>
</file>