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42241" w14:textId="77777777" w:rsidR="009654D7" w:rsidRPr="00F44D36" w:rsidRDefault="00E1159A" w:rsidP="00F44D36">
      <w:pPr>
        <w:pStyle w:val="Heading1"/>
      </w:pPr>
      <w:r w:rsidRPr="00F44D36">
        <w:t xml:space="preserve">Attachment </w:t>
      </w:r>
      <w:r w:rsidR="008C1D78" w:rsidRPr="00F44D36">
        <w:t>APR</w:t>
      </w:r>
    </w:p>
    <w:p w14:paraId="6CE2F040" w14:textId="77777777" w:rsidR="00595BD4" w:rsidRPr="00F44D36" w:rsidRDefault="00595BD4" w:rsidP="00F44D36">
      <w:pPr>
        <w:pStyle w:val="Heading1"/>
      </w:pPr>
    </w:p>
    <w:p w14:paraId="5927C2E1" w14:textId="77777777" w:rsidR="009654D7" w:rsidRPr="00F44D36" w:rsidRDefault="009654D7" w:rsidP="00F44D36">
      <w:pPr>
        <w:pStyle w:val="Heading1"/>
      </w:pPr>
      <w:r w:rsidRPr="00F44D36">
        <w:t>Delivery System Reform Incentive Payment (DSRIP) Program</w:t>
      </w:r>
    </w:p>
    <w:p w14:paraId="656C26D9" w14:textId="77777777" w:rsidR="009654D7" w:rsidRPr="00F44D36" w:rsidRDefault="009654D7" w:rsidP="00F44D36">
      <w:pPr>
        <w:pStyle w:val="Heading1"/>
      </w:pPr>
      <w:r w:rsidRPr="00F44D36">
        <w:t xml:space="preserve">Accountable Care Organization (ACO) </w:t>
      </w:r>
      <w:r w:rsidR="00E1159A" w:rsidRPr="00F44D36">
        <w:t>PY</w:t>
      </w:r>
      <w:r w:rsidR="008C1D78" w:rsidRPr="00F44D36">
        <w:t>1</w:t>
      </w:r>
      <w:r w:rsidR="00E1159A" w:rsidRPr="00F44D36">
        <w:t xml:space="preserve"> </w:t>
      </w:r>
      <w:r w:rsidR="008C1D78" w:rsidRPr="00F44D36">
        <w:t xml:space="preserve">Annual </w:t>
      </w:r>
      <w:r w:rsidR="00E1159A" w:rsidRPr="00F44D36">
        <w:t>Progress Report Response Form</w:t>
      </w:r>
    </w:p>
    <w:p w14:paraId="011B4F5E" w14:textId="77777777" w:rsidR="00595BD4" w:rsidRDefault="00595BD4" w:rsidP="00EA42C3">
      <w:pPr>
        <w:contextualSpacing/>
        <w:jc w:val="center"/>
        <w:rPr>
          <w:rFonts w:cs="Times New Roman"/>
          <w:b/>
          <w:smallCaps/>
          <w:sz w:val="28"/>
          <w:szCs w:val="28"/>
        </w:rPr>
      </w:pPr>
    </w:p>
    <w:p w14:paraId="009BBB28" w14:textId="77777777" w:rsidR="009654D7" w:rsidRPr="000E5F21" w:rsidRDefault="009654D7" w:rsidP="000E5F21">
      <w:pPr>
        <w:spacing w:after="120"/>
        <w:rPr>
          <w:rFonts w:cs="Times New Roman"/>
        </w:rPr>
      </w:pPr>
    </w:p>
    <w:p w14:paraId="71679038" w14:textId="77777777" w:rsidR="009654D7" w:rsidRPr="009D4FC2" w:rsidRDefault="009654D7" w:rsidP="00F44D36">
      <w:pPr>
        <w:pStyle w:val="Heading2"/>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3400"/>
        <w:gridCol w:w="6160"/>
      </w:tblGrid>
      <w:tr w:rsidR="009654D7" w:rsidRPr="009D4FC2" w14:paraId="6E976F4D" w14:textId="77777777" w:rsidTr="00F44D36">
        <w:trPr>
          <w:trHeight w:val="375"/>
        </w:trPr>
        <w:tc>
          <w:tcPr>
            <w:tcW w:w="3400" w:type="dxa"/>
            <w:shd w:val="clear" w:color="auto" w:fill="F2F2F1"/>
            <w:hideMark/>
          </w:tcPr>
          <w:p w14:paraId="2D14B85F" w14:textId="77777777" w:rsidR="009654D7" w:rsidRPr="009D4FC2" w:rsidRDefault="009654D7" w:rsidP="00EA42C3">
            <w:pPr>
              <w:spacing w:after="0"/>
              <w:contextualSpacing/>
              <w:rPr>
                <w:rFonts w:eastAsia="Times New Roman" w:cs="Times New Roman"/>
                <w:b/>
                <w:bCs/>
                <w:color w:val="000000"/>
              </w:rPr>
            </w:pPr>
            <w:r>
              <w:rPr>
                <w:rFonts w:eastAsia="Times New Roman" w:cs="Times New Roman"/>
                <w:b/>
                <w:bCs/>
                <w:color w:val="000000"/>
              </w:rPr>
              <w:t>Full ACO</w:t>
            </w:r>
            <w:r w:rsidRPr="009D4FC2">
              <w:rPr>
                <w:rFonts w:eastAsia="Times New Roman" w:cs="Times New Roman"/>
                <w:b/>
                <w:bCs/>
                <w:color w:val="000000"/>
              </w:rPr>
              <w:t xml:space="preserve"> Name:</w:t>
            </w:r>
          </w:p>
        </w:tc>
        <w:tc>
          <w:tcPr>
            <w:tcW w:w="6160" w:type="dxa"/>
            <w:shd w:val="clear" w:color="auto" w:fill="F2F2F1"/>
            <w:hideMark/>
          </w:tcPr>
          <w:p w14:paraId="0EF1D57A" w14:textId="77777777" w:rsidR="009654D7" w:rsidRPr="009D4FC2" w:rsidRDefault="009654D7" w:rsidP="00EA42C3">
            <w:pPr>
              <w:spacing w:after="0"/>
              <w:contextualSpacing/>
              <w:rPr>
                <w:rFonts w:eastAsia="Times New Roman" w:cs="Times New Roman"/>
                <w:color w:val="000000"/>
              </w:rPr>
            </w:pPr>
            <w:r w:rsidRPr="009D4FC2">
              <w:rPr>
                <w:rFonts w:eastAsia="Times New Roman" w:cs="Times New Roman"/>
                <w:color w:val="000000"/>
              </w:rPr>
              <w:t> </w:t>
            </w:r>
            <w:r w:rsidR="001165E0">
              <w:rPr>
                <w:rFonts w:eastAsia="Times New Roman" w:cs="Times New Roman"/>
                <w:color w:val="000000"/>
              </w:rPr>
              <w:t>Signature ACO</w:t>
            </w:r>
          </w:p>
        </w:tc>
      </w:tr>
      <w:tr w:rsidR="009654D7" w:rsidRPr="009D4FC2" w14:paraId="7A69AD89" w14:textId="77777777" w:rsidTr="00F44D36">
        <w:trPr>
          <w:trHeight w:val="375"/>
        </w:trPr>
        <w:tc>
          <w:tcPr>
            <w:tcW w:w="3400" w:type="dxa"/>
            <w:hideMark/>
          </w:tcPr>
          <w:p w14:paraId="4295CFD7" w14:textId="77777777" w:rsidR="009654D7" w:rsidRPr="009D4FC2" w:rsidRDefault="009654D7" w:rsidP="00EA42C3">
            <w:pPr>
              <w:spacing w:after="0"/>
              <w:contextualSpacing/>
              <w:rPr>
                <w:rFonts w:eastAsia="Times New Roman" w:cs="Times New Roman"/>
                <w:b/>
                <w:bCs/>
                <w:color w:val="000000"/>
              </w:rPr>
            </w:pPr>
            <w:r>
              <w:rPr>
                <w:rFonts w:eastAsia="Times New Roman" w:cs="Times New Roman"/>
                <w:b/>
                <w:bCs/>
                <w:color w:val="000000"/>
              </w:rPr>
              <w:t xml:space="preserve">ACO </w:t>
            </w:r>
            <w:r w:rsidRPr="009D4FC2">
              <w:rPr>
                <w:rFonts w:eastAsia="Times New Roman" w:cs="Times New Roman"/>
                <w:b/>
                <w:bCs/>
                <w:color w:val="000000"/>
              </w:rPr>
              <w:t>Address:</w:t>
            </w:r>
          </w:p>
        </w:tc>
        <w:tc>
          <w:tcPr>
            <w:tcW w:w="6160" w:type="dxa"/>
            <w:hideMark/>
          </w:tcPr>
          <w:p w14:paraId="0853301E" w14:textId="1D0BE961" w:rsidR="009654D7" w:rsidRPr="008C40C4" w:rsidRDefault="008C40C4" w:rsidP="008C40C4">
            <w:pPr>
              <w:spacing w:after="0"/>
              <w:rPr>
                <w:rFonts w:eastAsia="Times New Roman" w:cs="Times New Roman"/>
                <w:color w:val="000000"/>
              </w:rPr>
            </w:pPr>
            <w:r w:rsidRPr="008C40C4">
              <w:rPr>
                <w:rFonts w:eastAsia="Times New Roman" w:cs="Times New Roman"/>
                <w:color w:val="000000"/>
              </w:rPr>
              <w:t>600 Ce</w:t>
            </w:r>
            <w:r w:rsidR="001165E0" w:rsidRPr="008C40C4">
              <w:rPr>
                <w:rFonts w:eastAsia="Times New Roman" w:cs="Times New Roman"/>
                <w:color w:val="000000"/>
              </w:rPr>
              <w:t>ntre Street, Brockton, MA  02302</w:t>
            </w:r>
          </w:p>
        </w:tc>
      </w:tr>
    </w:tbl>
    <w:p w14:paraId="373F911F" w14:textId="49706293" w:rsidR="009654D7" w:rsidRPr="009654D7" w:rsidRDefault="009654D7" w:rsidP="00EA42C3">
      <w:pPr>
        <w:contextualSpacing/>
        <w:rPr>
          <w:rFonts w:cs="Times New Roman"/>
        </w:rPr>
      </w:pPr>
    </w:p>
    <w:p w14:paraId="08B1624F" w14:textId="05FBE9BC" w:rsidR="009654D7" w:rsidRDefault="00F44D36" w:rsidP="003E7776">
      <w:pPr>
        <w:pStyle w:val="Heading2"/>
        <w:numPr>
          <w:ilvl w:val="0"/>
          <w:numId w:val="0"/>
        </w:numPr>
        <w:ind w:left="360" w:hanging="360"/>
      </w:pPr>
      <w:r w:rsidRPr="00F44D36">
        <w:rPr>
          <w:color w:val="000000" w:themeColor="text1"/>
        </w:rPr>
        <w:t xml:space="preserve">Part 1. </w:t>
      </w:r>
      <w:r w:rsidR="00595BD4" w:rsidRPr="00F44D36">
        <w:rPr>
          <w:color w:val="000000" w:themeColor="text1"/>
        </w:rPr>
        <w:t xml:space="preserve"> </w:t>
      </w:r>
      <w:r w:rsidR="00D204A7" w:rsidRPr="00F44D36">
        <w:t>PY</w:t>
      </w:r>
      <w:r w:rsidR="008C1D78" w:rsidRPr="00F44D36">
        <w:t>1</w:t>
      </w:r>
      <w:r w:rsidR="00D204A7" w:rsidRPr="00F44D36">
        <w:t xml:space="preserve"> Progress Report Executive Summary</w:t>
      </w:r>
    </w:p>
    <w:p w14:paraId="2C4276B0" w14:textId="77777777" w:rsidR="003E7776" w:rsidRPr="003E7776" w:rsidRDefault="003E7776" w:rsidP="003E7776"/>
    <w:p w14:paraId="18152514" w14:textId="444FAD9C" w:rsidR="00084466" w:rsidRPr="00F44D36" w:rsidRDefault="00084466" w:rsidP="00F44D36">
      <w:pPr>
        <w:pStyle w:val="Heading2"/>
        <w:numPr>
          <w:ilvl w:val="1"/>
          <w:numId w:val="4"/>
        </w:numPr>
      </w:pPr>
      <w:r w:rsidRPr="00F44D36">
        <w:t>ACO Goals from its Full Participation Plan</w:t>
      </w:r>
    </w:p>
    <w:p w14:paraId="7E3C2277" w14:textId="77777777" w:rsidR="00084466" w:rsidRDefault="00084466" w:rsidP="00084466">
      <w:pPr>
        <w:spacing w:after="0"/>
      </w:pPr>
    </w:p>
    <w:p w14:paraId="640323E4" w14:textId="77777777" w:rsidR="00084466" w:rsidRDefault="00084466" w:rsidP="00084466">
      <w:r w:rsidRPr="00463B82">
        <w:t xml:space="preserve">During </w:t>
      </w:r>
      <w:r>
        <w:t>PY1,</w:t>
      </w:r>
      <w:r w:rsidRPr="00463B82">
        <w:t xml:space="preserve"> our goals remained focused on our original plans as outlined </w:t>
      </w:r>
      <w:r>
        <w:t xml:space="preserve">in the PY1 Full Participation Plan, </w:t>
      </w:r>
      <w:r w:rsidRPr="00463B82">
        <w:t>mainly to establish a strong ACO foundation on which to build programs that will bend our cost curve while maintaining high qua</w:t>
      </w:r>
      <w:r>
        <w:t xml:space="preserve">lity of care for our patients, </w:t>
      </w:r>
      <w:r w:rsidR="007A1B35">
        <w:t>which include</w:t>
      </w:r>
      <w:r>
        <w:t xml:space="preserve"> goals of Cost &amp; Utilization Management, Quality, Member Experience and Engagement, and Integration of Physical Health, BH, LTSS and Health-Related Social Services (see section 2.2 in the PY1 Full Participation Plan).</w:t>
      </w:r>
    </w:p>
    <w:p w14:paraId="6784DAFC" w14:textId="77777777" w:rsidR="00084466" w:rsidRDefault="00084466" w:rsidP="00084466">
      <w:r>
        <w:t>In PY1, the ACO</w:t>
      </w:r>
      <w:r w:rsidRPr="001438D2">
        <w:t xml:space="preserve"> leverage</w:t>
      </w:r>
      <w:r>
        <w:t>d</w:t>
      </w:r>
      <w:r w:rsidRPr="001438D2">
        <w:t xml:space="preserve"> DSRIP funding to achieve </w:t>
      </w:r>
      <w:r w:rsidR="007A1B35">
        <w:t xml:space="preserve">the </w:t>
      </w:r>
      <w:r w:rsidRPr="001438D2">
        <w:t xml:space="preserve">goals as outlined in this section by newly implementing or expanding </w:t>
      </w:r>
      <w:r>
        <w:t>Complex Care Management, Transitions of Care (ED), Pharmacy Care Management, SUD and BH Management, Chronic Disease Management, Advanced Technology and Quality Management.  W</w:t>
      </w:r>
      <w:r w:rsidRPr="00463B82">
        <w:t xml:space="preserve">e were able to begin the process of operationalizing programs using DSRIP funding.  These programs each aim from a different perspective, to achieve our strategic goals.  The first served as a foundation year where our organization, in partnership with our MCO, learned many lessons.  Though these lessons seemed painful at the time, they directed us to adjust accordingly as we laid out plans.  Many areas experienced </w:t>
      </w:r>
      <w:r>
        <w:t>these</w:t>
      </w:r>
      <w:r w:rsidRPr="00463B82">
        <w:t xml:space="preserve"> type</w:t>
      </w:r>
      <w:r>
        <w:t>s</w:t>
      </w:r>
      <w:r w:rsidRPr="00463B82">
        <w:t xml:space="preserve"> of “growing pain</w:t>
      </w:r>
      <w:r>
        <w:t xml:space="preserve">s,” </w:t>
      </w:r>
      <w:r w:rsidRPr="00463B82">
        <w:t>from sharing information between the ACO and the MCO, to how best to use data at the ACO level</w:t>
      </w:r>
      <w:r>
        <w:t xml:space="preserve"> proved challenging </w:t>
      </w:r>
      <w:r w:rsidRPr="00463B82">
        <w:t xml:space="preserve">but very fruitful </w:t>
      </w:r>
      <w:r>
        <w:t>in the</w:t>
      </w:r>
      <w:r w:rsidRPr="00463B82">
        <w:t xml:space="preserve"> first year.  Knowing who our beginning population was became obviously very important very early on.  The first year also saw us making great strides in setting up teams, hiring individuals, and moving the programs to the practice-level of care for our population.  We developed a cadence of data </w:t>
      </w:r>
      <w:proofErr w:type="gramStart"/>
      <w:r w:rsidRPr="00463B82">
        <w:t>s</w:t>
      </w:r>
      <w:r>
        <w:t>haring, and</w:t>
      </w:r>
      <w:proofErr w:type="gramEnd"/>
      <w:r>
        <w:t xml:space="preserve"> saw good strides with </w:t>
      </w:r>
      <w:r w:rsidRPr="00463B82">
        <w:t xml:space="preserve">providers and patients becoming engaged </w:t>
      </w:r>
      <w:r>
        <w:t xml:space="preserve">in </w:t>
      </w:r>
      <w:r w:rsidRPr="00463B82">
        <w:t xml:space="preserve">understanding the ACO and its goals.  All of the above </w:t>
      </w:r>
      <w:proofErr w:type="gramStart"/>
      <w:r>
        <w:t>were</w:t>
      </w:r>
      <w:proofErr w:type="gramEnd"/>
      <w:r w:rsidRPr="00463B82">
        <w:t xml:space="preserve"> fundamental to a strong start for a new program.  </w:t>
      </w:r>
    </w:p>
    <w:p w14:paraId="6ED1EABB" w14:textId="77777777" w:rsidR="00084466" w:rsidRPr="001438D2" w:rsidRDefault="00084466" w:rsidP="00084466">
      <w:r w:rsidRPr="001438D2">
        <w:t xml:space="preserve">These programs </w:t>
      </w:r>
      <w:r>
        <w:t>were</w:t>
      </w:r>
      <w:r w:rsidRPr="001438D2">
        <w:t xml:space="preserve"> critical to th</w:t>
      </w:r>
      <w:r>
        <w:t>e success of the ACO as we began</w:t>
      </w:r>
      <w:r w:rsidRPr="001438D2">
        <w:t xml:space="preserve"> to manage this very challenging population. In order to simultaneously maintain high-quality care and bend the cost curve, these programs will have to be successful, and will be the foundation for a strong ACO</w:t>
      </w:r>
      <w:r>
        <w:t xml:space="preserve"> in the future</w:t>
      </w:r>
      <w:r w:rsidRPr="001438D2">
        <w:t xml:space="preserve">. </w:t>
      </w:r>
    </w:p>
    <w:p w14:paraId="06270B70" w14:textId="77777777" w:rsidR="00084466" w:rsidRPr="001438D2" w:rsidRDefault="00084466" w:rsidP="00084466">
      <w:pPr>
        <w:rPr>
          <w:i/>
          <w:sz w:val="16"/>
        </w:rPr>
      </w:pPr>
      <w:r>
        <w:lastRenderedPageBreak/>
        <w:t>As we continue to build out these programs, we know that there will be challenges</w:t>
      </w:r>
      <w:r w:rsidRPr="001438D2">
        <w:t xml:space="preserve">. As we work to address not only the clinical conditions for this population but also the social determinants of health, we may find that resource ratios may need adjustments. </w:t>
      </w:r>
      <w:r>
        <w:t>We have begun to</w:t>
      </w:r>
      <w:r w:rsidRPr="001438D2">
        <w:t xml:space="preserve"> learn the population’s baseline </w:t>
      </w:r>
      <w:r>
        <w:t>which</w:t>
      </w:r>
      <w:r w:rsidRPr="001438D2">
        <w:t xml:space="preserve"> will be important to tailor these programs in order to meet the specific needs that the population demands</w:t>
      </w:r>
      <w:r>
        <w:t xml:space="preserve"> moving forward</w:t>
      </w:r>
      <w:r w:rsidRPr="001438D2">
        <w:t>.</w:t>
      </w:r>
    </w:p>
    <w:p w14:paraId="22EE72C6" w14:textId="4B40AB53" w:rsidR="00084466" w:rsidRDefault="00084466" w:rsidP="00F44D36">
      <w:pPr>
        <w:pStyle w:val="Heading2"/>
        <w:numPr>
          <w:ilvl w:val="1"/>
          <w:numId w:val="4"/>
        </w:numPr>
      </w:pPr>
      <w:r>
        <w:t>PY1 Investments Overview and Progress toward Goals</w:t>
      </w:r>
    </w:p>
    <w:p w14:paraId="30B5DA6A" w14:textId="77777777" w:rsidR="00084466" w:rsidRDefault="00084466" w:rsidP="00084466">
      <w:pPr>
        <w:spacing w:after="0"/>
      </w:pPr>
    </w:p>
    <w:p w14:paraId="4B88EF19" w14:textId="77777777" w:rsidR="00084466" w:rsidRDefault="00084466" w:rsidP="00084466">
      <w:pPr>
        <w:spacing w:after="0"/>
      </w:pPr>
      <w:r w:rsidRPr="001438D2">
        <w:t xml:space="preserve">Our investment approach </w:t>
      </w:r>
      <w:r>
        <w:t>supports</w:t>
      </w:r>
      <w:r w:rsidRPr="001438D2">
        <w:t xml:space="preserve"> our ACO’s overall performance and strategy in several important ways. A central component of this strategy is executing on our population health management program. This program </w:t>
      </w:r>
      <w:r w:rsidR="007A1B35">
        <w:t>is</w:t>
      </w:r>
      <w:r w:rsidRPr="001438D2">
        <w:t xml:space="preserve"> overseen and managed by the VP of Population Medicine, ACO Medical Director, Clinical Director of Population Health Management, as well as the Chiefs of Internal Medicine and Family Practice. This team is responsible for implementing the ACO strategy, populat</w:t>
      </w:r>
      <w:r>
        <w:t xml:space="preserve">ion health management programs </w:t>
      </w:r>
      <w:r w:rsidRPr="001438D2">
        <w:t xml:space="preserve">which includes primary-care based </w:t>
      </w:r>
      <w:r>
        <w:t>Complex Care Management team</w:t>
      </w:r>
      <w:r w:rsidRPr="001438D2">
        <w:t xml:space="preserve"> focusing on the top 2-3% of members, and the Transitions of Care (ED) care team programs. </w:t>
      </w:r>
    </w:p>
    <w:p w14:paraId="5F495CB6" w14:textId="77777777" w:rsidR="00084466" w:rsidRPr="001438D2" w:rsidRDefault="00084466" w:rsidP="00084466">
      <w:r w:rsidRPr="001438D2">
        <w:t xml:space="preserve">These programs are complemented by local programs overseen by </w:t>
      </w:r>
      <w:r>
        <w:t>the ACO</w:t>
      </w:r>
      <w:r w:rsidR="007A1B35">
        <w:t>,</w:t>
      </w:r>
      <w:r w:rsidRPr="001438D2">
        <w:t xml:space="preserve"> and which each practice site has identified as important to addressing local member needs. To prevent duplication with local programs, local program leaders provided lists of patients enrolled in primary care complex care management. </w:t>
      </w:r>
    </w:p>
    <w:p w14:paraId="1C7688A9" w14:textId="77777777" w:rsidR="00084466" w:rsidRPr="001438D2" w:rsidRDefault="00084466" w:rsidP="00084466">
      <w:pPr>
        <w:rPr>
          <w:rFonts w:cs="Times New Roman"/>
        </w:rPr>
      </w:pPr>
      <w:r w:rsidRPr="001438D2">
        <w:t xml:space="preserve">Our DSRIP investment strategy is to make targeted investments in high-impact programs (supported by either research or our collective experience) aimed at fulfilling our overall goals, most importantly TCOC reduction and increased quality for our members. </w:t>
      </w:r>
      <w:r>
        <w:t>O</w:t>
      </w:r>
      <w:r w:rsidRPr="001438D2">
        <w:t xml:space="preserve">ur focus </w:t>
      </w:r>
      <w:r>
        <w:t xml:space="preserve">has been </w:t>
      </w:r>
      <w:r w:rsidRPr="001438D2">
        <w:t>on clinical and financial integration of the program</w:t>
      </w:r>
      <w:r w:rsidR="007A1B35">
        <w:t>s</w:t>
      </w:r>
      <w:r w:rsidRPr="001438D2">
        <w:t>, while at the same time increasing quality for our members and moving towa</w:t>
      </w:r>
      <w:r>
        <w:t>rd total cost of care reduction.  During PY1, the ACO made great progress in standing up many initiatives and implementing strategic investments, as outlined below:</w:t>
      </w:r>
    </w:p>
    <w:p w14:paraId="0A658D5F" w14:textId="77777777" w:rsidR="00084466" w:rsidRPr="00463B82" w:rsidRDefault="00084466" w:rsidP="00084466">
      <w:pPr>
        <w:numPr>
          <w:ilvl w:val="0"/>
          <w:numId w:val="29"/>
        </w:numPr>
      </w:pPr>
      <w:r w:rsidRPr="00CB7342">
        <w:rPr>
          <w:b/>
          <w:u w:val="single"/>
        </w:rPr>
        <w:t>Transitions of Care ED/Hospital</w:t>
      </w:r>
      <w:r w:rsidRPr="00463B82">
        <w:t xml:space="preserve">: Our team of </w:t>
      </w:r>
      <w:r>
        <w:t xml:space="preserve">a </w:t>
      </w:r>
      <w:r w:rsidRPr="00463B82">
        <w:t>care manager and CHW based at the hospital</w:t>
      </w:r>
      <w:r>
        <w:t>,</w:t>
      </w:r>
      <w:r w:rsidRPr="00463B82">
        <w:t xml:space="preserve"> have already made great strides in assuring almost all patients admitted are discharged with a follow up appointment, as well as being connected to appropriate resources in our community.</w:t>
      </w:r>
    </w:p>
    <w:p w14:paraId="74ED1E0C" w14:textId="77777777" w:rsidR="00084466" w:rsidRPr="00463B82" w:rsidRDefault="00084466" w:rsidP="00084466">
      <w:pPr>
        <w:numPr>
          <w:ilvl w:val="0"/>
          <w:numId w:val="29"/>
        </w:numPr>
      </w:pPr>
      <w:r w:rsidRPr="00CB7342">
        <w:rPr>
          <w:b/>
          <w:u w:val="single"/>
        </w:rPr>
        <w:t>Pharmacy Care Management</w:t>
      </w:r>
      <w:r w:rsidRPr="00463B82">
        <w:t xml:space="preserve">: Despite some turnover in staffing in this part of our investment, we </w:t>
      </w:r>
      <w:r>
        <w:t>saw</w:t>
      </w:r>
      <w:r w:rsidRPr="00463B82">
        <w:t xml:space="preserve"> all of our ACO patients being discharged from the hospital having a pharmacist-driven medication reconciliation </w:t>
      </w:r>
      <w:r>
        <w:t>done.  This then triggered</w:t>
      </w:r>
      <w:r w:rsidRPr="00463B82">
        <w:t xml:space="preserve"> a n</w:t>
      </w:r>
      <w:r w:rsidR="007A1B35">
        <w:t>otification to the PCP who would</w:t>
      </w:r>
      <w:r w:rsidR="00265A9C">
        <w:t xml:space="preserve"> </w:t>
      </w:r>
      <w:r w:rsidRPr="00463B82">
        <w:t>see the patient after the hospitalization, thereby maintaining a truly up to date medication list for our ACO patients.</w:t>
      </w:r>
    </w:p>
    <w:p w14:paraId="47A69677" w14:textId="77777777" w:rsidR="00084466" w:rsidRDefault="00084466" w:rsidP="00084466">
      <w:pPr>
        <w:numPr>
          <w:ilvl w:val="0"/>
          <w:numId w:val="29"/>
        </w:numPr>
      </w:pPr>
      <w:r w:rsidRPr="00CB7342">
        <w:rPr>
          <w:b/>
          <w:u w:val="single"/>
        </w:rPr>
        <w:t>Quality Management:</w:t>
      </w:r>
      <w:r w:rsidRPr="00463B82">
        <w:t xml:space="preserve"> We have made significant strides during PY1 in hiring appropriate individuals to help in managing our quality metrics, in combination with our partner MCO.  During PY1 we were able to see where our quality metrics were hitting targets and where we needed to focus our efforts for particular metrics.</w:t>
      </w:r>
    </w:p>
    <w:p w14:paraId="5CE7207B" w14:textId="77777777" w:rsidR="00084466" w:rsidRPr="00C14C85" w:rsidRDefault="00084466" w:rsidP="00084466">
      <w:pPr>
        <w:numPr>
          <w:ilvl w:val="0"/>
          <w:numId w:val="29"/>
        </w:numPr>
      </w:pPr>
      <w:r>
        <w:rPr>
          <w:b/>
          <w:u w:val="single"/>
        </w:rPr>
        <w:t>Patient Engagement and Enrollment</w:t>
      </w:r>
      <w:r w:rsidRPr="0035798E">
        <w:rPr>
          <w:b/>
          <w:u w:val="single"/>
        </w:rPr>
        <w:t>:</w:t>
      </w:r>
      <w:r>
        <w:t xml:space="preserve">  </w:t>
      </w:r>
      <w:r w:rsidRPr="00E64F0D">
        <w:rPr>
          <w:rFonts w:cs="Calibri"/>
        </w:rPr>
        <w:t xml:space="preserve">During the first half of PY1, it became necessary for the ACO to build new processes around redeterminations, open enrollment, and patient engagement.  For patients without future appointments or those with gaps in care, we had to develop processes to create outreach opportunities to schedule appointments.  Strong PCP engagement impacts a number of ACO performance drivers: maintaining enrollment, ensuring appropriate risk </w:t>
      </w:r>
      <w:r w:rsidRPr="00E64F0D">
        <w:rPr>
          <w:rFonts w:cs="Calibri"/>
        </w:rPr>
        <w:lastRenderedPageBreak/>
        <w:t>adjustment, providing opportunities to meet quality metrics, and the management of overall utilization and medical expense.  Therefore, we shifted DSRIP priorities to adjust for this new program.</w:t>
      </w:r>
    </w:p>
    <w:p w14:paraId="29D5F2F0" w14:textId="59138E4D" w:rsidR="00084466" w:rsidRDefault="00084466" w:rsidP="00F44D36">
      <w:pPr>
        <w:pStyle w:val="Heading2"/>
        <w:numPr>
          <w:ilvl w:val="1"/>
          <w:numId w:val="4"/>
        </w:numPr>
      </w:pPr>
      <w:r>
        <w:t>Success and Challenges of PY1</w:t>
      </w:r>
    </w:p>
    <w:p w14:paraId="0FD5BC61" w14:textId="77777777" w:rsidR="00084466" w:rsidRPr="005E06A1" w:rsidRDefault="00084466" w:rsidP="00084466">
      <w:pPr>
        <w:spacing w:after="0"/>
      </w:pPr>
    </w:p>
    <w:p w14:paraId="15A88AE4" w14:textId="77777777" w:rsidR="00084466" w:rsidRDefault="00084466" w:rsidP="00084466">
      <w:pPr>
        <w:spacing w:after="0"/>
      </w:pPr>
      <w:r>
        <w:t xml:space="preserve">The ACO had several successes in PY1, as we launched the ACO toward our investment strategy </w:t>
      </w:r>
      <w:r w:rsidRPr="001438D2">
        <w:t>to make targeted investments in high-impact programs (supported by either research or our collective experience) aimed at fulfilling our overall goals, most importantly TCOC reduction and increased quality for our members.</w:t>
      </w:r>
    </w:p>
    <w:p w14:paraId="7DE50266" w14:textId="77777777" w:rsidR="00084466" w:rsidRDefault="00084466" w:rsidP="00084466">
      <w:pPr>
        <w:spacing w:after="0"/>
      </w:pPr>
    </w:p>
    <w:p w14:paraId="5599FE63" w14:textId="77777777" w:rsidR="00084466" w:rsidRDefault="00084466" w:rsidP="00084466">
      <w:pPr>
        <w:numPr>
          <w:ilvl w:val="0"/>
          <w:numId w:val="32"/>
        </w:numPr>
      </w:pPr>
      <w:r w:rsidRPr="00CB7342">
        <w:rPr>
          <w:b/>
          <w:u w:val="single"/>
        </w:rPr>
        <w:t>Complex Care Management:</w:t>
      </w:r>
      <w:r w:rsidRPr="00463B82">
        <w:t xml:space="preserve"> </w:t>
      </w:r>
      <w:r>
        <w:t xml:space="preserve">At the very foundation of our ACO </w:t>
      </w:r>
      <w:r w:rsidR="00265A9C">
        <w:t xml:space="preserve">are </w:t>
      </w:r>
      <w:r>
        <w:t>medical management and Complex Care Management</w:t>
      </w:r>
      <w:r w:rsidR="00265A9C">
        <w:t>, which are</w:t>
      </w:r>
      <w:r>
        <w:t xml:space="preserve"> vital to our success.  During PY1, we built a solid Complex Care Management team who worked on quality measures by outreaching patients and assisting them with scheduling appointments, coordinating appropriate referrals to specialists, completed assessments within 72 hours after an ED visit, engaged patients identified as high risk, and offered assistance to help patients achieve overall their healthcare goals.  </w:t>
      </w:r>
      <w:r w:rsidRPr="00463B82">
        <w:t xml:space="preserve">Our teams are fully </w:t>
      </w:r>
      <w:proofErr w:type="gramStart"/>
      <w:r w:rsidRPr="00463B82">
        <w:t>staffed</w:t>
      </w:r>
      <w:proofErr w:type="gramEnd"/>
      <w:r w:rsidRPr="00463B82">
        <w:t xml:space="preserve"> and </w:t>
      </w:r>
      <w:r>
        <w:t xml:space="preserve">preliminary </w:t>
      </w:r>
      <w:r w:rsidRPr="00463B82">
        <w:t xml:space="preserve">data is already showing </w:t>
      </w:r>
      <w:r>
        <w:t>a positive ROI,</w:t>
      </w:r>
      <w:r w:rsidRPr="00463B82">
        <w:t xml:space="preserve"> where we are reducing ED visits and hospital admissions for patients enrolled in our complex care management program for the ACO.</w:t>
      </w:r>
    </w:p>
    <w:p w14:paraId="0FC0F535" w14:textId="77777777" w:rsidR="00084466" w:rsidRDefault="00084466" w:rsidP="00084466">
      <w:pPr>
        <w:numPr>
          <w:ilvl w:val="0"/>
          <w:numId w:val="32"/>
        </w:numPr>
      </w:pPr>
      <w:r w:rsidRPr="005E06A1">
        <w:rPr>
          <w:b/>
          <w:u w:val="single"/>
        </w:rPr>
        <w:t>Risk Coding:</w:t>
      </w:r>
      <w:r>
        <w:t xml:space="preserve">  It became apparent in PY1 that Risk Coding and IT solutions would need to be developed to ensure that we were assigning the appropriate diagnoses for the ACO population.  The benefits of appropriate coding include improved opportunity for patients to be identified for care management programs and/or disease intervention programs.  As such, we launched two coding initiatives, we have seen some positive benefits as a result:</w:t>
      </w:r>
    </w:p>
    <w:p w14:paraId="788BB28A" w14:textId="77777777" w:rsidR="00084466" w:rsidRDefault="00084466" w:rsidP="00084466">
      <w:pPr>
        <w:numPr>
          <w:ilvl w:val="1"/>
          <w:numId w:val="32"/>
        </w:numPr>
        <w:spacing w:after="0"/>
      </w:pPr>
      <w:r w:rsidRPr="005E06A1">
        <w:rPr>
          <w:b/>
        </w:rPr>
        <w:t>Obesity:</w:t>
      </w:r>
      <w:r>
        <w:t xml:space="preserve">  The ACO developed a focused process around Obesity coding and rolled this initiative out to the all the practices in which all patients are weighed at each visit and heights entered to automatically calculate a BMI (Body Ma</w:t>
      </w:r>
      <w:r w:rsidR="007A1B35">
        <w:t>ss Index).  When a patient fell</w:t>
      </w:r>
      <w:r>
        <w:t xml:space="preserve"> outside of the normal ranges- including overweight, obesity, or </w:t>
      </w:r>
      <w:r w:rsidR="007A1B35">
        <w:t>morbid obesity, the clinician was</w:t>
      </w:r>
      <w:r>
        <w:t xml:space="preserve"> triggered to both address and document a plan.  Within the EMR, the clinician has the ability to select items such as "referral to nutritionist, dietician, endocrinology, discuss exercise and healthier eating choices".  Our population is not immune to the epidemic of overweight/obesity currently affecting our country, and by addressing obesity during </w:t>
      </w:r>
      <w:r w:rsidR="007A1B35">
        <w:t xml:space="preserve">visits with their PCPs, we are able to </w:t>
      </w:r>
      <w:r>
        <w:t>offer them the tools necessary to best help them succeed.  Also important is the added benefit of accurately coding our population for overall</w:t>
      </w:r>
      <w:r w:rsidR="007A1B35">
        <w:t xml:space="preserve"> population risk management and </w:t>
      </w:r>
      <w:r>
        <w:t>tracking.</w:t>
      </w:r>
    </w:p>
    <w:p w14:paraId="224D527E" w14:textId="77777777" w:rsidR="00084466" w:rsidRPr="00AF7B20" w:rsidRDefault="00084466" w:rsidP="00084466">
      <w:pPr>
        <w:numPr>
          <w:ilvl w:val="1"/>
          <w:numId w:val="32"/>
        </w:numPr>
        <w:spacing w:after="0"/>
      </w:pPr>
      <w:r w:rsidRPr="00AF7B20">
        <w:rPr>
          <w:b/>
        </w:rPr>
        <w:t>Homelessness:</w:t>
      </w:r>
      <w:r w:rsidRPr="00AF7B20">
        <w:t xml:space="preserve">  The ACO developed a process to aid in identifying if a patient is homelessness </w:t>
      </w:r>
      <w:r>
        <w:t xml:space="preserve">in an effort to aid patients </w:t>
      </w:r>
      <w:r w:rsidRPr="00AF7B20">
        <w:t xml:space="preserve">with their housing needs.  Early results indicate that we have seen a steady improvement in identifying our homeless population.  Patients who have been identified as having insecure housing or are homeless are given information regarding our monthly “Housing 101 Workshop” where a Social Worker and Community Health Worker from </w:t>
      </w:r>
      <w:r>
        <w:t>the ACO</w:t>
      </w:r>
      <w:r w:rsidRPr="00AF7B20">
        <w:t xml:space="preserve"> are there to assist patients with their housing needs and will refer to CCM or other community resources as needed.</w:t>
      </w:r>
    </w:p>
    <w:p w14:paraId="0B627714" w14:textId="77777777" w:rsidR="00084466" w:rsidRDefault="00084466" w:rsidP="00084466">
      <w:pPr>
        <w:spacing w:after="0"/>
      </w:pPr>
    </w:p>
    <w:p w14:paraId="5B7F02CB" w14:textId="77777777" w:rsidR="00084466" w:rsidRDefault="00084466" w:rsidP="00084466">
      <w:pPr>
        <w:spacing w:after="0"/>
      </w:pPr>
      <w:r>
        <w:t>The ACO did face some challenges in PY1</w:t>
      </w:r>
      <w:r w:rsidRPr="00463B82">
        <w:t>, of which two</w:t>
      </w:r>
      <w:r w:rsidR="004A1001">
        <w:t xml:space="preserve"> were particularly</w:t>
      </w:r>
      <w:r w:rsidRPr="00463B82">
        <w:t xml:space="preserve"> formidable:</w:t>
      </w:r>
    </w:p>
    <w:p w14:paraId="329B1F5B" w14:textId="77777777" w:rsidR="00084466" w:rsidRPr="00463B82" w:rsidRDefault="00084466" w:rsidP="00084466">
      <w:pPr>
        <w:spacing w:after="0"/>
      </w:pPr>
    </w:p>
    <w:p w14:paraId="040EB855" w14:textId="77777777" w:rsidR="00084466" w:rsidRPr="00463B82" w:rsidRDefault="00084466" w:rsidP="00084466">
      <w:pPr>
        <w:numPr>
          <w:ilvl w:val="0"/>
          <w:numId w:val="28"/>
        </w:numPr>
      </w:pPr>
      <w:r w:rsidRPr="0035798E">
        <w:rPr>
          <w:b/>
          <w:u w:val="single"/>
        </w:rPr>
        <w:t>Behavioral Health Management Team:</w:t>
      </w:r>
      <w:r w:rsidRPr="00463B82">
        <w:t xml:space="preserve"> During PY1, we were not able to fill the position of Chief of Psychiatry.  This combined with our organization’s lack of experience in directly </w:t>
      </w:r>
      <w:r w:rsidR="007A1B35">
        <w:t>managing behavioral health, led</w:t>
      </w:r>
      <w:r w:rsidRPr="00463B82">
        <w:t xml:space="preserve"> to a slow start to mapping out the details of our approach in this area.  There </w:t>
      </w:r>
      <w:r w:rsidR="007A1B35">
        <w:t>is</w:t>
      </w:r>
      <w:r w:rsidRPr="00463B82">
        <w:t xml:space="preserve"> a shortage of behavioral health providers across the country, and our immed</w:t>
      </w:r>
      <w:r w:rsidR="007A1B35">
        <w:t>iate community is no exception, and f</w:t>
      </w:r>
      <w:r w:rsidRPr="00463B82">
        <w:t xml:space="preserve">inding psychiatrists and NP’s (with specific training/expertise in BH) </w:t>
      </w:r>
      <w:r w:rsidR="007A1B35">
        <w:t>has been a</w:t>
      </w:r>
      <w:r w:rsidRPr="00463B82">
        <w:t xml:space="preserve"> challenge.  </w:t>
      </w:r>
      <w:r w:rsidR="007A1B35">
        <w:t>At the end of 2019, w</w:t>
      </w:r>
      <w:r w:rsidRPr="00463B82">
        <w:t xml:space="preserve">e eventually recruited </w:t>
      </w:r>
      <w:r w:rsidR="007A1B35">
        <w:t xml:space="preserve">the Chief of Psychiatry </w:t>
      </w:r>
      <w:r w:rsidRPr="00463B82">
        <w:t xml:space="preserve">who </w:t>
      </w:r>
      <w:r>
        <w:t>began in</w:t>
      </w:r>
      <w:r w:rsidRPr="00463B82">
        <w:t xml:space="preserve"> early 2019.  </w:t>
      </w:r>
      <w:r>
        <w:t xml:space="preserve">The ACO </w:t>
      </w:r>
      <w:r w:rsidRPr="00463B82">
        <w:t xml:space="preserve">will work with this leader to develop </w:t>
      </w:r>
      <w:r>
        <w:t xml:space="preserve">and implement a BH program for </w:t>
      </w:r>
      <w:r w:rsidRPr="00463B82">
        <w:t>our ACO.</w:t>
      </w:r>
    </w:p>
    <w:p w14:paraId="43C2594A" w14:textId="77777777" w:rsidR="00084466" w:rsidRDefault="00084466" w:rsidP="00084466">
      <w:pPr>
        <w:numPr>
          <w:ilvl w:val="0"/>
          <w:numId w:val="28"/>
        </w:numPr>
        <w:contextualSpacing/>
      </w:pPr>
      <w:r w:rsidRPr="00EB3F5E">
        <w:rPr>
          <w:b/>
          <w:u w:val="single"/>
        </w:rPr>
        <w:t>Advance Technology and Analytics:</w:t>
      </w:r>
      <w:r w:rsidRPr="00463B82">
        <w:t xml:space="preserve"> During PY1</w:t>
      </w:r>
      <w:r>
        <w:t>,</w:t>
      </w:r>
      <w:r w:rsidRPr="00463B82">
        <w:t xml:space="preserve"> this became a challenge right from the start.  The initial plan we had for </w:t>
      </w:r>
      <w:proofErr w:type="spellStart"/>
      <w:r w:rsidRPr="00463B82">
        <w:t>ZeOmega</w:t>
      </w:r>
      <w:proofErr w:type="spellEnd"/>
      <w:r w:rsidRPr="00463B82">
        <w:t xml:space="preserve"> as a platform for care management did not work for our organization.  Our care teams quickly realized that they would have to be very inefficient in their documentation of care for our ACO patients.  </w:t>
      </w:r>
      <w:r>
        <w:t>Therefore, w</w:t>
      </w:r>
      <w:r w:rsidRPr="00463B82">
        <w:t>e had to develop, in partnership with our MCO, a different tool to directly manage our CCM</w:t>
      </w:r>
      <w:r>
        <w:t>’s</w:t>
      </w:r>
      <w:r w:rsidRPr="00463B82">
        <w:t xml:space="preserve"> within our electronic medical record.  Another challenge within this </w:t>
      </w:r>
      <w:r>
        <w:t xml:space="preserve">initiative remains that we are </w:t>
      </w:r>
      <w:r w:rsidRPr="00463B82">
        <w:t xml:space="preserve">planning a transition to another EMR </w:t>
      </w:r>
      <w:r>
        <w:t xml:space="preserve">system </w:t>
      </w:r>
      <w:r w:rsidRPr="00463B82">
        <w:t>in 2019</w:t>
      </w:r>
      <w:r>
        <w:t>,</w:t>
      </w:r>
      <w:r w:rsidRPr="00463B82">
        <w:t xml:space="preserve"> and the workaround developed in our current EMR in 2018 will have to be redesigned with the new EMR in mind.  This will continue to be a challenge going forward.</w:t>
      </w:r>
    </w:p>
    <w:sectPr w:rsidR="000844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F5282"/>
    <w:multiLevelType w:val="hybridMultilevel"/>
    <w:tmpl w:val="40D49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B1A5B"/>
    <w:multiLevelType w:val="hybridMultilevel"/>
    <w:tmpl w:val="B002C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07331"/>
    <w:multiLevelType w:val="hybridMultilevel"/>
    <w:tmpl w:val="BC9A1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B5843"/>
    <w:multiLevelType w:val="hybridMultilevel"/>
    <w:tmpl w:val="9768E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1948CD"/>
    <w:multiLevelType w:val="hybridMultilevel"/>
    <w:tmpl w:val="32183D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B17EFA"/>
    <w:multiLevelType w:val="multilevel"/>
    <w:tmpl w:val="2E5842DE"/>
    <w:lvl w:ilvl="0">
      <w:start w:val="6"/>
      <w:numFmt w:val="decimal"/>
      <w:lvlText w:val="%1-0"/>
      <w:lvlJc w:val="left"/>
      <w:pPr>
        <w:ind w:left="400" w:hanging="400"/>
      </w:pPr>
      <w:rPr>
        <w:rFonts w:hint="default"/>
      </w:rPr>
    </w:lvl>
    <w:lvl w:ilvl="1">
      <w:start w:val="1"/>
      <w:numFmt w:val="decimalZero"/>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7837B98"/>
    <w:multiLevelType w:val="multilevel"/>
    <w:tmpl w:val="0F767918"/>
    <w:lvl w:ilvl="0">
      <w:start w:val="1"/>
      <w:numFmt w:val="decimal"/>
      <w:pStyle w:val="Heading2"/>
      <w:suff w:val="space"/>
      <w:lvlText w:val="Part %1."/>
      <w:lvlJc w:val="left"/>
      <w:pPr>
        <w:ind w:left="360" w:hanging="360"/>
      </w:pPr>
      <w:rPr>
        <w:rFonts w:ascii="Times New Roman" w:hAnsi="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1"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DB64F37"/>
    <w:multiLevelType w:val="hybridMultilevel"/>
    <w:tmpl w:val="A5C27B78"/>
    <w:lvl w:ilvl="0" w:tplc="780AAD9C">
      <w:start w:val="68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C03CE8"/>
    <w:multiLevelType w:val="hybridMultilevel"/>
    <w:tmpl w:val="0F7C7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CD0E5C"/>
    <w:multiLevelType w:val="hybridMultilevel"/>
    <w:tmpl w:val="2D3E178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70632C0"/>
    <w:multiLevelType w:val="hybridMultilevel"/>
    <w:tmpl w:val="49E42A22"/>
    <w:lvl w:ilvl="0" w:tplc="E60CF428">
      <w:start w:val="6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735BAE"/>
    <w:multiLevelType w:val="hybridMultilevel"/>
    <w:tmpl w:val="26363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8B3196"/>
    <w:multiLevelType w:val="hybridMultilevel"/>
    <w:tmpl w:val="B002C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CF4F8C"/>
    <w:multiLevelType w:val="hybridMultilevel"/>
    <w:tmpl w:val="4670A502"/>
    <w:lvl w:ilvl="0" w:tplc="2B7A65DC">
      <w:start w:val="6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1172E7"/>
    <w:multiLevelType w:val="hybridMultilevel"/>
    <w:tmpl w:val="B002C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10"/>
  </w:num>
  <w:num w:numId="3">
    <w:abstractNumId w:val="10"/>
  </w:num>
  <w:num w:numId="4">
    <w:abstractNumId w:val="10"/>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19"/>
  </w:num>
  <w:num w:numId="9">
    <w:abstractNumId w:val="30"/>
  </w:num>
  <w:num w:numId="10">
    <w:abstractNumId w:val="5"/>
  </w:num>
  <w:num w:numId="11">
    <w:abstractNumId w:val="26"/>
  </w:num>
  <w:num w:numId="12">
    <w:abstractNumId w:val="20"/>
  </w:num>
  <w:num w:numId="13">
    <w:abstractNumId w:val="28"/>
  </w:num>
  <w:num w:numId="14">
    <w:abstractNumId w:val="6"/>
  </w:num>
  <w:num w:numId="15">
    <w:abstractNumId w:val="10"/>
  </w:num>
  <w:num w:numId="16">
    <w:abstractNumId w:val="23"/>
    <w:lvlOverride w:ilvl="0">
      <w:startOverride w:val="1"/>
    </w:lvlOverride>
  </w:num>
  <w:num w:numId="17">
    <w:abstractNumId w:val="25"/>
  </w:num>
  <w:num w:numId="18">
    <w:abstractNumId w:val="0"/>
  </w:num>
  <w:num w:numId="19">
    <w:abstractNumId w:val="21"/>
  </w:num>
  <w:num w:numId="20">
    <w:abstractNumId w:val="24"/>
  </w:num>
  <w:num w:numId="21">
    <w:abstractNumId w:val="22"/>
  </w:num>
  <w:num w:numId="22">
    <w:abstractNumId w:val="3"/>
  </w:num>
  <w:num w:numId="23">
    <w:abstractNumId w:val="13"/>
  </w:num>
  <w:num w:numId="24">
    <w:abstractNumId w:val="1"/>
  </w:num>
  <w:num w:numId="25">
    <w:abstractNumId w:val="14"/>
  </w:num>
  <w:num w:numId="26">
    <w:abstractNumId w:val="2"/>
  </w:num>
  <w:num w:numId="27">
    <w:abstractNumId w:val="16"/>
  </w:num>
  <w:num w:numId="28">
    <w:abstractNumId w:val="7"/>
  </w:num>
  <w:num w:numId="29">
    <w:abstractNumId w:val="29"/>
  </w:num>
  <w:num w:numId="30">
    <w:abstractNumId w:val="8"/>
  </w:num>
  <w:num w:numId="31">
    <w:abstractNumId w:val="4"/>
  </w:num>
  <w:num w:numId="32">
    <w:abstractNumId w:val="17"/>
  </w:num>
  <w:num w:numId="33">
    <w:abstractNumId w:val="12"/>
  </w:num>
  <w:num w:numId="34">
    <w:abstractNumId w:val="9"/>
  </w:num>
  <w:num w:numId="35">
    <w:abstractNumId w:val="18"/>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4D7"/>
    <w:rsid w:val="0002722F"/>
    <w:rsid w:val="00064775"/>
    <w:rsid w:val="000822CF"/>
    <w:rsid w:val="000839C1"/>
    <w:rsid w:val="00084466"/>
    <w:rsid w:val="00090486"/>
    <w:rsid w:val="0009566E"/>
    <w:rsid w:val="000B54F1"/>
    <w:rsid w:val="000D1737"/>
    <w:rsid w:val="000E5F21"/>
    <w:rsid w:val="000E7920"/>
    <w:rsid w:val="000F6830"/>
    <w:rsid w:val="00116187"/>
    <w:rsid w:val="001165E0"/>
    <w:rsid w:val="001438D2"/>
    <w:rsid w:val="001B5C57"/>
    <w:rsid w:val="001D133B"/>
    <w:rsid w:val="001E6009"/>
    <w:rsid w:val="002055CF"/>
    <w:rsid w:val="00226D41"/>
    <w:rsid w:val="00260B1B"/>
    <w:rsid w:val="00265A9C"/>
    <w:rsid w:val="00275549"/>
    <w:rsid w:val="00276DFD"/>
    <w:rsid w:val="0029710B"/>
    <w:rsid w:val="002B00A8"/>
    <w:rsid w:val="002B7E92"/>
    <w:rsid w:val="002C14E3"/>
    <w:rsid w:val="002C271C"/>
    <w:rsid w:val="002F6647"/>
    <w:rsid w:val="00325F10"/>
    <w:rsid w:val="00332BC3"/>
    <w:rsid w:val="00335DE2"/>
    <w:rsid w:val="00337E2E"/>
    <w:rsid w:val="0035798E"/>
    <w:rsid w:val="00383968"/>
    <w:rsid w:val="003A582B"/>
    <w:rsid w:val="003A72D8"/>
    <w:rsid w:val="003B1555"/>
    <w:rsid w:val="003D2D28"/>
    <w:rsid w:val="003E1C87"/>
    <w:rsid w:val="003E3283"/>
    <w:rsid w:val="003E7776"/>
    <w:rsid w:val="00461D55"/>
    <w:rsid w:val="00463B82"/>
    <w:rsid w:val="004659A7"/>
    <w:rsid w:val="0049447B"/>
    <w:rsid w:val="004A1001"/>
    <w:rsid w:val="004A3B70"/>
    <w:rsid w:val="004B594C"/>
    <w:rsid w:val="004B595B"/>
    <w:rsid w:val="004C741A"/>
    <w:rsid w:val="00522EEE"/>
    <w:rsid w:val="00535ADB"/>
    <w:rsid w:val="00554754"/>
    <w:rsid w:val="0058466B"/>
    <w:rsid w:val="00595BD4"/>
    <w:rsid w:val="005B0F36"/>
    <w:rsid w:val="005C5A0E"/>
    <w:rsid w:val="005D3DFC"/>
    <w:rsid w:val="005E0286"/>
    <w:rsid w:val="005E06A1"/>
    <w:rsid w:val="005E36A1"/>
    <w:rsid w:val="005F4C7C"/>
    <w:rsid w:val="00615BBA"/>
    <w:rsid w:val="00636E91"/>
    <w:rsid w:val="006467AA"/>
    <w:rsid w:val="006549B2"/>
    <w:rsid w:val="00656224"/>
    <w:rsid w:val="00662194"/>
    <w:rsid w:val="00676D3D"/>
    <w:rsid w:val="00691F3B"/>
    <w:rsid w:val="006A2543"/>
    <w:rsid w:val="006B6EC7"/>
    <w:rsid w:val="00701BC9"/>
    <w:rsid w:val="00727D4C"/>
    <w:rsid w:val="00737630"/>
    <w:rsid w:val="00766846"/>
    <w:rsid w:val="007923D1"/>
    <w:rsid w:val="00792CE5"/>
    <w:rsid w:val="007A1B35"/>
    <w:rsid w:val="007B1BE7"/>
    <w:rsid w:val="007B2797"/>
    <w:rsid w:val="007C2F88"/>
    <w:rsid w:val="007D6D8A"/>
    <w:rsid w:val="007F077A"/>
    <w:rsid w:val="00801050"/>
    <w:rsid w:val="008231D3"/>
    <w:rsid w:val="0083590E"/>
    <w:rsid w:val="0084402E"/>
    <w:rsid w:val="00871C26"/>
    <w:rsid w:val="00876470"/>
    <w:rsid w:val="00881B46"/>
    <w:rsid w:val="00893332"/>
    <w:rsid w:val="008B0EED"/>
    <w:rsid w:val="008B26A1"/>
    <w:rsid w:val="008C1D78"/>
    <w:rsid w:val="008C40C4"/>
    <w:rsid w:val="008D4A0C"/>
    <w:rsid w:val="008F0202"/>
    <w:rsid w:val="009017F0"/>
    <w:rsid w:val="009654D7"/>
    <w:rsid w:val="00977453"/>
    <w:rsid w:val="0099703A"/>
    <w:rsid w:val="009A1FB7"/>
    <w:rsid w:val="009D3717"/>
    <w:rsid w:val="009D5FB6"/>
    <w:rsid w:val="009F090B"/>
    <w:rsid w:val="00A415B8"/>
    <w:rsid w:val="00A60715"/>
    <w:rsid w:val="00A905C4"/>
    <w:rsid w:val="00A92BF7"/>
    <w:rsid w:val="00AA3039"/>
    <w:rsid w:val="00AD330B"/>
    <w:rsid w:val="00AF2100"/>
    <w:rsid w:val="00B14BB0"/>
    <w:rsid w:val="00B30468"/>
    <w:rsid w:val="00B377AF"/>
    <w:rsid w:val="00B70116"/>
    <w:rsid w:val="00BC0125"/>
    <w:rsid w:val="00BD434D"/>
    <w:rsid w:val="00BD7F0E"/>
    <w:rsid w:val="00C14C85"/>
    <w:rsid w:val="00C545B6"/>
    <w:rsid w:val="00C7469C"/>
    <w:rsid w:val="00C75F19"/>
    <w:rsid w:val="00C940F7"/>
    <w:rsid w:val="00CB7342"/>
    <w:rsid w:val="00CC34EF"/>
    <w:rsid w:val="00CE2A8F"/>
    <w:rsid w:val="00D204A7"/>
    <w:rsid w:val="00D801E2"/>
    <w:rsid w:val="00E0582B"/>
    <w:rsid w:val="00E1159A"/>
    <w:rsid w:val="00E12516"/>
    <w:rsid w:val="00E16780"/>
    <w:rsid w:val="00E2372E"/>
    <w:rsid w:val="00E3162D"/>
    <w:rsid w:val="00E41279"/>
    <w:rsid w:val="00E5066B"/>
    <w:rsid w:val="00E62CAF"/>
    <w:rsid w:val="00EA42C3"/>
    <w:rsid w:val="00EB4A8C"/>
    <w:rsid w:val="00ED1CB3"/>
    <w:rsid w:val="00F21088"/>
    <w:rsid w:val="00F233B9"/>
    <w:rsid w:val="00F243A4"/>
    <w:rsid w:val="00F4300A"/>
    <w:rsid w:val="00F44D36"/>
    <w:rsid w:val="00F5193A"/>
    <w:rsid w:val="00F635E2"/>
    <w:rsid w:val="00F7764A"/>
    <w:rsid w:val="00F932A4"/>
    <w:rsid w:val="00FA54A4"/>
    <w:rsid w:val="00FE2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B81AE"/>
  <w15:docId w15:val="{B7F457C0-8B22-4260-BA2F-B9F9A047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basedOn w:val="Normal"/>
    <w:next w:val="Normal"/>
    <w:link w:val="Heading1Char"/>
    <w:uiPriority w:val="9"/>
    <w:qFormat/>
    <w:rsid w:val="00F44D36"/>
    <w:pPr>
      <w:spacing w:after="120"/>
      <w:contextualSpacing/>
      <w:jc w:val="center"/>
      <w:outlineLvl w:val="0"/>
    </w:pPr>
    <w:rPr>
      <w:rFonts w:cs="Times New Roman"/>
      <w:b/>
      <w:smallCaps/>
      <w:sz w:val="28"/>
      <w:szCs w:val="28"/>
    </w:rPr>
  </w:style>
  <w:style w:type="paragraph" w:styleId="Heading2">
    <w:name w:val="heading 2"/>
    <w:next w:val="Normal"/>
    <w:link w:val="Heading2Char"/>
    <w:uiPriority w:val="9"/>
    <w:unhideWhenUsed/>
    <w:qFormat/>
    <w:rsid w:val="00F44D36"/>
    <w:pPr>
      <w:numPr>
        <w:numId w:val="4"/>
      </w:numPr>
      <w:outlineLvl w:val="1"/>
    </w:pPr>
    <w:rPr>
      <w:rFonts w:asciiTheme="majorHAnsi" w:eastAsiaTheme="majorEastAsia" w:hAnsiTheme="majorHAnsi" w:cstheme="majorBidi"/>
      <w:b/>
      <w:bCs/>
      <w:color w:val="244061" w:themeColor="accent1" w:themeShade="80"/>
      <w:sz w:val="24"/>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D36"/>
    <w:rPr>
      <w:rFonts w:ascii="Times New Roman" w:hAnsi="Times New Roman" w:cs="Times New Roman"/>
      <w:b/>
      <w:smallCaps/>
      <w:sz w:val="28"/>
      <w:szCs w:val="28"/>
    </w:rPr>
  </w:style>
  <w:style w:type="character" w:customStyle="1" w:styleId="Heading2Char">
    <w:name w:val="Heading 2 Char"/>
    <w:basedOn w:val="DefaultParagraphFont"/>
    <w:link w:val="Heading2"/>
    <w:uiPriority w:val="9"/>
    <w:rsid w:val="00F44D36"/>
    <w:rPr>
      <w:rFonts w:asciiTheme="majorHAnsi" w:eastAsiaTheme="majorEastAsia" w:hAnsiTheme="majorHAnsi" w:cstheme="majorBidi"/>
      <w:b/>
      <w:bCs/>
      <w:color w:val="244061" w:themeColor="accent1" w:themeShade="80"/>
      <w:sz w:val="24"/>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Response Bullets,Bullet Two"/>
    <w:basedOn w:val="Normal"/>
    <w:link w:val="ListParagraphChar"/>
    <w:uiPriority w:val="34"/>
    <w:qFormat/>
    <w:rsid w:val="00BD434D"/>
    <w:pPr>
      <w:ind w:left="720"/>
      <w:contextualSpacing/>
    </w:pPr>
  </w:style>
  <w:style w:type="character" w:customStyle="1" w:styleId="ListParagraphChar">
    <w:name w:val="List Paragraph Char"/>
    <w:aliases w:val="Bullet List Char,Response Bullets Char,Bullet Two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outlineLvl w:val="9"/>
    </w:pPr>
    <w:rPr>
      <w:color w:val="365F91" w:themeColor="accent1" w:themeShade="BF"/>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paragraph" w:customStyle="1" w:styleId="Default">
    <w:name w:val="Default"/>
    <w:rsid w:val="001438D2"/>
    <w:pPr>
      <w:autoSpaceDE w:val="0"/>
      <w:autoSpaceDN w:val="0"/>
      <w:adjustRightInd w:val="0"/>
      <w:spacing w:line="240" w:lineRule="auto"/>
    </w:pPr>
    <w:rPr>
      <w:rFonts w:ascii="Calibri" w:hAnsi="Calibri" w:cs="Calibri"/>
      <w:color w:val="000000"/>
      <w:sz w:val="24"/>
      <w:szCs w:val="24"/>
    </w:rPr>
  </w:style>
  <w:style w:type="table" w:styleId="TableGridLight">
    <w:name w:val="Grid Table Light"/>
    <w:basedOn w:val="TableNormal"/>
    <w:uiPriority w:val="40"/>
    <w:rsid w:val="00F44D3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67A3B-D2AE-492C-97BF-FC9324C27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1604</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Lam, Vivian</cp:lastModifiedBy>
  <cp:revision>10</cp:revision>
  <dcterms:created xsi:type="dcterms:W3CDTF">2020-11-19T23:06:00Z</dcterms:created>
  <dcterms:modified xsi:type="dcterms:W3CDTF">2020-12-10T20:50:00Z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