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037990" w:rsidRDefault="001778FA" w:rsidP="001778FA">
      <w:pPr>
        <w:ind w:left="-720"/>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03884930" wp14:editId="1E6C6678">
                <wp:simplePos x="0" y="0"/>
                <wp:positionH relativeFrom="column">
                  <wp:posOffset>895350</wp:posOffset>
                </wp:positionH>
                <wp:positionV relativeFrom="paragraph">
                  <wp:posOffset>-133349</wp:posOffset>
                </wp:positionV>
                <wp:extent cx="5181600" cy="120015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200150"/>
                        </a:xfrm>
                        <a:prstGeom prst="rect">
                          <a:avLst/>
                        </a:prstGeom>
                        <a:noFill/>
                        <a:ln>
                          <a:noFill/>
                        </a:ln>
                        <a:effectLst/>
                      </wps:spPr>
                      <wps:txbx>
                        <w:txbxContent>
                          <w:p w:rsidR="00C4340E" w:rsidRPr="00E8345E" w:rsidRDefault="00C4340E" w:rsidP="000D0C2A">
                            <w:pPr>
                              <w:jc w:val="center"/>
                              <w:rPr>
                                <w:b/>
                                <w:color w:val="E36C0A"/>
                                <w:sz w:val="36"/>
                                <w:szCs w:val="36"/>
                              </w:rPr>
                            </w:pPr>
                            <w:r w:rsidRPr="006C54EF">
                              <w:rPr>
                                <w:b/>
                                <w:color w:val="E36C0A"/>
                                <w:sz w:val="48"/>
                                <w:szCs w:val="52"/>
                              </w:rPr>
                              <w:t xml:space="preserve">Data Brief: </w:t>
                            </w:r>
                            <w:r w:rsidRPr="006C54EF">
                              <w:rPr>
                                <w:b/>
                                <w:color w:val="E36C0A"/>
                                <w:sz w:val="48"/>
                                <w:szCs w:val="52"/>
                              </w:rPr>
                              <w:br/>
                            </w:r>
                            <w:r w:rsidR="000332DD">
                              <w:rPr>
                                <w:b/>
                                <w:color w:val="E36C0A"/>
                                <w:sz w:val="36"/>
                                <w:szCs w:val="36"/>
                              </w:rPr>
                              <w:t xml:space="preserve">Results from Body Mass Index Screening in Massachusetts Public School Districts </w:t>
                            </w:r>
                            <w:r w:rsidR="00E8345E" w:rsidRPr="00E8345E">
                              <w:rPr>
                                <w:b/>
                                <w:color w:val="E36C0A"/>
                                <w:sz w:val="36"/>
                                <w:szCs w:val="36"/>
                              </w:rPr>
                              <w:t>for 2012, 2013,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5pt;width:408pt;height: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" filled="f" stroked="f">
                <v:path arrowok="t"/>
                <v:textbox>
                  <w:txbxContent>
                    <w:p w:rsidR="00C4340E" w:rsidRPr="00E8345E" w:rsidRDefault="00C4340E" w:rsidP="000D0C2A">
                      <w:pPr>
                        <w:jc w:val="center"/>
                        <w:rPr>
                          <w:b/>
                          <w:color w:val="E36C0A"/>
                          <w:sz w:val="36"/>
                          <w:szCs w:val="36"/>
                        </w:rPr>
                      </w:pPr>
                      <w:r w:rsidRPr="006C54EF">
                        <w:rPr>
                          <w:b/>
                          <w:color w:val="E36C0A"/>
                          <w:sz w:val="48"/>
                          <w:szCs w:val="52"/>
                        </w:rPr>
                        <w:t xml:space="preserve">Data Brief: </w:t>
                      </w:r>
                      <w:r w:rsidRPr="006C54EF">
                        <w:rPr>
                          <w:b/>
                          <w:color w:val="E36C0A"/>
                          <w:sz w:val="48"/>
                          <w:szCs w:val="52"/>
                        </w:rPr>
                        <w:br/>
                      </w:r>
                      <w:r w:rsidR="000332DD">
                        <w:rPr>
                          <w:b/>
                          <w:color w:val="E36C0A"/>
                          <w:sz w:val="36"/>
                          <w:szCs w:val="36"/>
                        </w:rPr>
                        <w:t xml:space="preserve">Results from Body Mass Index Screening in Massachusetts Public School Districts </w:t>
                      </w:r>
                      <w:r w:rsidR="00E8345E" w:rsidRPr="00E8345E">
                        <w:rPr>
                          <w:b/>
                          <w:color w:val="E36C0A"/>
                          <w:sz w:val="36"/>
                          <w:szCs w:val="36"/>
                        </w:rPr>
                        <w:t>for 2012, 2013, 2014</w:t>
                      </w:r>
                    </w:p>
                  </w:txbxContent>
                </v:textbox>
              </v:shape>
            </w:pict>
          </mc:Fallback>
        </mc:AlternateContent>
      </w:r>
      <w:r w:rsidRPr="00037990">
        <w:rPr>
          <w:rFonts w:asciiTheme="minorHAnsi" w:hAnsiTheme="minorHAnsi"/>
          <w:noProof/>
        </w:rPr>
        <mc:AlternateContent>
          <mc:Choice Requires="wps">
            <w:drawing>
              <wp:anchor distT="0" distB="274320" distL="114300" distR="114300" simplePos="0" relativeHeight="251657728" behindDoc="1" locked="0" layoutInCell="1" allowOverlap="1" wp14:anchorId="1E928339" wp14:editId="75C0E118">
                <wp:simplePos x="0" y="0"/>
                <wp:positionH relativeFrom="column">
                  <wp:posOffset>-295910</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3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" strokeweight="1pt"/>
            </w:pict>
          </mc:Fallback>
        </mc:AlternateContent>
      </w:r>
      <w:r w:rsidR="00C4340E" w:rsidRPr="00037990">
        <w:rPr>
          <w:rFonts w:asciiTheme="minorHAnsi" w:hAnsiTheme="minorHAnsi"/>
        </w:rPr>
        <w:t xml:space="preserve">      </w:t>
      </w:r>
      <w:bookmarkStart w:id="0" w:name="_GoBack"/>
      <w:r w:rsidR="008B5565" w:rsidRPr="00037990">
        <w:rPr>
          <w:rFonts w:asciiTheme="minorHAnsi" w:hAnsiTheme="minorHAnsi"/>
          <w:noProof/>
        </w:rPr>
        <w:drawing>
          <wp:inline distT="0" distB="0" distL="0" distR="0" wp14:anchorId="4EAA2D87" wp14:editId="71A17EBD">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bookmarkEnd w:id="0"/>
    </w:p>
    <w:p w:rsidR="00C4340E" w:rsidRPr="00037990" w:rsidRDefault="008B5565" w:rsidP="00920EC9">
      <w:pPr>
        <w:jc w:val="center"/>
        <w:rPr>
          <w:rStyle w:val="TitleChar"/>
          <w:rFonts w:asciiTheme="minorHAnsi" w:eastAsia="Times New Roman" w:hAnsiTheme="minorHAnsi" w:cs="Arial"/>
          <w:b/>
          <w:color w:val="auto"/>
          <w:spacing w:val="0"/>
          <w:kern w:val="0"/>
          <w:sz w:val="22"/>
          <w:szCs w:val="22"/>
        </w:rPr>
      </w:pPr>
      <w:r w:rsidRPr="00037990">
        <w:rPr>
          <w:rFonts w:asciiTheme="minorHAnsi" w:hAnsiTheme="minorHAnsi"/>
          <w:noProof/>
        </w:rPr>
        <mc:AlternateContent>
          <mc:Choice Requires="wps">
            <w:drawing>
              <wp:anchor distT="0" distB="0" distL="114300" distR="114300" simplePos="0" relativeHeight="251656704" behindDoc="1" locked="0" layoutInCell="1" allowOverlap="1" wp14:anchorId="5B880BAC" wp14:editId="0D34BECC">
                <wp:simplePos x="0" y="0"/>
                <wp:positionH relativeFrom="column">
                  <wp:posOffset>-295275</wp:posOffset>
                </wp:positionH>
                <wp:positionV relativeFrom="paragraph">
                  <wp:posOffset>38100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C4340E" w:rsidRPr="00573EED" w:rsidRDefault="00C4340E"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1778FA">
                              <w:rPr>
                                <w:rFonts w:ascii="Calibri" w:hAnsi="Calibri"/>
                                <w:caps/>
                                <w:sz w:val="18"/>
                                <w:szCs w:val="16"/>
                              </w:rPr>
                              <w:t>August</w:t>
                            </w:r>
                            <w:r w:rsidR="00E8345E">
                              <w:rPr>
                                <w:rFonts w:ascii="Calibri" w:hAnsi="Calibri"/>
                                <w:caps/>
                                <w:sz w:val="18"/>
                                <w:szCs w:val="16"/>
                              </w:rPr>
                              <w:t xml:space="preserve"> 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25pt;margin-top:3pt;width:533.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" strokeweight="1pt">
                <v:textbox inset=",0,,0">
                  <w:txbxContent>
                    <w:p w:rsidR="00C4340E" w:rsidRPr="00573EED" w:rsidRDefault="00C4340E"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1778FA">
                        <w:rPr>
                          <w:rFonts w:ascii="Calibri" w:hAnsi="Calibri"/>
                          <w:caps/>
                          <w:sz w:val="18"/>
                          <w:szCs w:val="16"/>
                        </w:rPr>
                        <w:t>August</w:t>
                      </w:r>
                      <w:r w:rsidR="00E8345E">
                        <w:rPr>
                          <w:rFonts w:ascii="Calibri" w:hAnsi="Calibri"/>
                          <w:caps/>
                          <w:sz w:val="18"/>
                          <w:szCs w:val="16"/>
                        </w:rPr>
                        <w:t xml:space="preserve"> 2015</w:t>
                      </w:r>
                    </w:p>
                  </w:txbxContent>
                </v:textbox>
              </v:shape>
            </w:pict>
          </mc:Fallback>
        </mc:AlternateContent>
      </w: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00E8D">
      <w:pPr>
        <w:jc w:val="both"/>
        <w:rPr>
          <w:rFonts w:asciiTheme="minorHAnsi" w:hAnsiTheme="minorHAnsi" w:cs="Times New Roman"/>
          <w:sz w:val="14"/>
          <w:szCs w:val="14"/>
        </w:rPr>
      </w:pPr>
    </w:p>
    <w:p w:rsidR="001778FA" w:rsidRDefault="001778FA" w:rsidP="001778FA">
      <w:pPr>
        <w:rPr>
          <w:rFonts w:asciiTheme="minorHAnsi" w:hAnsiTheme="minorHAnsi"/>
          <w:sz w:val="21"/>
          <w:szCs w:val="21"/>
        </w:rPr>
      </w:pPr>
      <w:r>
        <w:rPr>
          <w:rFonts w:asciiTheme="minorHAnsi" w:hAnsiTheme="minorHAnsi"/>
          <w:sz w:val="21"/>
          <w:szCs w:val="21"/>
        </w:rPr>
        <w:t>For the first time since collecting body mass index data in Massachusetts schools, t</w:t>
      </w:r>
      <w:r w:rsidRPr="00BE7205">
        <w:rPr>
          <w:rFonts w:asciiTheme="minorHAnsi" w:hAnsiTheme="minorHAnsi"/>
          <w:sz w:val="21"/>
          <w:szCs w:val="21"/>
        </w:rPr>
        <w:t xml:space="preserve">here was a slight, but </w:t>
      </w:r>
      <w:r>
        <w:rPr>
          <w:rFonts w:asciiTheme="minorHAnsi" w:hAnsiTheme="minorHAnsi"/>
          <w:sz w:val="21"/>
          <w:szCs w:val="21"/>
        </w:rPr>
        <w:t>continuous</w:t>
      </w:r>
      <w:r w:rsidRPr="00BE7205">
        <w:rPr>
          <w:rFonts w:asciiTheme="minorHAnsi" w:hAnsiTheme="minorHAnsi"/>
          <w:sz w:val="21"/>
          <w:szCs w:val="21"/>
        </w:rPr>
        <w:t xml:space="preserve"> decline in the rate of overweight and obesity for </w:t>
      </w:r>
      <w:r>
        <w:rPr>
          <w:rFonts w:asciiTheme="minorHAnsi" w:hAnsiTheme="minorHAnsi"/>
          <w:sz w:val="21"/>
          <w:szCs w:val="21"/>
        </w:rPr>
        <w:t xml:space="preserve">Massachusetts </w:t>
      </w:r>
      <w:r w:rsidRPr="00BE7205">
        <w:rPr>
          <w:rFonts w:asciiTheme="minorHAnsi" w:hAnsiTheme="minorHAnsi"/>
          <w:sz w:val="21"/>
          <w:szCs w:val="21"/>
        </w:rPr>
        <w:t xml:space="preserve">students in grades 1, 4, 7 from 2011-2014. The largest decrease was among students in </w:t>
      </w:r>
      <w:r w:rsidR="00675C59">
        <w:rPr>
          <w:rFonts w:asciiTheme="minorHAnsi" w:hAnsiTheme="minorHAnsi"/>
          <w:sz w:val="21"/>
          <w:szCs w:val="21"/>
        </w:rPr>
        <w:t>4</w:t>
      </w:r>
      <w:r w:rsidRPr="00BE7205">
        <w:rPr>
          <w:rFonts w:asciiTheme="minorHAnsi" w:hAnsiTheme="minorHAnsi"/>
          <w:sz w:val="21"/>
          <w:szCs w:val="21"/>
          <w:vertAlign w:val="superscript"/>
        </w:rPr>
        <w:t>th</w:t>
      </w:r>
      <w:r w:rsidRPr="00BE7205">
        <w:rPr>
          <w:rFonts w:asciiTheme="minorHAnsi" w:hAnsiTheme="minorHAnsi"/>
          <w:sz w:val="21"/>
          <w:szCs w:val="21"/>
        </w:rPr>
        <w:t xml:space="preserve"> grade from </w:t>
      </w:r>
      <w:r w:rsidR="00675C59">
        <w:rPr>
          <w:rFonts w:asciiTheme="minorHAnsi" w:hAnsiTheme="minorHAnsi"/>
          <w:sz w:val="21"/>
          <w:szCs w:val="21"/>
        </w:rPr>
        <w:t>34.9</w:t>
      </w:r>
      <w:r w:rsidRPr="00BE7205">
        <w:rPr>
          <w:rFonts w:asciiTheme="minorHAnsi" w:hAnsiTheme="minorHAnsi"/>
          <w:sz w:val="21"/>
          <w:szCs w:val="21"/>
        </w:rPr>
        <w:t>% of students who were ove</w:t>
      </w:r>
      <w:r w:rsidR="00675C59">
        <w:rPr>
          <w:rFonts w:asciiTheme="minorHAnsi" w:hAnsiTheme="minorHAnsi"/>
          <w:sz w:val="21"/>
          <w:szCs w:val="21"/>
        </w:rPr>
        <w:t>rweight or obese in 2011 to 32.8</w:t>
      </w:r>
      <w:r w:rsidRPr="00BE7205">
        <w:rPr>
          <w:rFonts w:asciiTheme="minorHAnsi" w:hAnsiTheme="minorHAnsi"/>
          <w:sz w:val="21"/>
          <w:szCs w:val="21"/>
        </w:rPr>
        <w:t>% of students were overweight or obe</w:t>
      </w:r>
      <w:r>
        <w:rPr>
          <w:rFonts w:asciiTheme="minorHAnsi" w:hAnsiTheme="minorHAnsi"/>
          <w:sz w:val="21"/>
          <w:szCs w:val="21"/>
        </w:rPr>
        <w:t xml:space="preserve">se in 2014. </w:t>
      </w:r>
      <w:r w:rsidRPr="00BE7205">
        <w:rPr>
          <w:rFonts w:asciiTheme="minorHAnsi" w:hAnsiTheme="minorHAnsi"/>
          <w:sz w:val="21"/>
          <w:szCs w:val="21"/>
        </w:rPr>
        <w:t>The percentage of students who were either overweight or obese was somewhat lower in grade 1 for all four years of school BMI data (27.4% to 28.3% overweight or obese) compared the other grades included in school BMI screening.</w:t>
      </w:r>
    </w:p>
    <w:p w:rsidR="001778FA" w:rsidRDefault="001778FA" w:rsidP="001778FA">
      <w:pPr>
        <w:rPr>
          <w:rFonts w:asciiTheme="minorHAnsi" w:hAnsiTheme="minorHAnsi"/>
          <w:sz w:val="21"/>
          <w:szCs w:val="21"/>
        </w:rPr>
      </w:pPr>
    </w:p>
    <w:p w:rsidR="004B55D6" w:rsidRDefault="00E8345E" w:rsidP="004B55D6">
      <w:pPr>
        <w:pStyle w:val="NormalWeb"/>
        <w:spacing w:before="0" w:beforeAutospacing="0" w:after="0" w:afterAutospacing="0" w:line="240" w:lineRule="atLeast"/>
        <w:rPr>
          <w:rFonts w:asciiTheme="minorHAnsi" w:hAnsiTheme="minorHAnsi" w:cs="Arial"/>
          <w:color w:val="000000"/>
          <w:sz w:val="21"/>
          <w:szCs w:val="21"/>
        </w:rPr>
      </w:pPr>
      <w:r w:rsidRPr="00E8345E">
        <w:rPr>
          <w:rFonts w:asciiTheme="minorHAnsi" w:hAnsiTheme="minorHAnsi"/>
          <w:sz w:val="21"/>
          <w:szCs w:val="21"/>
        </w:rPr>
        <w:t xml:space="preserve">This data brief summarizes the results from Body Mass Index (BMI) screening in Massachusetts public school districts for the 2012, 2013, and 2014 school years. </w:t>
      </w:r>
      <w:r w:rsidRPr="00E8345E">
        <w:rPr>
          <w:rFonts w:asciiTheme="minorHAnsi" w:hAnsiTheme="minorHAnsi" w:cs="Arial"/>
          <w:color w:val="000000"/>
          <w:sz w:val="21"/>
          <w:szCs w:val="21"/>
        </w:rPr>
        <w:t xml:space="preserve">To address the significant public health problem of obesity, the Massachusetts Department of Public Health (DPH) launched </w:t>
      </w:r>
      <w:r w:rsidR="000332DD">
        <w:rPr>
          <w:rFonts w:asciiTheme="minorHAnsi" w:hAnsiTheme="minorHAnsi" w:cs="Arial"/>
          <w:color w:val="000000"/>
          <w:sz w:val="21"/>
          <w:szCs w:val="21"/>
        </w:rPr>
        <w:t>its multifaceted</w:t>
      </w:r>
      <w:r w:rsidRPr="00E8345E">
        <w:rPr>
          <w:rFonts w:asciiTheme="minorHAnsi" w:hAnsiTheme="minorHAnsi" w:cs="Arial"/>
          <w:color w:val="000000"/>
          <w:sz w:val="21"/>
          <w:szCs w:val="21"/>
        </w:rPr>
        <w:t xml:space="preserve"> statewide Mass in Motion initiative in January 2009. As a key component of the Mass in Motion initiative, in April 2009, the Public Health Council unanimously approved a regulation requiring school systems to measure the height and weight of public school students in grades 1, 4, 7 and 10 and use those figures to calculate their BMI.  BMI is a method of determining if a child has a healthy weight compared to other children of the same age and sex.  Children with a high BMI</w:t>
      </w:r>
      <w:r w:rsidR="00FA60B1">
        <w:rPr>
          <w:rFonts w:asciiTheme="minorHAnsi" w:hAnsiTheme="minorHAnsi" w:cs="Arial"/>
          <w:color w:val="000000"/>
          <w:sz w:val="21"/>
          <w:szCs w:val="21"/>
        </w:rPr>
        <w:t>-</w:t>
      </w:r>
      <w:r w:rsidR="00403A75">
        <w:rPr>
          <w:rFonts w:asciiTheme="minorHAnsi" w:hAnsiTheme="minorHAnsi" w:cs="Arial"/>
          <w:color w:val="000000"/>
          <w:sz w:val="21"/>
          <w:szCs w:val="21"/>
        </w:rPr>
        <w:t>for</w:t>
      </w:r>
      <w:r w:rsidR="00FA60B1">
        <w:rPr>
          <w:rFonts w:asciiTheme="minorHAnsi" w:hAnsiTheme="minorHAnsi" w:cs="Arial"/>
          <w:color w:val="000000"/>
          <w:sz w:val="21"/>
          <w:szCs w:val="21"/>
        </w:rPr>
        <w:t>-</w:t>
      </w:r>
      <w:r w:rsidR="00403A75">
        <w:rPr>
          <w:rFonts w:asciiTheme="minorHAnsi" w:hAnsiTheme="minorHAnsi" w:cs="Arial"/>
          <w:color w:val="000000"/>
          <w:sz w:val="21"/>
          <w:szCs w:val="21"/>
        </w:rPr>
        <w:t>age</w:t>
      </w:r>
      <w:r w:rsidRPr="00E8345E">
        <w:rPr>
          <w:rFonts w:asciiTheme="minorHAnsi" w:hAnsiTheme="minorHAnsi" w:cs="Arial"/>
          <w:color w:val="000000"/>
          <w:sz w:val="21"/>
          <w:szCs w:val="21"/>
        </w:rPr>
        <w:t xml:space="preserve"> are more likely to become overweight or obese adults and be at a higher risk for diabetes, heart disease and some cancers. Helping children attain a healthy weight now, and stay at a healthy weight, may prevent serious illness later in life.</w:t>
      </w:r>
      <w:r w:rsidR="004B55D6">
        <w:rPr>
          <w:rFonts w:asciiTheme="minorHAnsi" w:hAnsiTheme="minorHAnsi" w:cs="Arial"/>
          <w:color w:val="000000"/>
          <w:sz w:val="21"/>
          <w:szCs w:val="21"/>
        </w:rPr>
        <w:t xml:space="preserve"> These reports provide </w:t>
      </w:r>
      <w:r w:rsidR="00BE7205">
        <w:rPr>
          <w:rFonts w:asciiTheme="minorHAnsi" w:hAnsiTheme="minorHAnsi" w:cs="Arial"/>
          <w:color w:val="000000"/>
          <w:sz w:val="21"/>
          <w:szCs w:val="21"/>
        </w:rPr>
        <w:t xml:space="preserve">actionable </w:t>
      </w:r>
      <w:r w:rsidR="004B55D6">
        <w:rPr>
          <w:rFonts w:asciiTheme="minorHAnsi" w:hAnsiTheme="minorHAnsi" w:cs="Arial"/>
          <w:color w:val="000000"/>
          <w:sz w:val="21"/>
          <w:szCs w:val="21"/>
        </w:rPr>
        <w:t xml:space="preserve">local data to the public and communities participating in school BMI screenings. </w:t>
      </w:r>
      <w:r w:rsidR="00405C64">
        <w:rPr>
          <w:rFonts w:asciiTheme="minorHAnsi" w:hAnsiTheme="minorHAnsi" w:cs="Arial"/>
          <w:color w:val="000000"/>
          <w:sz w:val="21"/>
          <w:szCs w:val="21"/>
        </w:rPr>
        <w:t>I</w:t>
      </w:r>
      <w:r w:rsidR="004B55D6">
        <w:rPr>
          <w:rFonts w:asciiTheme="minorHAnsi" w:hAnsiTheme="minorHAnsi" w:cs="Arial"/>
          <w:color w:val="000000"/>
          <w:sz w:val="21"/>
          <w:szCs w:val="21"/>
        </w:rPr>
        <w:t xml:space="preserve">n 2013-2014 </w:t>
      </w:r>
      <w:r w:rsidR="00BE7205">
        <w:rPr>
          <w:rFonts w:asciiTheme="minorHAnsi" w:hAnsiTheme="minorHAnsi" w:cs="Arial"/>
          <w:color w:val="000000"/>
          <w:sz w:val="21"/>
          <w:szCs w:val="21"/>
        </w:rPr>
        <w:t xml:space="preserve">school </w:t>
      </w:r>
      <w:proofErr w:type="gramStart"/>
      <w:r w:rsidR="00BE7205">
        <w:rPr>
          <w:rFonts w:asciiTheme="minorHAnsi" w:hAnsiTheme="minorHAnsi" w:cs="Arial"/>
          <w:color w:val="000000"/>
          <w:sz w:val="21"/>
          <w:szCs w:val="21"/>
        </w:rPr>
        <w:t>year</w:t>
      </w:r>
      <w:proofErr w:type="gramEnd"/>
      <w:r w:rsidR="004B55D6">
        <w:rPr>
          <w:rFonts w:asciiTheme="minorHAnsi" w:hAnsiTheme="minorHAnsi" w:cs="Arial"/>
          <w:color w:val="000000"/>
          <w:sz w:val="21"/>
          <w:szCs w:val="21"/>
        </w:rPr>
        <w:t xml:space="preserve"> there were 66.0% of students of healthy weight compared to </w:t>
      </w:r>
      <w:r w:rsidR="00405C64">
        <w:rPr>
          <w:rFonts w:asciiTheme="minorHAnsi" w:hAnsiTheme="minorHAnsi" w:cs="Arial"/>
          <w:color w:val="000000"/>
          <w:sz w:val="21"/>
          <w:szCs w:val="21"/>
        </w:rPr>
        <w:t>65.9% in 2012-2013 school year and 65.6% in 2011-2012 school year.</w:t>
      </w:r>
      <w:r w:rsidR="004B55D6">
        <w:rPr>
          <w:rFonts w:asciiTheme="minorHAnsi" w:hAnsiTheme="minorHAnsi" w:cs="Arial"/>
          <w:color w:val="000000"/>
          <w:sz w:val="21"/>
          <w:szCs w:val="21"/>
        </w:rPr>
        <w:t xml:space="preserve"> </w:t>
      </w:r>
    </w:p>
    <w:p w:rsidR="00E8345E" w:rsidRDefault="00E8345E" w:rsidP="00E8345E">
      <w:pPr>
        <w:pStyle w:val="NormalWeb"/>
        <w:spacing w:before="0" w:beforeAutospacing="0" w:after="0" w:afterAutospacing="0" w:line="240" w:lineRule="atLeast"/>
        <w:rPr>
          <w:rFonts w:asciiTheme="minorHAnsi" w:hAnsiTheme="minorHAnsi" w:cs="Arial"/>
          <w:sz w:val="21"/>
          <w:szCs w:val="21"/>
        </w:rPr>
      </w:pPr>
    </w:p>
    <w:p w:rsidR="00405C64" w:rsidRDefault="00405C64" w:rsidP="00405C64">
      <w:pPr>
        <w:rPr>
          <w:rFonts w:asciiTheme="minorHAnsi" w:hAnsiTheme="minorHAnsi"/>
          <w:b/>
          <w:sz w:val="21"/>
          <w:szCs w:val="21"/>
        </w:rPr>
      </w:pPr>
      <w:r w:rsidRPr="00037990">
        <w:rPr>
          <w:rFonts w:asciiTheme="minorHAnsi" w:hAnsiTheme="minorHAnsi"/>
          <w:b/>
          <w:sz w:val="21"/>
          <w:szCs w:val="21"/>
        </w:rPr>
        <w:t xml:space="preserve">Exhibit 1: </w:t>
      </w:r>
      <w:r>
        <w:rPr>
          <w:rFonts w:asciiTheme="minorHAnsi" w:hAnsiTheme="minorHAnsi"/>
          <w:b/>
          <w:sz w:val="21"/>
          <w:szCs w:val="21"/>
        </w:rPr>
        <w:t>Percentage of Overweight or Obese Students by Grade in Massachusetts from 2011-2014</w:t>
      </w:r>
    </w:p>
    <w:p w:rsidR="00BE7205" w:rsidRPr="00037990" w:rsidRDefault="00BE7205" w:rsidP="00405C64">
      <w:pPr>
        <w:rPr>
          <w:rFonts w:asciiTheme="minorHAnsi" w:hAnsiTheme="minorHAnsi"/>
          <w:b/>
          <w:sz w:val="21"/>
          <w:szCs w:val="21"/>
        </w:rPr>
      </w:pPr>
    </w:p>
    <w:p w:rsidR="002460D6" w:rsidRDefault="00E9504B" w:rsidP="00E9504B">
      <w:pPr>
        <w:pStyle w:val="NormalWeb"/>
        <w:spacing w:before="0" w:beforeAutospacing="0" w:after="0" w:afterAutospacing="0" w:line="240" w:lineRule="atLeast"/>
        <w:jc w:val="center"/>
        <w:rPr>
          <w:rFonts w:asciiTheme="minorHAnsi" w:hAnsiTheme="minorHAnsi" w:cs="Arial"/>
          <w:sz w:val="21"/>
          <w:szCs w:val="21"/>
        </w:rPr>
      </w:pPr>
      <w:r>
        <w:rPr>
          <w:noProof/>
        </w:rPr>
        <w:drawing>
          <wp:inline distT="0" distB="0" distL="0" distR="0" wp14:anchorId="3B884E82" wp14:editId="7738A61E">
            <wp:extent cx="4572000" cy="2743200"/>
            <wp:effectExtent l="0" t="0" r="19050" b="19050"/>
            <wp:docPr id="2" name="Chart 2" title="Overweight or Obese Student Popul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78FA" w:rsidRDefault="001778FA" w:rsidP="001778FA">
      <w:pPr>
        <w:pStyle w:val="NormalWeb"/>
        <w:spacing w:before="0" w:beforeAutospacing="0" w:after="0" w:afterAutospacing="0" w:line="240" w:lineRule="atLeast"/>
        <w:rPr>
          <w:rFonts w:asciiTheme="minorHAnsi" w:hAnsiTheme="minorHAnsi" w:cs="Arial"/>
          <w:color w:val="000000"/>
          <w:sz w:val="21"/>
          <w:szCs w:val="21"/>
        </w:rPr>
      </w:pPr>
    </w:p>
    <w:p w:rsidR="001778FA" w:rsidRDefault="001778FA" w:rsidP="001778FA">
      <w:pPr>
        <w:pStyle w:val="NormalWeb"/>
        <w:spacing w:before="0" w:beforeAutospacing="0" w:after="0" w:afterAutospacing="0" w:line="240" w:lineRule="atLeast"/>
        <w:rPr>
          <w:rFonts w:asciiTheme="minorHAnsi" w:hAnsiTheme="minorHAnsi" w:cs="Arial"/>
          <w:sz w:val="21"/>
          <w:szCs w:val="21"/>
        </w:rPr>
      </w:pPr>
      <w:r w:rsidRPr="00E8345E">
        <w:rPr>
          <w:rFonts w:asciiTheme="minorHAnsi" w:hAnsiTheme="minorHAnsi" w:cs="Arial"/>
          <w:sz w:val="21"/>
          <w:szCs w:val="21"/>
        </w:rPr>
        <w:t xml:space="preserve">The reports attached to this data brief include data from the public school districts that submitted BMI data for the 2011-2012, 2012-2013, and 2013-2014 school years. </w:t>
      </w:r>
      <w:r>
        <w:rPr>
          <w:rFonts w:asciiTheme="minorHAnsi" w:hAnsiTheme="minorHAnsi" w:cs="Arial"/>
          <w:sz w:val="21"/>
          <w:szCs w:val="21"/>
        </w:rPr>
        <w:t xml:space="preserve">These reports include the results of BMI </w:t>
      </w:r>
      <w:r>
        <w:rPr>
          <w:rFonts w:asciiTheme="minorHAnsi" w:hAnsiTheme="minorHAnsi" w:cs="Arial"/>
          <w:sz w:val="21"/>
          <w:szCs w:val="21"/>
        </w:rPr>
        <w:lastRenderedPageBreak/>
        <w:t xml:space="preserve">screenings on 84-87% of Massachusetts public school students in grades 1, 4, 7 and 10. The report on the results of the BMI screenings from 2010-2011 was previously released and represented 77% of Massachusetts public school students in grades 1, 4, 7 and 10. </w:t>
      </w:r>
      <w:r w:rsidRPr="004B55D6">
        <w:rPr>
          <w:rFonts w:asciiTheme="minorHAnsi" w:hAnsiTheme="minorHAnsi" w:cs="Arial"/>
          <w:sz w:val="21"/>
          <w:szCs w:val="21"/>
        </w:rPr>
        <w:t xml:space="preserve">BMI statistics at the local level may vary from year to year due to factors that do not reflect long term trends, and changes in any single year should be interpreted with caution. Trends over longer time periods (5 to 6 years or more) are more meaningful than increases or decreases in a single year.  </w:t>
      </w:r>
    </w:p>
    <w:p w:rsidR="000332DD" w:rsidRDefault="000332DD" w:rsidP="001778FA">
      <w:pPr>
        <w:pStyle w:val="NormalWeb"/>
        <w:spacing w:before="0" w:beforeAutospacing="0" w:after="0" w:afterAutospacing="0" w:line="240" w:lineRule="atLeast"/>
        <w:rPr>
          <w:rFonts w:asciiTheme="minorHAnsi" w:hAnsiTheme="minorHAnsi" w:cs="Arial"/>
          <w:sz w:val="21"/>
          <w:szCs w:val="21"/>
        </w:rPr>
      </w:pPr>
    </w:p>
    <w:p w:rsidR="007B39D7" w:rsidRDefault="007B39D7" w:rsidP="001778FA">
      <w:pPr>
        <w:pStyle w:val="NormalWeb"/>
        <w:spacing w:before="0" w:beforeAutospacing="0" w:after="0" w:afterAutospacing="0" w:line="240" w:lineRule="atLeast"/>
        <w:rPr>
          <w:rFonts w:asciiTheme="minorHAnsi" w:hAnsiTheme="minorHAnsi" w:cs="Arial"/>
          <w:sz w:val="21"/>
          <w:szCs w:val="21"/>
          <w:u w:val="single"/>
        </w:rPr>
      </w:pPr>
    </w:p>
    <w:p w:rsidR="000332DD" w:rsidRDefault="000332DD" w:rsidP="001778FA">
      <w:pPr>
        <w:pStyle w:val="NormalWeb"/>
        <w:spacing w:before="0" w:beforeAutospacing="0" w:after="0" w:afterAutospacing="0" w:line="240" w:lineRule="atLeast"/>
        <w:rPr>
          <w:rFonts w:asciiTheme="minorHAnsi" w:hAnsiTheme="minorHAnsi" w:cs="Arial"/>
          <w:sz w:val="21"/>
          <w:szCs w:val="21"/>
        </w:rPr>
      </w:pPr>
      <w:r>
        <w:rPr>
          <w:rFonts w:asciiTheme="minorHAnsi" w:hAnsiTheme="minorHAnsi" w:cs="Arial"/>
          <w:sz w:val="21"/>
          <w:szCs w:val="21"/>
          <w:u w:val="single"/>
        </w:rPr>
        <w:t>Department of Public Health Efforts to Address Overweight and Obesity</w:t>
      </w:r>
    </w:p>
    <w:p w:rsidR="000332DD" w:rsidRPr="000332DD" w:rsidRDefault="000332DD" w:rsidP="001778FA">
      <w:pPr>
        <w:pStyle w:val="NormalWeb"/>
        <w:spacing w:before="0" w:beforeAutospacing="0" w:after="0" w:afterAutospacing="0" w:line="240" w:lineRule="atLeast"/>
        <w:rPr>
          <w:rFonts w:ascii="Arial" w:hAnsi="Arial" w:cs="Arial"/>
          <w:color w:val="000000"/>
        </w:rPr>
      </w:pPr>
    </w:p>
    <w:p w:rsidR="000332DD" w:rsidRDefault="000332DD" w:rsidP="000332DD">
      <w:pPr>
        <w:rPr>
          <w:rFonts w:asciiTheme="minorHAnsi" w:hAnsiTheme="minorHAnsi" w:cs="ITC Franklin Gothic Std Book"/>
          <w:color w:val="000000"/>
          <w:sz w:val="21"/>
          <w:szCs w:val="21"/>
        </w:rPr>
      </w:pPr>
      <w:r w:rsidRPr="000332DD">
        <w:rPr>
          <w:rFonts w:asciiTheme="minorHAnsi" w:hAnsiTheme="minorHAnsi"/>
          <w:sz w:val="21"/>
          <w:szCs w:val="21"/>
        </w:rPr>
        <w:t xml:space="preserve">Mass in Motion is a multi-faceted campaign launched by the Massachusetts Department of Public Health in January 2009 to promote wellness and to reduce the burden of obesity and chronic disease with a particular focus on the importance of healthy eating and active living at home, at work, at school and in our communities.  </w:t>
      </w:r>
      <w:proofErr w:type="gramStart"/>
      <w:r w:rsidRPr="000332DD">
        <w:rPr>
          <w:rFonts w:asciiTheme="minorHAnsi" w:hAnsiTheme="minorHAnsi"/>
          <w:color w:val="000000"/>
          <w:sz w:val="21"/>
          <w:szCs w:val="21"/>
        </w:rPr>
        <w:t>Mass in Motion partners with municipal and state governments, schools, and businesses to create conditions and environments that make the healthy choice the easy choice.</w:t>
      </w:r>
      <w:proofErr w:type="gramEnd"/>
      <w:r w:rsidRPr="000332DD">
        <w:rPr>
          <w:rFonts w:asciiTheme="minorHAnsi" w:hAnsiTheme="minorHAnsi"/>
          <w:color w:val="000000"/>
          <w:sz w:val="21"/>
          <w:szCs w:val="21"/>
        </w:rPr>
        <w:t xml:space="preserve"> </w:t>
      </w:r>
      <w:r w:rsidRPr="000332DD">
        <w:rPr>
          <w:rFonts w:asciiTheme="minorHAnsi" w:hAnsiTheme="minorHAnsi"/>
          <w:sz w:val="21"/>
          <w:szCs w:val="21"/>
        </w:rPr>
        <w:t xml:space="preserve"> </w:t>
      </w:r>
      <w:r w:rsidRPr="000332DD">
        <w:rPr>
          <w:rFonts w:asciiTheme="minorHAnsi" w:hAnsiTheme="minorHAnsi"/>
          <w:color w:val="000000"/>
          <w:sz w:val="21"/>
          <w:szCs w:val="21"/>
        </w:rPr>
        <w:t xml:space="preserve">Mass in Motion works with communities to create walkable neighborhoods and ensures community members can easily access and afford healthy foods.  </w:t>
      </w:r>
      <w:proofErr w:type="gramStart"/>
      <w:r w:rsidRPr="000332DD">
        <w:rPr>
          <w:rFonts w:asciiTheme="minorHAnsi" w:hAnsiTheme="minorHAnsi"/>
          <w:color w:val="000000"/>
          <w:sz w:val="21"/>
          <w:szCs w:val="21"/>
        </w:rPr>
        <w:t>Mass in Motion works with schools to make healthy foods available for school lunches for our children.</w:t>
      </w:r>
      <w:proofErr w:type="gramEnd"/>
      <w:r w:rsidRPr="000332DD">
        <w:rPr>
          <w:rFonts w:asciiTheme="minorHAnsi" w:hAnsiTheme="minorHAnsi"/>
          <w:color w:val="000000"/>
          <w:sz w:val="21"/>
          <w:szCs w:val="21"/>
        </w:rPr>
        <w:t xml:space="preserve"> </w:t>
      </w:r>
      <w:r>
        <w:rPr>
          <w:rFonts w:asciiTheme="minorHAnsi" w:hAnsiTheme="minorHAnsi"/>
          <w:color w:val="000000"/>
          <w:sz w:val="21"/>
          <w:szCs w:val="21"/>
        </w:rPr>
        <w:t>In addition to the school height and weight measurement requirements, under the Mass in Motion initiative the Department of Public Health promulgated pioneering school nutrition regulations in 2011 and revised these in 2013.</w:t>
      </w:r>
      <w:r w:rsidRPr="000332DD">
        <w:rPr>
          <w:rFonts w:asciiTheme="minorHAnsi" w:hAnsiTheme="minorHAnsi"/>
          <w:color w:val="000000"/>
          <w:sz w:val="21"/>
          <w:szCs w:val="21"/>
        </w:rPr>
        <w:t xml:space="preserve"> Working within existing systems like these and forming multi-sector partnerships among organizations that put people’s health first is what allows Mass in Motion a unique opportunity to make real changes to policies that affect health.</w:t>
      </w:r>
      <w:r w:rsidRPr="000332DD">
        <w:rPr>
          <w:rFonts w:asciiTheme="minorHAnsi" w:hAnsiTheme="minorHAnsi" w:cs="ITC Franklin Gothic Std Book"/>
          <w:color w:val="000000"/>
          <w:sz w:val="21"/>
          <w:szCs w:val="21"/>
        </w:rPr>
        <w:t xml:space="preserve"> </w:t>
      </w:r>
    </w:p>
    <w:p w:rsidR="000332DD" w:rsidRPr="000332DD" w:rsidRDefault="000332DD" w:rsidP="000332DD">
      <w:pPr>
        <w:rPr>
          <w:rFonts w:asciiTheme="minorHAnsi" w:hAnsiTheme="minorHAnsi" w:cs="ITC Franklin Gothic Std Book"/>
          <w:color w:val="000000"/>
          <w:sz w:val="21"/>
          <w:szCs w:val="21"/>
        </w:rPr>
      </w:pPr>
    </w:p>
    <w:p w:rsidR="00E16CE5" w:rsidRPr="000332DD" w:rsidRDefault="000332DD" w:rsidP="000332DD">
      <w:pPr>
        <w:rPr>
          <w:rFonts w:asciiTheme="minorHAnsi" w:hAnsiTheme="minorHAnsi"/>
          <w:sz w:val="21"/>
          <w:szCs w:val="21"/>
        </w:rPr>
      </w:pPr>
      <w:r w:rsidRPr="000332DD">
        <w:rPr>
          <w:rFonts w:asciiTheme="minorHAnsi" w:hAnsiTheme="minorHAnsi"/>
          <w:sz w:val="21"/>
          <w:szCs w:val="21"/>
        </w:rPr>
        <w:t xml:space="preserve">The Municipal Wellness and Leadership Program is one component of the overall Mass in Motion initiative and provides grants to cities and towns to make wellness a priority and support their efforts to tackle the root causes of chronic disease such as poor diet and lack of physical activity. This is a public/private partnership between MDPH and private funding partners including The Boston Foundation, The Metro West Community Health Care Foundation, Partners Health Care and the Tufts Health Plan Foundation. </w:t>
      </w:r>
      <w:r w:rsidRPr="000332DD">
        <w:rPr>
          <w:rFonts w:asciiTheme="minorHAnsi" w:hAnsiTheme="minorHAnsi"/>
          <w:bCs/>
          <w:color w:val="000000"/>
          <w:sz w:val="21"/>
          <w:szCs w:val="21"/>
        </w:rPr>
        <w:t xml:space="preserve">Mass in Motion’s Municipal Wellness and Leadership Program </w:t>
      </w:r>
      <w:r w:rsidRPr="000332DD">
        <w:rPr>
          <w:rFonts w:asciiTheme="minorHAnsi" w:hAnsiTheme="minorHAnsi"/>
          <w:color w:val="000000"/>
          <w:sz w:val="21"/>
          <w:szCs w:val="21"/>
        </w:rPr>
        <w:t>is making healthy food and an active lifestyle more accessible in Massachusetts communities. Mass in Motion works to change the way cities and towns do business by helping to shape policies and practices that create environments supportive of healthy eating and active living.  Mass in Motion programs serve as catalysts of change, creating a network of diverse partners committed to advancing the health of their communities.</w:t>
      </w:r>
    </w:p>
    <w:sectPr w:rsidR="00E16CE5" w:rsidRPr="000332DD" w:rsidSect="00FB4948">
      <w:footerReference w:type="default" r:id="rId11"/>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F23" w:rsidRDefault="00211F23" w:rsidP="007C32A4">
      <w:r>
        <w:separator/>
      </w:r>
    </w:p>
  </w:endnote>
  <w:endnote w:type="continuationSeparator" w:id="0">
    <w:p w:rsidR="00211F23" w:rsidRDefault="00211F23"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08595"/>
      <w:docPartObj>
        <w:docPartGallery w:val="Page Numbers (Bottom of Page)"/>
        <w:docPartUnique/>
      </w:docPartObj>
    </w:sdtPr>
    <w:sdtEndPr>
      <w:rPr>
        <w:noProof/>
        <w:sz w:val="18"/>
        <w:szCs w:val="18"/>
      </w:rPr>
    </w:sdtEndPr>
    <w:sdtContent>
      <w:p w:rsidR="0011627D" w:rsidRDefault="0011627D">
        <w:pPr>
          <w:pStyle w:val="Footer"/>
          <w:jc w:val="right"/>
        </w:pPr>
      </w:p>
      <w:p w:rsidR="0011627D" w:rsidRPr="0011627D" w:rsidRDefault="0011627D">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7F4169">
          <w:rPr>
            <w:noProof/>
            <w:sz w:val="18"/>
            <w:szCs w:val="18"/>
          </w:rPr>
          <w:t>2</w:t>
        </w:r>
        <w:r w:rsidRPr="0011627D">
          <w:rPr>
            <w:noProof/>
            <w:sz w:val="18"/>
            <w:szCs w:val="18"/>
          </w:rPr>
          <w:fldChar w:fldCharType="end"/>
        </w:r>
      </w:p>
    </w:sdtContent>
  </w:sdt>
  <w:p w:rsidR="00C4340E" w:rsidRDefault="00C43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F23" w:rsidRDefault="00211F23" w:rsidP="007C32A4">
      <w:r>
        <w:separator/>
      </w:r>
    </w:p>
  </w:footnote>
  <w:footnote w:type="continuationSeparator" w:id="0">
    <w:p w:rsidR="00211F23" w:rsidRDefault="00211F23"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305E4"/>
    <w:rsid w:val="0003225B"/>
    <w:rsid w:val="000322AD"/>
    <w:rsid w:val="000332DD"/>
    <w:rsid w:val="00034994"/>
    <w:rsid w:val="00037990"/>
    <w:rsid w:val="00044FFF"/>
    <w:rsid w:val="00046A3F"/>
    <w:rsid w:val="00056028"/>
    <w:rsid w:val="00060DE2"/>
    <w:rsid w:val="000665E3"/>
    <w:rsid w:val="000701B6"/>
    <w:rsid w:val="00074594"/>
    <w:rsid w:val="0007643F"/>
    <w:rsid w:val="00081E61"/>
    <w:rsid w:val="00084B65"/>
    <w:rsid w:val="000909E7"/>
    <w:rsid w:val="00091641"/>
    <w:rsid w:val="000934BB"/>
    <w:rsid w:val="000B7A65"/>
    <w:rsid w:val="000C1559"/>
    <w:rsid w:val="000C56BA"/>
    <w:rsid w:val="000C56F3"/>
    <w:rsid w:val="000C7465"/>
    <w:rsid w:val="000C7A61"/>
    <w:rsid w:val="000D05F8"/>
    <w:rsid w:val="000D0C2A"/>
    <w:rsid w:val="000D2679"/>
    <w:rsid w:val="000E1BDC"/>
    <w:rsid w:val="000E36D3"/>
    <w:rsid w:val="000F157F"/>
    <w:rsid w:val="000F2527"/>
    <w:rsid w:val="000F4674"/>
    <w:rsid w:val="00107032"/>
    <w:rsid w:val="001072C1"/>
    <w:rsid w:val="0011627D"/>
    <w:rsid w:val="00117562"/>
    <w:rsid w:val="00120DB5"/>
    <w:rsid w:val="001279BC"/>
    <w:rsid w:val="00136AB3"/>
    <w:rsid w:val="0014011C"/>
    <w:rsid w:val="00140AF2"/>
    <w:rsid w:val="001410AA"/>
    <w:rsid w:val="0015219B"/>
    <w:rsid w:val="0015294F"/>
    <w:rsid w:val="001544F3"/>
    <w:rsid w:val="00166097"/>
    <w:rsid w:val="00166E92"/>
    <w:rsid w:val="00175A60"/>
    <w:rsid w:val="00176A73"/>
    <w:rsid w:val="001778FA"/>
    <w:rsid w:val="00182EC3"/>
    <w:rsid w:val="00183213"/>
    <w:rsid w:val="0019456E"/>
    <w:rsid w:val="0019714E"/>
    <w:rsid w:val="001A125B"/>
    <w:rsid w:val="001B1377"/>
    <w:rsid w:val="001B2472"/>
    <w:rsid w:val="001B56F9"/>
    <w:rsid w:val="001B69EE"/>
    <w:rsid w:val="0020067B"/>
    <w:rsid w:val="00211F23"/>
    <w:rsid w:val="0021457C"/>
    <w:rsid w:val="00220530"/>
    <w:rsid w:val="0022428B"/>
    <w:rsid w:val="0022742A"/>
    <w:rsid w:val="00237FD2"/>
    <w:rsid w:val="002421BB"/>
    <w:rsid w:val="002460D6"/>
    <w:rsid w:val="00246D0F"/>
    <w:rsid w:val="00247048"/>
    <w:rsid w:val="0025387F"/>
    <w:rsid w:val="00254E59"/>
    <w:rsid w:val="00261995"/>
    <w:rsid w:val="00262E28"/>
    <w:rsid w:val="00263563"/>
    <w:rsid w:val="00266428"/>
    <w:rsid w:val="00267AE5"/>
    <w:rsid w:val="00270E37"/>
    <w:rsid w:val="00270E83"/>
    <w:rsid w:val="002771FA"/>
    <w:rsid w:val="002774F4"/>
    <w:rsid w:val="002A2A2E"/>
    <w:rsid w:val="002A5447"/>
    <w:rsid w:val="002A700B"/>
    <w:rsid w:val="002B0268"/>
    <w:rsid w:val="002B3060"/>
    <w:rsid w:val="002B32E2"/>
    <w:rsid w:val="002B7C77"/>
    <w:rsid w:val="002C4015"/>
    <w:rsid w:val="002D0514"/>
    <w:rsid w:val="002D7F14"/>
    <w:rsid w:val="002E74D6"/>
    <w:rsid w:val="002F3A80"/>
    <w:rsid w:val="003021AA"/>
    <w:rsid w:val="00306DE5"/>
    <w:rsid w:val="00331EB3"/>
    <w:rsid w:val="00340AD9"/>
    <w:rsid w:val="00343CF1"/>
    <w:rsid w:val="00345C20"/>
    <w:rsid w:val="003522F4"/>
    <w:rsid w:val="003545C6"/>
    <w:rsid w:val="00360AA1"/>
    <w:rsid w:val="0036538C"/>
    <w:rsid w:val="00366626"/>
    <w:rsid w:val="00372714"/>
    <w:rsid w:val="00372C20"/>
    <w:rsid w:val="003A2ABD"/>
    <w:rsid w:val="003A2E3D"/>
    <w:rsid w:val="003A5F9D"/>
    <w:rsid w:val="003B12FC"/>
    <w:rsid w:val="003B60D6"/>
    <w:rsid w:val="003C7797"/>
    <w:rsid w:val="003D1855"/>
    <w:rsid w:val="003D3013"/>
    <w:rsid w:val="003E7FBC"/>
    <w:rsid w:val="003F2E98"/>
    <w:rsid w:val="003F3A55"/>
    <w:rsid w:val="003F5FDE"/>
    <w:rsid w:val="00401350"/>
    <w:rsid w:val="00403A75"/>
    <w:rsid w:val="00405C64"/>
    <w:rsid w:val="00406153"/>
    <w:rsid w:val="00414926"/>
    <w:rsid w:val="004166A2"/>
    <w:rsid w:val="00420380"/>
    <w:rsid w:val="00425870"/>
    <w:rsid w:val="00426B4D"/>
    <w:rsid w:val="00427B7B"/>
    <w:rsid w:val="004331A6"/>
    <w:rsid w:val="00434045"/>
    <w:rsid w:val="004374A2"/>
    <w:rsid w:val="004405B0"/>
    <w:rsid w:val="004424BE"/>
    <w:rsid w:val="00461688"/>
    <w:rsid w:val="0046198F"/>
    <w:rsid w:val="00461F78"/>
    <w:rsid w:val="00462F04"/>
    <w:rsid w:val="00491188"/>
    <w:rsid w:val="004A5F97"/>
    <w:rsid w:val="004B0BFE"/>
    <w:rsid w:val="004B55D6"/>
    <w:rsid w:val="004C171A"/>
    <w:rsid w:val="004D01C9"/>
    <w:rsid w:val="004D5B08"/>
    <w:rsid w:val="004E060B"/>
    <w:rsid w:val="005003D0"/>
    <w:rsid w:val="00504668"/>
    <w:rsid w:val="0050567F"/>
    <w:rsid w:val="00506251"/>
    <w:rsid w:val="0051017C"/>
    <w:rsid w:val="00516975"/>
    <w:rsid w:val="00522090"/>
    <w:rsid w:val="00530D9D"/>
    <w:rsid w:val="00545AB8"/>
    <w:rsid w:val="00553139"/>
    <w:rsid w:val="00563C4B"/>
    <w:rsid w:val="00563DD5"/>
    <w:rsid w:val="00565751"/>
    <w:rsid w:val="0057111F"/>
    <w:rsid w:val="0057183B"/>
    <w:rsid w:val="00573445"/>
    <w:rsid w:val="00573EED"/>
    <w:rsid w:val="00581C0B"/>
    <w:rsid w:val="00582985"/>
    <w:rsid w:val="00592309"/>
    <w:rsid w:val="00597400"/>
    <w:rsid w:val="005B1035"/>
    <w:rsid w:val="005B2278"/>
    <w:rsid w:val="005B4541"/>
    <w:rsid w:val="005B5287"/>
    <w:rsid w:val="005B7001"/>
    <w:rsid w:val="005B7769"/>
    <w:rsid w:val="005C13D0"/>
    <w:rsid w:val="005D12DC"/>
    <w:rsid w:val="005D7941"/>
    <w:rsid w:val="005E1BD6"/>
    <w:rsid w:val="006010B0"/>
    <w:rsid w:val="0061498C"/>
    <w:rsid w:val="006162B9"/>
    <w:rsid w:val="00617955"/>
    <w:rsid w:val="006237EF"/>
    <w:rsid w:val="006260CC"/>
    <w:rsid w:val="00626457"/>
    <w:rsid w:val="00645926"/>
    <w:rsid w:val="00655495"/>
    <w:rsid w:val="006661EA"/>
    <w:rsid w:val="00670DA0"/>
    <w:rsid w:val="006715C5"/>
    <w:rsid w:val="0067406A"/>
    <w:rsid w:val="00674E41"/>
    <w:rsid w:val="0067580A"/>
    <w:rsid w:val="00675C59"/>
    <w:rsid w:val="00676983"/>
    <w:rsid w:val="006861EA"/>
    <w:rsid w:val="00692DD8"/>
    <w:rsid w:val="00696B67"/>
    <w:rsid w:val="006B669A"/>
    <w:rsid w:val="006C157C"/>
    <w:rsid w:val="006C54E4"/>
    <w:rsid w:val="006C54EF"/>
    <w:rsid w:val="006D4BBF"/>
    <w:rsid w:val="006D4DEC"/>
    <w:rsid w:val="006D525A"/>
    <w:rsid w:val="006E7E12"/>
    <w:rsid w:val="0071170A"/>
    <w:rsid w:val="007155F4"/>
    <w:rsid w:val="00722A70"/>
    <w:rsid w:val="00724A24"/>
    <w:rsid w:val="0072694B"/>
    <w:rsid w:val="0073527D"/>
    <w:rsid w:val="00736B45"/>
    <w:rsid w:val="00736F32"/>
    <w:rsid w:val="00741509"/>
    <w:rsid w:val="00750E54"/>
    <w:rsid w:val="00753F66"/>
    <w:rsid w:val="007609EC"/>
    <w:rsid w:val="0076166F"/>
    <w:rsid w:val="007B08BC"/>
    <w:rsid w:val="007B2C66"/>
    <w:rsid w:val="007B39D7"/>
    <w:rsid w:val="007B4903"/>
    <w:rsid w:val="007B684E"/>
    <w:rsid w:val="007C32A4"/>
    <w:rsid w:val="007D4A92"/>
    <w:rsid w:val="007F4169"/>
    <w:rsid w:val="007F58F4"/>
    <w:rsid w:val="00812171"/>
    <w:rsid w:val="00815292"/>
    <w:rsid w:val="008210D8"/>
    <w:rsid w:val="00824354"/>
    <w:rsid w:val="00853819"/>
    <w:rsid w:val="0085554E"/>
    <w:rsid w:val="00860B54"/>
    <w:rsid w:val="0086306E"/>
    <w:rsid w:val="008745F9"/>
    <w:rsid w:val="00880300"/>
    <w:rsid w:val="008911A6"/>
    <w:rsid w:val="008961EE"/>
    <w:rsid w:val="0089766C"/>
    <w:rsid w:val="008A62CB"/>
    <w:rsid w:val="008B5565"/>
    <w:rsid w:val="008C766D"/>
    <w:rsid w:val="008D0385"/>
    <w:rsid w:val="008D24D2"/>
    <w:rsid w:val="008D4BCF"/>
    <w:rsid w:val="008E0377"/>
    <w:rsid w:val="008E0D33"/>
    <w:rsid w:val="008E59C5"/>
    <w:rsid w:val="008E78F4"/>
    <w:rsid w:val="008E7A53"/>
    <w:rsid w:val="008F0DE9"/>
    <w:rsid w:val="008F47FE"/>
    <w:rsid w:val="008F5185"/>
    <w:rsid w:val="009122FB"/>
    <w:rsid w:val="00914B0F"/>
    <w:rsid w:val="00914FF6"/>
    <w:rsid w:val="009178AF"/>
    <w:rsid w:val="00920EC9"/>
    <w:rsid w:val="00932B2C"/>
    <w:rsid w:val="00944F14"/>
    <w:rsid w:val="009477DE"/>
    <w:rsid w:val="00950D5D"/>
    <w:rsid w:val="00952E27"/>
    <w:rsid w:val="00953F2B"/>
    <w:rsid w:val="00953F32"/>
    <w:rsid w:val="00955F45"/>
    <w:rsid w:val="0095754A"/>
    <w:rsid w:val="0097192B"/>
    <w:rsid w:val="00972B8D"/>
    <w:rsid w:val="0098178E"/>
    <w:rsid w:val="00982E73"/>
    <w:rsid w:val="00984CC0"/>
    <w:rsid w:val="00996A63"/>
    <w:rsid w:val="009A0663"/>
    <w:rsid w:val="009A49B9"/>
    <w:rsid w:val="009B0838"/>
    <w:rsid w:val="009B10C2"/>
    <w:rsid w:val="009B2B34"/>
    <w:rsid w:val="009C66AC"/>
    <w:rsid w:val="009C7BD4"/>
    <w:rsid w:val="009D0629"/>
    <w:rsid w:val="009D3556"/>
    <w:rsid w:val="009D6C03"/>
    <w:rsid w:val="009D6EF0"/>
    <w:rsid w:val="009D7175"/>
    <w:rsid w:val="00A02AA0"/>
    <w:rsid w:val="00A0766E"/>
    <w:rsid w:val="00A10A6B"/>
    <w:rsid w:val="00A12D22"/>
    <w:rsid w:val="00A169E2"/>
    <w:rsid w:val="00A2292B"/>
    <w:rsid w:val="00A25584"/>
    <w:rsid w:val="00A318F0"/>
    <w:rsid w:val="00A33A29"/>
    <w:rsid w:val="00A36E68"/>
    <w:rsid w:val="00A43916"/>
    <w:rsid w:val="00A446C9"/>
    <w:rsid w:val="00A567D7"/>
    <w:rsid w:val="00A64DDD"/>
    <w:rsid w:val="00A75CAB"/>
    <w:rsid w:val="00A83FAA"/>
    <w:rsid w:val="00A86325"/>
    <w:rsid w:val="00A9156C"/>
    <w:rsid w:val="00A91A7E"/>
    <w:rsid w:val="00A92693"/>
    <w:rsid w:val="00A959FE"/>
    <w:rsid w:val="00AA09A8"/>
    <w:rsid w:val="00AB2A87"/>
    <w:rsid w:val="00AC58DE"/>
    <w:rsid w:val="00AD6095"/>
    <w:rsid w:val="00AE6113"/>
    <w:rsid w:val="00AE6ED7"/>
    <w:rsid w:val="00AE7958"/>
    <w:rsid w:val="00AF2D52"/>
    <w:rsid w:val="00AF4A01"/>
    <w:rsid w:val="00B00E65"/>
    <w:rsid w:val="00B035F6"/>
    <w:rsid w:val="00B10671"/>
    <w:rsid w:val="00B116B2"/>
    <w:rsid w:val="00B15E20"/>
    <w:rsid w:val="00B255AA"/>
    <w:rsid w:val="00B30E3F"/>
    <w:rsid w:val="00B32B2B"/>
    <w:rsid w:val="00B426FF"/>
    <w:rsid w:val="00B546C0"/>
    <w:rsid w:val="00B6321C"/>
    <w:rsid w:val="00B658D1"/>
    <w:rsid w:val="00B73BE6"/>
    <w:rsid w:val="00B77813"/>
    <w:rsid w:val="00B860C2"/>
    <w:rsid w:val="00B9176C"/>
    <w:rsid w:val="00BA4BD6"/>
    <w:rsid w:val="00BD1F87"/>
    <w:rsid w:val="00BD3732"/>
    <w:rsid w:val="00BD4F7A"/>
    <w:rsid w:val="00BE5B15"/>
    <w:rsid w:val="00BE5DC3"/>
    <w:rsid w:val="00BE6A77"/>
    <w:rsid w:val="00BE7205"/>
    <w:rsid w:val="00BF370B"/>
    <w:rsid w:val="00C05391"/>
    <w:rsid w:val="00C11E58"/>
    <w:rsid w:val="00C142B2"/>
    <w:rsid w:val="00C147CA"/>
    <w:rsid w:val="00C17FB0"/>
    <w:rsid w:val="00C2229E"/>
    <w:rsid w:val="00C32BA6"/>
    <w:rsid w:val="00C347C2"/>
    <w:rsid w:val="00C41FE0"/>
    <w:rsid w:val="00C4340E"/>
    <w:rsid w:val="00C52C29"/>
    <w:rsid w:val="00C54AB7"/>
    <w:rsid w:val="00C556D2"/>
    <w:rsid w:val="00C55744"/>
    <w:rsid w:val="00C6004F"/>
    <w:rsid w:val="00C603D3"/>
    <w:rsid w:val="00C62CD2"/>
    <w:rsid w:val="00C67143"/>
    <w:rsid w:val="00C67E24"/>
    <w:rsid w:val="00C67EE5"/>
    <w:rsid w:val="00C71219"/>
    <w:rsid w:val="00C76608"/>
    <w:rsid w:val="00C8687E"/>
    <w:rsid w:val="00C911C4"/>
    <w:rsid w:val="00CA3427"/>
    <w:rsid w:val="00CC0964"/>
    <w:rsid w:val="00CC68BC"/>
    <w:rsid w:val="00CD2FE2"/>
    <w:rsid w:val="00CE1532"/>
    <w:rsid w:val="00CE250A"/>
    <w:rsid w:val="00D02F64"/>
    <w:rsid w:val="00D26CBF"/>
    <w:rsid w:val="00D41B0D"/>
    <w:rsid w:val="00D4336A"/>
    <w:rsid w:val="00D471A6"/>
    <w:rsid w:val="00D47344"/>
    <w:rsid w:val="00D542F2"/>
    <w:rsid w:val="00D6363C"/>
    <w:rsid w:val="00D71452"/>
    <w:rsid w:val="00D82746"/>
    <w:rsid w:val="00D833DA"/>
    <w:rsid w:val="00D837F2"/>
    <w:rsid w:val="00D84C6E"/>
    <w:rsid w:val="00D94CEF"/>
    <w:rsid w:val="00D94F1B"/>
    <w:rsid w:val="00D96F41"/>
    <w:rsid w:val="00DA0670"/>
    <w:rsid w:val="00DB6D6B"/>
    <w:rsid w:val="00DC70A7"/>
    <w:rsid w:val="00DD2E94"/>
    <w:rsid w:val="00DD6A94"/>
    <w:rsid w:val="00DE2078"/>
    <w:rsid w:val="00DF2143"/>
    <w:rsid w:val="00DF2D04"/>
    <w:rsid w:val="00DF4D5C"/>
    <w:rsid w:val="00DF714E"/>
    <w:rsid w:val="00E00C8B"/>
    <w:rsid w:val="00E03AA4"/>
    <w:rsid w:val="00E0716C"/>
    <w:rsid w:val="00E13629"/>
    <w:rsid w:val="00E162BF"/>
    <w:rsid w:val="00E16CE5"/>
    <w:rsid w:val="00E200A8"/>
    <w:rsid w:val="00E3090A"/>
    <w:rsid w:val="00E37291"/>
    <w:rsid w:val="00E3731B"/>
    <w:rsid w:val="00E37A20"/>
    <w:rsid w:val="00E40A07"/>
    <w:rsid w:val="00E5287A"/>
    <w:rsid w:val="00E539E7"/>
    <w:rsid w:val="00E565CD"/>
    <w:rsid w:val="00E56FDB"/>
    <w:rsid w:val="00E570A6"/>
    <w:rsid w:val="00E63AB7"/>
    <w:rsid w:val="00E65BF1"/>
    <w:rsid w:val="00E72402"/>
    <w:rsid w:val="00E73933"/>
    <w:rsid w:val="00E74B62"/>
    <w:rsid w:val="00E80D12"/>
    <w:rsid w:val="00E8345E"/>
    <w:rsid w:val="00E86F5C"/>
    <w:rsid w:val="00E92043"/>
    <w:rsid w:val="00E9504B"/>
    <w:rsid w:val="00E95C84"/>
    <w:rsid w:val="00E964AF"/>
    <w:rsid w:val="00EA4BBA"/>
    <w:rsid w:val="00EA50D9"/>
    <w:rsid w:val="00EA6952"/>
    <w:rsid w:val="00EB0101"/>
    <w:rsid w:val="00EC4AE9"/>
    <w:rsid w:val="00ED2EFB"/>
    <w:rsid w:val="00ED7A99"/>
    <w:rsid w:val="00EE29C7"/>
    <w:rsid w:val="00EE34A6"/>
    <w:rsid w:val="00EF3234"/>
    <w:rsid w:val="00EF3406"/>
    <w:rsid w:val="00EF7221"/>
    <w:rsid w:val="00F00E8D"/>
    <w:rsid w:val="00F00F90"/>
    <w:rsid w:val="00F04906"/>
    <w:rsid w:val="00F0749F"/>
    <w:rsid w:val="00F11E0D"/>
    <w:rsid w:val="00F15225"/>
    <w:rsid w:val="00F176D8"/>
    <w:rsid w:val="00F20EE8"/>
    <w:rsid w:val="00F261D5"/>
    <w:rsid w:val="00F352C5"/>
    <w:rsid w:val="00F3713E"/>
    <w:rsid w:val="00F41C90"/>
    <w:rsid w:val="00F56995"/>
    <w:rsid w:val="00F56E60"/>
    <w:rsid w:val="00F64E80"/>
    <w:rsid w:val="00F65972"/>
    <w:rsid w:val="00F72ABE"/>
    <w:rsid w:val="00F75102"/>
    <w:rsid w:val="00F76D7A"/>
    <w:rsid w:val="00F827B9"/>
    <w:rsid w:val="00F85EFA"/>
    <w:rsid w:val="00F8631C"/>
    <w:rsid w:val="00FA01B3"/>
    <w:rsid w:val="00FA1DD0"/>
    <w:rsid w:val="00FA60B1"/>
    <w:rsid w:val="00FA6D9D"/>
    <w:rsid w:val="00FA6EA3"/>
    <w:rsid w:val="00FA7335"/>
    <w:rsid w:val="00FB4948"/>
    <w:rsid w:val="00FB63EB"/>
    <w:rsid w:val="00FD1BC5"/>
    <w:rsid w:val="00FD5CAD"/>
    <w:rsid w:val="00FD7C1A"/>
    <w:rsid w:val="00FE355C"/>
    <w:rsid w:val="00FE66BB"/>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nhideWhenUsed/>
    <w:rsid w:val="00C347C2"/>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nhideWhenUsed/>
    <w:rsid w:val="00C347C2"/>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LNasuti/AppData/Local/Microsoft/Windows/Temporary%20Internet%20Files/Content.Outlook/1T3UP91R/eRef_Dashboard_04-08-15.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Overweight or Obese</a:t>
            </a:r>
            <a:r>
              <a:rPr lang="en-US" sz="1000" baseline="0"/>
              <a:t> Students in Massachusetts:</a:t>
            </a:r>
          </a:p>
          <a:p>
            <a:pPr>
              <a:defRPr sz="1000"/>
            </a:pPr>
            <a:r>
              <a:rPr lang="en-US" sz="1000" baseline="0"/>
              <a:t> School BMI Screenings 2011-2014</a:t>
            </a:r>
            <a:endParaRPr lang="en-US" sz="1000"/>
          </a:p>
        </c:rich>
      </c:tx>
      <c:overlay val="0"/>
    </c:title>
    <c:autoTitleDeleted val="0"/>
    <c:plotArea>
      <c:layout/>
      <c:barChart>
        <c:barDir val="col"/>
        <c:grouping val="clustered"/>
        <c:varyColors val="0"/>
        <c:ser>
          <c:idx val="0"/>
          <c:order val="0"/>
          <c:tx>
            <c:strRef>
              <c:f>'[eRef_Dashboard_04-08-15.xlsx]Sheet3'!$B$3</c:f>
              <c:strCache>
                <c:ptCount val="1"/>
                <c:pt idx="0">
                  <c:v>2011</c:v>
                </c:pt>
              </c:strCache>
            </c:strRef>
          </c:tx>
          <c:spPr>
            <a:pattFill prst="dkUpDiag">
              <a:fgClr>
                <a:schemeClr val="accent1"/>
              </a:fgClr>
              <a:bgClr>
                <a:schemeClr val="bg1"/>
              </a:bgClr>
            </a:pattFill>
            <a:ln>
              <a:solidFill>
                <a:schemeClr val="accent1"/>
              </a:solidFill>
            </a:ln>
          </c:spPr>
          <c:invertIfNegative val="0"/>
          <c:cat>
            <c:numRef>
              <c:f>'[eRef_Dashboard_04-08-15.xlsx]Sheet3'!$A$4:$A$7</c:f>
              <c:numCache>
                <c:formatCode>General</c:formatCode>
                <c:ptCount val="4"/>
                <c:pt idx="0">
                  <c:v>1</c:v>
                </c:pt>
                <c:pt idx="1">
                  <c:v>4</c:v>
                </c:pt>
                <c:pt idx="2">
                  <c:v>7</c:v>
                </c:pt>
                <c:pt idx="3">
                  <c:v>10</c:v>
                </c:pt>
              </c:numCache>
            </c:numRef>
          </c:cat>
          <c:val>
            <c:numRef>
              <c:f>'[eRef_Dashboard_04-08-15.xlsx]Sheet3'!$B$4:$B$7</c:f>
              <c:numCache>
                <c:formatCode>General</c:formatCode>
                <c:ptCount val="4"/>
                <c:pt idx="0">
                  <c:v>28.3</c:v>
                </c:pt>
                <c:pt idx="1">
                  <c:v>34.9</c:v>
                </c:pt>
                <c:pt idx="2">
                  <c:v>34.1</c:v>
                </c:pt>
                <c:pt idx="3">
                  <c:v>32</c:v>
                </c:pt>
              </c:numCache>
            </c:numRef>
          </c:val>
        </c:ser>
        <c:ser>
          <c:idx val="1"/>
          <c:order val="1"/>
          <c:tx>
            <c:strRef>
              <c:f>'[eRef_Dashboard_04-08-15.xlsx]Sheet3'!$C$3</c:f>
              <c:strCache>
                <c:ptCount val="1"/>
                <c:pt idx="0">
                  <c:v>2012</c:v>
                </c:pt>
              </c:strCache>
            </c:strRef>
          </c:tx>
          <c:spPr>
            <a:solidFill>
              <a:schemeClr val="accent1"/>
            </a:solidFill>
            <a:ln>
              <a:solidFill>
                <a:schemeClr val="accent1"/>
              </a:solidFill>
            </a:ln>
          </c:spPr>
          <c:invertIfNegative val="0"/>
          <c:cat>
            <c:numRef>
              <c:f>'[eRef_Dashboard_04-08-15.xlsx]Sheet3'!$A$4:$A$7</c:f>
              <c:numCache>
                <c:formatCode>General</c:formatCode>
                <c:ptCount val="4"/>
                <c:pt idx="0">
                  <c:v>1</c:v>
                </c:pt>
                <c:pt idx="1">
                  <c:v>4</c:v>
                </c:pt>
                <c:pt idx="2">
                  <c:v>7</c:v>
                </c:pt>
                <c:pt idx="3">
                  <c:v>10</c:v>
                </c:pt>
              </c:numCache>
            </c:numRef>
          </c:cat>
          <c:val>
            <c:numRef>
              <c:f>'[eRef_Dashboard_04-08-15.xlsx]Sheet3'!$C$4:$C$7</c:f>
              <c:numCache>
                <c:formatCode>General</c:formatCode>
                <c:ptCount val="4"/>
                <c:pt idx="0">
                  <c:v>27.8</c:v>
                </c:pt>
                <c:pt idx="1">
                  <c:v>34.299999999999997</c:v>
                </c:pt>
                <c:pt idx="2">
                  <c:v>33.9</c:v>
                </c:pt>
                <c:pt idx="3">
                  <c:v>31.8</c:v>
                </c:pt>
              </c:numCache>
            </c:numRef>
          </c:val>
        </c:ser>
        <c:ser>
          <c:idx val="2"/>
          <c:order val="2"/>
          <c:tx>
            <c:strRef>
              <c:f>'[eRef_Dashboard_04-08-15.xlsx]Sheet3'!$D$3</c:f>
              <c:strCache>
                <c:ptCount val="1"/>
                <c:pt idx="0">
                  <c:v>2013</c:v>
                </c:pt>
              </c:strCache>
            </c:strRef>
          </c:tx>
          <c:spPr>
            <a:pattFill prst="ltDnDiag">
              <a:fgClr>
                <a:schemeClr val="accent1"/>
              </a:fgClr>
              <a:bgClr>
                <a:schemeClr val="bg1"/>
              </a:bgClr>
            </a:pattFill>
            <a:ln>
              <a:solidFill>
                <a:schemeClr val="accent1"/>
              </a:solidFill>
            </a:ln>
          </c:spPr>
          <c:invertIfNegative val="0"/>
          <c:cat>
            <c:numRef>
              <c:f>'[eRef_Dashboard_04-08-15.xlsx]Sheet3'!$A$4:$A$7</c:f>
              <c:numCache>
                <c:formatCode>General</c:formatCode>
                <c:ptCount val="4"/>
                <c:pt idx="0">
                  <c:v>1</c:v>
                </c:pt>
                <c:pt idx="1">
                  <c:v>4</c:v>
                </c:pt>
                <c:pt idx="2">
                  <c:v>7</c:v>
                </c:pt>
                <c:pt idx="3">
                  <c:v>10</c:v>
                </c:pt>
              </c:numCache>
            </c:numRef>
          </c:cat>
          <c:val>
            <c:numRef>
              <c:f>'[eRef_Dashboard_04-08-15.xlsx]Sheet3'!$D$4:$D$7</c:f>
              <c:numCache>
                <c:formatCode>General</c:formatCode>
                <c:ptCount val="4"/>
                <c:pt idx="0">
                  <c:v>27.8</c:v>
                </c:pt>
                <c:pt idx="1">
                  <c:v>33</c:v>
                </c:pt>
                <c:pt idx="2">
                  <c:v>33.299999999999997</c:v>
                </c:pt>
                <c:pt idx="3">
                  <c:v>31.8</c:v>
                </c:pt>
              </c:numCache>
            </c:numRef>
          </c:val>
        </c:ser>
        <c:ser>
          <c:idx val="3"/>
          <c:order val="3"/>
          <c:tx>
            <c:strRef>
              <c:f>'[eRef_Dashboard_04-08-15.xlsx]Sheet3'!$E$3</c:f>
              <c:strCache>
                <c:ptCount val="1"/>
                <c:pt idx="0">
                  <c:v>2014</c:v>
                </c:pt>
              </c:strCache>
            </c:strRef>
          </c:tx>
          <c:spPr>
            <a:pattFill prst="pct80">
              <a:fgClr>
                <a:schemeClr val="accent1"/>
              </a:fgClr>
              <a:bgClr>
                <a:schemeClr val="bg1"/>
              </a:bgClr>
            </a:pattFill>
            <a:ln>
              <a:solidFill>
                <a:schemeClr val="accent1"/>
              </a:solidFill>
            </a:ln>
          </c:spPr>
          <c:invertIfNegative val="0"/>
          <c:cat>
            <c:numRef>
              <c:f>'[eRef_Dashboard_04-08-15.xlsx]Sheet3'!$A$4:$A$7</c:f>
              <c:numCache>
                <c:formatCode>General</c:formatCode>
                <c:ptCount val="4"/>
                <c:pt idx="0">
                  <c:v>1</c:v>
                </c:pt>
                <c:pt idx="1">
                  <c:v>4</c:v>
                </c:pt>
                <c:pt idx="2">
                  <c:v>7</c:v>
                </c:pt>
                <c:pt idx="3">
                  <c:v>10</c:v>
                </c:pt>
              </c:numCache>
            </c:numRef>
          </c:cat>
          <c:val>
            <c:numRef>
              <c:f>'[eRef_Dashboard_04-08-15.xlsx]Sheet3'!$E$4:$E$7</c:f>
              <c:numCache>
                <c:formatCode>General</c:formatCode>
                <c:ptCount val="4"/>
                <c:pt idx="0">
                  <c:v>27.4</c:v>
                </c:pt>
                <c:pt idx="1">
                  <c:v>32.799999999999997</c:v>
                </c:pt>
                <c:pt idx="2">
                  <c:v>32.700000000000003</c:v>
                </c:pt>
                <c:pt idx="3">
                  <c:v>32.299999999999997</c:v>
                </c:pt>
              </c:numCache>
            </c:numRef>
          </c:val>
        </c:ser>
        <c:dLbls>
          <c:showLegendKey val="0"/>
          <c:showVal val="0"/>
          <c:showCatName val="0"/>
          <c:showSerName val="0"/>
          <c:showPercent val="0"/>
          <c:showBubbleSize val="0"/>
        </c:dLbls>
        <c:gapWidth val="150"/>
        <c:axId val="149242624"/>
        <c:axId val="149244544"/>
      </c:barChart>
      <c:catAx>
        <c:axId val="149242624"/>
        <c:scaling>
          <c:orientation val="minMax"/>
        </c:scaling>
        <c:delete val="0"/>
        <c:axPos val="b"/>
        <c:title>
          <c:tx>
            <c:rich>
              <a:bodyPr/>
              <a:lstStyle/>
              <a:p>
                <a:pPr>
                  <a:defRPr/>
                </a:pPr>
                <a:r>
                  <a:rPr lang="en-US"/>
                  <a:t>Grade</a:t>
                </a:r>
              </a:p>
            </c:rich>
          </c:tx>
          <c:overlay val="0"/>
        </c:title>
        <c:numFmt formatCode="General" sourceLinked="1"/>
        <c:majorTickMark val="out"/>
        <c:minorTickMark val="none"/>
        <c:tickLblPos val="nextTo"/>
        <c:crossAx val="149244544"/>
        <c:crosses val="autoZero"/>
        <c:auto val="1"/>
        <c:lblAlgn val="ctr"/>
        <c:lblOffset val="100"/>
        <c:noMultiLvlLbl val="0"/>
      </c:catAx>
      <c:valAx>
        <c:axId val="149244544"/>
        <c:scaling>
          <c:orientation val="minMax"/>
          <c:max val="50"/>
        </c:scaling>
        <c:delete val="0"/>
        <c:axPos val="l"/>
        <c:title>
          <c:tx>
            <c:rich>
              <a:bodyPr rot="-5400000" vert="horz"/>
              <a:lstStyle/>
              <a:p>
                <a:pPr>
                  <a:defRPr/>
                </a:pPr>
                <a:r>
                  <a:rPr lang="en-US"/>
                  <a:t>% of Overweight or Obese</a:t>
                </a:r>
              </a:p>
            </c:rich>
          </c:tx>
          <c:overlay val="0"/>
        </c:title>
        <c:numFmt formatCode="General" sourceLinked="1"/>
        <c:majorTickMark val="out"/>
        <c:minorTickMark val="none"/>
        <c:tickLblPos val="nextTo"/>
        <c:crossAx val="1492426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D9B9-CFFB-4070-8BF3-A967CF5A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2015-08-14T20:03:00Z</dcterms:created>
  <dc:creator>dbernson</dc:creator>
  <lastModifiedBy>Lenore Elizabeth Tsikitas</lastModifiedBy>
  <lastPrinted>2015-08-03T16:35:00Z</lastPrinted>
  <dcterms:modified xsi:type="dcterms:W3CDTF">2015-08-14T20:03:00Z</dcterms:modified>
  <revision>2</revision>
</coreProperties>
</file>