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BE1" w:rsidRPr="00B73038" w:rsidRDefault="00790BE1" w:rsidP="00790BE1">
      <w:pPr>
        <w:jc w:val="center"/>
        <w:rPr>
          <w:szCs w:val="24"/>
        </w:rPr>
      </w:pPr>
      <w:r w:rsidRPr="00B73038">
        <w:rPr>
          <w:szCs w:val="24"/>
        </w:rPr>
        <w:t>COMMONWEALTH OF MASSACHUSETTS</w:t>
      </w:r>
    </w:p>
    <w:p w:rsidR="00790BE1" w:rsidRPr="00B73038" w:rsidRDefault="00790BE1" w:rsidP="00790BE1">
      <w:pPr>
        <w:spacing w:line="240" w:lineRule="auto"/>
        <w:ind w:left="4680"/>
        <w:rPr>
          <w:b/>
          <w:szCs w:val="24"/>
        </w:rPr>
      </w:pPr>
      <w:r w:rsidRPr="00B73038">
        <w:rPr>
          <w:b/>
          <w:szCs w:val="24"/>
        </w:rPr>
        <w:t>Division of Administrative Law Appeals</w:t>
      </w:r>
    </w:p>
    <w:p w:rsidR="00790BE1" w:rsidRPr="00B73038" w:rsidRDefault="00790BE1" w:rsidP="00790BE1">
      <w:pPr>
        <w:spacing w:line="240" w:lineRule="auto"/>
        <w:ind w:left="4680"/>
        <w:rPr>
          <w:b/>
          <w:szCs w:val="24"/>
        </w:rPr>
      </w:pPr>
      <w:r w:rsidRPr="00B73038">
        <w:rPr>
          <w:b/>
          <w:szCs w:val="24"/>
        </w:rPr>
        <w:t>1 Congress Street, 11th Floor</w:t>
      </w:r>
    </w:p>
    <w:p w:rsidR="00790BE1" w:rsidRPr="00B73038" w:rsidRDefault="00790BE1" w:rsidP="00790BE1">
      <w:pPr>
        <w:spacing w:line="240" w:lineRule="auto"/>
        <w:ind w:left="4680"/>
        <w:rPr>
          <w:b/>
          <w:szCs w:val="24"/>
        </w:rPr>
      </w:pPr>
      <w:r w:rsidRPr="00B73038">
        <w:rPr>
          <w:b/>
          <w:szCs w:val="24"/>
        </w:rPr>
        <w:t>Boston, MA 02114</w:t>
      </w:r>
    </w:p>
    <w:p w:rsidR="00790BE1" w:rsidRPr="00B73038" w:rsidRDefault="00790BE1" w:rsidP="00790BE1">
      <w:pPr>
        <w:spacing w:line="240" w:lineRule="auto"/>
        <w:ind w:left="4680"/>
        <w:rPr>
          <w:b/>
          <w:szCs w:val="24"/>
        </w:rPr>
      </w:pPr>
      <w:r w:rsidRPr="00B73038">
        <w:rPr>
          <w:b/>
          <w:szCs w:val="24"/>
        </w:rPr>
        <w:t>www.mass.gov/dala</w:t>
      </w:r>
    </w:p>
    <w:p w:rsidR="00790BE1" w:rsidRPr="00B73038" w:rsidRDefault="00790BE1" w:rsidP="00790BE1">
      <w:pPr>
        <w:spacing w:line="240" w:lineRule="auto"/>
        <w:rPr>
          <w:szCs w:val="24"/>
        </w:rPr>
      </w:pPr>
    </w:p>
    <w:p w:rsidR="00790BE1" w:rsidRPr="00B73038" w:rsidRDefault="002D60A7" w:rsidP="002D60A7">
      <w:pPr>
        <w:spacing w:line="240" w:lineRule="auto"/>
        <w:rPr>
          <w:szCs w:val="24"/>
        </w:rPr>
      </w:pPr>
      <w:r w:rsidRPr="00B73038">
        <w:rPr>
          <w:b/>
          <w:szCs w:val="24"/>
        </w:rPr>
        <w:t>Board of Registration in Medicine</w:t>
      </w:r>
      <w:r w:rsidR="00790BE1" w:rsidRPr="00B73038">
        <w:rPr>
          <w:szCs w:val="24"/>
        </w:rPr>
        <w:t>,</w:t>
      </w:r>
    </w:p>
    <w:p w:rsidR="00790BE1" w:rsidRPr="00B73038" w:rsidRDefault="00790BE1" w:rsidP="00790BE1">
      <w:pPr>
        <w:spacing w:line="240" w:lineRule="auto"/>
        <w:rPr>
          <w:szCs w:val="24"/>
        </w:rPr>
      </w:pPr>
      <w:r w:rsidRPr="00B73038">
        <w:rPr>
          <w:szCs w:val="24"/>
        </w:rPr>
        <w:t>Petitioner</w:t>
      </w:r>
    </w:p>
    <w:p w:rsidR="00790BE1" w:rsidRPr="00B73038" w:rsidRDefault="00790BE1" w:rsidP="00790BE1">
      <w:pPr>
        <w:spacing w:line="240" w:lineRule="auto"/>
        <w:rPr>
          <w:szCs w:val="24"/>
        </w:rPr>
      </w:pPr>
    </w:p>
    <w:p w:rsidR="00790BE1" w:rsidRPr="00B73038" w:rsidRDefault="00790BE1" w:rsidP="00790BE1">
      <w:pPr>
        <w:spacing w:line="240" w:lineRule="auto"/>
        <w:rPr>
          <w:szCs w:val="24"/>
        </w:rPr>
      </w:pPr>
      <w:r w:rsidRPr="00B73038">
        <w:rPr>
          <w:szCs w:val="24"/>
        </w:rPr>
        <w:t xml:space="preserve">v.                                                                           Docket No. </w:t>
      </w:r>
      <w:r w:rsidR="002D60A7" w:rsidRPr="00B73038">
        <w:rPr>
          <w:szCs w:val="24"/>
        </w:rPr>
        <w:t>RM-16-238</w:t>
      </w:r>
    </w:p>
    <w:p w:rsidR="00790BE1" w:rsidRPr="00B73038" w:rsidRDefault="00790BE1" w:rsidP="00790BE1">
      <w:pPr>
        <w:spacing w:line="240" w:lineRule="auto"/>
        <w:rPr>
          <w:szCs w:val="24"/>
        </w:rPr>
      </w:pPr>
    </w:p>
    <w:p w:rsidR="00790BE1" w:rsidRPr="00B73038" w:rsidRDefault="002D60A7" w:rsidP="00790BE1">
      <w:pPr>
        <w:spacing w:line="240" w:lineRule="auto"/>
        <w:rPr>
          <w:szCs w:val="24"/>
        </w:rPr>
      </w:pPr>
      <w:r w:rsidRPr="00B73038">
        <w:rPr>
          <w:b/>
          <w:szCs w:val="24"/>
        </w:rPr>
        <w:t>John C. Nadolny, M.D.</w:t>
      </w:r>
      <w:r w:rsidR="00790BE1" w:rsidRPr="00B73038">
        <w:rPr>
          <w:szCs w:val="24"/>
        </w:rPr>
        <w:t>,</w:t>
      </w:r>
    </w:p>
    <w:p w:rsidR="00790BE1" w:rsidRPr="00B73038" w:rsidRDefault="00790BE1" w:rsidP="00790BE1">
      <w:pPr>
        <w:spacing w:line="240" w:lineRule="auto"/>
        <w:rPr>
          <w:szCs w:val="24"/>
        </w:rPr>
      </w:pPr>
      <w:r w:rsidRPr="00B73038">
        <w:rPr>
          <w:szCs w:val="24"/>
        </w:rPr>
        <w:t xml:space="preserve">Respondent         </w:t>
      </w:r>
    </w:p>
    <w:p w:rsidR="00790BE1" w:rsidRPr="00B73038" w:rsidRDefault="00790BE1" w:rsidP="00790BE1">
      <w:pPr>
        <w:spacing w:line="240" w:lineRule="auto"/>
        <w:rPr>
          <w:szCs w:val="24"/>
        </w:rPr>
      </w:pPr>
    </w:p>
    <w:p w:rsidR="00790BE1" w:rsidRPr="00B73038" w:rsidRDefault="00790BE1" w:rsidP="00790BE1">
      <w:pPr>
        <w:spacing w:line="240" w:lineRule="auto"/>
        <w:rPr>
          <w:szCs w:val="24"/>
        </w:rPr>
      </w:pPr>
      <w:r w:rsidRPr="00B73038">
        <w:rPr>
          <w:b/>
          <w:szCs w:val="24"/>
        </w:rPr>
        <w:t>Appearance for Petitioner</w:t>
      </w:r>
      <w:r w:rsidRPr="00B73038">
        <w:rPr>
          <w:szCs w:val="24"/>
        </w:rPr>
        <w:t>:</w:t>
      </w:r>
      <w:r w:rsidRPr="00B73038">
        <w:rPr>
          <w:szCs w:val="24"/>
        </w:rPr>
        <w:tab/>
      </w:r>
      <w:r w:rsidRPr="00B73038">
        <w:rPr>
          <w:szCs w:val="24"/>
        </w:rPr>
        <w:tab/>
      </w:r>
      <w:r w:rsidRPr="00B73038">
        <w:rPr>
          <w:szCs w:val="24"/>
        </w:rPr>
        <w:tab/>
      </w:r>
    </w:p>
    <w:p w:rsidR="00790BE1" w:rsidRPr="00B73038" w:rsidRDefault="00790BE1" w:rsidP="00790BE1">
      <w:pPr>
        <w:spacing w:line="240" w:lineRule="auto"/>
        <w:rPr>
          <w:szCs w:val="24"/>
          <w:highlight w:val="lightGray"/>
        </w:rPr>
      </w:pPr>
    </w:p>
    <w:p w:rsidR="002D60A7" w:rsidRPr="00B73038" w:rsidRDefault="002D60A7" w:rsidP="00790BE1">
      <w:pPr>
        <w:spacing w:line="240" w:lineRule="auto"/>
        <w:ind w:left="720"/>
        <w:rPr>
          <w:szCs w:val="24"/>
        </w:rPr>
      </w:pPr>
      <w:r w:rsidRPr="00B73038">
        <w:rPr>
          <w:szCs w:val="24"/>
        </w:rPr>
        <w:t>Tracy Morong, Esq.</w:t>
      </w:r>
    </w:p>
    <w:p w:rsidR="002D60A7" w:rsidRPr="00B73038" w:rsidRDefault="002D60A7" w:rsidP="00790BE1">
      <w:pPr>
        <w:spacing w:line="240" w:lineRule="auto"/>
        <w:ind w:left="720"/>
        <w:rPr>
          <w:szCs w:val="24"/>
        </w:rPr>
      </w:pPr>
      <w:r w:rsidRPr="00B73038">
        <w:rPr>
          <w:szCs w:val="24"/>
        </w:rPr>
        <w:t>Board of Registration in Medicine</w:t>
      </w:r>
    </w:p>
    <w:p w:rsidR="002D60A7" w:rsidRPr="00B73038" w:rsidRDefault="002D60A7" w:rsidP="00790BE1">
      <w:pPr>
        <w:spacing w:line="240" w:lineRule="auto"/>
        <w:ind w:left="720"/>
        <w:rPr>
          <w:szCs w:val="24"/>
        </w:rPr>
      </w:pPr>
      <w:r w:rsidRPr="00B73038">
        <w:rPr>
          <w:szCs w:val="24"/>
        </w:rPr>
        <w:t>200 Harvard Mill Square, Suite 330</w:t>
      </w:r>
    </w:p>
    <w:p w:rsidR="00790BE1" w:rsidRPr="00B73038" w:rsidRDefault="002D60A7" w:rsidP="00790BE1">
      <w:pPr>
        <w:spacing w:line="240" w:lineRule="auto"/>
        <w:ind w:left="720"/>
        <w:rPr>
          <w:szCs w:val="24"/>
        </w:rPr>
      </w:pPr>
      <w:r w:rsidRPr="00B73038">
        <w:rPr>
          <w:szCs w:val="24"/>
        </w:rPr>
        <w:t>Wakefield, MA 01880</w:t>
      </w:r>
      <w:r w:rsidR="00790BE1" w:rsidRPr="00B73038">
        <w:rPr>
          <w:szCs w:val="24"/>
        </w:rPr>
        <w:tab/>
      </w:r>
    </w:p>
    <w:p w:rsidR="00790BE1" w:rsidRPr="00B73038" w:rsidRDefault="00790BE1" w:rsidP="00790BE1">
      <w:pPr>
        <w:spacing w:line="240" w:lineRule="auto"/>
        <w:rPr>
          <w:szCs w:val="24"/>
          <w:highlight w:val="lightGray"/>
        </w:rPr>
      </w:pPr>
    </w:p>
    <w:p w:rsidR="00790BE1" w:rsidRPr="00B73038" w:rsidRDefault="00790BE1" w:rsidP="00790BE1">
      <w:pPr>
        <w:spacing w:line="240" w:lineRule="auto"/>
        <w:rPr>
          <w:szCs w:val="24"/>
        </w:rPr>
      </w:pPr>
      <w:r w:rsidRPr="00B73038">
        <w:rPr>
          <w:b/>
          <w:szCs w:val="24"/>
        </w:rPr>
        <w:t>Appearance for Respondent</w:t>
      </w:r>
      <w:r w:rsidRPr="00B73038">
        <w:rPr>
          <w:szCs w:val="24"/>
        </w:rPr>
        <w:t>:</w:t>
      </w:r>
      <w:r w:rsidRPr="00B73038">
        <w:rPr>
          <w:szCs w:val="24"/>
        </w:rPr>
        <w:tab/>
      </w:r>
      <w:r w:rsidRPr="00B73038">
        <w:rPr>
          <w:szCs w:val="24"/>
        </w:rPr>
        <w:tab/>
      </w:r>
      <w:r w:rsidRPr="00B73038">
        <w:rPr>
          <w:szCs w:val="24"/>
        </w:rPr>
        <w:tab/>
      </w:r>
    </w:p>
    <w:p w:rsidR="00790BE1" w:rsidRPr="00B73038" w:rsidRDefault="00790BE1" w:rsidP="00790BE1">
      <w:pPr>
        <w:spacing w:line="240" w:lineRule="auto"/>
        <w:rPr>
          <w:szCs w:val="24"/>
        </w:rPr>
      </w:pPr>
    </w:p>
    <w:p w:rsidR="00790BE1" w:rsidRPr="00B73038" w:rsidRDefault="00D86027" w:rsidP="00790BE1">
      <w:pPr>
        <w:spacing w:line="240" w:lineRule="auto"/>
        <w:ind w:firstLine="720"/>
        <w:rPr>
          <w:szCs w:val="24"/>
        </w:rPr>
      </w:pPr>
      <w:r w:rsidRPr="00B73038">
        <w:rPr>
          <w:szCs w:val="24"/>
        </w:rPr>
        <w:t>Marc J. Gervais, Esq.</w:t>
      </w:r>
    </w:p>
    <w:p w:rsidR="00D86027" w:rsidRPr="00B73038" w:rsidRDefault="00D86027" w:rsidP="00790BE1">
      <w:pPr>
        <w:spacing w:line="240" w:lineRule="auto"/>
        <w:ind w:firstLine="720"/>
        <w:rPr>
          <w:szCs w:val="24"/>
        </w:rPr>
      </w:pPr>
      <w:r w:rsidRPr="00B73038">
        <w:rPr>
          <w:szCs w:val="24"/>
        </w:rPr>
        <w:t>Gervais &amp; Davenport</w:t>
      </w:r>
    </w:p>
    <w:p w:rsidR="00D86027" w:rsidRPr="00B73038" w:rsidRDefault="00D86027" w:rsidP="00790BE1">
      <w:pPr>
        <w:spacing w:line="240" w:lineRule="auto"/>
        <w:ind w:firstLine="720"/>
        <w:rPr>
          <w:szCs w:val="24"/>
        </w:rPr>
      </w:pPr>
      <w:r w:rsidRPr="00B73038">
        <w:rPr>
          <w:szCs w:val="24"/>
        </w:rPr>
        <w:t>400TradeCenter, Suite 5900</w:t>
      </w:r>
    </w:p>
    <w:p w:rsidR="00D86027" w:rsidRPr="00B73038" w:rsidRDefault="00D86027" w:rsidP="00790BE1">
      <w:pPr>
        <w:spacing w:line="240" w:lineRule="auto"/>
        <w:ind w:firstLine="720"/>
        <w:rPr>
          <w:szCs w:val="24"/>
        </w:rPr>
      </w:pPr>
      <w:r w:rsidRPr="00B73038">
        <w:rPr>
          <w:szCs w:val="24"/>
        </w:rPr>
        <w:t>Woburn, MA 01801</w:t>
      </w:r>
    </w:p>
    <w:p w:rsidR="00790BE1" w:rsidRPr="00B73038" w:rsidRDefault="00790BE1" w:rsidP="00790BE1">
      <w:pPr>
        <w:spacing w:line="240" w:lineRule="auto"/>
        <w:rPr>
          <w:szCs w:val="24"/>
        </w:rPr>
      </w:pPr>
    </w:p>
    <w:p w:rsidR="00790BE1" w:rsidRPr="00B73038" w:rsidRDefault="00790BE1" w:rsidP="00790BE1">
      <w:pPr>
        <w:spacing w:line="240" w:lineRule="auto"/>
        <w:rPr>
          <w:szCs w:val="24"/>
        </w:rPr>
      </w:pPr>
      <w:r w:rsidRPr="00B73038">
        <w:rPr>
          <w:b/>
          <w:szCs w:val="24"/>
        </w:rPr>
        <w:t>Administrative Magistrate</w:t>
      </w:r>
      <w:r w:rsidRPr="00B73038">
        <w:rPr>
          <w:szCs w:val="24"/>
        </w:rPr>
        <w:t>:</w:t>
      </w:r>
      <w:r w:rsidRPr="00B73038">
        <w:rPr>
          <w:szCs w:val="24"/>
        </w:rPr>
        <w:tab/>
      </w:r>
      <w:r w:rsidRPr="00B73038">
        <w:rPr>
          <w:szCs w:val="24"/>
        </w:rPr>
        <w:tab/>
      </w:r>
      <w:r w:rsidRPr="00B73038">
        <w:rPr>
          <w:szCs w:val="24"/>
        </w:rPr>
        <w:tab/>
      </w:r>
    </w:p>
    <w:p w:rsidR="00790BE1" w:rsidRPr="00B73038" w:rsidRDefault="00790BE1" w:rsidP="00790BE1">
      <w:pPr>
        <w:spacing w:line="240" w:lineRule="auto"/>
        <w:rPr>
          <w:szCs w:val="24"/>
        </w:rPr>
      </w:pPr>
    </w:p>
    <w:p w:rsidR="00790BE1" w:rsidRPr="00B73038" w:rsidRDefault="00790BE1" w:rsidP="00790BE1">
      <w:pPr>
        <w:ind w:firstLine="720"/>
        <w:rPr>
          <w:szCs w:val="24"/>
        </w:rPr>
      </w:pPr>
      <w:r w:rsidRPr="00B73038">
        <w:rPr>
          <w:szCs w:val="24"/>
        </w:rPr>
        <w:t xml:space="preserve">Kenneth Bresler                                          </w:t>
      </w:r>
    </w:p>
    <w:p w:rsidR="00D86027" w:rsidRPr="00C655FA"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szCs w:val="24"/>
        </w:rPr>
      </w:pPr>
      <w:r w:rsidRPr="00C655FA">
        <w:rPr>
          <w:b/>
          <w:szCs w:val="24"/>
        </w:rPr>
        <w:t xml:space="preserve">SUMMARY OF </w:t>
      </w:r>
      <w:r w:rsidR="00D86027" w:rsidRPr="00C655FA">
        <w:rPr>
          <w:b/>
          <w:szCs w:val="24"/>
        </w:rPr>
        <w:t xml:space="preserve">RECOMMENDED </w:t>
      </w:r>
      <w:r w:rsidRPr="00C655FA">
        <w:rPr>
          <w:b/>
          <w:szCs w:val="24"/>
        </w:rPr>
        <w:t>DECISION</w:t>
      </w:r>
      <w:r w:rsidR="00D86027" w:rsidRPr="00C655FA">
        <w:rPr>
          <w:b/>
          <w:szCs w:val="24"/>
        </w:rPr>
        <w:t xml:space="preserve"> </w:t>
      </w:r>
    </w:p>
    <w:p w:rsidR="00790BE1" w:rsidRPr="00B73038" w:rsidRDefault="00D86027"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szCs w:val="24"/>
        </w:rPr>
      </w:pPr>
      <w:r w:rsidRPr="00C655FA">
        <w:rPr>
          <w:b/>
          <w:szCs w:val="24"/>
        </w:rPr>
        <w:t>ON ORDER OF TEMPORARY SUSPENSION</w:t>
      </w:r>
    </w:p>
    <w:p w:rsidR="00790BE1"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szCs w:val="24"/>
        </w:rPr>
      </w:pPr>
    </w:p>
    <w:p w:rsidR="00E217B4" w:rsidRDefault="008A2435" w:rsidP="008A24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ight="720"/>
        <w:rPr>
          <w:szCs w:val="24"/>
        </w:rPr>
      </w:pPr>
      <w:r>
        <w:rPr>
          <w:szCs w:val="24"/>
        </w:rPr>
        <w:t>Temporary suspension is no</w:t>
      </w:r>
      <w:r w:rsidR="00E217B4">
        <w:rPr>
          <w:szCs w:val="24"/>
        </w:rPr>
        <w:t xml:space="preserve">t recommended </w:t>
      </w:r>
      <w:r>
        <w:rPr>
          <w:szCs w:val="24"/>
        </w:rPr>
        <w:t xml:space="preserve">for </w:t>
      </w:r>
      <w:r w:rsidR="00E217B4">
        <w:rPr>
          <w:szCs w:val="24"/>
        </w:rPr>
        <w:t xml:space="preserve">the respondent physician, who allowed nurse practitioners to use his online ID to issue marijuana certifications. By allowing nurse practitioners to use his online ID, the physician was following the Department of Public Health’s </w:t>
      </w:r>
      <w:r w:rsidR="004554CF">
        <w:rPr>
          <w:szCs w:val="24"/>
        </w:rPr>
        <w:t>advice</w:t>
      </w:r>
      <w:r w:rsidR="00E217B4">
        <w:rPr>
          <w:szCs w:val="24"/>
        </w:rPr>
        <w:t>, and did not delegate to nurse practitioners his authority to issue marijuana certifications; they had independent authority to issue certifications.</w:t>
      </w:r>
    </w:p>
    <w:p w:rsidR="00C655FA" w:rsidRDefault="00C655FA" w:rsidP="00E217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p>
    <w:p w:rsidR="00C655FA" w:rsidRDefault="00C655FA" w:rsidP="00E217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p>
    <w:p w:rsidR="00C655FA" w:rsidRPr="00E217B4" w:rsidRDefault="00C655FA" w:rsidP="00E217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p>
    <w:p w:rsidR="00790BE1" w:rsidRPr="00B73038"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b/>
          <w:szCs w:val="24"/>
        </w:rPr>
      </w:pPr>
      <w:r w:rsidRPr="00B73038">
        <w:rPr>
          <w:b/>
          <w:szCs w:val="24"/>
        </w:rPr>
        <w:tab/>
      </w:r>
    </w:p>
    <w:p w:rsidR="00D86027" w:rsidRPr="00B73038" w:rsidRDefault="00D86027" w:rsidP="00D86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szCs w:val="24"/>
        </w:rPr>
      </w:pPr>
      <w:r w:rsidRPr="00B73038">
        <w:rPr>
          <w:b/>
          <w:szCs w:val="24"/>
        </w:rPr>
        <w:lastRenderedPageBreak/>
        <w:t xml:space="preserve">RECOMMENDED </w:t>
      </w:r>
      <w:r w:rsidR="00790BE1" w:rsidRPr="00B73038">
        <w:rPr>
          <w:b/>
          <w:szCs w:val="24"/>
        </w:rPr>
        <w:t>DECISION</w:t>
      </w:r>
      <w:r w:rsidRPr="00B73038">
        <w:rPr>
          <w:b/>
          <w:szCs w:val="24"/>
        </w:rPr>
        <w:t xml:space="preserve"> </w:t>
      </w:r>
    </w:p>
    <w:p w:rsidR="00790BE1" w:rsidRPr="00B73038" w:rsidRDefault="00D86027" w:rsidP="00D86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szCs w:val="24"/>
        </w:rPr>
      </w:pPr>
      <w:r w:rsidRPr="00B73038">
        <w:rPr>
          <w:b/>
          <w:szCs w:val="24"/>
        </w:rPr>
        <w:t>ON ORDER OF TEMPORARY SUSPENSION</w:t>
      </w:r>
    </w:p>
    <w:p w:rsidR="008C7359" w:rsidRPr="00B73038" w:rsidRDefault="008C7359" w:rsidP="00D86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szCs w:val="24"/>
          <w:u w:val="single"/>
        </w:rPr>
      </w:pPr>
    </w:p>
    <w:p w:rsidR="00790BE1" w:rsidRPr="00B73038" w:rsidRDefault="00790BE1" w:rsidP="008C7359">
      <w:pPr>
        <w:rPr>
          <w:szCs w:val="24"/>
        </w:rPr>
      </w:pPr>
      <w:r w:rsidRPr="00B73038">
        <w:rPr>
          <w:szCs w:val="24"/>
        </w:rPr>
        <w:tab/>
        <w:t xml:space="preserve">The </w:t>
      </w:r>
      <w:r w:rsidR="00283E74" w:rsidRPr="00B73038">
        <w:rPr>
          <w:szCs w:val="24"/>
        </w:rPr>
        <w:t>respondent</w:t>
      </w:r>
      <w:r w:rsidRPr="00B73038">
        <w:rPr>
          <w:szCs w:val="24"/>
        </w:rPr>
        <w:t xml:space="preserve">, </w:t>
      </w:r>
      <w:r w:rsidR="00283E74" w:rsidRPr="00B73038">
        <w:rPr>
          <w:szCs w:val="24"/>
        </w:rPr>
        <w:t>Dr. John C. Nadolny</w:t>
      </w:r>
      <w:r w:rsidRPr="00B73038">
        <w:rPr>
          <w:szCs w:val="24"/>
        </w:rPr>
        <w:t>,</w:t>
      </w:r>
      <w:r w:rsidR="00283E74" w:rsidRPr="00B73038">
        <w:rPr>
          <w:szCs w:val="24"/>
        </w:rPr>
        <w:t xml:space="preserve"> appeals the Order of Temporary Suspension by the Board of Registration in Medicine (BRM). </w:t>
      </w:r>
    </w:p>
    <w:p w:rsidR="008E2A9E" w:rsidRDefault="00790BE1" w:rsidP="00790BE1">
      <w:pPr>
        <w:rPr>
          <w:szCs w:val="24"/>
        </w:rPr>
      </w:pPr>
      <w:r w:rsidRPr="00B73038">
        <w:rPr>
          <w:szCs w:val="24"/>
        </w:rPr>
        <w:tab/>
        <w:t xml:space="preserve">I held a hearing on </w:t>
      </w:r>
      <w:r w:rsidR="00283E74" w:rsidRPr="00B73038">
        <w:rPr>
          <w:szCs w:val="24"/>
        </w:rPr>
        <w:t>August 3, 2016</w:t>
      </w:r>
      <w:r w:rsidRPr="00B73038">
        <w:rPr>
          <w:szCs w:val="24"/>
        </w:rPr>
        <w:t xml:space="preserve">, which </w:t>
      </w:r>
      <w:r w:rsidR="00283E74" w:rsidRPr="00B73038">
        <w:rPr>
          <w:szCs w:val="24"/>
        </w:rPr>
        <w:t>a court reporter transcribed</w:t>
      </w:r>
      <w:r w:rsidRPr="00B73038">
        <w:rPr>
          <w:szCs w:val="24"/>
        </w:rPr>
        <w:t xml:space="preserve">. </w:t>
      </w:r>
      <w:r w:rsidR="00B303BA" w:rsidRPr="00B73038">
        <w:rPr>
          <w:szCs w:val="24"/>
        </w:rPr>
        <w:t>Dr. Nadolny</w:t>
      </w:r>
      <w:r w:rsidRPr="00B73038">
        <w:rPr>
          <w:szCs w:val="24"/>
        </w:rPr>
        <w:t xml:space="preserve"> testified, and called </w:t>
      </w:r>
      <w:r w:rsidR="005E3C39" w:rsidRPr="00B73038">
        <w:rPr>
          <w:szCs w:val="24"/>
        </w:rPr>
        <w:t>Stephanie Gluchacki</w:t>
      </w:r>
      <w:r w:rsidR="008E2A9E">
        <w:rPr>
          <w:szCs w:val="24"/>
        </w:rPr>
        <w:t xml:space="preserve">, </w:t>
      </w:r>
      <w:r w:rsidR="008E2A9E" w:rsidRPr="00B73038">
        <w:rPr>
          <w:szCs w:val="24"/>
        </w:rPr>
        <w:t>Chief Financial Officer of Canna Care Docs</w:t>
      </w:r>
      <w:r w:rsidR="008E2A9E">
        <w:rPr>
          <w:szCs w:val="24"/>
        </w:rPr>
        <w:t>,</w:t>
      </w:r>
      <w:r w:rsidR="005E3C39" w:rsidRPr="00B73038">
        <w:rPr>
          <w:szCs w:val="24"/>
        </w:rPr>
        <w:t xml:space="preserve"> as a </w:t>
      </w:r>
      <w:r w:rsidRPr="00B73038">
        <w:rPr>
          <w:szCs w:val="24"/>
        </w:rPr>
        <w:t xml:space="preserve">witness. </w:t>
      </w:r>
      <w:r w:rsidR="00283E74" w:rsidRPr="00B73038">
        <w:rPr>
          <w:szCs w:val="24"/>
        </w:rPr>
        <w:t>Norma Jaynes, an investigato</w:t>
      </w:r>
      <w:r w:rsidR="008E2A9E">
        <w:rPr>
          <w:szCs w:val="24"/>
        </w:rPr>
        <w:t xml:space="preserve">r for the BRM, testified for it to confirm </w:t>
      </w:r>
      <w:r w:rsidR="00983161">
        <w:rPr>
          <w:szCs w:val="24"/>
        </w:rPr>
        <w:t xml:space="preserve">the accuracy of </w:t>
      </w:r>
      <w:r w:rsidR="008E2A9E">
        <w:rPr>
          <w:szCs w:val="24"/>
        </w:rPr>
        <w:t>her affidavit</w:t>
      </w:r>
      <w:r w:rsidR="00983161">
        <w:rPr>
          <w:szCs w:val="24"/>
        </w:rPr>
        <w:t>.</w:t>
      </w:r>
      <w:r w:rsidR="008E2A9E">
        <w:rPr>
          <w:szCs w:val="24"/>
        </w:rPr>
        <w:t xml:space="preserve"> (Ex. J</w:t>
      </w:r>
      <w:r w:rsidR="00983161">
        <w:rPr>
          <w:szCs w:val="24"/>
        </w:rPr>
        <w:t>.</w:t>
      </w:r>
      <w:r w:rsidR="008E2A9E">
        <w:rPr>
          <w:szCs w:val="24"/>
        </w:rPr>
        <w:t xml:space="preserve">) </w:t>
      </w:r>
    </w:p>
    <w:p w:rsidR="00790BE1" w:rsidRPr="00B73038" w:rsidRDefault="00790BE1" w:rsidP="008E2A9E">
      <w:pPr>
        <w:ind w:firstLine="720"/>
        <w:rPr>
          <w:szCs w:val="24"/>
        </w:rPr>
      </w:pPr>
      <w:r w:rsidRPr="00B73038">
        <w:rPr>
          <w:szCs w:val="24"/>
        </w:rPr>
        <w:t xml:space="preserve">I accepted into evidence </w:t>
      </w:r>
      <w:r w:rsidR="00283E74" w:rsidRPr="00B73038">
        <w:rPr>
          <w:szCs w:val="24"/>
        </w:rPr>
        <w:t>Exhibits A through J.</w:t>
      </w:r>
      <w:r w:rsidR="008E2A9E">
        <w:rPr>
          <w:szCs w:val="24"/>
        </w:rPr>
        <w:t xml:space="preserve"> Both parties submitted post-hearing briefs.</w:t>
      </w:r>
    </w:p>
    <w:p w:rsidR="00790BE1" w:rsidRPr="00B73038" w:rsidRDefault="00790BE1" w:rsidP="00790BE1">
      <w:pPr>
        <w:jc w:val="center"/>
        <w:rPr>
          <w:b/>
          <w:szCs w:val="24"/>
        </w:rPr>
      </w:pPr>
      <w:r w:rsidRPr="00B73038">
        <w:rPr>
          <w:b/>
          <w:szCs w:val="24"/>
        </w:rPr>
        <w:t>Findings of Fact</w:t>
      </w:r>
    </w:p>
    <w:p w:rsidR="005664BE" w:rsidRDefault="005664BE" w:rsidP="00790BE1">
      <w:pPr>
        <w:rPr>
          <w:rStyle w:val="hierarchydescription2"/>
          <w:rFonts w:cs="Times New Roman"/>
          <w:szCs w:val="24"/>
          <w:lang w:val="en"/>
        </w:rPr>
      </w:pPr>
      <w:r w:rsidRPr="00B73038">
        <w:rPr>
          <w:szCs w:val="24"/>
        </w:rPr>
        <w:tab/>
      </w:r>
      <w:r w:rsidR="00E217B4">
        <w:rPr>
          <w:szCs w:val="24"/>
        </w:rPr>
        <w:t>1</w:t>
      </w:r>
      <w:r w:rsidRPr="00B73038">
        <w:rPr>
          <w:szCs w:val="24"/>
        </w:rPr>
        <w:t xml:space="preserve">. On November 6, 2012, the people of Massachusetts, </w:t>
      </w:r>
      <w:r w:rsidR="00CC59BD" w:rsidRPr="00B73038">
        <w:rPr>
          <w:szCs w:val="24"/>
        </w:rPr>
        <w:t>through</w:t>
      </w:r>
      <w:r w:rsidRPr="00B73038">
        <w:rPr>
          <w:szCs w:val="24"/>
        </w:rPr>
        <w:t xml:space="preserve"> a ballot question, approved </w:t>
      </w:r>
      <w:r w:rsidR="00CC59BD" w:rsidRPr="00B73038">
        <w:rPr>
          <w:rStyle w:val="hierarchydescription2"/>
          <w:rFonts w:cs="Times New Roman"/>
          <w:szCs w:val="24"/>
          <w:lang w:val="en"/>
          <w:specVanish w:val="0"/>
        </w:rPr>
        <w:t xml:space="preserve">An Act for the Humanitarian Medical Use of Marijuana. </w:t>
      </w:r>
      <w:r w:rsidR="00B639C2" w:rsidRPr="006D4256">
        <w:rPr>
          <w:szCs w:val="24"/>
        </w:rPr>
        <w:t>(</w:t>
      </w:r>
      <w:r w:rsidR="00B639C2">
        <w:rPr>
          <w:szCs w:val="24"/>
        </w:rPr>
        <w:t>T</w:t>
      </w:r>
      <w:r w:rsidR="00B639C2" w:rsidRPr="006D4256">
        <w:rPr>
          <w:szCs w:val="24"/>
        </w:rPr>
        <w:t xml:space="preserve">his decision calls </w:t>
      </w:r>
      <w:r w:rsidR="00B639C2">
        <w:rPr>
          <w:szCs w:val="24"/>
        </w:rPr>
        <w:t>it “</w:t>
      </w:r>
      <w:r w:rsidR="00B639C2" w:rsidRPr="006D4256">
        <w:rPr>
          <w:szCs w:val="24"/>
        </w:rPr>
        <w:t>the medical marijuana statute</w:t>
      </w:r>
      <w:r w:rsidR="00B639C2">
        <w:rPr>
          <w:szCs w:val="24"/>
        </w:rPr>
        <w:t>.”</w:t>
      </w:r>
      <w:r w:rsidR="00B639C2" w:rsidRPr="006D4256">
        <w:rPr>
          <w:szCs w:val="24"/>
        </w:rPr>
        <w:t xml:space="preserve">) </w:t>
      </w:r>
      <w:r w:rsidR="00CC59BD" w:rsidRPr="00B73038">
        <w:rPr>
          <w:rStyle w:val="hierarchydescription2"/>
          <w:rFonts w:cs="Times New Roman"/>
          <w:szCs w:val="24"/>
          <w:lang w:val="en"/>
          <w:specVanish w:val="0"/>
        </w:rPr>
        <w:t>It became Chapter 369 of the Acts of 2012. St. 2012, c. 369.</w:t>
      </w:r>
    </w:p>
    <w:p w:rsidR="00B31037" w:rsidRDefault="00B31037" w:rsidP="00B31037">
      <w:pPr>
        <w:widowControl w:val="0"/>
        <w:rPr>
          <w:rStyle w:val="hierarchydescription2"/>
          <w:rFonts w:cs="Times New Roman"/>
          <w:szCs w:val="24"/>
          <w:lang w:val="en"/>
        </w:rPr>
      </w:pPr>
      <w:r>
        <w:rPr>
          <w:rStyle w:val="hierarchydescription2"/>
          <w:rFonts w:cs="Times New Roman"/>
          <w:szCs w:val="24"/>
          <w:lang w:val="en"/>
          <w:specVanish w:val="0"/>
        </w:rPr>
        <w:t>It has not been codified into the Massachusetts General Laws.</w:t>
      </w:r>
      <w:r w:rsidR="00897A4F">
        <w:rPr>
          <w:rStyle w:val="FootnoteReference"/>
          <w:rFonts w:cs="Times New Roman"/>
          <w:szCs w:val="24"/>
          <w:lang w:val="en"/>
        </w:rPr>
        <w:footnoteReference w:id="1"/>
      </w:r>
    </w:p>
    <w:p w:rsidR="005B34DB" w:rsidRPr="00B73038" w:rsidRDefault="005B34DB" w:rsidP="005B34DB">
      <w:pPr>
        <w:rPr>
          <w:rFonts w:cs="Times New Roman"/>
          <w:szCs w:val="24"/>
        </w:rPr>
      </w:pPr>
      <w:r w:rsidRPr="00B73038">
        <w:rPr>
          <w:rStyle w:val="hierarchydescription2"/>
          <w:rFonts w:cs="Times New Roman"/>
          <w:szCs w:val="24"/>
          <w:lang w:val="en"/>
          <w:specVanish w:val="0"/>
        </w:rPr>
        <w:tab/>
      </w:r>
      <w:r w:rsidR="00E217B4">
        <w:rPr>
          <w:rStyle w:val="hierarchydescription2"/>
          <w:rFonts w:cs="Times New Roman"/>
          <w:szCs w:val="24"/>
          <w:lang w:val="en"/>
          <w:specVanish w:val="0"/>
        </w:rPr>
        <w:t>2</w:t>
      </w:r>
      <w:r w:rsidRPr="00B73038">
        <w:rPr>
          <w:rStyle w:val="hierarchydescription2"/>
          <w:rFonts w:cs="Times New Roman"/>
          <w:szCs w:val="24"/>
          <w:lang w:val="en"/>
          <w:specVanish w:val="0"/>
        </w:rPr>
        <w:t>. The Department of Public Health</w:t>
      </w:r>
      <w:r w:rsidR="00283E74" w:rsidRPr="00B73038">
        <w:rPr>
          <w:rStyle w:val="hierarchydescription2"/>
          <w:rFonts w:cs="Times New Roman"/>
          <w:szCs w:val="24"/>
          <w:lang w:val="en"/>
          <w:specVanish w:val="0"/>
        </w:rPr>
        <w:t xml:space="preserve"> (DPH)</w:t>
      </w:r>
      <w:r w:rsidR="00FA531F">
        <w:rPr>
          <w:rStyle w:val="hierarchydescription2"/>
          <w:rFonts w:cs="Times New Roman"/>
          <w:szCs w:val="24"/>
          <w:lang w:val="en"/>
          <w:specVanish w:val="0"/>
        </w:rPr>
        <w:t xml:space="preserve"> </w:t>
      </w:r>
      <w:r w:rsidRPr="00B73038">
        <w:rPr>
          <w:rStyle w:val="hierarchydescription2"/>
          <w:rFonts w:cs="Times New Roman"/>
          <w:szCs w:val="24"/>
          <w:lang w:val="en"/>
          <w:specVanish w:val="0"/>
        </w:rPr>
        <w:t xml:space="preserve">administers </w:t>
      </w:r>
      <w:r w:rsidRPr="00B73038">
        <w:rPr>
          <w:rFonts w:cs="Times New Roman"/>
          <w:szCs w:val="24"/>
        </w:rPr>
        <w:t xml:space="preserve">the Medical Use of Marijuana </w:t>
      </w:r>
      <w:r w:rsidR="008C7359" w:rsidRPr="00B73038">
        <w:rPr>
          <w:rFonts w:cs="Times New Roman"/>
          <w:szCs w:val="24"/>
        </w:rPr>
        <w:t xml:space="preserve"> Program</w:t>
      </w:r>
      <w:r w:rsidR="00FA531F">
        <w:rPr>
          <w:rFonts w:cs="Times New Roman"/>
          <w:szCs w:val="24"/>
        </w:rPr>
        <w:t xml:space="preserve">, which it refers to by the acronym “MMJ.” (This decision calls it “the medical marijuana program.”) </w:t>
      </w:r>
      <w:r w:rsidR="0088426D">
        <w:rPr>
          <w:rFonts w:cs="Times New Roman"/>
          <w:szCs w:val="24"/>
        </w:rPr>
        <w:t xml:space="preserve">To implement the statute, </w:t>
      </w:r>
      <w:r w:rsidR="00FA531F">
        <w:rPr>
          <w:rFonts w:cs="Times New Roman"/>
          <w:szCs w:val="24"/>
        </w:rPr>
        <w:t xml:space="preserve">DPH </w:t>
      </w:r>
      <w:r w:rsidRPr="00B73038">
        <w:rPr>
          <w:rStyle w:val="hierarchydescription2"/>
          <w:rFonts w:cs="Times New Roman"/>
          <w:szCs w:val="24"/>
          <w:lang w:val="en"/>
          <w:specVanish w:val="0"/>
        </w:rPr>
        <w:t xml:space="preserve">issued regulations under </w:t>
      </w:r>
      <w:r w:rsidRPr="00B73038">
        <w:rPr>
          <w:rFonts w:cs="Times New Roman"/>
          <w:szCs w:val="24"/>
        </w:rPr>
        <w:t xml:space="preserve">105 CMR </w:t>
      </w:r>
      <w:r w:rsidR="00A367B6">
        <w:rPr>
          <w:rFonts w:cs="Times New Roman"/>
          <w:szCs w:val="24"/>
        </w:rPr>
        <w:t>725.000 (which this decision calls “</w:t>
      </w:r>
      <w:r w:rsidR="00977EFE">
        <w:rPr>
          <w:rFonts w:cs="Times New Roman"/>
          <w:szCs w:val="24"/>
        </w:rPr>
        <w:t xml:space="preserve">the </w:t>
      </w:r>
      <w:r w:rsidR="00A367B6">
        <w:rPr>
          <w:rFonts w:cs="Times New Roman"/>
          <w:szCs w:val="24"/>
        </w:rPr>
        <w:t>medical marijuana regulations”)</w:t>
      </w:r>
      <w:r w:rsidR="005A6BFD">
        <w:rPr>
          <w:rFonts w:cs="Times New Roman"/>
          <w:szCs w:val="24"/>
        </w:rPr>
        <w:t>.</w:t>
      </w:r>
    </w:p>
    <w:p w:rsidR="005B34DB" w:rsidRPr="00B73038" w:rsidRDefault="005B34DB" w:rsidP="005B34DB">
      <w:pPr>
        <w:rPr>
          <w:szCs w:val="24"/>
        </w:rPr>
      </w:pPr>
      <w:r w:rsidRPr="00B73038">
        <w:rPr>
          <w:rFonts w:cs="Times New Roman"/>
          <w:szCs w:val="24"/>
        </w:rPr>
        <w:tab/>
      </w:r>
      <w:r w:rsidR="00E217B4">
        <w:rPr>
          <w:rFonts w:cs="Times New Roman"/>
          <w:szCs w:val="24"/>
        </w:rPr>
        <w:t>3</w:t>
      </w:r>
      <w:r w:rsidRPr="00B73038">
        <w:rPr>
          <w:rFonts w:cs="Times New Roman"/>
          <w:szCs w:val="24"/>
        </w:rPr>
        <w:t xml:space="preserve">. Under </w:t>
      </w:r>
      <w:r w:rsidR="00E277B7">
        <w:rPr>
          <w:rFonts w:cs="Times New Roman"/>
          <w:szCs w:val="24"/>
        </w:rPr>
        <w:t>the medical marijuana program</w:t>
      </w:r>
      <w:r w:rsidRPr="00B73038">
        <w:rPr>
          <w:rFonts w:cs="Times New Roman"/>
          <w:szCs w:val="24"/>
        </w:rPr>
        <w:t xml:space="preserve">, a certification allows patients to use medical marijuana. </w:t>
      </w:r>
      <w:r w:rsidR="00C223D1">
        <w:rPr>
          <w:rFonts w:cs="Times New Roman"/>
          <w:szCs w:val="24"/>
        </w:rPr>
        <w:t>(</w:t>
      </w:r>
      <w:r w:rsidRPr="00B73038">
        <w:rPr>
          <w:rFonts w:cs="Times New Roman"/>
          <w:szCs w:val="24"/>
        </w:rPr>
        <w:t>This decision refer</w:t>
      </w:r>
      <w:r w:rsidR="00CB4832">
        <w:rPr>
          <w:rFonts w:cs="Times New Roman"/>
          <w:szCs w:val="24"/>
        </w:rPr>
        <w:t>s</w:t>
      </w:r>
      <w:r w:rsidRPr="00B73038">
        <w:rPr>
          <w:rFonts w:cs="Times New Roman"/>
          <w:szCs w:val="24"/>
        </w:rPr>
        <w:t xml:space="preserve"> to “a certification” or “a marijuana certification.</w:t>
      </w:r>
      <w:r w:rsidR="00A112B6" w:rsidRPr="00B73038">
        <w:rPr>
          <w:rFonts w:cs="Times New Roman"/>
          <w:szCs w:val="24"/>
        </w:rPr>
        <w:t>”</w:t>
      </w:r>
      <w:r w:rsidR="00C223D1">
        <w:rPr>
          <w:rFonts w:cs="Times New Roman"/>
          <w:szCs w:val="24"/>
        </w:rPr>
        <w:t>)</w:t>
      </w:r>
      <w:r w:rsidRPr="00B73038">
        <w:rPr>
          <w:rFonts w:cs="Times New Roman"/>
          <w:szCs w:val="24"/>
        </w:rPr>
        <w:t xml:space="preserve"> </w:t>
      </w:r>
      <w:r w:rsidRPr="00B73038">
        <w:rPr>
          <w:szCs w:val="24"/>
        </w:rPr>
        <w:t>A marijuana certification is comparable to, but is not, a prescription.</w:t>
      </w:r>
    </w:p>
    <w:p w:rsidR="005B34DB" w:rsidRPr="00B73038" w:rsidRDefault="005B34DB" w:rsidP="005B34DB">
      <w:pPr>
        <w:rPr>
          <w:rFonts w:cs="Times New Roman"/>
          <w:szCs w:val="24"/>
        </w:rPr>
      </w:pPr>
      <w:r w:rsidRPr="00B73038">
        <w:rPr>
          <w:szCs w:val="24"/>
        </w:rPr>
        <w:tab/>
      </w:r>
      <w:r w:rsidR="00E217B4">
        <w:rPr>
          <w:szCs w:val="24"/>
        </w:rPr>
        <w:t>4</w:t>
      </w:r>
      <w:r w:rsidRPr="00B73038">
        <w:rPr>
          <w:szCs w:val="24"/>
        </w:rPr>
        <w:t xml:space="preserve">. Under </w:t>
      </w:r>
      <w:r w:rsidR="00977EFE">
        <w:rPr>
          <w:rFonts w:cs="Times New Roman"/>
          <w:szCs w:val="24"/>
        </w:rPr>
        <w:t>the medical marijuana regulations</w:t>
      </w:r>
      <w:r w:rsidRPr="00B73038">
        <w:rPr>
          <w:szCs w:val="24"/>
        </w:rPr>
        <w:t xml:space="preserve">, a certification </w:t>
      </w:r>
      <w:r w:rsidRPr="00B73038">
        <w:rPr>
          <w:rFonts w:cs="Times New Roman"/>
          <w:szCs w:val="24"/>
        </w:rPr>
        <w:t xml:space="preserve"> </w:t>
      </w:r>
    </w:p>
    <w:p w:rsidR="005B34DB" w:rsidRPr="00B73038" w:rsidRDefault="005B34DB" w:rsidP="005B34DB">
      <w:pPr>
        <w:spacing w:line="240" w:lineRule="auto"/>
        <w:ind w:left="720" w:right="720"/>
        <w:rPr>
          <w:rFonts w:cs="Times New Roman"/>
          <w:szCs w:val="24"/>
        </w:rPr>
      </w:pPr>
      <w:r w:rsidRPr="00B73038">
        <w:rPr>
          <w:szCs w:val="24"/>
        </w:rPr>
        <w:lastRenderedPageBreak/>
        <w:t>means a form submitted to the Department by a Massachusetts licensed certifying physician, describing the qualifying patient’s pertinent symptoms, specifying the patient’s debilitating medical condition, and stating that in the physician’s professional opinion the potential benefits of the medical use of marijuana would likely outweigh the health risks for the patient.</w:t>
      </w:r>
    </w:p>
    <w:p w:rsidR="005B34DB" w:rsidRPr="00B73038" w:rsidRDefault="005B34DB" w:rsidP="005B34DB">
      <w:pPr>
        <w:spacing w:line="240" w:lineRule="auto"/>
        <w:ind w:right="720"/>
        <w:rPr>
          <w:rFonts w:cs="Times New Roman"/>
          <w:szCs w:val="24"/>
        </w:rPr>
      </w:pPr>
    </w:p>
    <w:p w:rsidR="005B34DB" w:rsidRPr="00B73038" w:rsidRDefault="005B34DB" w:rsidP="005B34DB">
      <w:pPr>
        <w:ind w:right="720"/>
        <w:rPr>
          <w:rFonts w:cs="Times New Roman"/>
          <w:szCs w:val="24"/>
        </w:rPr>
      </w:pPr>
      <w:r w:rsidRPr="00B73038">
        <w:rPr>
          <w:rFonts w:cs="Times New Roman"/>
          <w:szCs w:val="24"/>
        </w:rPr>
        <w:t>105 CMR 725.004</w:t>
      </w:r>
      <w:r w:rsidR="00525D72" w:rsidRPr="00B73038">
        <w:rPr>
          <w:rFonts w:cs="Times New Roman"/>
          <w:szCs w:val="24"/>
        </w:rPr>
        <w:t>.</w:t>
      </w:r>
    </w:p>
    <w:p w:rsidR="00525D72" w:rsidRPr="00B73038" w:rsidRDefault="00525D72" w:rsidP="00E277B7">
      <w:pPr>
        <w:widowControl w:val="0"/>
        <w:rPr>
          <w:szCs w:val="24"/>
        </w:rPr>
      </w:pPr>
      <w:r w:rsidRPr="00B73038">
        <w:rPr>
          <w:szCs w:val="24"/>
        </w:rPr>
        <w:tab/>
      </w:r>
      <w:r w:rsidR="00E217B4">
        <w:rPr>
          <w:szCs w:val="24"/>
        </w:rPr>
        <w:t>5</w:t>
      </w:r>
      <w:r w:rsidR="00E05B0D" w:rsidRPr="00B73038">
        <w:rPr>
          <w:szCs w:val="24"/>
        </w:rPr>
        <w:t xml:space="preserve">. </w:t>
      </w:r>
      <w:r w:rsidR="00977EFE">
        <w:rPr>
          <w:rFonts w:cs="Times New Roman"/>
          <w:szCs w:val="24"/>
        </w:rPr>
        <w:t>The medical marijuana regulations</w:t>
      </w:r>
      <w:r w:rsidR="00CB4832">
        <w:rPr>
          <w:rFonts w:cs="Times New Roman"/>
          <w:szCs w:val="24"/>
        </w:rPr>
        <w:t xml:space="preserve"> generally envision</w:t>
      </w:r>
      <w:r w:rsidR="00E05B0D" w:rsidRPr="00B73038">
        <w:rPr>
          <w:rFonts w:cs="Times New Roman"/>
          <w:szCs w:val="24"/>
        </w:rPr>
        <w:t xml:space="preserve"> that physicians will issue marijuana certifications. </w:t>
      </w:r>
      <w:r w:rsidR="00E05B0D" w:rsidRPr="00B73038">
        <w:rPr>
          <w:rFonts w:cs="Times New Roman"/>
          <w:i/>
          <w:szCs w:val="24"/>
        </w:rPr>
        <w:t>See</w:t>
      </w:r>
      <w:r w:rsidR="00E05B0D" w:rsidRPr="00B73038">
        <w:rPr>
          <w:rFonts w:cs="Times New Roman"/>
          <w:szCs w:val="24"/>
        </w:rPr>
        <w:t xml:space="preserve"> 105 CMR </w:t>
      </w:r>
      <w:r w:rsidR="00E05B0D" w:rsidRPr="00B73038">
        <w:rPr>
          <w:szCs w:val="24"/>
        </w:rPr>
        <w:t>725.005 (mentioning certifying physicians), 725.004 (definition of marijuana certification is a form submitted by a physician).</w:t>
      </w:r>
    </w:p>
    <w:p w:rsidR="00E05B0D" w:rsidRPr="00B73038" w:rsidRDefault="00E05B0D" w:rsidP="00E277B7">
      <w:pPr>
        <w:widowControl w:val="0"/>
        <w:rPr>
          <w:rFonts w:cs="Times New Roman"/>
          <w:szCs w:val="24"/>
        </w:rPr>
      </w:pPr>
      <w:r w:rsidRPr="00B73038">
        <w:rPr>
          <w:szCs w:val="24"/>
        </w:rPr>
        <w:tab/>
      </w:r>
      <w:r w:rsidR="00E217B4">
        <w:rPr>
          <w:szCs w:val="24"/>
        </w:rPr>
        <w:t>6</w:t>
      </w:r>
      <w:r w:rsidRPr="00B73038">
        <w:rPr>
          <w:szCs w:val="24"/>
        </w:rPr>
        <w:t xml:space="preserve">. </w:t>
      </w:r>
      <w:r w:rsidR="00977EFE">
        <w:rPr>
          <w:rFonts w:cs="Times New Roman"/>
          <w:szCs w:val="24"/>
        </w:rPr>
        <w:t>The medical marijuana regulations</w:t>
      </w:r>
      <w:r w:rsidR="00B552C5">
        <w:rPr>
          <w:rFonts w:cs="Times New Roman"/>
          <w:szCs w:val="24"/>
        </w:rPr>
        <w:t xml:space="preserve"> do</w:t>
      </w:r>
      <w:r w:rsidRPr="00B73038">
        <w:rPr>
          <w:rFonts w:cs="Times New Roman"/>
          <w:szCs w:val="24"/>
        </w:rPr>
        <w:t xml:space="preserve"> not explicitl</w:t>
      </w:r>
      <w:r w:rsidR="00A112B6" w:rsidRPr="00B73038">
        <w:rPr>
          <w:rFonts w:cs="Times New Roman"/>
          <w:szCs w:val="24"/>
        </w:rPr>
        <w:t>y and directly authorize nurse</w:t>
      </w:r>
      <w:r w:rsidRPr="00B73038">
        <w:rPr>
          <w:rFonts w:cs="Times New Roman"/>
          <w:szCs w:val="24"/>
        </w:rPr>
        <w:t xml:space="preserve"> practitioners to issue marijuana certifications.</w:t>
      </w:r>
    </w:p>
    <w:p w:rsidR="00E05B0D" w:rsidRPr="00B73038" w:rsidRDefault="00E05B0D" w:rsidP="00790BE1">
      <w:pPr>
        <w:rPr>
          <w:rFonts w:cs="Times New Roman"/>
          <w:szCs w:val="24"/>
        </w:rPr>
      </w:pPr>
      <w:r w:rsidRPr="00B73038">
        <w:rPr>
          <w:rFonts w:cs="Times New Roman"/>
          <w:szCs w:val="24"/>
        </w:rPr>
        <w:tab/>
      </w:r>
      <w:r w:rsidR="00E217B4">
        <w:rPr>
          <w:rFonts w:cs="Times New Roman"/>
          <w:szCs w:val="24"/>
        </w:rPr>
        <w:t>7</w:t>
      </w:r>
      <w:r w:rsidRPr="00B73038">
        <w:rPr>
          <w:rFonts w:cs="Times New Roman"/>
          <w:szCs w:val="24"/>
        </w:rPr>
        <w:t xml:space="preserve">. </w:t>
      </w:r>
      <w:r w:rsidR="00B552C5">
        <w:rPr>
          <w:rFonts w:cs="Times New Roman"/>
          <w:szCs w:val="24"/>
        </w:rPr>
        <w:t>The medical marijuana regulations do</w:t>
      </w:r>
      <w:r w:rsidR="00A112B6" w:rsidRPr="00B73038">
        <w:rPr>
          <w:rFonts w:cs="Times New Roman"/>
          <w:szCs w:val="24"/>
        </w:rPr>
        <w:t xml:space="preserve"> </w:t>
      </w:r>
      <w:r w:rsidR="00A112B6" w:rsidRPr="00B73038">
        <w:rPr>
          <w:rFonts w:cs="Times New Roman"/>
          <w:i/>
          <w:szCs w:val="24"/>
        </w:rPr>
        <w:t>indirectly</w:t>
      </w:r>
      <w:r w:rsidR="00A112B6" w:rsidRPr="00B73038">
        <w:rPr>
          <w:rFonts w:cs="Times New Roman"/>
          <w:szCs w:val="24"/>
        </w:rPr>
        <w:t xml:space="preserve"> authorize nurse</w:t>
      </w:r>
      <w:r w:rsidRPr="00B73038">
        <w:rPr>
          <w:rFonts w:cs="Times New Roman"/>
          <w:szCs w:val="24"/>
        </w:rPr>
        <w:t xml:space="preserve"> practitioners to</w:t>
      </w:r>
      <w:r w:rsidR="00B552C5">
        <w:rPr>
          <w:rFonts w:cs="Times New Roman"/>
          <w:szCs w:val="24"/>
        </w:rPr>
        <w:t xml:space="preserve"> issue marijuana certifications, as follows:</w:t>
      </w:r>
      <w:r w:rsidRPr="00B73038">
        <w:rPr>
          <w:rFonts w:cs="Times New Roman"/>
          <w:szCs w:val="24"/>
        </w:rPr>
        <w:tab/>
      </w:r>
    </w:p>
    <w:p w:rsidR="00B552C5" w:rsidRDefault="00E05B0D" w:rsidP="00E05B0D">
      <w:pPr>
        <w:spacing w:line="240" w:lineRule="auto"/>
        <w:ind w:left="720" w:right="720"/>
        <w:rPr>
          <w:szCs w:val="24"/>
        </w:rPr>
      </w:pPr>
      <w:r w:rsidRPr="00B73038">
        <w:rPr>
          <w:szCs w:val="24"/>
        </w:rPr>
        <w:t>Nothing in 105 CMR 725.000 shall be construed to limit the scope of practice of a nurse practitioner pursuant to M.G.L. c. 112, § 80I.</w:t>
      </w:r>
    </w:p>
    <w:p w:rsidR="00B552C5" w:rsidRDefault="00B552C5" w:rsidP="00E05B0D">
      <w:pPr>
        <w:spacing w:line="240" w:lineRule="auto"/>
        <w:ind w:left="720" w:right="720"/>
        <w:rPr>
          <w:szCs w:val="24"/>
        </w:rPr>
      </w:pPr>
    </w:p>
    <w:p w:rsidR="00E05B0D" w:rsidRPr="00B73038" w:rsidRDefault="00B552C5" w:rsidP="00B552C5">
      <w:pPr>
        <w:spacing w:line="240" w:lineRule="auto"/>
        <w:ind w:right="720"/>
        <w:rPr>
          <w:szCs w:val="24"/>
        </w:rPr>
      </w:pPr>
      <w:r w:rsidRPr="00B73038">
        <w:rPr>
          <w:rFonts w:cs="Times New Roman"/>
          <w:szCs w:val="24"/>
        </w:rPr>
        <w:t>105 CMR 725.650(C)</w:t>
      </w:r>
      <w:r>
        <w:rPr>
          <w:rFonts w:cs="Times New Roman"/>
          <w:szCs w:val="24"/>
        </w:rPr>
        <w:t>.</w:t>
      </w:r>
      <w:r w:rsidR="001C5894" w:rsidRPr="00B73038">
        <w:rPr>
          <w:rStyle w:val="FootnoteReference"/>
          <w:szCs w:val="24"/>
        </w:rPr>
        <w:footnoteReference w:id="2"/>
      </w:r>
    </w:p>
    <w:p w:rsidR="00E05B0D" w:rsidRPr="00B73038" w:rsidRDefault="00E05B0D" w:rsidP="00E05B0D">
      <w:pPr>
        <w:spacing w:line="240" w:lineRule="auto"/>
        <w:ind w:left="720" w:right="720"/>
        <w:rPr>
          <w:szCs w:val="24"/>
        </w:rPr>
      </w:pPr>
    </w:p>
    <w:p w:rsidR="00E05B0D" w:rsidRPr="00B73038" w:rsidRDefault="00E05B0D" w:rsidP="00E05B0D">
      <w:pPr>
        <w:rPr>
          <w:szCs w:val="24"/>
        </w:rPr>
      </w:pPr>
      <w:r w:rsidRPr="00B73038">
        <w:rPr>
          <w:szCs w:val="24"/>
        </w:rPr>
        <w:tab/>
      </w:r>
      <w:r w:rsidR="00E217B4">
        <w:rPr>
          <w:szCs w:val="24"/>
        </w:rPr>
        <w:t>8</w:t>
      </w:r>
      <w:r w:rsidRPr="00B73038">
        <w:rPr>
          <w:szCs w:val="24"/>
        </w:rPr>
        <w:t xml:space="preserve">. </w:t>
      </w:r>
      <w:r w:rsidRPr="00B73038">
        <w:rPr>
          <w:rFonts w:cs="Times New Roman"/>
          <w:szCs w:val="24"/>
          <w:lang w:val="en"/>
        </w:rPr>
        <w:t>G.L. c. 112, § 80I, in turn, states:</w:t>
      </w:r>
    </w:p>
    <w:p w:rsidR="00E05B0D" w:rsidRPr="00B73038" w:rsidRDefault="00E05B0D" w:rsidP="00E05B0D">
      <w:pPr>
        <w:spacing w:line="240" w:lineRule="auto"/>
        <w:ind w:left="720" w:right="720"/>
        <w:rPr>
          <w:rFonts w:cs="Times New Roman"/>
          <w:szCs w:val="24"/>
          <w:lang w:val="en"/>
        </w:rPr>
      </w:pPr>
      <w:r w:rsidRPr="00B73038">
        <w:rPr>
          <w:rFonts w:cs="Times New Roman"/>
          <w:szCs w:val="24"/>
          <w:lang w:val="en"/>
        </w:rPr>
        <w:t>When a law or rule requires a signature, certification, stamp, verification, affidavit or endorsement by a physician, when relating to physical or mental health, that requirement may be fulfilled by a nurse practitioner….</w:t>
      </w:r>
      <w:r w:rsidR="008121B1" w:rsidRPr="00B73038">
        <w:rPr>
          <w:rStyle w:val="FootnoteReference"/>
          <w:rFonts w:cs="Times New Roman"/>
          <w:szCs w:val="24"/>
          <w:lang w:val="en"/>
        </w:rPr>
        <w:footnoteReference w:id="3"/>
      </w:r>
    </w:p>
    <w:p w:rsidR="00E05B0D" w:rsidRPr="00B73038" w:rsidRDefault="00E05B0D" w:rsidP="00E05B0D">
      <w:pPr>
        <w:spacing w:line="240" w:lineRule="auto"/>
        <w:ind w:left="720" w:right="720"/>
        <w:rPr>
          <w:rFonts w:cs="Times New Roman"/>
          <w:szCs w:val="24"/>
          <w:lang w:val="en"/>
        </w:rPr>
      </w:pPr>
    </w:p>
    <w:p w:rsidR="00E05B0D" w:rsidRPr="00B73038" w:rsidRDefault="00E05B0D" w:rsidP="00790BE1">
      <w:pPr>
        <w:rPr>
          <w:rFonts w:cs="Times New Roman"/>
          <w:szCs w:val="24"/>
        </w:rPr>
      </w:pPr>
      <w:r w:rsidRPr="00B73038">
        <w:rPr>
          <w:szCs w:val="24"/>
        </w:rPr>
        <w:tab/>
      </w:r>
      <w:r w:rsidR="00E217B4">
        <w:rPr>
          <w:szCs w:val="24"/>
        </w:rPr>
        <w:t>9</w:t>
      </w:r>
      <w:r w:rsidRPr="00B73038">
        <w:rPr>
          <w:szCs w:val="24"/>
        </w:rPr>
        <w:t xml:space="preserve">. Although the </w:t>
      </w:r>
      <w:r w:rsidR="00DB1428">
        <w:rPr>
          <w:szCs w:val="24"/>
        </w:rPr>
        <w:t xml:space="preserve">medical marijuana regulations, which DPH </w:t>
      </w:r>
      <w:r w:rsidR="00445A9B">
        <w:rPr>
          <w:szCs w:val="24"/>
        </w:rPr>
        <w:t>promulgat</w:t>
      </w:r>
      <w:r w:rsidR="00DB1428">
        <w:rPr>
          <w:szCs w:val="24"/>
        </w:rPr>
        <w:t>ed</w:t>
      </w:r>
      <w:r w:rsidRPr="00B73038">
        <w:rPr>
          <w:rFonts w:cs="Times New Roman"/>
          <w:szCs w:val="24"/>
        </w:rPr>
        <w:t>, do not explicitl</w:t>
      </w:r>
      <w:r w:rsidR="00A112B6" w:rsidRPr="00B73038">
        <w:rPr>
          <w:rFonts w:cs="Times New Roman"/>
          <w:szCs w:val="24"/>
        </w:rPr>
        <w:t>y and directly authorize nurse</w:t>
      </w:r>
      <w:r w:rsidRPr="00B73038">
        <w:rPr>
          <w:rFonts w:cs="Times New Roman"/>
          <w:szCs w:val="24"/>
        </w:rPr>
        <w:t xml:space="preserve"> practitioners to </w:t>
      </w:r>
      <w:r w:rsidRPr="00445A9B">
        <w:rPr>
          <w:rFonts w:cs="Times New Roman"/>
          <w:szCs w:val="24"/>
        </w:rPr>
        <w:t>issue</w:t>
      </w:r>
      <w:r w:rsidRPr="00B73038">
        <w:rPr>
          <w:rFonts w:cs="Times New Roman"/>
          <w:szCs w:val="24"/>
        </w:rPr>
        <w:t xml:space="preserve"> marijuana certifications, a regulation </w:t>
      </w:r>
      <w:r w:rsidR="009E2099">
        <w:rPr>
          <w:rFonts w:cs="Times New Roman"/>
          <w:szCs w:val="24"/>
        </w:rPr>
        <w:t>promulgated</w:t>
      </w:r>
      <w:r w:rsidRPr="00B73038">
        <w:rPr>
          <w:rFonts w:cs="Times New Roman"/>
          <w:szCs w:val="24"/>
        </w:rPr>
        <w:t xml:space="preserve"> by the Board of Registration in Nursing does so:</w:t>
      </w:r>
    </w:p>
    <w:p w:rsidR="00D44EFC" w:rsidRPr="00B73038" w:rsidRDefault="00D44EFC" w:rsidP="00D44EFC">
      <w:pPr>
        <w:autoSpaceDE w:val="0"/>
        <w:autoSpaceDN w:val="0"/>
        <w:adjustRightInd w:val="0"/>
        <w:spacing w:line="240" w:lineRule="auto"/>
        <w:ind w:left="720" w:right="720"/>
        <w:rPr>
          <w:rFonts w:cs="Times New Roman"/>
          <w:szCs w:val="24"/>
        </w:rPr>
      </w:pPr>
      <w:r w:rsidRPr="00B73038">
        <w:rPr>
          <w:rFonts w:cs="Times New Roman"/>
          <w:szCs w:val="24"/>
        </w:rPr>
        <w:t>Pursuant to St. 2012, c. 369 and M.G.L. c. 112 § 80I, CNPs [Certi</w:t>
      </w:r>
      <w:r w:rsidR="00A112B6" w:rsidRPr="00B73038">
        <w:rPr>
          <w:rFonts w:cs="Times New Roman"/>
          <w:szCs w:val="24"/>
        </w:rPr>
        <w:t>fied Nurse</w:t>
      </w:r>
      <w:r w:rsidRPr="00B73038">
        <w:rPr>
          <w:rFonts w:cs="Times New Roman"/>
          <w:szCs w:val="24"/>
        </w:rPr>
        <w:t xml:space="preserve"> Practitioners] are authorized to issue written certifications of marijuana for </w:t>
      </w:r>
      <w:r w:rsidRPr="00B73038">
        <w:rPr>
          <w:rFonts w:cs="Times New Roman"/>
          <w:szCs w:val="24"/>
        </w:rPr>
        <w:lastRenderedPageBreak/>
        <w:t xml:space="preserve">medical use as provided pursuant to the mutually agreed upon guidelines between the NP and the physician supervising the CNP’s prescriptive practice. </w:t>
      </w:r>
    </w:p>
    <w:p w:rsidR="00D44EFC" w:rsidRPr="00B73038" w:rsidRDefault="00D44EFC" w:rsidP="00D44EFC">
      <w:pPr>
        <w:spacing w:line="240" w:lineRule="auto"/>
        <w:ind w:right="720"/>
        <w:rPr>
          <w:rFonts w:cs="Times New Roman"/>
          <w:szCs w:val="24"/>
          <w:lang w:val="en"/>
        </w:rPr>
      </w:pPr>
    </w:p>
    <w:p w:rsidR="00D44EFC" w:rsidRDefault="00D44EFC" w:rsidP="00283E74">
      <w:pPr>
        <w:ind w:right="720"/>
        <w:rPr>
          <w:rFonts w:cs="Times New Roman"/>
          <w:szCs w:val="24"/>
        </w:rPr>
      </w:pPr>
      <w:r w:rsidRPr="00B73038">
        <w:rPr>
          <w:rFonts w:cs="Times New Roman"/>
          <w:szCs w:val="24"/>
        </w:rPr>
        <w:t>244 CMR 4.06(3)(d).</w:t>
      </w:r>
      <w:r w:rsidR="00B73038" w:rsidRPr="00B73038">
        <w:rPr>
          <w:rStyle w:val="FootnoteReference"/>
          <w:rFonts w:cs="Times New Roman"/>
          <w:szCs w:val="24"/>
        </w:rPr>
        <w:footnoteReference w:id="4"/>
      </w:r>
      <w:r w:rsidRPr="00B73038">
        <w:rPr>
          <w:rFonts w:cs="Times New Roman"/>
          <w:szCs w:val="24"/>
        </w:rPr>
        <w:t xml:space="preserve"> </w:t>
      </w:r>
    </w:p>
    <w:p w:rsidR="00A112B6" w:rsidRPr="00B73038" w:rsidRDefault="00A112B6" w:rsidP="00A112B6">
      <w:pPr>
        <w:rPr>
          <w:rFonts w:cs="Times New Roman"/>
          <w:szCs w:val="24"/>
        </w:rPr>
      </w:pPr>
      <w:r w:rsidRPr="00B73038">
        <w:rPr>
          <w:rFonts w:cs="Times New Roman"/>
          <w:szCs w:val="24"/>
        </w:rPr>
        <w:tab/>
      </w:r>
      <w:r w:rsidR="00E217B4">
        <w:rPr>
          <w:rFonts w:cs="Times New Roman"/>
          <w:szCs w:val="24"/>
        </w:rPr>
        <w:t>10</w:t>
      </w:r>
      <w:r w:rsidRPr="00B73038">
        <w:rPr>
          <w:rFonts w:cs="Times New Roman"/>
          <w:szCs w:val="24"/>
        </w:rPr>
        <w:t xml:space="preserve">. Canna Care Docs, the entity for which Dr. Nadolny worked, had guidelines mentioned in 244 CMR 4.06(3)(d). </w:t>
      </w:r>
    </w:p>
    <w:p w:rsidR="00A112B6" w:rsidRPr="00B73038" w:rsidRDefault="00A112B6" w:rsidP="00A112B6">
      <w:pPr>
        <w:rPr>
          <w:rFonts w:cs="Times New Roman"/>
          <w:szCs w:val="24"/>
        </w:rPr>
      </w:pPr>
      <w:r w:rsidRPr="00B73038">
        <w:rPr>
          <w:rFonts w:cs="Times New Roman"/>
          <w:szCs w:val="24"/>
        </w:rPr>
        <w:tab/>
      </w:r>
      <w:r w:rsidR="00E217B4">
        <w:rPr>
          <w:rFonts w:cs="Times New Roman"/>
          <w:szCs w:val="24"/>
        </w:rPr>
        <w:t>11</w:t>
      </w:r>
      <w:r w:rsidRPr="00B73038">
        <w:rPr>
          <w:rFonts w:cs="Times New Roman"/>
          <w:szCs w:val="24"/>
        </w:rPr>
        <w:t>. Canna Care Docs’ Administrative Policy Statement, which is undated, states in part:</w:t>
      </w:r>
    </w:p>
    <w:p w:rsidR="00A112B6" w:rsidRPr="00B73038" w:rsidRDefault="00A112B6" w:rsidP="00A112B6">
      <w:pPr>
        <w:spacing w:line="240" w:lineRule="auto"/>
        <w:ind w:left="720" w:right="720"/>
        <w:rPr>
          <w:rFonts w:cs="Times New Roman"/>
          <w:szCs w:val="24"/>
        </w:rPr>
      </w:pPr>
      <w:r w:rsidRPr="00B73038">
        <w:rPr>
          <w:rFonts w:cs="Times New Roman"/>
          <w:szCs w:val="24"/>
        </w:rPr>
        <w:tab/>
        <w:t>A CNP issuing approvals for a patient under the Medical Use of Marijuana Program is subject to periodic chart review. The Medical Director will be the certifying physician in all approval cases.</w:t>
      </w:r>
    </w:p>
    <w:p w:rsidR="00A112B6" w:rsidRPr="00B73038" w:rsidRDefault="00A112B6" w:rsidP="00A112B6">
      <w:pPr>
        <w:spacing w:line="240" w:lineRule="auto"/>
        <w:ind w:left="720" w:right="720"/>
        <w:rPr>
          <w:rFonts w:cs="Times New Roman"/>
          <w:szCs w:val="24"/>
        </w:rPr>
      </w:pPr>
    </w:p>
    <w:p w:rsidR="00A112B6" w:rsidRPr="00B73038" w:rsidRDefault="00A112B6" w:rsidP="00A112B6">
      <w:pPr>
        <w:rPr>
          <w:rFonts w:cs="Times New Roman"/>
          <w:szCs w:val="24"/>
        </w:rPr>
      </w:pPr>
      <w:r w:rsidRPr="00B73038">
        <w:rPr>
          <w:rFonts w:cs="Times New Roman"/>
          <w:szCs w:val="24"/>
        </w:rPr>
        <w:t>(Ex. B.)</w:t>
      </w:r>
      <w:r w:rsidR="004554CF">
        <w:rPr>
          <w:rStyle w:val="FootnoteReference"/>
          <w:rFonts w:cs="Times New Roman"/>
          <w:szCs w:val="24"/>
        </w:rPr>
        <w:footnoteReference w:id="5"/>
      </w:r>
    </w:p>
    <w:p w:rsidR="00BF4055" w:rsidRPr="00B73038" w:rsidRDefault="00BF4055" w:rsidP="00A112B6">
      <w:pPr>
        <w:rPr>
          <w:rFonts w:cs="Times New Roman"/>
          <w:szCs w:val="24"/>
        </w:rPr>
      </w:pPr>
      <w:r w:rsidRPr="00B73038">
        <w:rPr>
          <w:rFonts w:cs="Times New Roman"/>
          <w:szCs w:val="24"/>
        </w:rPr>
        <w:tab/>
      </w:r>
      <w:r w:rsidR="00E217B4">
        <w:rPr>
          <w:rFonts w:cs="Times New Roman"/>
          <w:szCs w:val="24"/>
        </w:rPr>
        <w:t>12</w:t>
      </w:r>
      <w:r w:rsidRPr="00B73038">
        <w:rPr>
          <w:rFonts w:cs="Times New Roman"/>
          <w:szCs w:val="24"/>
        </w:rPr>
        <w:t xml:space="preserve">. The Administrative Policy Statement may or may not </w:t>
      </w:r>
      <w:r w:rsidR="00B36B9E">
        <w:rPr>
          <w:rFonts w:cs="Times New Roman"/>
          <w:szCs w:val="24"/>
        </w:rPr>
        <w:t>constitut</w:t>
      </w:r>
      <w:r w:rsidRPr="00B73038">
        <w:rPr>
          <w:rFonts w:cs="Times New Roman"/>
          <w:szCs w:val="24"/>
        </w:rPr>
        <w:t>e “mutually agreed upon guidelines” under 244 CMR 4.06(3)(d), but it appears to have an element of such guidelines.</w:t>
      </w:r>
    </w:p>
    <w:p w:rsidR="00A112B6" w:rsidRPr="00B73038" w:rsidRDefault="00A112B6" w:rsidP="00A112B6">
      <w:pPr>
        <w:rPr>
          <w:rFonts w:cs="Times New Roman"/>
          <w:szCs w:val="24"/>
        </w:rPr>
      </w:pPr>
      <w:r w:rsidRPr="00B73038">
        <w:rPr>
          <w:rFonts w:cs="Times New Roman"/>
          <w:szCs w:val="24"/>
        </w:rPr>
        <w:tab/>
      </w:r>
      <w:r w:rsidR="00E217B4">
        <w:rPr>
          <w:rFonts w:cs="Times New Roman"/>
          <w:szCs w:val="24"/>
        </w:rPr>
        <w:t>13</w:t>
      </w:r>
      <w:r w:rsidRPr="00B73038">
        <w:rPr>
          <w:rFonts w:cs="Times New Roman"/>
          <w:szCs w:val="24"/>
        </w:rPr>
        <w:t>. In addition to the Administrative Policy Statement, Canna Care Docs had a Collaborative Practice Agreement between Dr. Nadolny and the nurse practitioners. (Ex. C.)</w:t>
      </w:r>
    </w:p>
    <w:p w:rsidR="00BF4055" w:rsidRPr="00B73038" w:rsidRDefault="00E217B4" w:rsidP="00BF4055">
      <w:pPr>
        <w:ind w:firstLine="720"/>
        <w:rPr>
          <w:rFonts w:cs="Times New Roman"/>
          <w:szCs w:val="24"/>
        </w:rPr>
      </w:pPr>
      <w:r>
        <w:rPr>
          <w:rFonts w:cs="Times New Roman"/>
          <w:szCs w:val="24"/>
        </w:rPr>
        <w:t>14</w:t>
      </w:r>
      <w:r w:rsidR="00BF4055" w:rsidRPr="00B73038">
        <w:rPr>
          <w:rFonts w:cs="Times New Roman"/>
          <w:szCs w:val="24"/>
        </w:rPr>
        <w:t xml:space="preserve">. The Collaborative Practice Agreement </w:t>
      </w:r>
      <w:r w:rsidR="00B36B9E">
        <w:rPr>
          <w:rFonts w:cs="Times New Roman"/>
          <w:szCs w:val="24"/>
        </w:rPr>
        <w:t>did constitute</w:t>
      </w:r>
      <w:r w:rsidR="00BF4055" w:rsidRPr="00B73038">
        <w:rPr>
          <w:rFonts w:cs="Times New Roman"/>
          <w:szCs w:val="24"/>
        </w:rPr>
        <w:t xml:space="preserve"> “mutually agreed upon guidelines” under 244 CMR 4.06(3)(d).</w:t>
      </w:r>
    </w:p>
    <w:p w:rsidR="00A112B6" w:rsidRPr="00B73038" w:rsidRDefault="00A112B6" w:rsidP="00A112B6">
      <w:pPr>
        <w:rPr>
          <w:rFonts w:cs="Times New Roman"/>
          <w:szCs w:val="24"/>
        </w:rPr>
      </w:pPr>
      <w:r w:rsidRPr="00B73038">
        <w:rPr>
          <w:rFonts w:cs="Times New Roman"/>
          <w:szCs w:val="24"/>
        </w:rPr>
        <w:tab/>
      </w:r>
      <w:r w:rsidR="00E217B4">
        <w:rPr>
          <w:rFonts w:cs="Times New Roman"/>
          <w:szCs w:val="24"/>
        </w:rPr>
        <w:t>15</w:t>
      </w:r>
      <w:r w:rsidRPr="00B73038">
        <w:rPr>
          <w:rFonts w:cs="Times New Roman"/>
          <w:szCs w:val="24"/>
        </w:rPr>
        <w:t xml:space="preserve">. The agreement stated in part, “The nurse practitioners will work in collaboration with John Nadolny, MD….” (Ex. C.) </w:t>
      </w:r>
    </w:p>
    <w:p w:rsidR="00A112B6" w:rsidRPr="00B73038" w:rsidRDefault="00E217B4" w:rsidP="00A112B6">
      <w:pPr>
        <w:ind w:firstLine="720"/>
        <w:rPr>
          <w:rFonts w:cs="Times New Roman"/>
          <w:szCs w:val="24"/>
        </w:rPr>
      </w:pPr>
      <w:r>
        <w:rPr>
          <w:rFonts w:cs="Times New Roman"/>
          <w:szCs w:val="24"/>
        </w:rPr>
        <w:t>16</w:t>
      </w:r>
      <w:r w:rsidR="00A112B6" w:rsidRPr="00B73038">
        <w:rPr>
          <w:rFonts w:cs="Times New Roman"/>
          <w:szCs w:val="24"/>
        </w:rPr>
        <w:t>. The agreement proceeded to discuss a “bona fide provider patient relationship,” which is a relationship between a certifying physician and patient,</w:t>
      </w:r>
    </w:p>
    <w:p w:rsidR="00A112B6" w:rsidRPr="00B73038" w:rsidRDefault="00A112B6" w:rsidP="008D2DC3">
      <w:pPr>
        <w:widowControl w:val="0"/>
        <w:spacing w:line="240" w:lineRule="auto"/>
        <w:ind w:left="720" w:right="720"/>
        <w:rPr>
          <w:rFonts w:cs="Times New Roman"/>
          <w:szCs w:val="24"/>
        </w:rPr>
      </w:pPr>
      <w:r w:rsidRPr="00B73038">
        <w:rPr>
          <w:rFonts w:cs="Times New Roman"/>
          <w:szCs w:val="24"/>
        </w:rPr>
        <w:lastRenderedPageBreak/>
        <w:t>in which the physician has conducted a clinical visit, completed a</w:t>
      </w:r>
      <w:r w:rsidR="008C4205">
        <w:rPr>
          <w:rFonts w:cs="Times New Roman"/>
          <w:szCs w:val="24"/>
        </w:rPr>
        <w:t>nd</w:t>
      </w:r>
      <w:r w:rsidRPr="00B73038">
        <w:rPr>
          <w:rFonts w:cs="Times New Roman"/>
          <w:szCs w:val="24"/>
        </w:rPr>
        <w:t xml:space="preserve"> documented a full assessment of the patient’s medical history and current medical condition, has explained the potential risks and benefits of the marijuana use, and has a role in the patient’s ongoing care and treatment.</w:t>
      </w:r>
      <w:r w:rsidR="00E21A75" w:rsidRPr="00B73038">
        <w:rPr>
          <w:rStyle w:val="FootnoteReference"/>
          <w:rFonts w:cs="Times New Roman"/>
          <w:szCs w:val="24"/>
        </w:rPr>
        <w:footnoteReference w:id="6"/>
      </w:r>
    </w:p>
    <w:p w:rsidR="00E21A75" w:rsidRPr="00B73038" w:rsidRDefault="00E21A75" w:rsidP="00A112B6">
      <w:pPr>
        <w:spacing w:line="240" w:lineRule="auto"/>
        <w:ind w:left="720" w:right="720"/>
        <w:rPr>
          <w:rFonts w:cs="Times New Roman"/>
          <w:szCs w:val="24"/>
        </w:rPr>
      </w:pPr>
    </w:p>
    <w:p w:rsidR="00D44EFC" w:rsidRPr="00B73038" w:rsidRDefault="00E21A75" w:rsidP="00A112B6">
      <w:pPr>
        <w:rPr>
          <w:rFonts w:cs="Times New Roman"/>
          <w:szCs w:val="24"/>
        </w:rPr>
      </w:pPr>
      <w:r w:rsidRPr="00B73038">
        <w:rPr>
          <w:rFonts w:cs="Times New Roman"/>
          <w:szCs w:val="24"/>
        </w:rPr>
        <w:t>(Ex. C.)</w:t>
      </w:r>
    </w:p>
    <w:p w:rsidR="00D44EFC" w:rsidRPr="00B73038" w:rsidRDefault="00E21A75" w:rsidP="00D44EFC">
      <w:pPr>
        <w:spacing w:line="240" w:lineRule="auto"/>
        <w:ind w:right="720"/>
        <w:rPr>
          <w:rFonts w:cs="Times New Roman"/>
          <w:szCs w:val="24"/>
        </w:rPr>
      </w:pPr>
      <w:r w:rsidRPr="00B73038">
        <w:rPr>
          <w:rFonts w:cs="Times New Roman"/>
          <w:szCs w:val="24"/>
        </w:rPr>
        <w:tab/>
      </w:r>
      <w:r w:rsidR="00E217B4">
        <w:rPr>
          <w:rFonts w:cs="Times New Roman"/>
          <w:szCs w:val="24"/>
        </w:rPr>
        <w:t>17</w:t>
      </w:r>
      <w:r w:rsidRPr="00B73038">
        <w:rPr>
          <w:rFonts w:cs="Times New Roman"/>
          <w:szCs w:val="24"/>
        </w:rPr>
        <w:t>. The agreement continued:</w:t>
      </w:r>
    </w:p>
    <w:p w:rsidR="00E21A75" w:rsidRPr="00B73038" w:rsidRDefault="00E21A75" w:rsidP="00D44EFC">
      <w:pPr>
        <w:spacing w:line="240" w:lineRule="auto"/>
        <w:ind w:right="720"/>
        <w:rPr>
          <w:rFonts w:cs="Times New Roman"/>
          <w:szCs w:val="24"/>
        </w:rPr>
      </w:pPr>
    </w:p>
    <w:p w:rsidR="00E21A75" w:rsidRPr="00B73038" w:rsidRDefault="00E21A75" w:rsidP="00E21A75">
      <w:pPr>
        <w:spacing w:line="240" w:lineRule="auto"/>
        <w:ind w:left="720" w:right="720"/>
        <w:rPr>
          <w:rFonts w:cs="Times New Roman"/>
          <w:szCs w:val="24"/>
        </w:rPr>
      </w:pPr>
      <w:r w:rsidRPr="00B73038">
        <w:rPr>
          <w:rFonts w:cs="Times New Roman"/>
          <w:szCs w:val="24"/>
        </w:rPr>
        <w:t>Nurse practitioners can independently perform selected evaluations. These evaluations may include but [are] not limited to all aspects of the physical examination and assessment of a de</w:t>
      </w:r>
      <w:r w:rsidR="008C4205">
        <w:rPr>
          <w:rFonts w:cs="Times New Roman"/>
          <w:szCs w:val="24"/>
        </w:rPr>
        <w:t>[b]</w:t>
      </w:r>
      <w:r w:rsidRPr="00B73038">
        <w:rPr>
          <w:rFonts w:cs="Times New Roman"/>
          <w:szCs w:val="24"/>
        </w:rPr>
        <w:t xml:space="preserve">il[it]ating condition. </w:t>
      </w:r>
    </w:p>
    <w:p w:rsidR="00E21A75" w:rsidRPr="00B73038" w:rsidRDefault="00E21A75" w:rsidP="0088426D">
      <w:pPr>
        <w:widowControl w:val="0"/>
        <w:spacing w:line="240" w:lineRule="auto"/>
        <w:ind w:left="720" w:right="720"/>
        <w:rPr>
          <w:rFonts w:cs="Times New Roman"/>
          <w:szCs w:val="24"/>
        </w:rPr>
      </w:pPr>
    </w:p>
    <w:p w:rsidR="00E21A75" w:rsidRPr="00B73038" w:rsidRDefault="00E21A75" w:rsidP="0088426D">
      <w:pPr>
        <w:widowControl w:val="0"/>
        <w:ind w:right="720"/>
        <w:rPr>
          <w:rFonts w:cs="Times New Roman"/>
          <w:szCs w:val="24"/>
        </w:rPr>
      </w:pPr>
      <w:r w:rsidRPr="00B73038">
        <w:rPr>
          <w:rFonts w:cs="Times New Roman"/>
          <w:szCs w:val="24"/>
        </w:rPr>
        <w:t>(Ex. C.)</w:t>
      </w:r>
      <w:r w:rsidR="00283E74" w:rsidRPr="00B73038">
        <w:rPr>
          <w:rStyle w:val="FootnoteReference"/>
          <w:rFonts w:cs="Times New Roman"/>
          <w:szCs w:val="24"/>
        </w:rPr>
        <w:footnoteReference w:id="7"/>
      </w:r>
      <w:r w:rsidR="00283E74" w:rsidRPr="00B73038">
        <w:rPr>
          <w:rFonts w:cs="Times New Roman"/>
          <w:szCs w:val="24"/>
        </w:rPr>
        <w:t xml:space="preserve"> </w:t>
      </w:r>
    </w:p>
    <w:p w:rsidR="002D60A7" w:rsidRPr="00B73038" w:rsidRDefault="002D60A7" w:rsidP="002D60A7">
      <w:pPr>
        <w:ind w:right="720"/>
        <w:rPr>
          <w:rFonts w:cs="Times New Roman"/>
          <w:szCs w:val="24"/>
        </w:rPr>
      </w:pPr>
      <w:r w:rsidRPr="00B73038">
        <w:rPr>
          <w:rFonts w:cs="Times New Roman"/>
          <w:szCs w:val="24"/>
        </w:rPr>
        <w:tab/>
      </w:r>
      <w:r w:rsidR="00E217B4">
        <w:rPr>
          <w:rFonts w:cs="Times New Roman"/>
          <w:szCs w:val="24"/>
        </w:rPr>
        <w:t>18</w:t>
      </w:r>
      <w:r w:rsidRPr="00B73038">
        <w:rPr>
          <w:rFonts w:cs="Times New Roman"/>
          <w:szCs w:val="24"/>
        </w:rPr>
        <w:t>. The agreement further stated:</w:t>
      </w:r>
    </w:p>
    <w:p w:rsidR="002D60A7" w:rsidRPr="00B73038" w:rsidRDefault="002D60A7" w:rsidP="00BF4055">
      <w:pPr>
        <w:widowControl w:val="0"/>
        <w:spacing w:line="240" w:lineRule="auto"/>
        <w:ind w:left="720" w:right="720"/>
        <w:rPr>
          <w:rFonts w:cs="Times New Roman"/>
          <w:szCs w:val="24"/>
        </w:rPr>
      </w:pPr>
      <w:r w:rsidRPr="00B73038">
        <w:rPr>
          <w:rFonts w:cs="Times New Roman"/>
          <w:szCs w:val="24"/>
        </w:rPr>
        <w:t>Physician consultation from Dr. Nadolny and/or [a] covering physician is always available to the Nurse Practitioner by telephone or by his physical presence in the clinic.</w:t>
      </w:r>
    </w:p>
    <w:p w:rsidR="002D60A7" w:rsidRPr="00B73038" w:rsidRDefault="002D60A7" w:rsidP="002D60A7">
      <w:pPr>
        <w:spacing w:line="240" w:lineRule="auto"/>
        <w:ind w:left="720" w:right="720"/>
        <w:rPr>
          <w:rFonts w:cs="Times New Roman"/>
          <w:szCs w:val="24"/>
        </w:rPr>
      </w:pPr>
    </w:p>
    <w:p w:rsidR="002D60A7" w:rsidRPr="00B73038" w:rsidRDefault="002D60A7" w:rsidP="00BF4055">
      <w:pPr>
        <w:widowControl w:val="0"/>
        <w:rPr>
          <w:rFonts w:cs="Times New Roman"/>
          <w:szCs w:val="24"/>
        </w:rPr>
      </w:pPr>
      <w:r w:rsidRPr="00B73038">
        <w:rPr>
          <w:rFonts w:cs="Times New Roman"/>
          <w:szCs w:val="24"/>
        </w:rPr>
        <w:t>The agreement listed three circumstances when nurse practitioners will consult the physician. (Ex. C.)</w:t>
      </w:r>
    </w:p>
    <w:p w:rsidR="002D60A7" w:rsidRPr="00B73038" w:rsidRDefault="002D60A7" w:rsidP="002D60A7">
      <w:pPr>
        <w:rPr>
          <w:rFonts w:cs="Times New Roman"/>
          <w:szCs w:val="24"/>
        </w:rPr>
      </w:pPr>
      <w:r w:rsidRPr="00B73038">
        <w:rPr>
          <w:rFonts w:cs="Times New Roman"/>
          <w:szCs w:val="24"/>
        </w:rPr>
        <w:tab/>
      </w:r>
      <w:r w:rsidR="00E217B4">
        <w:rPr>
          <w:rFonts w:cs="Times New Roman"/>
          <w:szCs w:val="24"/>
        </w:rPr>
        <w:t>19</w:t>
      </w:r>
      <w:r w:rsidRPr="00B73038">
        <w:rPr>
          <w:rFonts w:cs="Times New Roman"/>
          <w:szCs w:val="24"/>
        </w:rPr>
        <w:t>. The agreement also stated:</w:t>
      </w:r>
    </w:p>
    <w:p w:rsidR="002D60A7" w:rsidRPr="00B73038" w:rsidRDefault="002D60A7" w:rsidP="002D60A7">
      <w:pPr>
        <w:spacing w:line="240" w:lineRule="auto"/>
        <w:ind w:left="720" w:right="720"/>
        <w:rPr>
          <w:rFonts w:cs="Times New Roman"/>
          <w:szCs w:val="24"/>
        </w:rPr>
      </w:pPr>
      <w:r w:rsidRPr="00B73038">
        <w:rPr>
          <w:rFonts w:cs="Times New Roman"/>
          <w:szCs w:val="24"/>
        </w:rPr>
        <w:t>Dr. Nadolny will periodically review medical records and verify physical findings of the nurse practitioners. Any deficiencies will be discussed with the Nurse Practitioner.</w:t>
      </w:r>
    </w:p>
    <w:p w:rsidR="002D60A7" w:rsidRPr="00B73038" w:rsidRDefault="002D60A7" w:rsidP="002D60A7">
      <w:pPr>
        <w:spacing w:line="240" w:lineRule="auto"/>
        <w:ind w:left="720" w:right="720"/>
        <w:rPr>
          <w:rFonts w:cs="Times New Roman"/>
          <w:szCs w:val="24"/>
        </w:rPr>
      </w:pPr>
    </w:p>
    <w:p w:rsidR="002D60A7" w:rsidRPr="00B73038" w:rsidRDefault="002D60A7" w:rsidP="002D60A7">
      <w:pPr>
        <w:rPr>
          <w:rFonts w:cs="Times New Roman"/>
          <w:szCs w:val="24"/>
        </w:rPr>
      </w:pPr>
      <w:r w:rsidRPr="00B73038">
        <w:rPr>
          <w:rFonts w:cs="Times New Roman"/>
          <w:szCs w:val="24"/>
        </w:rPr>
        <w:t>(Ex. C.)</w:t>
      </w:r>
    </w:p>
    <w:p w:rsidR="008D2DC3" w:rsidRPr="005D1D84" w:rsidRDefault="008D2DC3" w:rsidP="008A2435">
      <w:pPr>
        <w:widowControl w:val="0"/>
        <w:rPr>
          <w:rFonts w:cs="Times New Roman"/>
          <w:szCs w:val="24"/>
        </w:rPr>
      </w:pPr>
      <w:r>
        <w:rPr>
          <w:rFonts w:cs="Times New Roman"/>
          <w:szCs w:val="24"/>
        </w:rPr>
        <w:tab/>
      </w:r>
      <w:r w:rsidR="00E217B4">
        <w:rPr>
          <w:rFonts w:cs="Times New Roman"/>
          <w:szCs w:val="24"/>
        </w:rPr>
        <w:t>20</w:t>
      </w:r>
      <w:r>
        <w:rPr>
          <w:rFonts w:cs="Times New Roman"/>
          <w:szCs w:val="24"/>
        </w:rPr>
        <w:t xml:space="preserve">. The Medical Use of Marijuana Program is a component of DPH. </w:t>
      </w:r>
      <w:r w:rsidRPr="00F637B7">
        <w:rPr>
          <w:rFonts w:cs="Times New Roman"/>
          <w:szCs w:val="24"/>
        </w:rPr>
        <w:t>www.mass.gov/eohhs/gov/departments/dph/programs/hcq/medical-marijuana/</w:t>
      </w:r>
      <w:r>
        <w:rPr>
          <w:rFonts w:cs="Times New Roman"/>
          <w:szCs w:val="24"/>
        </w:rPr>
        <w:t>. So is the Bo</w:t>
      </w:r>
      <w:r w:rsidR="0088426D">
        <w:rPr>
          <w:rFonts w:cs="Times New Roman"/>
          <w:szCs w:val="24"/>
        </w:rPr>
        <w:t xml:space="preserve">ard of Registration in Nursing. </w:t>
      </w:r>
      <w:r w:rsidRPr="00AF35E0">
        <w:rPr>
          <w:rFonts w:cs="Times New Roman"/>
          <w:szCs w:val="24"/>
        </w:rPr>
        <w:t>w</w:t>
      </w:r>
      <w:r w:rsidR="0088426D">
        <w:rPr>
          <w:rFonts w:cs="Times New Roman"/>
          <w:szCs w:val="24"/>
        </w:rPr>
        <w:t>w</w:t>
      </w:r>
      <w:r w:rsidRPr="00AF35E0">
        <w:rPr>
          <w:rFonts w:cs="Times New Roman"/>
          <w:szCs w:val="24"/>
        </w:rPr>
        <w:t>w.mass.gov/eohhs/gov/departments/dph/programs/hcq/dhpl/</w:t>
      </w:r>
      <w:r>
        <w:rPr>
          <w:rFonts w:cs="Times New Roman"/>
          <w:szCs w:val="24"/>
        </w:rPr>
        <w:t xml:space="preserve">. The BRM is not a component of DPH, but both BRM and DPH </w:t>
      </w:r>
      <w:r w:rsidRPr="005D1D84">
        <w:rPr>
          <w:rFonts w:cs="Times New Roman"/>
          <w:szCs w:val="24"/>
        </w:rPr>
        <w:t xml:space="preserve">are </w:t>
      </w:r>
      <w:r>
        <w:rPr>
          <w:rFonts w:cs="Times New Roman"/>
          <w:szCs w:val="24"/>
        </w:rPr>
        <w:t xml:space="preserve">components of the </w:t>
      </w:r>
      <w:r w:rsidRPr="005D1D84">
        <w:rPr>
          <w:szCs w:val="24"/>
          <w:lang w:val="en"/>
        </w:rPr>
        <w:t xml:space="preserve">Executive </w:t>
      </w:r>
      <w:r w:rsidRPr="005D1D84">
        <w:rPr>
          <w:szCs w:val="24"/>
          <w:lang w:val="en"/>
        </w:rPr>
        <w:lastRenderedPageBreak/>
        <w:t>Office of Health and Human Services (EOHHS)</w:t>
      </w:r>
      <w:r>
        <w:rPr>
          <w:szCs w:val="24"/>
          <w:lang w:val="en"/>
        </w:rPr>
        <w:t xml:space="preserve">. </w:t>
      </w:r>
      <w:r w:rsidRPr="005D1D84">
        <w:rPr>
          <w:szCs w:val="24"/>
          <w:lang w:val="en"/>
        </w:rPr>
        <w:t>www.mass.gov/eohhs/gov/departments/</w:t>
      </w:r>
      <w:r>
        <w:rPr>
          <w:szCs w:val="24"/>
          <w:lang w:val="en"/>
        </w:rPr>
        <w:t>.</w:t>
      </w:r>
    </w:p>
    <w:p w:rsidR="00BF4055" w:rsidRPr="00B73038" w:rsidRDefault="00BF4055" w:rsidP="00456AD8">
      <w:pPr>
        <w:widowControl w:val="0"/>
        <w:rPr>
          <w:szCs w:val="24"/>
        </w:rPr>
      </w:pPr>
      <w:r w:rsidRPr="00B73038">
        <w:rPr>
          <w:szCs w:val="24"/>
        </w:rPr>
        <w:tab/>
      </w:r>
      <w:r w:rsidR="00E217B4">
        <w:rPr>
          <w:szCs w:val="24"/>
        </w:rPr>
        <w:t>21</w:t>
      </w:r>
      <w:r w:rsidRPr="00B73038">
        <w:rPr>
          <w:szCs w:val="24"/>
        </w:rPr>
        <w:t>. In 1984, Dr. Nadolny graduated from Boston University School of Medicine. (Ex. J, Jaynes Affidavit; Tr. 38.)</w:t>
      </w:r>
    </w:p>
    <w:p w:rsidR="00BF4055" w:rsidRPr="00B73038" w:rsidRDefault="00BF4055" w:rsidP="00456AD8">
      <w:pPr>
        <w:widowControl w:val="0"/>
        <w:rPr>
          <w:szCs w:val="24"/>
        </w:rPr>
      </w:pPr>
      <w:r w:rsidRPr="00B73038">
        <w:rPr>
          <w:szCs w:val="24"/>
        </w:rPr>
        <w:tab/>
      </w:r>
      <w:r w:rsidR="00E217B4">
        <w:rPr>
          <w:szCs w:val="24"/>
        </w:rPr>
        <w:t>22</w:t>
      </w:r>
      <w:r w:rsidRPr="00B73038">
        <w:rPr>
          <w:szCs w:val="24"/>
        </w:rPr>
        <w:t>. Since 1985</w:t>
      </w:r>
      <w:r w:rsidR="0088426D">
        <w:rPr>
          <w:szCs w:val="24"/>
        </w:rPr>
        <w:t>,</w:t>
      </w:r>
      <w:r w:rsidRPr="00B73038">
        <w:rPr>
          <w:szCs w:val="24"/>
        </w:rPr>
        <w:t xml:space="preserve"> Dr. Nadolny has been licensed to practice medicine in Massachusetts under certificate number 54880. He is not licensed to practice medicine in another state. (Ex. J, Jaynes Affidavit.)</w:t>
      </w:r>
    </w:p>
    <w:p w:rsidR="00BF4055" w:rsidRPr="00B73038" w:rsidRDefault="00BF4055" w:rsidP="00C43C79">
      <w:pPr>
        <w:widowControl w:val="0"/>
        <w:rPr>
          <w:szCs w:val="24"/>
        </w:rPr>
      </w:pPr>
      <w:r w:rsidRPr="00B73038">
        <w:rPr>
          <w:szCs w:val="24"/>
        </w:rPr>
        <w:tab/>
      </w:r>
      <w:r w:rsidR="00E217B4">
        <w:rPr>
          <w:szCs w:val="24"/>
        </w:rPr>
        <w:t>23</w:t>
      </w:r>
      <w:r w:rsidRPr="00B73038">
        <w:rPr>
          <w:szCs w:val="24"/>
        </w:rPr>
        <w:t>. Dr. Nadolny worked in the Hallmark Health System, which includes Melrose-Wakefield Hospital and Lawrence Memorial Hospital, where he worked in the emergency department until May 2016. (Tr. 40, 41.)</w:t>
      </w:r>
    </w:p>
    <w:p w:rsidR="00456AD8" w:rsidRPr="00B73038" w:rsidRDefault="00E217B4" w:rsidP="00C43C79">
      <w:pPr>
        <w:widowControl w:val="0"/>
        <w:ind w:firstLine="720"/>
        <w:rPr>
          <w:szCs w:val="24"/>
        </w:rPr>
      </w:pPr>
      <w:r>
        <w:rPr>
          <w:szCs w:val="24"/>
        </w:rPr>
        <w:t>24</w:t>
      </w:r>
      <w:r w:rsidR="00456AD8" w:rsidRPr="00B73038">
        <w:rPr>
          <w:szCs w:val="24"/>
        </w:rPr>
        <w:t xml:space="preserve">. On December 2, 2014, Dr. Nadolny became a certifying physician under the </w:t>
      </w:r>
      <w:r w:rsidR="00FA2208">
        <w:rPr>
          <w:szCs w:val="24"/>
        </w:rPr>
        <w:t>medical marijuana p</w:t>
      </w:r>
      <w:r w:rsidR="00456AD8" w:rsidRPr="00B73038">
        <w:rPr>
          <w:szCs w:val="24"/>
        </w:rPr>
        <w:t>rogram. (Ex. J, Jaynes Affidavit; Tr. 60.)</w:t>
      </w:r>
    </w:p>
    <w:p w:rsidR="00456AD8" w:rsidRPr="00B73038" w:rsidRDefault="00BF4055" w:rsidP="00652488">
      <w:pPr>
        <w:widowControl w:val="0"/>
        <w:rPr>
          <w:szCs w:val="24"/>
        </w:rPr>
      </w:pPr>
      <w:r w:rsidRPr="00B73038">
        <w:rPr>
          <w:szCs w:val="24"/>
        </w:rPr>
        <w:tab/>
      </w:r>
      <w:r w:rsidR="00E217B4">
        <w:rPr>
          <w:szCs w:val="24"/>
        </w:rPr>
        <w:t>25</w:t>
      </w:r>
      <w:r w:rsidRPr="00B73038">
        <w:rPr>
          <w:szCs w:val="24"/>
        </w:rPr>
        <w:t>. Dr. Nadolny began working with Canna Care Docs</w:t>
      </w:r>
      <w:r w:rsidR="00456AD8" w:rsidRPr="00B73038">
        <w:rPr>
          <w:szCs w:val="24"/>
        </w:rPr>
        <w:t xml:space="preserve"> in 2014. (Tr. 44.)</w:t>
      </w:r>
      <w:r w:rsidR="00652488" w:rsidRPr="00B73038">
        <w:rPr>
          <w:szCs w:val="24"/>
        </w:rPr>
        <w:t xml:space="preserve">, </w:t>
      </w:r>
    </w:p>
    <w:p w:rsidR="00BF4055" w:rsidRPr="00B73038" w:rsidRDefault="00E217B4" w:rsidP="00456AD8">
      <w:pPr>
        <w:widowControl w:val="0"/>
        <w:ind w:firstLine="720"/>
        <w:rPr>
          <w:szCs w:val="24"/>
        </w:rPr>
      </w:pPr>
      <w:r>
        <w:rPr>
          <w:szCs w:val="24"/>
        </w:rPr>
        <w:t>26</w:t>
      </w:r>
      <w:r w:rsidR="00456AD8" w:rsidRPr="00B73038">
        <w:rPr>
          <w:szCs w:val="24"/>
        </w:rPr>
        <w:t>. Canna Care Docs, which has office</w:t>
      </w:r>
      <w:r w:rsidR="001E3320">
        <w:rPr>
          <w:szCs w:val="24"/>
        </w:rPr>
        <w:t>s</w:t>
      </w:r>
      <w:r w:rsidR="00456AD8" w:rsidRPr="00B73038">
        <w:rPr>
          <w:szCs w:val="24"/>
        </w:rPr>
        <w:t xml:space="preserve"> in Seekonk</w:t>
      </w:r>
      <w:r w:rsidR="001E3320">
        <w:rPr>
          <w:szCs w:val="24"/>
        </w:rPr>
        <w:t>, Fall River, Peabody, South Dennis, Stoughton/Brockton, Waltham, and Worcester,</w:t>
      </w:r>
      <w:r w:rsidR="00456AD8" w:rsidRPr="00B73038">
        <w:rPr>
          <w:szCs w:val="24"/>
        </w:rPr>
        <w:t xml:space="preserve"> </w:t>
      </w:r>
      <w:r w:rsidR="00652488" w:rsidRPr="00B73038">
        <w:rPr>
          <w:szCs w:val="24"/>
        </w:rPr>
        <w:t>provides marij</w:t>
      </w:r>
      <w:r w:rsidR="00456AD8" w:rsidRPr="00B73038">
        <w:rPr>
          <w:szCs w:val="24"/>
        </w:rPr>
        <w:t>uana certifications to patients</w:t>
      </w:r>
      <w:r w:rsidR="00BF4055" w:rsidRPr="00B73038">
        <w:rPr>
          <w:szCs w:val="24"/>
        </w:rPr>
        <w:t>. (</w:t>
      </w:r>
      <w:r w:rsidR="00652488" w:rsidRPr="00B73038">
        <w:rPr>
          <w:szCs w:val="24"/>
        </w:rPr>
        <w:t>Ex</w:t>
      </w:r>
      <w:r w:rsidR="00456AD8" w:rsidRPr="00B73038">
        <w:rPr>
          <w:szCs w:val="24"/>
        </w:rPr>
        <w:t xml:space="preserve">. </w:t>
      </w:r>
      <w:r w:rsidR="001E3320">
        <w:rPr>
          <w:szCs w:val="24"/>
        </w:rPr>
        <w:t>J;  Ex.</w:t>
      </w:r>
      <w:r w:rsidR="00456AD8" w:rsidRPr="00B73038">
        <w:rPr>
          <w:szCs w:val="24"/>
        </w:rPr>
        <w:t>1 (marijuana certification issued to Patient A by Canna Care Docs) to Ex. J. (Jaynes Affidavit)</w:t>
      </w:r>
      <w:r w:rsidR="00BF4055" w:rsidRPr="00B73038">
        <w:rPr>
          <w:szCs w:val="24"/>
        </w:rPr>
        <w:t>.)</w:t>
      </w:r>
    </w:p>
    <w:p w:rsidR="00BF4055" w:rsidRPr="00B73038" w:rsidRDefault="00BF4055" w:rsidP="00652488">
      <w:pPr>
        <w:widowControl w:val="0"/>
        <w:rPr>
          <w:szCs w:val="24"/>
        </w:rPr>
      </w:pPr>
      <w:r w:rsidRPr="00B73038">
        <w:rPr>
          <w:szCs w:val="24"/>
        </w:rPr>
        <w:tab/>
      </w:r>
      <w:r w:rsidR="00E217B4">
        <w:rPr>
          <w:szCs w:val="24"/>
        </w:rPr>
        <w:t>27</w:t>
      </w:r>
      <w:r w:rsidRPr="00B73038">
        <w:rPr>
          <w:szCs w:val="24"/>
        </w:rPr>
        <w:t xml:space="preserve">. Initially, Dr. Nadolny worked full-time as an emergency </w:t>
      </w:r>
      <w:r w:rsidR="00601150">
        <w:rPr>
          <w:szCs w:val="24"/>
        </w:rPr>
        <w:t>physician</w:t>
      </w:r>
      <w:r w:rsidRPr="00B73038">
        <w:rPr>
          <w:szCs w:val="24"/>
        </w:rPr>
        <w:t xml:space="preserve"> and 36 to 48 hours per month at Canna Care Docs. As of January 2015, his emergency department clinical hours dropped to 70 or 80 per month. (Tr. 46.)</w:t>
      </w:r>
    </w:p>
    <w:p w:rsidR="00BF4055" w:rsidRPr="00B73038" w:rsidRDefault="00BF4055" w:rsidP="00BF4055">
      <w:pPr>
        <w:rPr>
          <w:szCs w:val="24"/>
        </w:rPr>
      </w:pPr>
      <w:r w:rsidRPr="00B73038">
        <w:rPr>
          <w:szCs w:val="24"/>
        </w:rPr>
        <w:tab/>
      </w:r>
      <w:r w:rsidR="00E217B4">
        <w:rPr>
          <w:szCs w:val="24"/>
        </w:rPr>
        <w:t>28</w:t>
      </w:r>
      <w:r w:rsidRPr="00B73038">
        <w:rPr>
          <w:szCs w:val="24"/>
        </w:rPr>
        <w:t>. In October 2015, Dr. Nadolny became the medical director of Canna Care Docs. (Tr. 48.)</w:t>
      </w:r>
    </w:p>
    <w:p w:rsidR="00BF4055" w:rsidRPr="00B73038" w:rsidRDefault="00BF4055" w:rsidP="00BF4055">
      <w:pPr>
        <w:widowControl w:val="0"/>
        <w:rPr>
          <w:szCs w:val="24"/>
        </w:rPr>
      </w:pPr>
      <w:r w:rsidRPr="00B73038">
        <w:rPr>
          <w:szCs w:val="24"/>
        </w:rPr>
        <w:tab/>
      </w:r>
      <w:r w:rsidR="00E217B4">
        <w:rPr>
          <w:szCs w:val="24"/>
        </w:rPr>
        <w:t>29</w:t>
      </w:r>
      <w:r w:rsidRPr="00B73038">
        <w:rPr>
          <w:szCs w:val="24"/>
        </w:rPr>
        <w:t>. As medical director, Dr. Nadolny supervised approximately four to six nurse practitioners, including reviewing their medical records. (Tr. 49, 50.)</w:t>
      </w:r>
    </w:p>
    <w:p w:rsidR="00BF4055" w:rsidRPr="00B73038" w:rsidRDefault="00BF4055" w:rsidP="00BF4055">
      <w:pPr>
        <w:widowControl w:val="0"/>
        <w:rPr>
          <w:szCs w:val="24"/>
        </w:rPr>
      </w:pPr>
      <w:r w:rsidRPr="00B73038">
        <w:rPr>
          <w:szCs w:val="24"/>
        </w:rPr>
        <w:lastRenderedPageBreak/>
        <w:tab/>
      </w:r>
      <w:r w:rsidR="00E217B4">
        <w:rPr>
          <w:szCs w:val="24"/>
        </w:rPr>
        <w:t>30</w:t>
      </w:r>
      <w:r w:rsidRPr="00B73038">
        <w:rPr>
          <w:szCs w:val="24"/>
        </w:rPr>
        <w:t>. Dr. Nadolny fielded many telephone calls from nurse practitioners, including when they were not comfortable approving a marijuana certification to a patient. (Tr. 50.)</w:t>
      </w:r>
    </w:p>
    <w:p w:rsidR="00BF4055" w:rsidRPr="00B73038" w:rsidRDefault="00BF4055" w:rsidP="00BF4055">
      <w:pPr>
        <w:rPr>
          <w:szCs w:val="24"/>
        </w:rPr>
      </w:pPr>
      <w:r w:rsidRPr="00B73038">
        <w:rPr>
          <w:szCs w:val="24"/>
        </w:rPr>
        <w:tab/>
      </w:r>
      <w:r w:rsidR="00E217B4">
        <w:rPr>
          <w:szCs w:val="24"/>
        </w:rPr>
        <w:t>31</w:t>
      </w:r>
      <w:r w:rsidRPr="00B73038">
        <w:rPr>
          <w:szCs w:val="24"/>
        </w:rPr>
        <w:t xml:space="preserve">. Even though Dr. Nadolny conferred with nurse practitioners when they were not comfortable approving a marijuana certification, his position was that </w:t>
      </w:r>
    </w:p>
    <w:p w:rsidR="00BF4055" w:rsidRPr="00B73038" w:rsidRDefault="00BF4055" w:rsidP="00F06E77">
      <w:pPr>
        <w:widowControl w:val="0"/>
        <w:spacing w:line="240" w:lineRule="auto"/>
        <w:ind w:left="720" w:right="720"/>
        <w:rPr>
          <w:szCs w:val="24"/>
        </w:rPr>
      </w:pPr>
      <w:r w:rsidRPr="00B73038">
        <w:rPr>
          <w:szCs w:val="24"/>
        </w:rPr>
        <w:t>the nurse practitioners were functioning on their own. They would do their own certification; they didn’t need my approval to certify or not certify a patient.</w:t>
      </w:r>
    </w:p>
    <w:p w:rsidR="00BF4055" w:rsidRPr="00B73038" w:rsidRDefault="00BF4055" w:rsidP="0088426D">
      <w:pPr>
        <w:widowControl w:val="0"/>
        <w:spacing w:line="240" w:lineRule="auto"/>
        <w:ind w:left="720" w:right="720"/>
        <w:rPr>
          <w:szCs w:val="24"/>
        </w:rPr>
      </w:pPr>
    </w:p>
    <w:p w:rsidR="00BF4055" w:rsidRPr="00B73038" w:rsidRDefault="00BF4055" w:rsidP="00456AD8">
      <w:pPr>
        <w:widowControl w:val="0"/>
        <w:rPr>
          <w:szCs w:val="24"/>
        </w:rPr>
      </w:pPr>
      <w:r w:rsidRPr="00B73038">
        <w:rPr>
          <w:szCs w:val="24"/>
        </w:rPr>
        <w:t>(Tr. 56.)</w:t>
      </w:r>
      <w:r w:rsidR="00F06E77" w:rsidRPr="00B73038">
        <w:rPr>
          <w:rStyle w:val="FootnoteReference"/>
          <w:szCs w:val="24"/>
        </w:rPr>
        <w:footnoteReference w:id="8"/>
      </w:r>
    </w:p>
    <w:p w:rsidR="00BF4055" w:rsidRPr="00B73038" w:rsidRDefault="00E217B4" w:rsidP="00456AD8">
      <w:pPr>
        <w:widowControl w:val="0"/>
        <w:rPr>
          <w:szCs w:val="24"/>
        </w:rPr>
      </w:pPr>
      <w:r>
        <w:rPr>
          <w:szCs w:val="24"/>
        </w:rPr>
        <w:tab/>
        <w:t>32</w:t>
      </w:r>
      <w:r w:rsidR="00BF4055" w:rsidRPr="00B73038">
        <w:rPr>
          <w:szCs w:val="24"/>
        </w:rPr>
        <w:t>. Even though Dr. Nadolny reviewed nurse practitioners’ records, his position on marijuana certification was that it was “their decision to do or not to do.” (Tr. 56.)</w:t>
      </w:r>
    </w:p>
    <w:p w:rsidR="00BF4055" w:rsidRPr="00B73038" w:rsidRDefault="00BF4055" w:rsidP="00BF4055">
      <w:pPr>
        <w:rPr>
          <w:szCs w:val="24"/>
        </w:rPr>
      </w:pPr>
      <w:r w:rsidRPr="00B73038">
        <w:rPr>
          <w:szCs w:val="24"/>
        </w:rPr>
        <w:tab/>
      </w:r>
      <w:r w:rsidR="00E217B4">
        <w:rPr>
          <w:szCs w:val="24"/>
        </w:rPr>
        <w:t>33</w:t>
      </w:r>
      <w:r w:rsidR="00652488" w:rsidRPr="00B73038">
        <w:rPr>
          <w:szCs w:val="24"/>
        </w:rPr>
        <w:t xml:space="preserve">. When Dr. Nadolny reviewed nurse practitioners’ records, they </w:t>
      </w:r>
      <w:r w:rsidRPr="00B73038">
        <w:rPr>
          <w:szCs w:val="24"/>
        </w:rPr>
        <w:t xml:space="preserve">had </w:t>
      </w:r>
      <w:r w:rsidR="00652488" w:rsidRPr="00B73038">
        <w:rPr>
          <w:szCs w:val="24"/>
        </w:rPr>
        <w:t xml:space="preserve">already </w:t>
      </w:r>
      <w:r w:rsidRPr="00B73038">
        <w:rPr>
          <w:szCs w:val="24"/>
        </w:rPr>
        <w:t>approved marijuana certifications. (Tr. 70.)</w:t>
      </w:r>
    </w:p>
    <w:p w:rsidR="00E4438A" w:rsidRPr="00B73038" w:rsidRDefault="00E4438A" w:rsidP="00790BE1">
      <w:pPr>
        <w:rPr>
          <w:szCs w:val="24"/>
        </w:rPr>
      </w:pPr>
      <w:r w:rsidRPr="00B73038">
        <w:rPr>
          <w:szCs w:val="24"/>
        </w:rPr>
        <w:tab/>
      </w:r>
      <w:r w:rsidR="00E217B4">
        <w:rPr>
          <w:szCs w:val="24"/>
        </w:rPr>
        <w:t>34</w:t>
      </w:r>
      <w:r w:rsidRPr="00B73038">
        <w:rPr>
          <w:szCs w:val="24"/>
        </w:rPr>
        <w:t xml:space="preserve">. </w:t>
      </w:r>
      <w:r w:rsidR="004C0449">
        <w:rPr>
          <w:szCs w:val="24"/>
        </w:rPr>
        <w:t>For all or most of 2014</w:t>
      </w:r>
      <w:r w:rsidRPr="00B73038">
        <w:rPr>
          <w:szCs w:val="24"/>
        </w:rPr>
        <w:t xml:space="preserve">, nurse practitioners at Canna Care Docs submitted </w:t>
      </w:r>
      <w:r w:rsidR="00F06E77" w:rsidRPr="00B73038">
        <w:rPr>
          <w:szCs w:val="24"/>
        </w:rPr>
        <w:t>paper</w:t>
      </w:r>
      <w:r w:rsidRPr="00B73038">
        <w:rPr>
          <w:szCs w:val="24"/>
        </w:rPr>
        <w:t xml:space="preserve"> marijuana certifications by U</w:t>
      </w:r>
      <w:r w:rsidR="00F06E77" w:rsidRPr="00B73038">
        <w:rPr>
          <w:szCs w:val="24"/>
        </w:rPr>
        <w:t>.S. mail</w:t>
      </w:r>
      <w:r w:rsidR="00B7051C">
        <w:rPr>
          <w:szCs w:val="24"/>
        </w:rPr>
        <w:t xml:space="preserve"> </w:t>
      </w:r>
      <w:r w:rsidR="00B7051C" w:rsidRPr="00B73038">
        <w:rPr>
          <w:szCs w:val="24"/>
        </w:rPr>
        <w:t xml:space="preserve">to the </w:t>
      </w:r>
      <w:r w:rsidR="00B7051C">
        <w:rPr>
          <w:szCs w:val="24"/>
        </w:rPr>
        <w:t>medical marijuana p</w:t>
      </w:r>
      <w:r w:rsidR="00B7051C" w:rsidRPr="00B73038">
        <w:rPr>
          <w:szCs w:val="24"/>
        </w:rPr>
        <w:t>rogram</w:t>
      </w:r>
      <w:r w:rsidR="00F06E77" w:rsidRPr="00B73038">
        <w:rPr>
          <w:szCs w:val="24"/>
        </w:rPr>
        <w:t>. (</w:t>
      </w:r>
      <w:r w:rsidR="004C0449" w:rsidRPr="00B73038">
        <w:rPr>
          <w:szCs w:val="24"/>
        </w:rPr>
        <w:t>Tr. 89, 95</w:t>
      </w:r>
      <w:r w:rsidR="00F06E77" w:rsidRPr="00B73038">
        <w:rPr>
          <w:szCs w:val="24"/>
        </w:rPr>
        <w:t xml:space="preserve">; Ex. E; </w:t>
      </w:r>
    </w:p>
    <w:p w:rsidR="004C0449" w:rsidRDefault="00F06E77" w:rsidP="00790BE1">
      <w:pPr>
        <w:rPr>
          <w:szCs w:val="24"/>
        </w:rPr>
      </w:pPr>
      <w:r w:rsidRPr="00B73038">
        <w:rPr>
          <w:szCs w:val="24"/>
        </w:rPr>
        <w:t>Ex. 5, p. 6 (marijuana certification) to Ex. J. (Jaynes Affidavit).)</w:t>
      </w:r>
    </w:p>
    <w:p w:rsidR="00387035" w:rsidRPr="00B73038" w:rsidRDefault="00387035" w:rsidP="00790BE1">
      <w:pPr>
        <w:rPr>
          <w:szCs w:val="24"/>
        </w:rPr>
      </w:pPr>
      <w:r w:rsidRPr="00B73038">
        <w:rPr>
          <w:szCs w:val="24"/>
        </w:rPr>
        <w:tab/>
      </w:r>
      <w:r w:rsidR="00E217B4">
        <w:rPr>
          <w:szCs w:val="24"/>
        </w:rPr>
        <w:t>35</w:t>
      </w:r>
      <w:r w:rsidRPr="00B73038">
        <w:rPr>
          <w:szCs w:val="24"/>
        </w:rPr>
        <w:t xml:space="preserve">. Physicians, too, used to submit paper marijuana certifications to the </w:t>
      </w:r>
      <w:r w:rsidR="0075071E">
        <w:rPr>
          <w:szCs w:val="24"/>
        </w:rPr>
        <w:t>medical marijuana p</w:t>
      </w:r>
      <w:r w:rsidRPr="00B73038">
        <w:rPr>
          <w:szCs w:val="24"/>
        </w:rPr>
        <w:t xml:space="preserve">rogram by U.S. mail. Exhibit H is an example. </w:t>
      </w:r>
    </w:p>
    <w:p w:rsidR="00387035" w:rsidRPr="00B73038" w:rsidRDefault="00387035" w:rsidP="00387035">
      <w:pPr>
        <w:rPr>
          <w:szCs w:val="24"/>
        </w:rPr>
      </w:pPr>
      <w:r w:rsidRPr="00B73038">
        <w:rPr>
          <w:szCs w:val="24"/>
        </w:rPr>
        <w:tab/>
      </w:r>
      <w:r w:rsidR="00E217B4">
        <w:rPr>
          <w:szCs w:val="24"/>
        </w:rPr>
        <w:t>36</w:t>
      </w:r>
      <w:r w:rsidRPr="00B73038">
        <w:rPr>
          <w:szCs w:val="24"/>
        </w:rPr>
        <w:t xml:space="preserve">. Canna Care Docs used the same format for paper marijuana certifications for both physicians and nurse practitioners, </w:t>
      </w:r>
      <w:r w:rsidR="0075071E">
        <w:rPr>
          <w:szCs w:val="24"/>
        </w:rPr>
        <w:t>with one exception. T</w:t>
      </w:r>
      <w:r w:rsidRPr="00B73038">
        <w:rPr>
          <w:szCs w:val="24"/>
        </w:rPr>
        <w:t>he</w:t>
      </w:r>
      <w:r w:rsidR="0075071E">
        <w:rPr>
          <w:szCs w:val="24"/>
        </w:rPr>
        <w:t xml:space="preserve"> physicians’</w:t>
      </w:r>
      <w:r w:rsidRPr="00B73038">
        <w:rPr>
          <w:szCs w:val="24"/>
        </w:rPr>
        <w:t xml:space="preserve"> form had a line reading “Signature of physician</w:t>
      </w:r>
      <w:r w:rsidR="0075071E">
        <w:rPr>
          <w:szCs w:val="24"/>
        </w:rPr>
        <w:t>,</w:t>
      </w:r>
      <w:r w:rsidRPr="00B73038">
        <w:rPr>
          <w:szCs w:val="24"/>
        </w:rPr>
        <w:t>”</w:t>
      </w:r>
      <w:r w:rsidR="0075071E">
        <w:rPr>
          <w:szCs w:val="24"/>
        </w:rPr>
        <w:t xml:space="preserve"> while</w:t>
      </w:r>
      <w:r w:rsidRPr="00B73038">
        <w:rPr>
          <w:szCs w:val="24"/>
        </w:rPr>
        <w:t xml:space="preserve"> the nurse practitioners</w:t>
      </w:r>
      <w:r w:rsidR="00F20700">
        <w:rPr>
          <w:szCs w:val="24"/>
        </w:rPr>
        <w:t xml:space="preserve">’ </w:t>
      </w:r>
      <w:r w:rsidR="00F20700" w:rsidRPr="00B73038">
        <w:rPr>
          <w:szCs w:val="24"/>
        </w:rPr>
        <w:t>form</w:t>
      </w:r>
      <w:r w:rsidRPr="00B73038">
        <w:rPr>
          <w:szCs w:val="24"/>
        </w:rPr>
        <w:t xml:space="preserve"> had a signature line reading “Signature of practitioner.” (Ex. H.; Ex. 5, p. 6 to Ex. J. (Jaynes Affidavit).)</w:t>
      </w:r>
    </w:p>
    <w:p w:rsidR="00387035" w:rsidRPr="00B73038" w:rsidRDefault="00387035" w:rsidP="00790BE1">
      <w:pPr>
        <w:rPr>
          <w:szCs w:val="24"/>
        </w:rPr>
      </w:pPr>
      <w:r w:rsidRPr="00B73038">
        <w:rPr>
          <w:szCs w:val="24"/>
        </w:rPr>
        <w:tab/>
      </w:r>
      <w:r w:rsidR="00E217B4">
        <w:rPr>
          <w:szCs w:val="24"/>
        </w:rPr>
        <w:t>37</w:t>
      </w:r>
      <w:r w:rsidRPr="00B73038">
        <w:rPr>
          <w:szCs w:val="24"/>
        </w:rPr>
        <w:t xml:space="preserve">. In October 2014, DPH informed Canna Care Docs that it would be switching from paper marijuana certifications that were mailed to it. </w:t>
      </w:r>
      <w:r w:rsidR="009402B4" w:rsidRPr="00B73038">
        <w:rPr>
          <w:szCs w:val="24"/>
        </w:rPr>
        <w:t xml:space="preserve">Instead, electronic certifications would be </w:t>
      </w:r>
      <w:r w:rsidR="009402B4" w:rsidRPr="00B73038">
        <w:rPr>
          <w:szCs w:val="24"/>
        </w:rPr>
        <w:lastRenderedPageBreak/>
        <w:t>submitted to it the Medical Use of Marijuana Online System (MMJ Online System). (Tr. 89</w:t>
      </w:r>
      <w:r w:rsidR="00C515B8" w:rsidRPr="00B73038">
        <w:rPr>
          <w:szCs w:val="24"/>
        </w:rPr>
        <w:t>, 95</w:t>
      </w:r>
      <w:r w:rsidR="009402B4" w:rsidRPr="00B73038">
        <w:rPr>
          <w:szCs w:val="24"/>
        </w:rPr>
        <w:t>.)</w:t>
      </w:r>
      <w:r w:rsidR="004C0449">
        <w:rPr>
          <w:rStyle w:val="FootnoteReference"/>
          <w:szCs w:val="24"/>
        </w:rPr>
        <w:footnoteReference w:id="9"/>
      </w:r>
    </w:p>
    <w:p w:rsidR="009402B4" w:rsidRPr="00B73038" w:rsidRDefault="009402B4" w:rsidP="009402B4">
      <w:pPr>
        <w:rPr>
          <w:szCs w:val="24"/>
        </w:rPr>
      </w:pPr>
      <w:r w:rsidRPr="00B73038">
        <w:rPr>
          <w:szCs w:val="24"/>
        </w:rPr>
        <w:tab/>
      </w:r>
      <w:r w:rsidR="00E217B4">
        <w:rPr>
          <w:szCs w:val="24"/>
        </w:rPr>
        <w:t>38</w:t>
      </w:r>
      <w:r w:rsidRPr="00B73038">
        <w:rPr>
          <w:szCs w:val="24"/>
        </w:rPr>
        <w:t>. To issue a certification, a physician must currently use the MMJ Online System. (Ex. D (on-line MMJ Program publication, “How to Register with the Medical Use of Marijuana Program: Instructions for Physicians”).)</w:t>
      </w:r>
    </w:p>
    <w:p w:rsidR="009402B4" w:rsidRPr="00B73038" w:rsidRDefault="009402B4" w:rsidP="009402B4">
      <w:pPr>
        <w:widowControl w:val="0"/>
        <w:rPr>
          <w:szCs w:val="24"/>
        </w:rPr>
      </w:pPr>
      <w:r w:rsidRPr="00B73038">
        <w:rPr>
          <w:szCs w:val="24"/>
        </w:rPr>
        <w:tab/>
      </w:r>
      <w:r w:rsidR="00E217B4">
        <w:rPr>
          <w:szCs w:val="24"/>
        </w:rPr>
        <w:t>39</w:t>
      </w:r>
      <w:r w:rsidRPr="00B73038">
        <w:rPr>
          <w:szCs w:val="24"/>
        </w:rPr>
        <w:t>. The MMJ Online System is housed within the Executive Office of Health and Human Services Virtual Gateway (VG) portal. (Ex. D.)</w:t>
      </w:r>
    </w:p>
    <w:p w:rsidR="00744211" w:rsidRPr="00B73038" w:rsidRDefault="00E217B4" w:rsidP="00744211">
      <w:pPr>
        <w:widowControl w:val="0"/>
        <w:ind w:firstLine="720"/>
        <w:rPr>
          <w:szCs w:val="24"/>
        </w:rPr>
      </w:pPr>
      <w:r>
        <w:rPr>
          <w:szCs w:val="24"/>
        </w:rPr>
        <w:t>40</w:t>
      </w:r>
      <w:r w:rsidR="00744211" w:rsidRPr="00B73038">
        <w:rPr>
          <w:szCs w:val="24"/>
        </w:rPr>
        <w:t>. The Virtual Gat</w:t>
      </w:r>
      <w:r w:rsidR="008D4384" w:rsidRPr="00B73038">
        <w:rPr>
          <w:szCs w:val="24"/>
        </w:rPr>
        <w:t>eway Terms and Conditions state</w:t>
      </w:r>
      <w:r w:rsidR="00744211" w:rsidRPr="00B73038">
        <w:rPr>
          <w:szCs w:val="24"/>
        </w:rPr>
        <w:t>, “User’s assigned ID and password are non-transferable, and may not be shared with any other employee or individual.” (Ex. 2</w:t>
      </w:r>
      <w:r w:rsidR="00C515B8" w:rsidRPr="00B73038">
        <w:rPr>
          <w:szCs w:val="24"/>
        </w:rPr>
        <w:t xml:space="preserve">, </w:t>
      </w:r>
      <w:r w:rsidR="00C515B8" w:rsidRPr="00B73038">
        <w:rPr>
          <w:rFonts w:cs="Times New Roman"/>
          <w:szCs w:val="24"/>
        </w:rPr>
        <w:t>¶</w:t>
      </w:r>
      <w:r w:rsidR="00C515B8" w:rsidRPr="00B73038">
        <w:rPr>
          <w:szCs w:val="24"/>
        </w:rPr>
        <w:t xml:space="preserve"> 5</w:t>
      </w:r>
      <w:r w:rsidR="00744211" w:rsidRPr="00B73038">
        <w:rPr>
          <w:szCs w:val="24"/>
        </w:rPr>
        <w:t xml:space="preserve"> to Ex. J</w:t>
      </w:r>
      <w:r w:rsidR="00C515B8" w:rsidRPr="00B73038">
        <w:rPr>
          <w:szCs w:val="24"/>
        </w:rPr>
        <w:t xml:space="preserve"> (Jaynes Affidavit)</w:t>
      </w:r>
      <w:r w:rsidR="00744211" w:rsidRPr="00B73038">
        <w:rPr>
          <w:szCs w:val="24"/>
        </w:rPr>
        <w:t>.)</w:t>
      </w:r>
    </w:p>
    <w:p w:rsidR="009402B4" w:rsidRPr="00B73038" w:rsidRDefault="006B43FC" w:rsidP="008D4384">
      <w:pPr>
        <w:widowControl w:val="0"/>
        <w:rPr>
          <w:szCs w:val="24"/>
        </w:rPr>
      </w:pPr>
      <w:r w:rsidRPr="00B73038">
        <w:rPr>
          <w:szCs w:val="24"/>
        </w:rPr>
        <w:tab/>
      </w:r>
      <w:r w:rsidR="00E217B4">
        <w:rPr>
          <w:szCs w:val="24"/>
        </w:rPr>
        <w:t>41</w:t>
      </w:r>
      <w:r w:rsidRPr="00B73038">
        <w:rPr>
          <w:szCs w:val="24"/>
        </w:rPr>
        <w:t>. Ms. Gluchacki</w:t>
      </w:r>
      <w:r w:rsidR="005A1452">
        <w:rPr>
          <w:szCs w:val="24"/>
        </w:rPr>
        <w:t xml:space="preserve"> </w:t>
      </w:r>
      <w:r w:rsidRPr="00B73038">
        <w:rPr>
          <w:szCs w:val="24"/>
        </w:rPr>
        <w:t>facilitated the registration with the MMJ Online System of physicians at Canna Care Docs</w:t>
      </w:r>
      <w:r w:rsidR="00EF53E2" w:rsidRPr="00B73038">
        <w:rPr>
          <w:szCs w:val="24"/>
        </w:rPr>
        <w:t xml:space="preserve">, even though she found the process daunting. In December 2015, </w:t>
      </w:r>
      <w:r w:rsidR="005A1452" w:rsidRPr="00B73038">
        <w:rPr>
          <w:szCs w:val="24"/>
        </w:rPr>
        <w:t>Ms. Gluchacki</w:t>
      </w:r>
      <w:r w:rsidR="005A1452">
        <w:rPr>
          <w:szCs w:val="24"/>
        </w:rPr>
        <w:t xml:space="preserve">, then the </w:t>
      </w:r>
      <w:r w:rsidR="005A1452" w:rsidRPr="00B73038">
        <w:rPr>
          <w:szCs w:val="24"/>
        </w:rPr>
        <w:t>Finance Manager</w:t>
      </w:r>
      <w:r w:rsidR="005A1452">
        <w:rPr>
          <w:szCs w:val="24"/>
        </w:rPr>
        <w:t>,</w:t>
      </w:r>
      <w:r w:rsidR="005A1452" w:rsidRPr="00B73038">
        <w:rPr>
          <w:szCs w:val="24"/>
        </w:rPr>
        <w:t xml:space="preserve"> and now the Chief Financial Officer of Canna Care Docs (Tr. 83),</w:t>
      </w:r>
      <w:r w:rsidR="00EF53E2" w:rsidRPr="00B73038">
        <w:rPr>
          <w:szCs w:val="24"/>
        </w:rPr>
        <w:t xml:space="preserve"> visited DPH in person to complete the registration of physicians.</w:t>
      </w:r>
      <w:r w:rsidRPr="00B73038">
        <w:rPr>
          <w:szCs w:val="24"/>
        </w:rPr>
        <w:t xml:space="preserve"> (Ex. E</w:t>
      </w:r>
      <w:r w:rsidR="00EF53E2" w:rsidRPr="00B73038">
        <w:rPr>
          <w:szCs w:val="24"/>
        </w:rPr>
        <w:t>; Tr. 91</w:t>
      </w:r>
      <w:r w:rsidRPr="00B73038">
        <w:rPr>
          <w:szCs w:val="24"/>
        </w:rPr>
        <w:t>.)</w:t>
      </w:r>
    </w:p>
    <w:p w:rsidR="006B43FC" w:rsidRPr="00B73038" w:rsidRDefault="006B43FC" w:rsidP="00601150">
      <w:pPr>
        <w:widowControl w:val="0"/>
        <w:rPr>
          <w:szCs w:val="24"/>
        </w:rPr>
      </w:pPr>
      <w:r w:rsidRPr="00B73038">
        <w:rPr>
          <w:szCs w:val="24"/>
        </w:rPr>
        <w:tab/>
      </w:r>
      <w:r w:rsidR="00E217B4">
        <w:rPr>
          <w:szCs w:val="24"/>
        </w:rPr>
        <w:t>42</w:t>
      </w:r>
      <w:r w:rsidRPr="00B73038">
        <w:rPr>
          <w:szCs w:val="24"/>
        </w:rPr>
        <w:t>. However, the MMJ Online System did not accept registration</w:t>
      </w:r>
      <w:r w:rsidR="00C223D1">
        <w:rPr>
          <w:szCs w:val="24"/>
        </w:rPr>
        <w:t>s</w:t>
      </w:r>
      <w:r w:rsidRPr="00B73038">
        <w:rPr>
          <w:szCs w:val="24"/>
        </w:rPr>
        <w:t xml:space="preserve"> from nurse practitioners. (Ex. E.)</w:t>
      </w:r>
    </w:p>
    <w:p w:rsidR="006B43FC" w:rsidRPr="00B73038" w:rsidRDefault="006B43FC" w:rsidP="00601150">
      <w:pPr>
        <w:widowControl w:val="0"/>
        <w:rPr>
          <w:rFonts w:cs="Times New Roman"/>
          <w:szCs w:val="24"/>
        </w:rPr>
      </w:pPr>
      <w:r w:rsidRPr="00B73038">
        <w:rPr>
          <w:szCs w:val="24"/>
        </w:rPr>
        <w:tab/>
      </w:r>
      <w:r w:rsidR="00E217B4">
        <w:rPr>
          <w:szCs w:val="24"/>
        </w:rPr>
        <w:t>43</w:t>
      </w:r>
      <w:r w:rsidRPr="00B73038">
        <w:rPr>
          <w:szCs w:val="24"/>
        </w:rPr>
        <w:t>. Ms. Gluchacki</w:t>
      </w:r>
      <w:r w:rsidR="00437193">
        <w:rPr>
          <w:szCs w:val="24"/>
        </w:rPr>
        <w:t xml:space="preserve"> </w:t>
      </w:r>
      <w:r w:rsidRPr="00B73038">
        <w:rPr>
          <w:szCs w:val="24"/>
        </w:rPr>
        <w:t>received a</w:t>
      </w:r>
      <w:r w:rsidR="00EF53E2" w:rsidRPr="00B73038">
        <w:rPr>
          <w:szCs w:val="24"/>
        </w:rPr>
        <w:t>n email from DPH</w:t>
      </w:r>
      <w:r w:rsidRPr="00B73038">
        <w:rPr>
          <w:szCs w:val="24"/>
        </w:rPr>
        <w:t xml:space="preserve">, </w:t>
      </w:r>
      <w:r w:rsidR="00EF53E2" w:rsidRPr="00B73038">
        <w:rPr>
          <w:szCs w:val="24"/>
        </w:rPr>
        <w:t xml:space="preserve">an excerpt of </w:t>
      </w:r>
      <w:r w:rsidRPr="00B73038">
        <w:rPr>
          <w:szCs w:val="24"/>
        </w:rPr>
        <w:t>which she passed on to Dr. Nadolny</w:t>
      </w:r>
      <w:r w:rsidR="00EF53E2" w:rsidRPr="00B73038">
        <w:rPr>
          <w:szCs w:val="24"/>
        </w:rPr>
        <w:t xml:space="preserve"> on October 30, 2015</w:t>
      </w:r>
      <w:r w:rsidRPr="00B73038">
        <w:rPr>
          <w:szCs w:val="24"/>
        </w:rPr>
        <w:t xml:space="preserve">. The </w:t>
      </w:r>
      <w:r w:rsidR="00744211" w:rsidRPr="00B73038">
        <w:rPr>
          <w:szCs w:val="24"/>
        </w:rPr>
        <w:t xml:space="preserve">DPH </w:t>
      </w:r>
      <w:r w:rsidRPr="00B73038">
        <w:rPr>
          <w:szCs w:val="24"/>
        </w:rPr>
        <w:t xml:space="preserve">email stated “the authority for marijuana certification by certified nursing practitioners has been addressed” in </w:t>
      </w:r>
      <w:r w:rsidRPr="00B73038">
        <w:rPr>
          <w:rFonts w:cs="Times New Roman"/>
          <w:szCs w:val="24"/>
        </w:rPr>
        <w:t>244 CMR 4.06(3)(d)</w:t>
      </w:r>
      <w:r w:rsidR="00437193">
        <w:rPr>
          <w:rFonts w:cs="Times New Roman"/>
          <w:szCs w:val="24"/>
        </w:rPr>
        <w:t>, which had been recently issued</w:t>
      </w:r>
      <w:r w:rsidRPr="00B73038">
        <w:rPr>
          <w:rFonts w:cs="Times New Roman"/>
          <w:szCs w:val="24"/>
        </w:rPr>
        <w:t>. It continued:</w:t>
      </w:r>
    </w:p>
    <w:p w:rsidR="006B43FC" w:rsidRPr="00B73038" w:rsidRDefault="006B43FC" w:rsidP="00EF53E2">
      <w:pPr>
        <w:spacing w:line="240" w:lineRule="auto"/>
        <w:ind w:left="720" w:right="720"/>
        <w:rPr>
          <w:rFonts w:cs="Times New Roman"/>
          <w:szCs w:val="24"/>
        </w:rPr>
      </w:pPr>
      <w:r w:rsidRPr="00B73038">
        <w:rPr>
          <w:rFonts w:cs="Times New Roman"/>
          <w:szCs w:val="24"/>
        </w:rPr>
        <w:t>The Medical Use of Marijuana Program is working…to incorporate the regulatory amendment into the Program and will be issuing guidance to the healthcare community.</w:t>
      </w:r>
    </w:p>
    <w:p w:rsidR="006B43FC" w:rsidRPr="00B73038" w:rsidRDefault="006B43FC" w:rsidP="00EF53E2">
      <w:pPr>
        <w:spacing w:line="240" w:lineRule="auto"/>
        <w:ind w:left="720" w:right="720"/>
        <w:rPr>
          <w:rFonts w:cs="Times New Roman"/>
          <w:szCs w:val="24"/>
        </w:rPr>
      </w:pPr>
    </w:p>
    <w:p w:rsidR="006B43FC" w:rsidRPr="00B73038" w:rsidRDefault="006B43FC" w:rsidP="00EF53E2">
      <w:pPr>
        <w:spacing w:line="240" w:lineRule="auto"/>
        <w:ind w:left="720" w:right="720"/>
        <w:rPr>
          <w:rFonts w:cs="Times New Roman"/>
          <w:szCs w:val="24"/>
        </w:rPr>
      </w:pPr>
      <w:r w:rsidRPr="00B73038">
        <w:rPr>
          <w:rFonts w:cs="Times New Roman"/>
          <w:szCs w:val="24"/>
        </w:rPr>
        <w:t>Our system is currently unable to accept certifications from CNPs.</w:t>
      </w:r>
    </w:p>
    <w:p w:rsidR="00EF53E2" w:rsidRPr="00B73038" w:rsidRDefault="00EF53E2" w:rsidP="00EF53E2">
      <w:pPr>
        <w:spacing w:line="240" w:lineRule="auto"/>
        <w:ind w:left="720" w:right="720"/>
        <w:rPr>
          <w:rFonts w:cs="Times New Roman"/>
          <w:szCs w:val="24"/>
        </w:rPr>
      </w:pPr>
    </w:p>
    <w:p w:rsidR="006B43FC" w:rsidRPr="00B73038" w:rsidRDefault="006B43FC" w:rsidP="00EF53E2">
      <w:pPr>
        <w:rPr>
          <w:szCs w:val="24"/>
        </w:rPr>
      </w:pPr>
      <w:r w:rsidRPr="00B73038">
        <w:rPr>
          <w:rFonts w:cs="Times New Roman"/>
          <w:szCs w:val="24"/>
        </w:rPr>
        <w:t xml:space="preserve">(Ex. </w:t>
      </w:r>
      <w:r w:rsidR="00EF53E2" w:rsidRPr="00B73038">
        <w:rPr>
          <w:rFonts w:cs="Times New Roman"/>
          <w:szCs w:val="24"/>
        </w:rPr>
        <w:t>F.)</w:t>
      </w:r>
    </w:p>
    <w:p w:rsidR="009402B4" w:rsidRPr="00B73038" w:rsidRDefault="00EF53E2" w:rsidP="00790BE1">
      <w:pPr>
        <w:rPr>
          <w:szCs w:val="24"/>
        </w:rPr>
      </w:pPr>
      <w:r w:rsidRPr="00B73038">
        <w:rPr>
          <w:szCs w:val="24"/>
        </w:rPr>
        <w:tab/>
      </w:r>
      <w:r w:rsidR="00E217B4">
        <w:rPr>
          <w:szCs w:val="24"/>
        </w:rPr>
        <w:t>44</w:t>
      </w:r>
      <w:r w:rsidRPr="00B73038">
        <w:rPr>
          <w:szCs w:val="24"/>
        </w:rPr>
        <w:t>. Ms. Gluchacki recall</w:t>
      </w:r>
      <w:r w:rsidR="00744211" w:rsidRPr="00B73038">
        <w:rPr>
          <w:szCs w:val="24"/>
        </w:rPr>
        <w:t>ed that the email also stated that DPH was putting out bids to have the MMJ Online System updated to allow nurse practitioners to use it. (Tr. 96.) She understood that a computer coding issue with a dropdown box kept nurse practitioners from using the MMJ Online System. (Tr. 91-92.)</w:t>
      </w:r>
    </w:p>
    <w:p w:rsidR="00744211" w:rsidRPr="00B73038" w:rsidRDefault="00744211" w:rsidP="00790BE1">
      <w:pPr>
        <w:rPr>
          <w:szCs w:val="24"/>
        </w:rPr>
      </w:pPr>
      <w:r w:rsidRPr="00B73038">
        <w:rPr>
          <w:szCs w:val="24"/>
        </w:rPr>
        <w:tab/>
      </w:r>
      <w:r w:rsidR="00E217B4">
        <w:rPr>
          <w:szCs w:val="24"/>
        </w:rPr>
        <w:t>45</w:t>
      </w:r>
      <w:r w:rsidRPr="00B73038">
        <w:rPr>
          <w:szCs w:val="24"/>
        </w:rPr>
        <w:t xml:space="preserve">. In her October 30, 2015 email, Ms. Gluchacki advised Dr. Nadolny: </w:t>
      </w:r>
    </w:p>
    <w:p w:rsidR="00744211" w:rsidRPr="00B73038" w:rsidRDefault="00744211" w:rsidP="00744211">
      <w:pPr>
        <w:spacing w:line="240" w:lineRule="auto"/>
        <w:ind w:left="720" w:right="720"/>
        <w:rPr>
          <w:szCs w:val="24"/>
        </w:rPr>
      </w:pPr>
      <w:r w:rsidRPr="00B73038">
        <w:rPr>
          <w:szCs w:val="24"/>
        </w:rPr>
        <w:t>I was also informed by the DPH that while NPs can write recommendations, they currently do not have the ability to issue patient numbers via the MMJ Online System. This is something they are working on. In the interim, the “Overseeing Physician” will need to do this on their behalf.</w:t>
      </w:r>
    </w:p>
    <w:p w:rsidR="00744211" w:rsidRPr="00B73038" w:rsidRDefault="00744211" w:rsidP="00744211">
      <w:pPr>
        <w:spacing w:line="240" w:lineRule="auto"/>
        <w:ind w:left="720" w:right="720"/>
        <w:rPr>
          <w:szCs w:val="24"/>
        </w:rPr>
      </w:pPr>
    </w:p>
    <w:p w:rsidR="00744211" w:rsidRPr="00B73038" w:rsidRDefault="00744211" w:rsidP="00790BE1">
      <w:pPr>
        <w:rPr>
          <w:szCs w:val="24"/>
        </w:rPr>
      </w:pPr>
      <w:r w:rsidRPr="00B73038">
        <w:rPr>
          <w:szCs w:val="24"/>
        </w:rPr>
        <w:t>(Ex. F.)</w:t>
      </w:r>
    </w:p>
    <w:p w:rsidR="00B52D15" w:rsidRPr="00B73038" w:rsidRDefault="00B52D15" w:rsidP="00790BE1">
      <w:pPr>
        <w:rPr>
          <w:szCs w:val="24"/>
        </w:rPr>
      </w:pPr>
      <w:r w:rsidRPr="00B73038">
        <w:rPr>
          <w:szCs w:val="24"/>
        </w:rPr>
        <w:tab/>
      </w:r>
      <w:r w:rsidR="00E217B4">
        <w:rPr>
          <w:szCs w:val="24"/>
        </w:rPr>
        <w:t>46</w:t>
      </w:r>
      <w:r w:rsidR="00744211" w:rsidRPr="00B73038">
        <w:rPr>
          <w:szCs w:val="24"/>
        </w:rPr>
        <w:t>. With Dr. Nadolny’s knowledge and permission, nurse practitioners at Canna Care Docs started using his MMJ Online System ID to issue marijuana certifications.</w:t>
      </w:r>
      <w:r w:rsidR="005D14C7">
        <w:rPr>
          <w:szCs w:val="24"/>
        </w:rPr>
        <w:t xml:space="preserve"> </w:t>
      </w:r>
      <w:r w:rsidR="00355489">
        <w:rPr>
          <w:szCs w:val="24"/>
        </w:rPr>
        <w:t>(Gluchacki testimony, Tr. 104.)</w:t>
      </w:r>
      <w:r w:rsidR="00355489">
        <w:rPr>
          <w:rStyle w:val="FootnoteReference"/>
          <w:szCs w:val="24"/>
        </w:rPr>
        <w:footnoteReference w:id="10"/>
      </w:r>
    </w:p>
    <w:p w:rsidR="00706AA3" w:rsidRPr="00B73038" w:rsidRDefault="00706AA3" w:rsidP="008A2435">
      <w:pPr>
        <w:widowControl w:val="0"/>
        <w:rPr>
          <w:szCs w:val="24"/>
        </w:rPr>
      </w:pPr>
      <w:r w:rsidRPr="00B73038">
        <w:rPr>
          <w:szCs w:val="24"/>
        </w:rPr>
        <w:tab/>
      </w:r>
      <w:r w:rsidR="00E217B4">
        <w:rPr>
          <w:szCs w:val="24"/>
        </w:rPr>
        <w:t>47</w:t>
      </w:r>
      <w:r w:rsidRPr="00B73038">
        <w:rPr>
          <w:szCs w:val="24"/>
        </w:rPr>
        <w:t>. As of May 20, 2016, 5,792 marijuana certificati</w:t>
      </w:r>
      <w:r w:rsidR="00876C9E">
        <w:rPr>
          <w:szCs w:val="24"/>
        </w:rPr>
        <w:t>ons had been issued under Dr. Na</w:t>
      </w:r>
      <w:r w:rsidRPr="00B73038">
        <w:rPr>
          <w:szCs w:val="24"/>
        </w:rPr>
        <w:t>dolny’s ID. (Ex. J, Jaynes Affidavit.)</w:t>
      </w:r>
    </w:p>
    <w:p w:rsidR="00B303BA" w:rsidRPr="00B73038" w:rsidRDefault="00B303BA" w:rsidP="008A2435">
      <w:pPr>
        <w:widowControl w:val="0"/>
        <w:rPr>
          <w:szCs w:val="24"/>
        </w:rPr>
      </w:pPr>
      <w:r w:rsidRPr="00B73038">
        <w:rPr>
          <w:szCs w:val="24"/>
        </w:rPr>
        <w:lastRenderedPageBreak/>
        <w:tab/>
      </w:r>
      <w:r w:rsidR="00E217B4">
        <w:rPr>
          <w:szCs w:val="24"/>
        </w:rPr>
        <w:t>48</w:t>
      </w:r>
      <w:r w:rsidRPr="00B73038">
        <w:rPr>
          <w:szCs w:val="24"/>
        </w:rPr>
        <w:t xml:space="preserve">. Of the </w:t>
      </w:r>
      <w:r w:rsidR="00744211" w:rsidRPr="00B73038">
        <w:rPr>
          <w:szCs w:val="24"/>
        </w:rPr>
        <w:t>5</w:t>
      </w:r>
      <w:r w:rsidRPr="00B73038">
        <w:rPr>
          <w:szCs w:val="24"/>
        </w:rPr>
        <w:t>,792 marijuana certifications, Dr. Nadolny personally certified over 2,000 of them. The rest of the marijuana certifications were completed by nurse practitioners using his ID. (Tr. 69.)</w:t>
      </w:r>
    </w:p>
    <w:p w:rsidR="00C515B8" w:rsidRPr="00B73038" w:rsidRDefault="00C515B8" w:rsidP="00790BE1">
      <w:pPr>
        <w:rPr>
          <w:szCs w:val="24"/>
        </w:rPr>
      </w:pPr>
      <w:r w:rsidRPr="00B73038">
        <w:rPr>
          <w:szCs w:val="24"/>
        </w:rPr>
        <w:tab/>
      </w:r>
      <w:r w:rsidR="00E217B4">
        <w:rPr>
          <w:szCs w:val="24"/>
        </w:rPr>
        <w:t>49</w:t>
      </w:r>
      <w:r w:rsidRPr="00B73038">
        <w:rPr>
          <w:szCs w:val="24"/>
        </w:rPr>
        <w:t xml:space="preserve">. </w:t>
      </w:r>
      <w:r w:rsidR="008C4205">
        <w:rPr>
          <w:szCs w:val="24"/>
        </w:rPr>
        <w:t>On November 18, 2015</w:t>
      </w:r>
      <w:r w:rsidR="008E2A9E">
        <w:rPr>
          <w:szCs w:val="24"/>
        </w:rPr>
        <w:t xml:space="preserve">, </w:t>
      </w:r>
      <w:r w:rsidR="0029611C">
        <w:rPr>
          <w:szCs w:val="24"/>
        </w:rPr>
        <w:t>a</w:t>
      </w:r>
      <w:r w:rsidRPr="00B73038">
        <w:rPr>
          <w:szCs w:val="24"/>
        </w:rPr>
        <w:t xml:space="preserve"> nurse pract</w:t>
      </w:r>
      <w:r w:rsidR="001E3320">
        <w:rPr>
          <w:szCs w:val="24"/>
        </w:rPr>
        <w:t>itioner at Canna Care Docs saw P</w:t>
      </w:r>
      <w:r w:rsidRPr="00B73038">
        <w:rPr>
          <w:szCs w:val="24"/>
        </w:rPr>
        <w:t>atient A and issued a marijuana certification to Patient A. (Ex. 1 to Ex. J. (Jaynes Affidavit).)</w:t>
      </w:r>
    </w:p>
    <w:p w:rsidR="00C515B8" w:rsidRPr="00B73038" w:rsidRDefault="00C515B8" w:rsidP="00790BE1">
      <w:pPr>
        <w:rPr>
          <w:szCs w:val="24"/>
        </w:rPr>
      </w:pPr>
      <w:r w:rsidRPr="00B73038">
        <w:rPr>
          <w:szCs w:val="24"/>
        </w:rPr>
        <w:tab/>
      </w:r>
      <w:r w:rsidR="00E217B4">
        <w:rPr>
          <w:szCs w:val="24"/>
        </w:rPr>
        <w:t>50</w:t>
      </w:r>
      <w:r w:rsidRPr="00B73038">
        <w:rPr>
          <w:szCs w:val="24"/>
        </w:rPr>
        <w:t>. The nurse practitioner used Dr. Nadolny’s name as the medical provider and Dr. Nadolny’s MMJ Online System ID. (Tr. 66-68; Ex. 1 to Ex. J. (Jaynes Affidavit).)</w:t>
      </w:r>
    </w:p>
    <w:p w:rsidR="00FE5BBB" w:rsidRPr="00B73038" w:rsidRDefault="00FE5BBB" w:rsidP="00790BE1">
      <w:pPr>
        <w:rPr>
          <w:szCs w:val="24"/>
        </w:rPr>
      </w:pPr>
      <w:r w:rsidRPr="00B73038">
        <w:rPr>
          <w:szCs w:val="24"/>
        </w:rPr>
        <w:tab/>
      </w:r>
      <w:r w:rsidR="00E217B4">
        <w:rPr>
          <w:szCs w:val="24"/>
        </w:rPr>
        <w:t>51</w:t>
      </w:r>
      <w:r w:rsidRPr="00B73038">
        <w:rPr>
          <w:szCs w:val="24"/>
        </w:rPr>
        <w:t>. Dr. Nadolny never met Patient A. (</w:t>
      </w:r>
      <w:r w:rsidR="00FA1F10" w:rsidRPr="00B73038">
        <w:rPr>
          <w:szCs w:val="24"/>
        </w:rPr>
        <w:t>Tr. 66</w:t>
      </w:r>
      <w:r w:rsidRPr="00B73038">
        <w:rPr>
          <w:szCs w:val="24"/>
        </w:rPr>
        <w:t>.)</w:t>
      </w:r>
    </w:p>
    <w:p w:rsidR="00B303BA" w:rsidRPr="00B73038" w:rsidRDefault="00B303BA" w:rsidP="00790BE1">
      <w:pPr>
        <w:rPr>
          <w:szCs w:val="24"/>
        </w:rPr>
      </w:pPr>
      <w:r w:rsidRPr="00B73038">
        <w:rPr>
          <w:szCs w:val="24"/>
        </w:rPr>
        <w:tab/>
      </w:r>
      <w:r w:rsidR="00E217B4">
        <w:rPr>
          <w:szCs w:val="24"/>
        </w:rPr>
        <w:t>52</w:t>
      </w:r>
      <w:r w:rsidRPr="00B73038">
        <w:rPr>
          <w:szCs w:val="24"/>
        </w:rPr>
        <w:t>. Dr. Nadolny did not have a bona fide physician-patient relationship with Patient A. (Tr. 68.)</w:t>
      </w:r>
    </w:p>
    <w:p w:rsidR="00FE5BBB" w:rsidRPr="00B73038" w:rsidRDefault="00FE5BBB" w:rsidP="00F02F0F">
      <w:pPr>
        <w:widowControl w:val="0"/>
        <w:rPr>
          <w:szCs w:val="24"/>
        </w:rPr>
      </w:pPr>
      <w:r w:rsidRPr="00B73038">
        <w:rPr>
          <w:szCs w:val="24"/>
        </w:rPr>
        <w:tab/>
      </w:r>
      <w:r w:rsidR="00E217B4">
        <w:rPr>
          <w:szCs w:val="24"/>
        </w:rPr>
        <w:t>53</w:t>
      </w:r>
      <w:r w:rsidR="000655F4" w:rsidRPr="00B73038">
        <w:rPr>
          <w:szCs w:val="24"/>
        </w:rPr>
        <w:t>. On May 24, 2016, Dr. Nadolny suspended the practice of nurse practitioners at Canna Care Docs issuing marijuana certifications. (Ex. G.) He figured that the BRM objected to nurse practitioners’ issuing marijuana certifications and he suspended the practice until the issue was resolved. (Tr. 71.)</w:t>
      </w:r>
    </w:p>
    <w:p w:rsidR="00A82603" w:rsidRPr="00B73038" w:rsidRDefault="00A82603" w:rsidP="00F02F0F">
      <w:pPr>
        <w:widowControl w:val="0"/>
        <w:rPr>
          <w:szCs w:val="24"/>
        </w:rPr>
      </w:pPr>
      <w:r w:rsidRPr="00B73038">
        <w:rPr>
          <w:szCs w:val="24"/>
        </w:rPr>
        <w:tab/>
      </w:r>
      <w:r w:rsidR="00E217B4">
        <w:rPr>
          <w:szCs w:val="24"/>
        </w:rPr>
        <w:t>54</w:t>
      </w:r>
      <w:r w:rsidRPr="00B73038">
        <w:rPr>
          <w:szCs w:val="24"/>
        </w:rPr>
        <w:t xml:space="preserve">. Dr. Nadolny did not delegate his duties under the </w:t>
      </w:r>
      <w:r w:rsidR="00F02F0F">
        <w:rPr>
          <w:szCs w:val="24"/>
        </w:rPr>
        <w:t xml:space="preserve">medical marijuana </w:t>
      </w:r>
      <w:r w:rsidRPr="00B73038">
        <w:rPr>
          <w:szCs w:val="24"/>
        </w:rPr>
        <w:t>regulations to nurse practitioners. He did allow nurse practitioners to use his MMJ Onlin</w:t>
      </w:r>
      <w:r w:rsidR="002179D8">
        <w:rPr>
          <w:szCs w:val="24"/>
        </w:rPr>
        <w:t>e System ID for their own cases, which is not the same.</w:t>
      </w:r>
    </w:p>
    <w:p w:rsidR="00790BE1" w:rsidRPr="00B73038" w:rsidRDefault="00790BE1" w:rsidP="00C515B8">
      <w:pPr>
        <w:widowControl w:val="0"/>
        <w:jc w:val="center"/>
        <w:rPr>
          <w:rFonts w:cs="Times New Roman"/>
          <w:b/>
          <w:szCs w:val="24"/>
        </w:rPr>
      </w:pPr>
      <w:r w:rsidRPr="00B73038">
        <w:rPr>
          <w:rFonts w:cs="Times New Roman"/>
          <w:b/>
          <w:szCs w:val="24"/>
        </w:rPr>
        <w:t>Discussion</w:t>
      </w:r>
    </w:p>
    <w:p w:rsidR="0029611C" w:rsidRPr="0029611C" w:rsidRDefault="0029611C" w:rsidP="00C94EF5">
      <w:pPr>
        <w:widowControl w:val="0"/>
        <w:ind w:firstLine="720"/>
        <w:rPr>
          <w:rFonts w:cs="Times New Roman"/>
          <w:szCs w:val="24"/>
          <w:u w:val="single"/>
        </w:rPr>
      </w:pPr>
      <w:r>
        <w:rPr>
          <w:rFonts w:cs="Times New Roman"/>
          <w:szCs w:val="24"/>
          <w:u w:val="single"/>
        </w:rPr>
        <w:t>Regulations, and terms and conditions</w:t>
      </w:r>
    </w:p>
    <w:p w:rsidR="00C94EF5" w:rsidRDefault="00C94EF5" w:rsidP="00C94EF5">
      <w:pPr>
        <w:widowControl w:val="0"/>
        <w:ind w:firstLine="720"/>
        <w:rPr>
          <w:rFonts w:cs="Times New Roman"/>
          <w:szCs w:val="24"/>
        </w:rPr>
      </w:pPr>
      <w:r w:rsidRPr="004E3802">
        <w:rPr>
          <w:rFonts w:cs="Times New Roman"/>
          <w:szCs w:val="24"/>
        </w:rPr>
        <w:t xml:space="preserve">If cases exist explaining how to discern the will of the people in enacting legislation through initiatives and referenda, I have been unable to locate them. However, </w:t>
      </w:r>
      <w:r>
        <w:rPr>
          <w:rFonts w:cs="Times New Roman"/>
          <w:szCs w:val="24"/>
        </w:rPr>
        <w:t>“</w:t>
      </w:r>
      <w:r w:rsidRPr="004E3802">
        <w:rPr>
          <w:rFonts w:cs="Times New Roman"/>
          <w:szCs w:val="24"/>
        </w:rPr>
        <w:t>[t]he primary source of legislative intent is the plain language of the statute.</w:t>
      </w:r>
      <w:r>
        <w:rPr>
          <w:rFonts w:cs="Times New Roman"/>
          <w:szCs w:val="24"/>
        </w:rPr>
        <w:t>”</w:t>
      </w:r>
      <w:r w:rsidRPr="004E3802">
        <w:rPr>
          <w:rFonts w:cs="Times New Roman"/>
          <w:szCs w:val="24"/>
        </w:rPr>
        <w:t xml:space="preserve"> </w:t>
      </w:r>
      <w:r w:rsidRPr="004E3802">
        <w:rPr>
          <w:rFonts w:cs="Times New Roman"/>
          <w:bCs/>
          <w:i/>
          <w:szCs w:val="24"/>
        </w:rPr>
        <w:t>Boston Retirement Board v. Contributory Retirement Appeal Board</w:t>
      </w:r>
      <w:r w:rsidRPr="004E3802">
        <w:rPr>
          <w:rFonts w:cs="Times New Roman"/>
          <w:bCs/>
          <w:szCs w:val="24"/>
        </w:rPr>
        <w:t>, 441 Mass. 78, 81 (2004)</w:t>
      </w:r>
      <w:r w:rsidRPr="004E3802">
        <w:rPr>
          <w:rFonts w:cs="Times New Roman"/>
          <w:szCs w:val="24"/>
        </w:rPr>
        <w:t xml:space="preserve">(citation omitted). Therefore, </w:t>
      </w:r>
      <w:r w:rsidRPr="004E3802">
        <w:rPr>
          <w:rFonts w:cs="Times New Roman"/>
          <w:szCs w:val="24"/>
        </w:rPr>
        <w:lastRenderedPageBreak/>
        <w:t>the primary source of the intent of the 1,914,747 voters who approved the medical marijuana statute, www.sec.state.ma.us/ele/elebalm/balmresults.html#year2012, must also be the plain language of the statute.</w:t>
      </w:r>
    </w:p>
    <w:p w:rsidR="00C94EF5" w:rsidRPr="00F34B78" w:rsidRDefault="00C94EF5" w:rsidP="00C94EF5">
      <w:pPr>
        <w:widowControl w:val="0"/>
        <w:rPr>
          <w:rStyle w:val="hierarchydescription2"/>
          <w:rFonts w:cs="Times New Roman"/>
          <w:szCs w:val="24"/>
          <w:lang w:val="en"/>
        </w:rPr>
      </w:pPr>
      <w:r>
        <w:rPr>
          <w:rStyle w:val="hierarchydescription2"/>
          <w:rFonts w:cs="Times New Roman"/>
          <w:szCs w:val="24"/>
          <w:lang w:val="en"/>
          <w:specVanish w:val="0"/>
        </w:rPr>
        <w:tab/>
        <w:t>The “[p]urpose and [i]ntent” of the medical marijuana statute was that</w:t>
      </w:r>
    </w:p>
    <w:p w:rsidR="00C94EF5" w:rsidRDefault="00C94EF5" w:rsidP="00C94EF5">
      <w:pPr>
        <w:widowControl w:val="0"/>
        <w:spacing w:line="240" w:lineRule="auto"/>
        <w:ind w:left="720" w:right="720"/>
        <w:rPr>
          <w:rFonts w:cs="Times New Roman"/>
          <w:szCs w:val="24"/>
          <w:lang w:val="en"/>
        </w:rPr>
      </w:pPr>
      <w:r w:rsidRPr="00F34B78">
        <w:rPr>
          <w:rFonts w:cs="Times New Roman"/>
          <w:szCs w:val="24"/>
          <w:lang w:val="en"/>
        </w:rPr>
        <w:t>there should be no punishment under state law for qualifying patients, physicians and health care professionals, personal caregivers for patients, or medical marijuana treatment center agents for the medical use of marijuana....</w:t>
      </w:r>
    </w:p>
    <w:p w:rsidR="00C94EF5" w:rsidRDefault="00C94EF5" w:rsidP="00C94EF5">
      <w:pPr>
        <w:widowControl w:val="0"/>
        <w:spacing w:line="240" w:lineRule="auto"/>
        <w:ind w:left="720" w:right="720"/>
        <w:rPr>
          <w:rFonts w:cs="Times New Roman"/>
          <w:szCs w:val="24"/>
          <w:lang w:val="en"/>
        </w:rPr>
      </w:pPr>
    </w:p>
    <w:p w:rsidR="00C94EF5" w:rsidRDefault="00C94EF5" w:rsidP="00C94EF5">
      <w:pPr>
        <w:widowControl w:val="0"/>
        <w:rPr>
          <w:rStyle w:val="hierarchydescription2"/>
          <w:rFonts w:cs="Times New Roman"/>
          <w:szCs w:val="24"/>
          <w:lang w:val="en"/>
        </w:rPr>
      </w:pPr>
      <w:r>
        <w:rPr>
          <w:rStyle w:val="hierarchydescription2"/>
          <w:rFonts w:cs="Times New Roman"/>
          <w:szCs w:val="24"/>
          <w:lang w:val="en"/>
          <w:specVanish w:val="0"/>
        </w:rPr>
        <w:t xml:space="preserve">St. 2012, c. 369, § 1. Other language in the medical marijuana statute indirectly and subtly reveals the will of the people. The statute does not explicitly assign responsibility to the Department of Public Health to enforce it; however, by assigning various functions to DPH, the statute assumes that DPH will enforce it. And DPH is of course concerned with the public health. </w:t>
      </w:r>
      <w:r>
        <w:rPr>
          <w:rStyle w:val="hierarchydescription2"/>
          <w:rFonts w:cs="Times New Roman"/>
          <w:i/>
          <w:szCs w:val="24"/>
          <w:lang w:val="en"/>
          <w:specVanish w:val="0"/>
        </w:rPr>
        <w:t>See e.g.</w:t>
      </w:r>
      <w:r>
        <w:rPr>
          <w:rStyle w:val="hierarchydescription2"/>
          <w:rFonts w:cs="Times New Roman"/>
          <w:szCs w:val="24"/>
          <w:lang w:val="en"/>
          <w:specVanish w:val="0"/>
        </w:rPr>
        <w:t>, G.L. c. 17, § 4.</w:t>
      </w:r>
    </w:p>
    <w:p w:rsidR="00C94EF5" w:rsidRDefault="00C94EF5" w:rsidP="00C94EF5">
      <w:pPr>
        <w:widowControl w:val="0"/>
        <w:rPr>
          <w:rStyle w:val="hierarchydescription2"/>
          <w:rFonts w:cs="Times New Roman"/>
          <w:szCs w:val="24"/>
          <w:lang w:val="en"/>
        </w:rPr>
      </w:pPr>
      <w:r>
        <w:rPr>
          <w:rStyle w:val="hierarchydescription2"/>
          <w:rFonts w:cs="Times New Roman"/>
          <w:szCs w:val="24"/>
          <w:lang w:val="en"/>
          <w:specVanish w:val="0"/>
        </w:rPr>
        <w:tab/>
        <w:t>Therefore, by enacting the medical marijuana statute, the people intended, not only that the medical marijuana program would entail “no punishment under state law” for participants in the medical marijuana program, St. 2012, c. 369, § 1, but that the program be implemented in a way that protects the public health.</w:t>
      </w:r>
    </w:p>
    <w:p w:rsidR="00C94EF5" w:rsidRDefault="00C94EF5" w:rsidP="00C94EF5">
      <w:pPr>
        <w:widowControl w:val="0"/>
        <w:rPr>
          <w:rStyle w:val="hierarchydescription2"/>
          <w:rFonts w:cs="Times New Roman"/>
          <w:szCs w:val="24"/>
          <w:lang w:val="en"/>
        </w:rPr>
      </w:pPr>
      <w:r>
        <w:rPr>
          <w:rStyle w:val="hierarchydescription2"/>
          <w:rFonts w:cs="Times New Roman"/>
          <w:szCs w:val="24"/>
          <w:lang w:val="en"/>
          <w:specVanish w:val="0"/>
        </w:rPr>
        <w:tab/>
        <w:t xml:space="preserve">The statute authorized DPH to issue regulations in specific areas: 60-day supplies of marijuana for qualifying patients, St. 2012, c. 369, § 8; </w:t>
      </w:r>
      <w:r w:rsidRPr="003E7DE1">
        <w:rPr>
          <w:rFonts w:cs="Times New Roman"/>
          <w:szCs w:val="24"/>
          <w:lang w:val="en"/>
        </w:rPr>
        <w:t xml:space="preserve">nonprofit medical marijuana treatment centers, </w:t>
      </w:r>
      <w:r>
        <w:rPr>
          <w:rFonts w:cs="Times New Roman"/>
          <w:szCs w:val="24"/>
          <w:lang w:val="en"/>
        </w:rPr>
        <w:t>and r</w:t>
      </w:r>
      <w:r w:rsidRPr="003E7DE1">
        <w:rPr>
          <w:rFonts w:cs="Times New Roman"/>
          <w:szCs w:val="24"/>
          <w:lang w:val="en"/>
        </w:rPr>
        <w:t>egistration of dispensary agents</w:t>
      </w:r>
      <w:r w:rsidRPr="003E7DE1">
        <w:rPr>
          <w:rStyle w:val="hierarchydescription2"/>
          <w:rFonts w:cs="Times New Roman"/>
          <w:szCs w:val="24"/>
          <w:lang w:val="en"/>
          <w:specVanish w:val="0"/>
        </w:rPr>
        <w:t>, har</w:t>
      </w:r>
      <w:r>
        <w:rPr>
          <w:rStyle w:val="hierarchydescription2"/>
          <w:rFonts w:cs="Times New Roman"/>
          <w:szCs w:val="24"/>
          <w:lang w:val="en"/>
          <w:specVanish w:val="0"/>
        </w:rPr>
        <w:t>dsh</w:t>
      </w:r>
      <w:r w:rsidRPr="003E7DE1">
        <w:rPr>
          <w:rStyle w:val="hierarchydescription2"/>
          <w:rFonts w:cs="Times New Roman"/>
          <w:szCs w:val="24"/>
          <w:lang w:val="en"/>
          <w:specVanish w:val="0"/>
        </w:rPr>
        <w:t xml:space="preserve">ip cultivation, </w:t>
      </w:r>
      <w:r>
        <w:rPr>
          <w:rFonts w:cs="Times New Roman"/>
          <w:szCs w:val="24"/>
          <w:lang w:val="en"/>
        </w:rPr>
        <w:t xml:space="preserve">and </w:t>
      </w:r>
      <w:r w:rsidRPr="003E7DE1">
        <w:rPr>
          <w:rFonts w:cs="Times New Roman"/>
          <w:szCs w:val="24"/>
          <w:lang w:val="en"/>
        </w:rPr>
        <w:t>patients and caregivers.</w:t>
      </w:r>
      <w:r>
        <w:rPr>
          <w:rFonts w:cs="Times New Roman"/>
          <w:szCs w:val="24"/>
          <w:lang w:val="en"/>
        </w:rPr>
        <w:t xml:space="preserve"> </w:t>
      </w:r>
      <w:r w:rsidRPr="003E7DE1">
        <w:rPr>
          <w:rStyle w:val="hierarchydescription2"/>
          <w:rFonts w:cs="Times New Roman"/>
          <w:szCs w:val="24"/>
          <w:lang w:val="en"/>
          <w:specVanish w:val="0"/>
        </w:rPr>
        <w:t xml:space="preserve">St. 2012, c. </w:t>
      </w:r>
      <w:r>
        <w:rPr>
          <w:rStyle w:val="hierarchydescription2"/>
          <w:rFonts w:cs="Times New Roman"/>
          <w:szCs w:val="24"/>
          <w:lang w:val="en"/>
          <w:specVanish w:val="0"/>
        </w:rPr>
        <w:t>369, § 11. This was not a case of “</w:t>
      </w:r>
      <w:r w:rsidRPr="00301935">
        <w:rPr>
          <w:rFonts w:eastAsia="Times New Roman"/>
          <w:i/>
        </w:rPr>
        <w:t>expressio unius est exclusio alterius</w:t>
      </w:r>
      <w:r w:rsidRPr="007F0160">
        <w:rPr>
          <w:rFonts w:eastAsia="Times New Roman"/>
        </w:rPr>
        <w:t>, the expression of one thing is the exclusion of anothe</w:t>
      </w:r>
      <w:r>
        <w:rPr>
          <w:rFonts w:eastAsia="Times New Roman"/>
        </w:rPr>
        <w:t xml:space="preserve">r,” </w:t>
      </w:r>
      <w:r>
        <w:rPr>
          <w:rFonts w:eastAsia="Times New Roman"/>
          <w:i/>
        </w:rPr>
        <w:t>Aquino v. Civil Service Commissio</w:t>
      </w:r>
      <w:r w:rsidRPr="007F0160">
        <w:rPr>
          <w:rFonts w:eastAsia="Times New Roman"/>
          <w:i/>
        </w:rPr>
        <w:t>n</w:t>
      </w:r>
      <w:r w:rsidRPr="007F0160">
        <w:rPr>
          <w:rFonts w:eastAsia="Times New Roman"/>
        </w:rPr>
        <w:t>, 34 Mass. App. Ct. 538, 541 (1993)</w:t>
      </w:r>
      <w:r>
        <w:rPr>
          <w:rFonts w:eastAsia="Times New Roman"/>
        </w:rPr>
        <w:t xml:space="preserve">(citations omitted) </w:t>
      </w:r>
      <w:r>
        <w:rPr>
          <w:rStyle w:val="hierarchydescription2"/>
          <w:rFonts w:cs="Times New Roman"/>
          <w:szCs w:val="24"/>
          <w:lang w:val="en"/>
          <w:specVanish w:val="0"/>
        </w:rPr>
        <w:t xml:space="preserve">– that the people intended to authorize DPH to issue regulations only in specific areas. </w:t>
      </w:r>
    </w:p>
    <w:p w:rsidR="00C94EF5" w:rsidRDefault="00C94EF5" w:rsidP="00C94EF5">
      <w:pPr>
        <w:widowControl w:val="0"/>
        <w:rPr>
          <w:rStyle w:val="hierarchydescription2"/>
          <w:rFonts w:cs="Times New Roman"/>
          <w:szCs w:val="24"/>
          <w:lang w:val="en"/>
        </w:rPr>
      </w:pPr>
      <w:r>
        <w:rPr>
          <w:rStyle w:val="hierarchydescription2"/>
          <w:rFonts w:cs="Times New Roman"/>
          <w:szCs w:val="24"/>
          <w:lang w:val="en"/>
          <w:specVanish w:val="0"/>
        </w:rPr>
        <w:tab/>
        <w:t xml:space="preserve">The people’s intent to authorize DPH to issue detailed regulations implementing all </w:t>
      </w:r>
      <w:r>
        <w:rPr>
          <w:rStyle w:val="hierarchydescription2"/>
          <w:rFonts w:cs="Times New Roman"/>
          <w:szCs w:val="24"/>
          <w:lang w:val="en"/>
          <w:specVanish w:val="0"/>
        </w:rPr>
        <w:lastRenderedPageBreak/>
        <w:t xml:space="preserve">aspects of the medical marijuana program can be discerned in three ways. One, the statute assigned DPH to implement the medical marijuana statute, and implementation implies issuing regulations. (DPH’s having </w:t>
      </w:r>
      <w:r w:rsidRPr="00A5195D">
        <w:rPr>
          <w:rStyle w:val="hierarchydescription2"/>
          <w:rFonts w:cs="Times New Roman"/>
          <w:i/>
          <w:szCs w:val="24"/>
          <w:lang w:val="en"/>
          <w:specVanish w:val="0"/>
        </w:rPr>
        <w:t>implici</w:t>
      </w:r>
      <w:r>
        <w:rPr>
          <w:rStyle w:val="hierarchydescription2"/>
          <w:rFonts w:cs="Times New Roman"/>
          <w:szCs w:val="24"/>
          <w:lang w:val="en"/>
          <w:specVanish w:val="0"/>
        </w:rPr>
        <w:t xml:space="preserve">t </w:t>
      </w:r>
      <w:r w:rsidRPr="00B20643">
        <w:rPr>
          <w:rStyle w:val="hierarchydescription2"/>
          <w:rFonts w:cs="Times New Roman"/>
          <w:szCs w:val="24"/>
          <w:lang w:val="en"/>
          <w:specVanish w:val="0"/>
        </w:rPr>
        <w:t xml:space="preserve">authority to issue regulations is not the same thing as having </w:t>
      </w:r>
      <w:r w:rsidRPr="00A5195D">
        <w:rPr>
          <w:rStyle w:val="hierarchydescription2"/>
          <w:rFonts w:cs="Times New Roman"/>
          <w:i/>
          <w:szCs w:val="24"/>
          <w:lang w:val="en"/>
          <w:specVanish w:val="0"/>
        </w:rPr>
        <w:t>inherent</w:t>
      </w:r>
      <w:r w:rsidRPr="00B20643">
        <w:rPr>
          <w:rStyle w:val="hierarchydescription2"/>
          <w:rFonts w:cs="Times New Roman"/>
          <w:szCs w:val="24"/>
          <w:lang w:val="en"/>
          <w:specVanish w:val="0"/>
        </w:rPr>
        <w:t xml:space="preserve"> authority, which DPH does not have and no administrative body has. </w:t>
      </w:r>
      <w:r w:rsidRPr="00B20643">
        <w:rPr>
          <w:rFonts w:cs="Times New Roman"/>
          <w:bCs/>
          <w:i/>
          <w:szCs w:val="24"/>
        </w:rPr>
        <w:t>Telles v. Commissioner of Insurance</w:t>
      </w:r>
      <w:r w:rsidRPr="00B20643">
        <w:rPr>
          <w:rFonts w:cs="Times New Roman"/>
          <w:bCs/>
          <w:szCs w:val="24"/>
        </w:rPr>
        <w:t>, 410 Mass. 560, 565 (1991)</w:t>
      </w:r>
      <w:r w:rsidRPr="00B20643">
        <w:rPr>
          <w:rStyle w:val="hierarchydescription2"/>
          <w:rFonts w:cs="Times New Roman"/>
          <w:szCs w:val="24"/>
          <w:lang w:val="en"/>
          <w:specVanish w:val="0"/>
        </w:rPr>
        <w:t xml:space="preserve">.) Two, some language in the statute implied that DPH would issue regulations, and practically required it. For example, the </w:t>
      </w:r>
      <w:r>
        <w:rPr>
          <w:rStyle w:val="hierarchydescription2"/>
          <w:rFonts w:cs="Times New Roman"/>
          <w:szCs w:val="24"/>
          <w:lang w:val="en"/>
          <w:specVanish w:val="0"/>
        </w:rPr>
        <w:t>statute reads in part:</w:t>
      </w:r>
    </w:p>
    <w:p w:rsidR="00C94EF5" w:rsidRDefault="00C94EF5" w:rsidP="00C94EF5">
      <w:pPr>
        <w:widowControl w:val="0"/>
        <w:spacing w:line="240" w:lineRule="auto"/>
        <w:ind w:left="720" w:right="720"/>
        <w:rPr>
          <w:rFonts w:cs="Times New Roman"/>
          <w:szCs w:val="24"/>
          <w:lang w:val="en"/>
        </w:rPr>
      </w:pPr>
      <w:r w:rsidRPr="00FC71C3">
        <w:rPr>
          <w:rFonts w:cs="Times New Roman"/>
          <w:szCs w:val="24"/>
          <w:lang w:val="en"/>
        </w:rPr>
        <w:t>Section 14. Penalties for Fraudulent Acts.</w:t>
      </w:r>
      <w:r w:rsidRPr="00FC71C3">
        <w:rPr>
          <w:rFonts w:cs="Times New Roman"/>
          <w:szCs w:val="24"/>
          <w:lang w:val="en"/>
        </w:rPr>
        <w:br/>
        <w:t>(A) The department, after a hearing, may revoke any registration card issued under this law for a willful violation of this law....</w:t>
      </w:r>
    </w:p>
    <w:p w:rsidR="00C94EF5" w:rsidRPr="00FC71C3" w:rsidRDefault="00C94EF5" w:rsidP="00C94EF5">
      <w:pPr>
        <w:widowControl w:val="0"/>
        <w:spacing w:line="240" w:lineRule="auto"/>
        <w:ind w:left="720" w:right="720"/>
        <w:rPr>
          <w:rStyle w:val="hierarchydescription2"/>
          <w:rFonts w:cs="Times New Roman"/>
          <w:szCs w:val="24"/>
          <w:lang w:val="en"/>
        </w:rPr>
      </w:pPr>
    </w:p>
    <w:p w:rsidR="00C94EF5" w:rsidRDefault="00C94EF5" w:rsidP="00C94EF5">
      <w:pPr>
        <w:widowControl w:val="0"/>
        <w:rPr>
          <w:rStyle w:val="hierarchydescription2"/>
          <w:rFonts w:cs="Times New Roman"/>
          <w:szCs w:val="24"/>
          <w:lang w:val="en"/>
        </w:rPr>
      </w:pPr>
      <w:r w:rsidRPr="003E7DE1">
        <w:rPr>
          <w:rStyle w:val="hierarchydescription2"/>
          <w:rFonts w:cs="Times New Roman"/>
          <w:szCs w:val="24"/>
          <w:lang w:val="en"/>
          <w:specVanish w:val="0"/>
        </w:rPr>
        <w:t xml:space="preserve">St. 2012, c. </w:t>
      </w:r>
      <w:r>
        <w:rPr>
          <w:rStyle w:val="hierarchydescription2"/>
          <w:rFonts w:cs="Times New Roman"/>
          <w:szCs w:val="24"/>
          <w:lang w:val="en"/>
          <w:specVanish w:val="0"/>
        </w:rPr>
        <w:t xml:space="preserve">369, § 14. The absence of a definition of “[f]raudulent [a]cts” – the definition section contains no such definition, </w:t>
      </w:r>
      <w:r w:rsidRPr="003E7DE1">
        <w:rPr>
          <w:rStyle w:val="hierarchydescription2"/>
          <w:rFonts w:cs="Times New Roman"/>
          <w:szCs w:val="24"/>
          <w:lang w:val="en"/>
          <w:specVanish w:val="0"/>
        </w:rPr>
        <w:t xml:space="preserve">St. 2012, c. </w:t>
      </w:r>
      <w:r>
        <w:rPr>
          <w:rStyle w:val="hierarchydescription2"/>
          <w:rFonts w:cs="Times New Roman"/>
          <w:szCs w:val="24"/>
          <w:lang w:val="en"/>
          <w:specVanish w:val="0"/>
        </w:rPr>
        <w:t xml:space="preserve">369, § 2 – implicitly called on DPH to issue regulations. And it did so. </w:t>
      </w:r>
      <w:r w:rsidRPr="0054311D">
        <w:rPr>
          <w:rStyle w:val="hierarchydescription2"/>
          <w:rFonts w:cs="Times New Roman"/>
          <w:i/>
          <w:szCs w:val="24"/>
          <w:lang w:val="en"/>
          <w:specVanish w:val="0"/>
        </w:rPr>
        <w:t>E.g.</w:t>
      </w:r>
      <w:r>
        <w:rPr>
          <w:rStyle w:val="hierarchydescription2"/>
          <w:rFonts w:cs="Times New Roman"/>
          <w:szCs w:val="24"/>
          <w:lang w:val="en"/>
          <w:specVanish w:val="0"/>
        </w:rPr>
        <w:t>, 105 C</w:t>
      </w:r>
      <w:r w:rsidRPr="0054311D">
        <w:rPr>
          <w:rStyle w:val="hierarchydescription2"/>
          <w:rFonts w:cs="Times New Roman"/>
          <w:szCs w:val="24"/>
          <w:lang w:val="en"/>
          <w:specVanish w:val="0"/>
        </w:rPr>
        <w:t xml:space="preserve">MR </w:t>
      </w:r>
      <w:r w:rsidRPr="0054311D">
        <w:rPr>
          <w:color w:val="000000"/>
          <w:szCs w:val="24"/>
        </w:rPr>
        <w:t>725.425</w:t>
      </w:r>
      <w:r>
        <w:rPr>
          <w:color w:val="000000"/>
          <w:szCs w:val="24"/>
        </w:rPr>
        <w:t>.</w:t>
      </w:r>
    </w:p>
    <w:p w:rsidR="00C94EF5" w:rsidRDefault="00C94EF5" w:rsidP="00C94EF5">
      <w:pPr>
        <w:widowControl w:val="0"/>
        <w:rPr>
          <w:rFonts w:cs="Times New Roman"/>
          <w:szCs w:val="24"/>
        </w:rPr>
      </w:pPr>
      <w:r>
        <w:rPr>
          <w:rStyle w:val="hierarchydescription2"/>
          <w:rFonts w:cs="Times New Roman"/>
          <w:szCs w:val="24"/>
          <w:lang w:val="en"/>
          <w:specVanish w:val="0"/>
        </w:rPr>
        <w:tab/>
        <w:t>And three, the medical marijuana statute consists of broad brush strokes. That too implies that DPH was going to fill in the gaps, major and minor, with regulations. And it did so. The s</w:t>
      </w:r>
      <w:r>
        <w:rPr>
          <w:rFonts w:cs="Times New Roman"/>
          <w:szCs w:val="24"/>
        </w:rPr>
        <w:t xml:space="preserve">tatute is silent about sanitary conditions and security of marijuana dispensaries, but DPH has added extensive requirements about these and other operational issues for marijuana dispensaries. </w:t>
      </w:r>
      <w:r w:rsidRPr="00BF04B6">
        <w:rPr>
          <w:rFonts w:cs="Times New Roman"/>
          <w:i/>
          <w:szCs w:val="24"/>
        </w:rPr>
        <w:t>E.g.</w:t>
      </w:r>
      <w:r>
        <w:rPr>
          <w:rFonts w:cs="Times New Roman"/>
          <w:szCs w:val="24"/>
        </w:rPr>
        <w:t>, 105 CMR 725.105 and 110 (</w:t>
      </w:r>
      <w:r w:rsidRPr="00363564">
        <w:rPr>
          <w:rFonts w:cs="Times New Roman"/>
          <w:i/>
          <w:szCs w:val="24"/>
        </w:rPr>
        <w:t>12 pages</w:t>
      </w:r>
      <w:r>
        <w:rPr>
          <w:rFonts w:cs="Times New Roman"/>
          <w:szCs w:val="24"/>
        </w:rPr>
        <w:t xml:space="preserve"> of regulation).</w:t>
      </w:r>
    </w:p>
    <w:p w:rsidR="00C94EF5" w:rsidRDefault="00C94EF5" w:rsidP="00C94EF5">
      <w:pPr>
        <w:widowControl w:val="0"/>
        <w:rPr>
          <w:rFonts w:cs="Times New Roman"/>
          <w:szCs w:val="24"/>
        </w:rPr>
      </w:pPr>
      <w:r>
        <w:rPr>
          <w:rFonts w:cs="Times New Roman"/>
          <w:szCs w:val="24"/>
        </w:rPr>
        <w:tab/>
        <w:t>As the Supreme Judicial Court has ruled:</w:t>
      </w:r>
    </w:p>
    <w:p w:rsidR="00C94EF5" w:rsidRDefault="00C94EF5" w:rsidP="00C94EF5">
      <w:pPr>
        <w:widowControl w:val="0"/>
        <w:spacing w:line="240" w:lineRule="auto"/>
        <w:ind w:left="720" w:right="720"/>
        <w:rPr>
          <w:rFonts w:cs="Times New Roman"/>
          <w:color w:val="222222"/>
          <w:szCs w:val="24"/>
        </w:rPr>
      </w:pPr>
      <w:r w:rsidRPr="0056571D">
        <w:rPr>
          <w:rFonts w:cs="Times New Roman"/>
          <w:color w:val="222222"/>
          <w:szCs w:val="24"/>
        </w:rPr>
        <w:t>Frequently, administrative agencies are charged, implicitly or explicitly, with the task of crafting regulations that are more detailed than statutes and tailored to more situations than the legislation specifies. [Citation omitted.] In examining the regulatory response to statutory</w:t>
      </w:r>
      <w:r w:rsidRPr="006D74F9">
        <w:rPr>
          <w:rFonts w:cs="Times New Roman"/>
          <w:i/>
          <w:color w:val="222222"/>
          <w:szCs w:val="24"/>
        </w:rPr>
        <w:t xml:space="preserve"> silence</w:t>
      </w:r>
      <w:r w:rsidRPr="0056571D">
        <w:rPr>
          <w:rFonts w:cs="Times New Roman"/>
          <w:color w:val="222222"/>
          <w:szCs w:val="24"/>
        </w:rPr>
        <w:t xml:space="preserve"> or ambiguity, it is unimportant whether we would have come to the same interpretation of the statute as the agency. [Citation omitted.]....</w:t>
      </w:r>
      <w:r w:rsidRPr="006D74F9">
        <w:rPr>
          <w:rFonts w:cs="Times New Roman"/>
          <w:i/>
          <w:color w:val="222222"/>
          <w:szCs w:val="24"/>
        </w:rPr>
        <w:t>Statutory silence</w:t>
      </w:r>
      <w:r w:rsidRPr="0056571D">
        <w:rPr>
          <w:rFonts w:cs="Times New Roman"/>
          <w:color w:val="222222"/>
          <w:szCs w:val="24"/>
        </w:rPr>
        <w:t xml:space="preserve">, like statutory ambiguity, often requires that an agency give clarity to an issue necessarily implicated by the statute but either not addressed by the Legislature or delegated to the superior expertise of agency administrators. [Citation omitted.] Our deference is especially appropriate where, as here, the statutes in question involve an explicit, broad grant of rule-making </w:t>
      </w:r>
      <w:r w:rsidRPr="0056571D">
        <w:rPr>
          <w:rFonts w:cs="Times New Roman"/>
          <w:color w:val="222222"/>
          <w:szCs w:val="24"/>
        </w:rPr>
        <w:lastRenderedPageBreak/>
        <w:t>authority.</w:t>
      </w:r>
    </w:p>
    <w:p w:rsidR="00C94EF5" w:rsidRDefault="00C94EF5" w:rsidP="00C94EF5">
      <w:pPr>
        <w:widowControl w:val="0"/>
        <w:spacing w:line="240" w:lineRule="auto"/>
        <w:ind w:left="720" w:right="720"/>
        <w:rPr>
          <w:rFonts w:cs="Times New Roman"/>
          <w:szCs w:val="24"/>
        </w:rPr>
      </w:pPr>
    </w:p>
    <w:p w:rsidR="00C94EF5" w:rsidRDefault="00C94EF5" w:rsidP="00C94EF5">
      <w:pPr>
        <w:widowControl w:val="0"/>
        <w:rPr>
          <w:rFonts w:cs="Times New Roman"/>
          <w:bCs/>
          <w:color w:val="222222"/>
          <w:szCs w:val="24"/>
        </w:rPr>
      </w:pPr>
      <w:r w:rsidRPr="0056571D">
        <w:rPr>
          <w:rFonts w:cs="Times New Roman"/>
          <w:bCs/>
          <w:i/>
          <w:color w:val="222222"/>
          <w:szCs w:val="24"/>
        </w:rPr>
        <w:t>Goldberg v. Board of Health of Granby</w:t>
      </w:r>
      <w:r w:rsidRPr="0056571D">
        <w:rPr>
          <w:rFonts w:cs="Times New Roman"/>
          <w:bCs/>
          <w:color w:val="222222"/>
          <w:szCs w:val="24"/>
        </w:rPr>
        <w:t>, 444 Mass. 627</w:t>
      </w:r>
      <w:r>
        <w:rPr>
          <w:rFonts w:cs="Times New Roman"/>
          <w:bCs/>
          <w:color w:val="222222"/>
          <w:szCs w:val="24"/>
        </w:rPr>
        <w:t>, 633-34 (</w:t>
      </w:r>
      <w:r w:rsidRPr="0056571D">
        <w:rPr>
          <w:rFonts w:cs="Times New Roman"/>
          <w:bCs/>
          <w:color w:val="222222"/>
          <w:szCs w:val="24"/>
        </w:rPr>
        <w:t>2005</w:t>
      </w:r>
      <w:r>
        <w:rPr>
          <w:rFonts w:cs="Times New Roman"/>
          <w:bCs/>
          <w:color w:val="222222"/>
          <w:szCs w:val="24"/>
        </w:rPr>
        <w:t>)</w:t>
      </w:r>
      <w:r w:rsidR="0036210C">
        <w:rPr>
          <w:rFonts w:cs="Times New Roman"/>
          <w:bCs/>
          <w:color w:val="222222"/>
          <w:szCs w:val="24"/>
        </w:rPr>
        <w:t>(emphasis added)</w:t>
      </w:r>
      <w:r>
        <w:rPr>
          <w:rFonts w:cs="Times New Roman"/>
          <w:bCs/>
          <w:color w:val="222222"/>
          <w:szCs w:val="24"/>
        </w:rPr>
        <w:t xml:space="preserve">. The “broad grant of rule-making authority,” </w:t>
      </w:r>
      <w:r w:rsidRPr="00E736DA">
        <w:rPr>
          <w:rFonts w:cs="Times New Roman"/>
          <w:bCs/>
          <w:i/>
          <w:color w:val="222222"/>
          <w:szCs w:val="24"/>
        </w:rPr>
        <w:t>id.</w:t>
      </w:r>
      <w:r>
        <w:rPr>
          <w:rFonts w:cs="Times New Roman"/>
          <w:bCs/>
          <w:color w:val="222222"/>
          <w:szCs w:val="24"/>
        </w:rPr>
        <w:t xml:space="preserve"> at 634, is implicit here, whereas it was explicit in </w:t>
      </w:r>
      <w:r w:rsidRPr="00A5195D">
        <w:rPr>
          <w:rFonts w:cs="Times New Roman"/>
          <w:bCs/>
          <w:i/>
          <w:color w:val="222222"/>
          <w:szCs w:val="24"/>
        </w:rPr>
        <w:t>Goldberg</w:t>
      </w:r>
      <w:r>
        <w:rPr>
          <w:rFonts w:cs="Times New Roman"/>
          <w:bCs/>
          <w:color w:val="222222"/>
          <w:szCs w:val="24"/>
        </w:rPr>
        <w:t xml:space="preserve">, </w:t>
      </w:r>
      <w:r w:rsidRPr="00A5195D">
        <w:rPr>
          <w:rFonts w:cs="Times New Roman"/>
          <w:bCs/>
          <w:color w:val="222222"/>
          <w:szCs w:val="24"/>
        </w:rPr>
        <w:t>but</w:t>
      </w:r>
      <w:r>
        <w:rPr>
          <w:rFonts w:cs="Times New Roman"/>
          <w:bCs/>
          <w:color w:val="222222"/>
          <w:szCs w:val="24"/>
        </w:rPr>
        <w:t xml:space="preserve"> the point remains valid.</w:t>
      </w:r>
    </w:p>
    <w:p w:rsidR="00E350BE" w:rsidRDefault="0036210C" w:rsidP="00E350BE">
      <w:pPr>
        <w:widowControl w:val="0"/>
        <w:rPr>
          <w:rFonts w:cs="Times New Roman"/>
          <w:szCs w:val="24"/>
        </w:rPr>
      </w:pPr>
      <w:r>
        <w:rPr>
          <w:rFonts w:cs="Times New Roman"/>
          <w:bCs/>
          <w:color w:val="222222"/>
          <w:szCs w:val="24"/>
        </w:rPr>
        <w:tab/>
        <w:t xml:space="preserve">The medical marijuana statute is silent on whether nurse practitioners may issue marijuana certifications. DPH, being aware of </w:t>
      </w:r>
      <w:r w:rsidR="00E350BE" w:rsidRPr="00B73038">
        <w:rPr>
          <w:rFonts w:cs="Times New Roman"/>
          <w:szCs w:val="24"/>
          <w:lang w:val="en"/>
        </w:rPr>
        <w:t>G.L. c. 112, § 80</w:t>
      </w:r>
      <w:r w:rsidR="00E350BE">
        <w:rPr>
          <w:rFonts w:cs="Times New Roman"/>
          <w:szCs w:val="24"/>
          <w:lang w:val="en"/>
        </w:rPr>
        <w:t xml:space="preserve">, properly promulgated a regulation recognizing it, </w:t>
      </w:r>
      <w:r w:rsidR="00E350BE" w:rsidRPr="00B73038">
        <w:rPr>
          <w:rFonts w:cs="Times New Roman"/>
          <w:szCs w:val="24"/>
        </w:rPr>
        <w:t>105 CMR 725.650(C)</w:t>
      </w:r>
      <w:r w:rsidR="00E350BE">
        <w:rPr>
          <w:rFonts w:cs="Times New Roman"/>
          <w:szCs w:val="24"/>
        </w:rPr>
        <w:t>.</w:t>
      </w:r>
    </w:p>
    <w:p w:rsidR="00871EBB" w:rsidRDefault="00871EBB" w:rsidP="00871EBB">
      <w:pPr>
        <w:widowControl w:val="0"/>
        <w:spacing w:line="240" w:lineRule="auto"/>
        <w:ind w:left="720" w:right="720"/>
        <w:rPr>
          <w:rFonts w:cs="Times New Roman"/>
          <w:szCs w:val="24"/>
        </w:rPr>
      </w:pPr>
      <w:r w:rsidRPr="00A12596">
        <w:rPr>
          <w:rFonts w:cs="Times New Roman"/>
          <w:szCs w:val="24"/>
        </w:rPr>
        <w:t>[A] regulation...need not necessarily find support in a particular section of [the enabling statute]; it is enough if it carries out the scheme or design of the chapter and is thus consistent with it.</w:t>
      </w:r>
    </w:p>
    <w:p w:rsidR="00871EBB" w:rsidRPr="00A12596" w:rsidRDefault="00871EBB" w:rsidP="00871EBB">
      <w:pPr>
        <w:widowControl w:val="0"/>
        <w:spacing w:line="240" w:lineRule="auto"/>
        <w:ind w:left="720" w:right="720"/>
        <w:rPr>
          <w:rFonts w:cs="Times New Roman"/>
          <w:szCs w:val="24"/>
        </w:rPr>
      </w:pPr>
    </w:p>
    <w:p w:rsidR="00871EBB" w:rsidRPr="00A12596" w:rsidRDefault="00871EBB" w:rsidP="00871EBB">
      <w:pPr>
        <w:widowControl w:val="0"/>
        <w:rPr>
          <w:rStyle w:val="hierarchydescription2"/>
          <w:rFonts w:cs="Times New Roman"/>
          <w:szCs w:val="24"/>
          <w:lang w:val="en"/>
        </w:rPr>
      </w:pPr>
      <w:r w:rsidRPr="00A12596">
        <w:rPr>
          <w:rFonts w:cs="Times New Roman"/>
          <w:bCs/>
          <w:i/>
          <w:color w:val="222222"/>
          <w:szCs w:val="24"/>
        </w:rPr>
        <w:t>Entergy Nuclear Generation Company v. Department of Environmental Protection</w:t>
      </w:r>
      <w:r w:rsidRPr="00A12596">
        <w:rPr>
          <w:rFonts w:cs="Times New Roman"/>
          <w:bCs/>
          <w:color w:val="222222"/>
          <w:szCs w:val="24"/>
        </w:rPr>
        <w:t>, 459 Mass. 319, 331</w:t>
      </w:r>
      <w:r>
        <w:rPr>
          <w:rFonts w:cs="Times New Roman"/>
          <w:bCs/>
          <w:color w:val="222222"/>
          <w:szCs w:val="24"/>
        </w:rPr>
        <w:t xml:space="preserve"> (2011)</w:t>
      </w:r>
      <w:r w:rsidRPr="00A12596">
        <w:rPr>
          <w:rFonts w:cs="Times New Roman"/>
          <w:szCs w:val="24"/>
        </w:rPr>
        <w:t>(citation and quotation marks omitted; brackets in the original). A</w:t>
      </w:r>
      <w:r>
        <w:rPr>
          <w:rFonts w:cs="Times New Roman"/>
          <w:szCs w:val="24"/>
        </w:rPr>
        <w:t>n</w:t>
      </w:r>
      <w:r w:rsidRPr="00A12596">
        <w:rPr>
          <w:rFonts w:cs="Times New Roman"/>
          <w:szCs w:val="24"/>
        </w:rPr>
        <w:t xml:space="preserve"> enabling statute “need not mention” topics “explicitly…to encompass them within the department</w:t>
      </w:r>
      <w:r>
        <w:rPr>
          <w:rFonts w:cs="Times New Roman"/>
          <w:szCs w:val="24"/>
        </w:rPr>
        <w:t>’</w:t>
      </w:r>
      <w:r w:rsidRPr="00A12596">
        <w:rPr>
          <w:rFonts w:cs="Times New Roman"/>
          <w:szCs w:val="24"/>
        </w:rPr>
        <w:t xml:space="preserve">s broad regulatory mandate.” </w:t>
      </w:r>
      <w:r w:rsidRPr="00A12596">
        <w:rPr>
          <w:rFonts w:cs="Times New Roman"/>
          <w:i/>
          <w:szCs w:val="24"/>
        </w:rPr>
        <w:t>Id.</w:t>
      </w:r>
    </w:p>
    <w:p w:rsidR="00871EBB" w:rsidRDefault="00C94EF5" w:rsidP="00D964F4">
      <w:pPr>
        <w:widowControl w:val="0"/>
        <w:rPr>
          <w:rFonts w:cs="Times New Roman"/>
          <w:szCs w:val="24"/>
        </w:rPr>
      </w:pPr>
      <w:r w:rsidRPr="00372880">
        <w:rPr>
          <w:rFonts w:cs="Times New Roman"/>
          <w:bCs/>
          <w:szCs w:val="24"/>
        </w:rPr>
        <w:tab/>
        <w:t xml:space="preserve">In general, </w:t>
      </w:r>
      <w:r>
        <w:rPr>
          <w:rFonts w:cs="Times New Roman"/>
          <w:szCs w:val="24"/>
        </w:rPr>
        <w:t>“</w:t>
      </w:r>
      <w:r w:rsidRPr="00372880">
        <w:rPr>
          <w:rFonts w:cs="Times New Roman"/>
          <w:szCs w:val="24"/>
        </w:rPr>
        <w:t xml:space="preserve">a properly promulgated regulation has the force of law, [citation omitted,] and </w:t>
      </w:r>
      <w:r w:rsidRPr="00C17200">
        <w:rPr>
          <w:rFonts w:cs="Times New Roman"/>
          <w:szCs w:val="24"/>
        </w:rPr>
        <w:t>must be accorded all the deference due to a statute.</w:t>
      </w:r>
      <w:r>
        <w:rPr>
          <w:rFonts w:cs="Times New Roman"/>
          <w:szCs w:val="24"/>
        </w:rPr>
        <w:t>”</w:t>
      </w:r>
      <w:r w:rsidRPr="00C17200">
        <w:rPr>
          <w:rFonts w:cs="Times New Roman"/>
          <w:szCs w:val="24"/>
        </w:rPr>
        <w:t xml:space="preserve"> </w:t>
      </w:r>
      <w:r w:rsidRPr="00C17200">
        <w:rPr>
          <w:rFonts w:cs="Times New Roman"/>
          <w:bCs/>
          <w:i/>
          <w:szCs w:val="24"/>
        </w:rPr>
        <w:t>Borden, Inc. v. Commissioner of Public Health</w:t>
      </w:r>
      <w:r w:rsidRPr="00C17200">
        <w:rPr>
          <w:rFonts w:cs="Times New Roman"/>
          <w:bCs/>
          <w:szCs w:val="24"/>
        </w:rPr>
        <w:t>, 388 Mass. 707, 723 (1983)</w:t>
      </w:r>
      <w:r w:rsidRPr="00C17200">
        <w:rPr>
          <w:rFonts w:cs="Times New Roman"/>
          <w:szCs w:val="24"/>
        </w:rPr>
        <w:t>(citation omitted)</w:t>
      </w:r>
      <w:r>
        <w:rPr>
          <w:rFonts w:cs="Times New Roman"/>
          <w:szCs w:val="24"/>
        </w:rPr>
        <w:t xml:space="preserve">, </w:t>
      </w:r>
      <w:r>
        <w:rPr>
          <w:rFonts w:cs="Times New Roman"/>
          <w:i/>
          <w:szCs w:val="24"/>
        </w:rPr>
        <w:t>cert. denied</w:t>
      </w:r>
      <w:r>
        <w:rPr>
          <w:rFonts w:cs="Times New Roman"/>
          <w:szCs w:val="24"/>
        </w:rPr>
        <w:t>,</w:t>
      </w:r>
      <w:r w:rsidRPr="007B2279">
        <w:t xml:space="preserve"> </w:t>
      </w:r>
      <w:r w:rsidRPr="007B2279">
        <w:rPr>
          <w:rFonts w:eastAsia="Times New Roman" w:cs="Times New Roman"/>
          <w:szCs w:val="24"/>
        </w:rPr>
        <w:t>464 U.S. 936</w:t>
      </w:r>
      <w:r>
        <w:rPr>
          <w:rFonts w:eastAsia="Times New Roman" w:cs="Times New Roman"/>
          <w:szCs w:val="24"/>
        </w:rPr>
        <w:t xml:space="preserve"> </w:t>
      </w:r>
      <w:r w:rsidRPr="007B2279">
        <w:rPr>
          <w:rFonts w:eastAsia="Times New Roman" w:cs="Times New Roman"/>
          <w:szCs w:val="24"/>
        </w:rPr>
        <w:t>(1983)</w:t>
      </w:r>
      <w:r w:rsidRPr="00C17200">
        <w:rPr>
          <w:rFonts w:cs="Times New Roman"/>
          <w:szCs w:val="24"/>
        </w:rPr>
        <w:t xml:space="preserve">. </w:t>
      </w:r>
    </w:p>
    <w:p w:rsidR="00463E92" w:rsidRDefault="00871EBB" w:rsidP="00D964F4">
      <w:pPr>
        <w:widowControl w:val="0"/>
        <w:rPr>
          <w:rFonts w:cs="Times New Roman"/>
          <w:szCs w:val="24"/>
        </w:rPr>
      </w:pPr>
      <w:r>
        <w:rPr>
          <w:rFonts w:cs="Times New Roman"/>
          <w:szCs w:val="24"/>
        </w:rPr>
        <w:tab/>
      </w:r>
      <w:r w:rsidR="00463E92">
        <w:rPr>
          <w:rFonts w:cs="Times New Roman"/>
          <w:szCs w:val="24"/>
        </w:rPr>
        <w:t xml:space="preserve">BRM does not challenge DPH’s authority to issue </w:t>
      </w:r>
      <w:r w:rsidR="00714353" w:rsidRPr="00B73038">
        <w:rPr>
          <w:rFonts w:cs="Times New Roman"/>
          <w:szCs w:val="24"/>
        </w:rPr>
        <w:t>105 CMR 725.650(C)</w:t>
      </w:r>
      <w:r w:rsidR="00463E92">
        <w:rPr>
          <w:rFonts w:cs="Times New Roman"/>
          <w:szCs w:val="24"/>
        </w:rPr>
        <w:t xml:space="preserve">. (BRM br. </w:t>
      </w:r>
      <w:r w:rsidR="00D964F4">
        <w:rPr>
          <w:rFonts w:cs="Times New Roman"/>
          <w:szCs w:val="24"/>
        </w:rPr>
        <w:t xml:space="preserve">11.) BRM </w:t>
      </w:r>
      <w:r w:rsidR="00D964F4" w:rsidRPr="00714353">
        <w:rPr>
          <w:rFonts w:cs="Times New Roman"/>
          <w:i/>
          <w:szCs w:val="24"/>
        </w:rPr>
        <w:t xml:space="preserve">does </w:t>
      </w:r>
      <w:r w:rsidR="00D964F4">
        <w:rPr>
          <w:rFonts w:cs="Times New Roman"/>
          <w:szCs w:val="24"/>
        </w:rPr>
        <w:t>challenge the Bo</w:t>
      </w:r>
      <w:r w:rsidR="008D5DC5">
        <w:rPr>
          <w:rFonts w:cs="Times New Roman"/>
          <w:szCs w:val="24"/>
        </w:rPr>
        <w:t xml:space="preserve">ard of Registration in Nursing’s authority to issue </w:t>
      </w:r>
      <w:r w:rsidR="008D5DC5" w:rsidRPr="00B73038">
        <w:rPr>
          <w:rFonts w:cs="Times New Roman"/>
          <w:szCs w:val="24"/>
        </w:rPr>
        <w:t>244 CMR 4.06(3)(d)</w:t>
      </w:r>
      <w:r w:rsidR="008D5DC5">
        <w:rPr>
          <w:rFonts w:cs="Times New Roman"/>
          <w:szCs w:val="24"/>
        </w:rPr>
        <w:t xml:space="preserve"> </w:t>
      </w:r>
      <w:r w:rsidR="00D964F4">
        <w:rPr>
          <w:rFonts w:cs="Times New Roman"/>
          <w:szCs w:val="24"/>
        </w:rPr>
        <w:t xml:space="preserve">– </w:t>
      </w:r>
      <w:r w:rsidR="00D964F4" w:rsidRPr="00D964F4">
        <w:rPr>
          <w:rFonts w:cs="Times New Roman"/>
          <w:i/>
          <w:szCs w:val="24"/>
        </w:rPr>
        <w:t>which is equally valid</w:t>
      </w:r>
      <w:r w:rsidR="00D964F4">
        <w:rPr>
          <w:rFonts w:cs="Times New Roman"/>
          <w:szCs w:val="24"/>
        </w:rPr>
        <w:t xml:space="preserve">. Both regulations are grounded in </w:t>
      </w:r>
      <w:r w:rsidR="004A3C96" w:rsidRPr="00B73038">
        <w:rPr>
          <w:rFonts w:cs="Times New Roman"/>
          <w:szCs w:val="24"/>
          <w:lang w:val="en"/>
        </w:rPr>
        <w:t>G.L. c. 112, § 80</w:t>
      </w:r>
      <w:r w:rsidR="00194F39">
        <w:rPr>
          <w:rFonts w:cs="Times New Roman"/>
          <w:szCs w:val="24"/>
          <w:lang w:val="en"/>
        </w:rPr>
        <w:t>. B</w:t>
      </w:r>
      <w:r w:rsidR="004A3C96">
        <w:rPr>
          <w:rFonts w:cs="Times New Roman"/>
          <w:szCs w:val="24"/>
          <w:lang w:val="en"/>
        </w:rPr>
        <w:t xml:space="preserve">oth regulations </w:t>
      </w:r>
      <w:r w:rsidR="00194F39">
        <w:rPr>
          <w:rFonts w:cs="Times New Roman"/>
          <w:szCs w:val="24"/>
          <w:lang w:val="en"/>
        </w:rPr>
        <w:t xml:space="preserve">did not </w:t>
      </w:r>
      <w:r w:rsidR="004A3C96">
        <w:rPr>
          <w:rFonts w:cs="Times New Roman"/>
          <w:szCs w:val="24"/>
          <w:lang w:val="en"/>
        </w:rPr>
        <w:t xml:space="preserve">need </w:t>
      </w:r>
      <w:r w:rsidR="00194F39">
        <w:rPr>
          <w:rFonts w:cs="Times New Roman"/>
          <w:szCs w:val="24"/>
          <w:lang w:val="en"/>
        </w:rPr>
        <w:t xml:space="preserve">to </w:t>
      </w:r>
      <w:r w:rsidR="004A3C96">
        <w:rPr>
          <w:rFonts w:cs="Times New Roman"/>
          <w:szCs w:val="24"/>
          <w:lang w:val="en"/>
        </w:rPr>
        <w:t>be explicitly grounded in the medical mar</w:t>
      </w:r>
      <w:r w:rsidR="00194F39">
        <w:rPr>
          <w:rFonts w:cs="Times New Roman"/>
          <w:szCs w:val="24"/>
          <w:lang w:val="en"/>
        </w:rPr>
        <w:t>ijuana statute to be valid. Both regulations were promulgated properly (or at least BRM has not alleged otherwise). And both regulations have the force of law.</w:t>
      </w:r>
    </w:p>
    <w:p w:rsidR="00C94EF5" w:rsidRDefault="00C94EF5" w:rsidP="00C94EF5">
      <w:pPr>
        <w:widowControl w:val="0"/>
        <w:rPr>
          <w:rFonts w:eastAsia="Times New Roman" w:cs="Times New Roman"/>
          <w:szCs w:val="24"/>
        </w:rPr>
      </w:pPr>
      <w:r w:rsidRPr="00F17C5B">
        <w:rPr>
          <w:rFonts w:cs="Times New Roman"/>
          <w:szCs w:val="24"/>
        </w:rPr>
        <w:tab/>
        <w:t xml:space="preserve">Another related way to view </w:t>
      </w:r>
      <w:r w:rsidR="00714353">
        <w:rPr>
          <w:rFonts w:cs="Times New Roman"/>
          <w:szCs w:val="24"/>
        </w:rPr>
        <w:t>both</w:t>
      </w:r>
      <w:r w:rsidRPr="00F17C5B">
        <w:rPr>
          <w:rFonts w:cs="Times New Roman"/>
          <w:szCs w:val="24"/>
        </w:rPr>
        <w:t xml:space="preserve"> regulations as proper is that they are </w:t>
      </w:r>
      <w:r>
        <w:rPr>
          <w:rFonts w:cs="Times New Roman"/>
          <w:szCs w:val="24"/>
        </w:rPr>
        <w:t>“</w:t>
      </w:r>
      <w:r w:rsidRPr="00F17C5B">
        <w:rPr>
          <w:rFonts w:cs="Times New Roman"/>
          <w:color w:val="222222"/>
          <w:szCs w:val="24"/>
        </w:rPr>
        <w:t xml:space="preserve">rationally related </w:t>
      </w:r>
      <w:r w:rsidRPr="00F17C5B">
        <w:rPr>
          <w:rFonts w:cs="Times New Roman"/>
          <w:color w:val="222222"/>
          <w:szCs w:val="24"/>
        </w:rPr>
        <w:lastRenderedPageBreak/>
        <w:t>to…statutory goals.</w:t>
      </w:r>
      <w:r>
        <w:rPr>
          <w:rFonts w:cs="Times New Roman"/>
          <w:color w:val="222222"/>
          <w:szCs w:val="24"/>
        </w:rPr>
        <w:t>”</w:t>
      </w:r>
      <w:r w:rsidRPr="00F17C5B">
        <w:rPr>
          <w:rFonts w:cs="Times New Roman"/>
          <w:color w:val="222222"/>
          <w:szCs w:val="24"/>
        </w:rPr>
        <w:t xml:space="preserve"> </w:t>
      </w:r>
      <w:r w:rsidRPr="00F17C5B">
        <w:rPr>
          <w:rFonts w:cs="Times New Roman"/>
          <w:bCs/>
          <w:i/>
          <w:color w:val="222222"/>
          <w:szCs w:val="24"/>
        </w:rPr>
        <w:t>American Family Life Assurance Co. v. Commissioner of Insurance</w:t>
      </w:r>
      <w:r w:rsidRPr="00F17C5B">
        <w:rPr>
          <w:rFonts w:cs="Times New Roman"/>
          <w:bCs/>
          <w:color w:val="222222"/>
          <w:szCs w:val="24"/>
        </w:rPr>
        <w:t>, 38</w:t>
      </w:r>
      <w:r>
        <w:rPr>
          <w:rFonts w:cs="Times New Roman"/>
          <w:bCs/>
          <w:color w:val="222222"/>
          <w:szCs w:val="24"/>
        </w:rPr>
        <w:t xml:space="preserve">8 Mass. 468, 477 (twice) (1983), </w:t>
      </w:r>
      <w:r>
        <w:rPr>
          <w:rFonts w:cs="Times New Roman"/>
          <w:bCs/>
          <w:i/>
          <w:color w:val="222222"/>
          <w:szCs w:val="24"/>
        </w:rPr>
        <w:t>cert. denied</w:t>
      </w:r>
      <w:r>
        <w:rPr>
          <w:rFonts w:cs="Times New Roman"/>
          <w:bCs/>
          <w:color w:val="222222"/>
          <w:szCs w:val="24"/>
        </w:rPr>
        <w:t xml:space="preserve">, </w:t>
      </w:r>
      <w:r w:rsidRPr="007B2279">
        <w:rPr>
          <w:rFonts w:eastAsia="Times New Roman" w:cs="Times New Roman"/>
          <w:szCs w:val="24"/>
        </w:rPr>
        <w:t>464 U.S. 850 (1983)</w:t>
      </w:r>
      <w:r>
        <w:rPr>
          <w:rFonts w:eastAsia="Times New Roman" w:cs="Times New Roman"/>
          <w:szCs w:val="24"/>
        </w:rPr>
        <w:t>.</w:t>
      </w:r>
    </w:p>
    <w:p w:rsidR="00F0462C" w:rsidRPr="00C03047" w:rsidRDefault="009324DF" w:rsidP="00F0462C">
      <w:pPr>
        <w:widowControl w:val="0"/>
        <w:rPr>
          <w:rFonts w:cs="Times New Roman"/>
          <w:bCs/>
          <w:szCs w:val="24"/>
        </w:rPr>
      </w:pPr>
      <w:r>
        <w:rPr>
          <w:rFonts w:eastAsia="Times New Roman" w:cs="Times New Roman"/>
          <w:szCs w:val="24"/>
        </w:rPr>
        <w:tab/>
        <w:t xml:space="preserve">The </w:t>
      </w:r>
      <w:r w:rsidR="00D0713F" w:rsidRPr="00B73038">
        <w:rPr>
          <w:szCs w:val="24"/>
        </w:rPr>
        <w:t xml:space="preserve">Virtual Gateway Terms and Conditions (Ex. 2, </w:t>
      </w:r>
      <w:r w:rsidR="00D0713F" w:rsidRPr="00B73038">
        <w:rPr>
          <w:rFonts w:cs="Times New Roman"/>
          <w:szCs w:val="24"/>
        </w:rPr>
        <w:t>¶</w:t>
      </w:r>
      <w:r w:rsidR="00D0713F" w:rsidRPr="00B73038">
        <w:rPr>
          <w:szCs w:val="24"/>
        </w:rPr>
        <w:t xml:space="preserve"> 5 to Ex. J (Jaynes Affidavit)</w:t>
      </w:r>
      <w:r w:rsidR="00D0713F">
        <w:rPr>
          <w:szCs w:val="24"/>
        </w:rPr>
        <w:t xml:space="preserve"> are comparable to administrative guidelines. </w:t>
      </w:r>
      <w:r w:rsidR="00852589">
        <w:rPr>
          <w:szCs w:val="24"/>
        </w:rPr>
        <w:t xml:space="preserve">Administrative guidelines enunciate the requirements of a person’s participation in a program; the terms and conditions enunciate the requirements of a person’s participation </w:t>
      </w:r>
      <w:r w:rsidR="0064487D">
        <w:rPr>
          <w:szCs w:val="24"/>
        </w:rPr>
        <w:t>in the MMJ Online System.</w:t>
      </w:r>
      <w:r w:rsidR="003B6A06">
        <w:rPr>
          <w:rFonts w:cs="Times New Roman"/>
          <w:szCs w:val="24"/>
        </w:rPr>
        <w:t xml:space="preserve"> </w:t>
      </w:r>
      <w:r w:rsidR="00656F82">
        <w:rPr>
          <w:rFonts w:cs="Times New Roman"/>
          <w:szCs w:val="24"/>
        </w:rPr>
        <w:t>A</w:t>
      </w:r>
      <w:r w:rsidR="001E3320">
        <w:rPr>
          <w:rFonts w:cs="Times New Roman"/>
          <w:szCs w:val="24"/>
        </w:rPr>
        <w:t>lthough a</w:t>
      </w:r>
      <w:r w:rsidR="00656F82">
        <w:rPr>
          <w:rFonts w:cs="Times New Roman"/>
          <w:szCs w:val="24"/>
        </w:rPr>
        <w:t xml:space="preserve">n administrative guideline does </w:t>
      </w:r>
      <w:r w:rsidR="003B6A06">
        <w:rPr>
          <w:rFonts w:cs="Times New Roman"/>
          <w:szCs w:val="24"/>
        </w:rPr>
        <w:t xml:space="preserve"> </w:t>
      </w:r>
    </w:p>
    <w:p w:rsidR="00FC15F6" w:rsidRDefault="00FC15F6" w:rsidP="00FC15F6">
      <w:pPr>
        <w:widowControl w:val="0"/>
        <w:rPr>
          <w:rFonts w:cs="Times New Roman"/>
          <w:bCs/>
          <w:szCs w:val="24"/>
        </w:rPr>
      </w:pPr>
      <w:r w:rsidRPr="00C03047">
        <w:rPr>
          <w:rFonts w:cs="Times New Roman"/>
          <w:bCs/>
          <w:szCs w:val="24"/>
        </w:rPr>
        <w:t>does “</w:t>
      </w:r>
      <w:r w:rsidRPr="00C03047">
        <w:rPr>
          <w:rFonts w:cs="Times New Roman"/>
          <w:szCs w:val="24"/>
        </w:rPr>
        <w:t>not carry the force of law</w:t>
      </w:r>
      <w:r w:rsidR="00F0462C">
        <w:rPr>
          <w:rFonts w:cs="Times New Roman"/>
          <w:szCs w:val="24"/>
        </w:rPr>
        <w:t>,</w:t>
      </w:r>
      <w:r w:rsidRPr="00C03047">
        <w:rPr>
          <w:rFonts w:cs="Times New Roman"/>
          <w:szCs w:val="24"/>
        </w:rPr>
        <w:t>”</w:t>
      </w:r>
      <w:r w:rsidR="00F0462C" w:rsidRPr="00F0462C">
        <w:rPr>
          <w:rFonts w:cs="Times New Roman"/>
          <w:bCs/>
          <w:i/>
          <w:szCs w:val="24"/>
        </w:rPr>
        <w:t xml:space="preserve"> </w:t>
      </w:r>
      <w:r w:rsidR="00F0462C" w:rsidRPr="004E3802">
        <w:rPr>
          <w:rFonts w:cs="Times New Roman"/>
          <w:bCs/>
          <w:i/>
          <w:szCs w:val="24"/>
        </w:rPr>
        <w:t>Boston Retirement Board v. Contributory Retirement Appeal Board</w:t>
      </w:r>
      <w:r w:rsidR="00F0462C">
        <w:rPr>
          <w:rFonts w:cs="Times New Roman"/>
          <w:bCs/>
          <w:szCs w:val="24"/>
        </w:rPr>
        <w:t>, 441 Mass. 78, 80, 82</w:t>
      </w:r>
      <w:r w:rsidR="00F0462C" w:rsidRPr="004E3802">
        <w:rPr>
          <w:rFonts w:cs="Times New Roman"/>
          <w:bCs/>
          <w:szCs w:val="24"/>
        </w:rPr>
        <w:t xml:space="preserve"> (2004)</w:t>
      </w:r>
      <w:r w:rsidR="00F0462C">
        <w:rPr>
          <w:rFonts w:cs="Times New Roman"/>
          <w:bCs/>
          <w:szCs w:val="24"/>
        </w:rPr>
        <w:t>,</w:t>
      </w:r>
      <w:r w:rsidRPr="00C03047">
        <w:rPr>
          <w:rFonts w:cs="Times New Roman"/>
          <w:szCs w:val="24"/>
        </w:rPr>
        <w:t xml:space="preserve"> </w:t>
      </w:r>
      <w:r w:rsidR="001E3320">
        <w:rPr>
          <w:rFonts w:cs="Times New Roman"/>
          <w:szCs w:val="24"/>
        </w:rPr>
        <w:t xml:space="preserve">it </w:t>
      </w:r>
      <w:r w:rsidRPr="00C03047">
        <w:rPr>
          <w:rFonts w:cs="Times New Roman"/>
          <w:szCs w:val="24"/>
        </w:rPr>
        <w:t xml:space="preserve">is still “entitled to substantial deference.” </w:t>
      </w:r>
      <w:r w:rsidRPr="00C03047">
        <w:rPr>
          <w:rFonts w:cs="Times New Roman"/>
          <w:bCs/>
          <w:i/>
          <w:szCs w:val="24"/>
        </w:rPr>
        <w:t>Global NAPs, Inc. v. Awiszus</w:t>
      </w:r>
      <w:r w:rsidRPr="00C03047">
        <w:rPr>
          <w:rFonts w:cs="Times New Roman"/>
          <w:bCs/>
          <w:szCs w:val="24"/>
        </w:rPr>
        <w:t>, 457 Mass. 489, 497 (2010).</w:t>
      </w:r>
    </w:p>
    <w:p w:rsidR="00983161" w:rsidRDefault="003D6383" w:rsidP="005B3DDE">
      <w:pPr>
        <w:widowControl w:val="0"/>
        <w:rPr>
          <w:rFonts w:cs="Times New Roman"/>
          <w:szCs w:val="24"/>
        </w:rPr>
      </w:pPr>
      <w:r>
        <w:rPr>
          <w:rFonts w:cs="Times New Roman"/>
          <w:szCs w:val="24"/>
        </w:rPr>
        <w:tab/>
        <w:t xml:space="preserve">BRM is trying to </w:t>
      </w:r>
      <w:r w:rsidR="00983161">
        <w:rPr>
          <w:rFonts w:cs="Times New Roman"/>
          <w:szCs w:val="24"/>
        </w:rPr>
        <w:t>suspend Dr. Nadolny for violating</w:t>
      </w:r>
      <w:r>
        <w:rPr>
          <w:rFonts w:cs="Times New Roman"/>
          <w:szCs w:val="24"/>
        </w:rPr>
        <w:t xml:space="preserve"> the </w:t>
      </w:r>
      <w:r w:rsidRPr="00B73038">
        <w:rPr>
          <w:szCs w:val="24"/>
        </w:rPr>
        <w:t>Virtual Gateway Terms and Conditions</w:t>
      </w:r>
      <w:r w:rsidR="00B3761A">
        <w:rPr>
          <w:szCs w:val="24"/>
        </w:rPr>
        <w:t xml:space="preserve">, which </w:t>
      </w:r>
      <w:r w:rsidR="00E21BCA" w:rsidRPr="007E65B9">
        <w:rPr>
          <w:rFonts w:cs="Times New Roman"/>
          <w:bCs/>
          <w:i/>
          <w:szCs w:val="24"/>
        </w:rPr>
        <w:t>do</w:t>
      </w:r>
      <w:r w:rsidR="00B3761A" w:rsidRPr="007E65B9">
        <w:rPr>
          <w:rFonts w:cs="Times New Roman"/>
          <w:bCs/>
          <w:i/>
          <w:szCs w:val="24"/>
        </w:rPr>
        <w:t xml:space="preserve"> </w:t>
      </w:r>
      <w:r w:rsidR="00B3761A" w:rsidRPr="007E65B9">
        <w:rPr>
          <w:rFonts w:cs="Times New Roman"/>
          <w:i/>
          <w:szCs w:val="24"/>
        </w:rPr>
        <w:t>not</w:t>
      </w:r>
      <w:r w:rsidR="00B3761A" w:rsidRPr="00C03047">
        <w:rPr>
          <w:rFonts w:cs="Times New Roman"/>
          <w:szCs w:val="24"/>
        </w:rPr>
        <w:t xml:space="preserve"> carry the force of law</w:t>
      </w:r>
      <w:r w:rsidR="00B3761A">
        <w:rPr>
          <w:rFonts w:cs="Times New Roman"/>
          <w:szCs w:val="24"/>
        </w:rPr>
        <w:t xml:space="preserve">, while challenging </w:t>
      </w:r>
      <w:r w:rsidR="00E21BCA">
        <w:rPr>
          <w:rFonts w:cs="Times New Roman"/>
          <w:szCs w:val="24"/>
        </w:rPr>
        <w:t xml:space="preserve">the validity of </w:t>
      </w:r>
      <w:r w:rsidR="00E21BCA" w:rsidRPr="00B73038">
        <w:rPr>
          <w:rFonts w:cs="Times New Roman"/>
          <w:szCs w:val="24"/>
        </w:rPr>
        <w:t>244 CMR 4.06(3)(d)</w:t>
      </w:r>
      <w:r w:rsidR="00E21BCA">
        <w:rPr>
          <w:rFonts w:cs="Times New Roman"/>
          <w:szCs w:val="24"/>
        </w:rPr>
        <w:t xml:space="preserve">, which </w:t>
      </w:r>
      <w:r w:rsidR="00E21BCA" w:rsidRPr="007E65B9">
        <w:rPr>
          <w:rFonts w:cs="Times New Roman"/>
          <w:i/>
          <w:szCs w:val="24"/>
        </w:rPr>
        <w:t>does</w:t>
      </w:r>
      <w:r w:rsidR="00E21BCA">
        <w:rPr>
          <w:rFonts w:cs="Times New Roman"/>
          <w:szCs w:val="24"/>
        </w:rPr>
        <w:t xml:space="preserve"> carry the force of law. It is trying to enforce the terms and conditions, which </w:t>
      </w:r>
      <w:r w:rsidR="009F5780">
        <w:rPr>
          <w:rFonts w:cs="Times New Roman"/>
          <w:szCs w:val="24"/>
        </w:rPr>
        <w:t xml:space="preserve">neither the medical marijuana statute </w:t>
      </w:r>
      <w:r w:rsidR="007E65B9">
        <w:rPr>
          <w:rFonts w:cs="Times New Roman"/>
          <w:szCs w:val="24"/>
        </w:rPr>
        <w:t>n</w:t>
      </w:r>
      <w:r w:rsidR="009F5780">
        <w:rPr>
          <w:rFonts w:cs="Times New Roman"/>
          <w:szCs w:val="24"/>
        </w:rPr>
        <w:t xml:space="preserve">or regulations mention, while challenging </w:t>
      </w:r>
      <w:r w:rsidR="009F5780" w:rsidRPr="00B73038">
        <w:rPr>
          <w:rFonts w:cs="Times New Roman"/>
          <w:szCs w:val="24"/>
        </w:rPr>
        <w:t>244 CMR 4.06(3)(d)</w:t>
      </w:r>
      <w:r w:rsidR="009F5780">
        <w:rPr>
          <w:rFonts w:cs="Times New Roman"/>
          <w:szCs w:val="24"/>
        </w:rPr>
        <w:t>, specifically because the medical marijuana statute does not mention nurse practitioners.</w:t>
      </w:r>
      <w:r w:rsidR="00F05969">
        <w:rPr>
          <w:rFonts w:cs="Times New Roman"/>
          <w:szCs w:val="24"/>
        </w:rPr>
        <w:t xml:space="preserve"> BRM did not explain</w:t>
      </w:r>
      <w:r w:rsidR="00983161">
        <w:rPr>
          <w:rFonts w:cs="Times New Roman"/>
          <w:szCs w:val="24"/>
        </w:rPr>
        <w:t xml:space="preserve"> these apparent inconsistent positions.</w:t>
      </w:r>
    </w:p>
    <w:p w:rsidR="00E13DD5" w:rsidRPr="00A515A5" w:rsidRDefault="00A515A5" w:rsidP="005B3DDE">
      <w:pPr>
        <w:widowControl w:val="0"/>
        <w:rPr>
          <w:rFonts w:cs="Times New Roman"/>
          <w:szCs w:val="24"/>
          <w:u w:val="single"/>
        </w:rPr>
      </w:pPr>
      <w:r>
        <w:rPr>
          <w:rFonts w:cs="Times New Roman"/>
          <w:szCs w:val="24"/>
        </w:rPr>
        <w:tab/>
      </w:r>
      <w:r w:rsidR="0029611C">
        <w:rPr>
          <w:rFonts w:cs="Times New Roman"/>
          <w:szCs w:val="24"/>
          <w:u w:val="single"/>
        </w:rPr>
        <w:t>Dr. Nadolny</w:t>
      </w:r>
    </w:p>
    <w:p w:rsidR="005B3DDE" w:rsidRPr="00B73038" w:rsidRDefault="00003CFF" w:rsidP="005B3DDE">
      <w:pPr>
        <w:widowControl w:val="0"/>
        <w:rPr>
          <w:rFonts w:cs="Times New Roman"/>
          <w:szCs w:val="24"/>
        </w:rPr>
      </w:pPr>
      <w:r w:rsidRPr="00B73038">
        <w:rPr>
          <w:rFonts w:cs="Times New Roman"/>
          <w:szCs w:val="24"/>
        </w:rPr>
        <w:tab/>
        <w:t xml:space="preserve">The issue before me now is whether </w:t>
      </w:r>
      <w:r w:rsidR="005B3DDE" w:rsidRPr="00B73038">
        <w:rPr>
          <w:rFonts w:cs="Times New Roman"/>
          <w:szCs w:val="24"/>
        </w:rPr>
        <w:t>Dr. Nadolny</w:t>
      </w:r>
      <w:r w:rsidRPr="00B73038">
        <w:rPr>
          <w:rFonts w:cs="Times New Roman"/>
          <w:szCs w:val="24"/>
        </w:rPr>
        <w:t xml:space="preserve"> “is an immediate and serious threat to the public health, safety, or welfare.” 243 CMR 1.03(11)(a). </w:t>
      </w:r>
      <w:r w:rsidRPr="00B73038">
        <w:rPr>
          <w:rFonts w:cs="Times New Roman"/>
          <w:i/>
          <w:szCs w:val="24"/>
        </w:rPr>
        <w:t xml:space="preserve">See </w:t>
      </w:r>
      <w:r w:rsidRPr="00B73038">
        <w:rPr>
          <w:rFonts w:cs="Times New Roman"/>
          <w:szCs w:val="24"/>
        </w:rPr>
        <w:t>Ex. A.</w:t>
      </w:r>
      <w:r w:rsidR="005B3DDE" w:rsidRPr="00B73038">
        <w:rPr>
          <w:rFonts w:cs="Times New Roman"/>
          <w:szCs w:val="24"/>
        </w:rPr>
        <w:t xml:space="preserve"> (The issue before me now is not whether Dr. Nadolny may be disciplined under the Statement of Allegations.) </w:t>
      </w:r>
      <w:r w:rsidRPr="00B73038">
        <w:rPr>
          <w:rFonts w:cs="Times New Roman"/>
          <w:szCs w:val="24"/>
        </w:rPr>
        <w:t>More specifically, the issue is whether Dr. Nadolny</w:t>
      </w:r>
      <w:r w:rsidR="00334891">
        <w:rPr>
          <w:rFonts w:cs="Times New Roman"/>
          <w:szCs w:val="24"/>
        </w:rPr>
        <w:t xml:space="preserve"> </w:t>
      </w:r>
      <w:r w:rsidR="00334891" w:rsidRPr="00B73038">
        <w:rPr>
          <w:rFonts w:cs="Times New Roman"/>
          <w:szCs w:val="24"/>
        </w:rPr>
        <w:t>is an immediate and serious threat to the pu</w:t>
      </w:r>
      <w:r w:rsidR="00334891">
        <w:rPr>
          <w:rFonts w:cs="Times New Roman"/>
          <w:szCs w:val="24"/>
        </w:rPr>
        <w:t>blic health, safety, or welfare because he (1) allowed</w:t>
      </w:r>
      <w:r w:rsidR="00334891" w:rsidRPr="00B73038">
        <w:rPr>
          <w:rFonts w:cs="Times New Roman"/>
          <w:szCs w:val="24"/>
        </w:rPr>
        <w:t xml:space="preserve"> nurse practitioners to use his MMJ Online System ID</w:t>
      </w:r>
      <w:r w:rsidR="00334891">
        <w:rPr>
          <w:rFonts w:cs="Times New Roman"/>
          <w:szCs w:val="24"/>
        </w:rPr>
        <w:t xml:space="preserve"> or (2) allegedly delegated to nurse practitioners his authority to issue marijuana certifications.</w:t>
      </w:r>
      <w:r w:rsidRPr="00B73038">
        <w:rPr>
          <w:rFonts w:cs="Times New Roman"/>
          <w:szCs w:val="24"/>
        </w:rPr>
        <w:t xml:space="preserve"> </w:t>
      </w:r>
    </w:p>
    <w:p w:rsidR="00003CFF" w:rsidRPr="001269DE" w:rsidRDefault="005B3DDE" w:rsidP="005B3DDE">
      <w:pPr>
        <w:widowControl w:val="0"/>
      </w:pPr>
      <w:r w:rsidRPr="00B73038">
        <w:rPr>
          <w:rFonts w:cs="Times New Roman"/>
          <w:szCs w:val="24"/>
        </w:rPr>
        <w:lastRenderedPageBreak/>
        <w:tab/>
        <w:t xml:space="preserve">It is unclear whether BRM seeks to temporarily suspend Dr. Nadolny because he issued one marijuana certification to Patient A or </w:t>
      </w:r>
      <w:r w:rsidR="008D4384" w:rsidRPr="00B73038">
        <w:rPr>
          <w:rFonts w:cs="Times New Roman"/>
          <w:szCs w:val="24"/>
        </w:rPr>
        <w:t>because</w:t>
      </w:r>
      <w:r w:rsidRPr="00B73038">
        <w:rPr>
          <w:rFonts w:cs="Times New Roman"/>
          <w:szCs w:val="24"/>
        </w:rPr>
        <w:t xml:space="preserve"> he issued marijuana certifications to thousands of patients, with Patient A as an example.</w:t>
      </w:r>
      <w:r w:rsidR="00003CFF" w:rsidRPr="00B73038">
        <w:rPr>
          <w:rFonts w:cs="Times New Roman"/>
          <w:szCs w:val="24"/>
        </w:rPr>
        <w:t xml:space="preserve"> </w:t>
      </w:r>
      <w:r w:rsidR="001269DE">
        <w:rPr>
          <w:rFonts w:cs="Times New Roman"/>
          <w:i/>
          <w:szCs w:val="24"/>
        </w:rPr>
        <w:t>See</w:t>
      </w:r>
      <w:r w:rsidR="001269DE">
        <w:t xml:space="preserve"> BRM br. </w:t>
      </w:r>
      <w:r w:rsidR="00B12F3A">
        <w:t xml:space="preserve">9, </w:t>
      </w:r>
      <w:r w:rsidR="001269DE">
        <w:t>10 (referring to</w:t>
      </w:r>
      <w:r w:rsidR="00B12F3A">
        <w:t xml:space="preserve"> “thousands of individuals” and</w:t>
      </w:r>
      <w:r w:rsidR="001269DE">
        <w:t xml:space="preserve"> “thousands of occasions”).</w:t>
      </w:r>
      <w:r w:rsidR="00822FB0">
        <w:t xml:space="preserve"> </w:t>
      </w:r>
    </w:p>
    <w:p w:rsidR="00AD7CF1" w:rsidRDefault="00003CFF" w:rsidP="00003CFF">
      <w:pPr>
        <w:widowControl w:val="0"/>
        <w:rPr>
          <w:rFonts w:cs="Times New Roman"/>
          <w:szCs w:val="24"/>
        </w:rPr>
      </w:pPr>
      <w:r w:rsidRPr="00B73038">
        <w:rPr>
          <w:rFonts w:cs="Times New Roman"/>
          <w:szCs w:val="24"/>
        </w:rPr>
        <w:tab/>
        <w:t>I</w:t>
      </w:r>
      <w:r w:rsidR="005B3DDE" w:rsidRPr="00B73038">
        <w:rPr>
          <w:rFonts w:cs="Times New Roman"/>
          <w:szCs w:val="24"/>
        </w:rPr>
        <w:t xml:space="preserve">n either </w:t>
      </w:r>
      <w:r w:rsidR="00983161">
        <w:rPr>
          <w:rFonts w:cs="Times New Roman"/>
          <w:szCs w:val="24"/>
        </w:rPr>
        <w:t>event</w:t>
      </w:r>
      <w:r w:rsidR="005B3DDE" w:rsidRPr="00B73038">
        <w:rPr>
          <w:rFonts w:cs="Times New Roman"/>
          <w:szCs w:val="24"/>
        </w:rPr>
        <w:t>, I</w:t>
      </w:r>
      <w:r w:rsidRPr="00B73038">
        <w:rPr>
          <w:rFonts w:cs="Times New Roman"/>
          <w:szCs w:val="24"/>
        </w:rPr>
        <w:t xml:space="preserve"> conclude that he is not</w:t>
      </w:r>
      <w:r w:rsidR="008D4384" w:rsidRPr="00B73038">
        <w:rPr>
          <w:rFonts w:cs="Times New Roman"/>
          <w:szCs w:val="24"/>
        </w:rPr>
        <w:t xml:space="preserve"> an immediate and serious threat to the public health, safety, or welfare</w:t>
      </w:r>
      <w:r w:rsidRPr="00B73038">
        <w:rPr>
          <w:rFonts w:cs="Times New Roman"/>
          <w:szCs w:val="24"/>
        </w:rPr>
        <w:t>. Dr. Nadolny stopped the practice of nurse practitioners at Canna Care Docs issuing marijuana certifications in May 2016</w:t>
      </w:r>
      <w:r w:rsidR="005B3DDE" w:rsidRPr="00B73038">
        <w:rPr>
          <w:rFonts w:cs="Times New Roman"/>
          <w:szCs w:val="24"/>
        </w:rPr>
        <w:t xml:space="preserve">. </w:t>
      </w:r>
      <w:r w:rsidRPr="00B73038">
        <w:rPr>
          <w:rFonts w:cs="Times New Roman"/>
          <w:szCs w:val="24"/>
        </w:rPr>
        <w:t xml:space="preserve">Although Dr. Nadolny </w:t>
      </w:r>
      <w:r w:rsidR="00EF5F19" w:rsidRPr="00B73038">
        <w:rPr>
          <w:szCs w:val="24"/>
        </w:rPr>
        <w:t>did not comply with the Virtual Gateway Terms and Conditions, which state, “User’s assigned ID and password are non-transferable, and may not be shared with a</w:t>
      </w:r>
      <w:r w:rsidR="00EF5F19">
        <w:rPr>
          <w:szCs w:val="24"/>
        </w:rPr>
        <w:t>ny other employee or individual</w:t>
      </w:r>
      <w:r w:rsidR="00EF5F19" w:rsidRPr="00B73038">
        <w:rPr>
          <w:szCs w:val="24"/>
        </w:rPr>
        <w:t xml:space="preserve">” (Ex. 2, </w:t>
      </w:r>
      <w:r w:rsidR="00EF5F19" w:rsidRPr="00B73038">
        <w:rPr>
          <w:rFonts w:cs="Times New Roman"/>
          <w:szCs w:val="24"/>
        </w:rPr>
        <w:t>¶</w:t>
      </w:r>
      <w:r w:rsidR="00EF5F19">
        <w:rPr>
          <w:szCs w:val="24"/>
        </w:rPr>
        <w:t xml:space="preserve"> 5 to Ex. J (Jaynes Affidavit)</w:t>
      </w:r>
      <w:r w:rsidR="00EF5F19" w:rsidRPr="00B73038">
        <w:rPr>
          <w:szCs w:val="24"/>
        </w:rPr>
        <w:t>)</w:t>
      </w:r>
      <w:r w:rsidRPr="00B73038">
        <w:rPr>
          <w:rFonts w:cs="Times New Roman"/>
          <w:szCs w:val="24"/>
        </w:rPr>
        <w:t>, I note two things. One, DPH informed Canna Care Docs of this tech</w:t>
      </w:r>
      <w:r w:rsidR="001E3320">
        <w:rPr>
          <w:rFonts w:cs="Times New Roman"/>
          <w:szCs w:val="24"/>
        </w:rPr>
        <w:t xml:space="preserve">nological work-around. The BRM seeks </w:t>
      </w:r>
      <w:r w:rsidRPr="00B73038">
        <w:rPr>
          <w:rFonts w:cs="Times New Roman"/>
          <w:szCs w:val="24"/>
        </w:rPr>
        <w:t>to temporarily suspend Dr. Nadolny’s license because DPH advised his office to do what it did</w:t>
      </w:r>
      <w:r w:rsidR="00EF5F19">
        <w:rPr>
          <w:rFonts w:cs="Times New Roman"/>
          <w:szCs w:val="24"/>
        </w:rPr>
        <w:t>: not comply with DPH’s terms and conditions</w:t>
      </w:r>
      <w:r w:rsidRPr="00B73038">
        <w:rPr>
          <w:rFonts w:cs="Times New Roman"/>
          <w:szCs w:val="24"/>
        </w:rPr>
        <w:t xml:space="preserve">. </w:t>
      </w:r>
      <w:r w:rsidR="00AD7CF1">
        <w:rPr>
          <w:rFonts w:cs="Times New Roman"/>
          <w:szCs w:val="24"/>
        </w:rPr>
        <w:t>For Dr. Nadolny to have followed the advice of DPH, which administers the medical marijuana program, does not constitute bad judgment, as BRM twice seems to have alleged. (BRM br. at 9, 10.)</w:t>
      </w:r>
    </w:p>
    <w:p w:rsidR="005B3DDE" w:rsidRPr="00B73038" w:rsidRDefault="00003CFF" w:rsidP="00AD7CF1">
      <w:pPr>
        <w:widowControl w:val="0"/>
        <w:ind w:firstLine="720"/>
        <w:rPr>
          <w:rFonts w:cs="Times New Roman"/>
          <w:szCs w:val="24"/>
        </w:rPr>
      </w:pPr>
      <w:r w:rsidRPr="00B73038">
        <w:rPr>
          <w:rFonts w:cs="Times New Roman"/>
          <w:szCs w:val="24"/>
        </w:rPr>
        <w:t>And, two, there is no allegation that any of the marijuana certifications that nurse practitioners issued under Dr. Nadolny’s ID were faulty or illegal. The marijuana certifications that nurse practitioners issued under Dr. Nadolny’s ID were apparently appropriate and legal under 105 CMR 725.650(C) ;</w:t>
      </w:r>
      <w:r w:rsidRPr="00B73038">
        <w:rPr>
          <w:szCs w:val="24"/>
        </w:rPr>
        <w:t xml:space="preserve"> </w:t>
      </w:r>
      <w:r w:rsidRPr="00B73038">
        <w:rPr>
          <w:rFonts w:cs="Times New Roman"/>
          <w:szCs w:val="24"/>
          <w:lang w:val="en"/>
        </w:rPr>
        <w:t xml:space="preserve">G.L. c. 112, § 80I; and </w:t>
      </w:r>
      <w:r w:rsidRPr="00B73038">
        <w:rPr>
          <w:rFonts w:cs="Times New Roman"/>
          <w:szCs w:val="24"/>
        </w:rPr>
        <w:t xml:space="preserve">244 CMR 4.06(3)(d). </w:t>
      </w:r>
      <w:r w:rsidR="00653A74" w:rsidRPr="00B73038">
        <w:rPr>
          <w:rFonts w:cs="Times New Roman"/>
          <w:szCs w:val="24"/>
        </w:rPr>
        <w:t xml:space="preserve">There is no allegation to the contrary. </w:t>
      </w:r>
      <w:r w:rsidRPr="00B73038">
        <w:rPr>
          <w:rFonts w:cs="Times New Roman"/>
          <w:szCs w:val="24"/>
        </w:rPr>
        <w:t>Hence, there was no threat to the public health, safety, or welfare.</w:t>
      </w:r>
      <w:r w:rsidR="005B3DDE" w:rsidRPr="00B73038">
        <w:rPr>
          <w:rFonts w:cs="Times New Roman"/>
          <w:szCs w:val="24"/>
        </w:rPr>
        <w:t xml:space="preserve"> </w:t>
      </w:r>
    </w:p>
    <w:p w:rsidR="00003CFF" w:rsidRPr="00B73038" w:rsidRDefault="005B3DDE" w:rsidP="005B3DDE">
      <w:pPr>
        <w:widowControl w:val="0"/>
        <w:ind w:firstLine="720"/>
        <w:rPr>
          <w:rFonts w:cs="Times New Roman"/>
          <w:szCs w:val="24"/>
        </w:rPr>
      </w:pPr>
      <w:r w:rsidRPr="00B73038">
        <w:rPr>
          <w:rFonts w:cs="Times New Roman"/>
          <w:szCs w:val="24"/>
        </w:rPr>
        <w:t xml:space="preserve">It is not as if Dr. Nadolny let his MMJ Online System ID be used by strangers or by people who were not authorized to issue marijuana certifications. It is not as if Dr. Nadolny let his MMJ Online System ID be used by people who were authorized to issue marijuana </w:t>
      </w:r>
      <w:r w:rsidRPr="00B73038">
        <w:rPr>
          <w:rFonts w:cs="Times New Roman"/>
          <w:szCs w:val="24"/>
        </w:rPr>
        <w:lastRenderedPageBreak/>
        <w:t xml:space="preserve">certifications but who violated the </w:t>
      </w:r>
      <w:r w:rsidR="00E507B7">
        <w:rPr>
          <w:rFonts w:cs="Times New Roman"/>
          <w:szCs w:val="24"/>
        </w:rPr>
        <w:t>medical marijuana</w:t>
      </w:r>
      <w:r w:rsidRPr="00B73038">
        <w:rPr>
          <w:rFonts w:cs="Times New Roman"/>
          <w:szCs w:val="24"/>
        </w:rPr>
        <w:t xml:space="preserve"> regulations.</w:t>
      </w:r>
    </w:p>
    <w:p w:rsidR="00FE37B5" w:rsidRPr="00B73038" w:rsidRDefault="00334891" w:rsidP="00F44673">
      <w:pPr>
        <w:widowControl w:val="0"/>
        <w:ind w:firstLine="720"/>
        <w:rPr>
          <w:rFonts w:cs="Times New Roman"/>
          <w:szCs w:val="24"/>
        </w:rPr>
      </w:pPr>
      <w:r>
        <w:rPr>
          <w:szCs w:val="24"/>
        </w:rPr>
        <w:t xml:space="preserve">As for whether Dr. Nadolny delegated to nurse practitioners his authority to issue marijuana certifications, he did not. </w:t>
      </w:r>
      <w:r w:rsidR="00FE37B5" w:rsidRPr="00B73038">
        <w:rPr>
          <w:rFonts w:cs="Times New Roman"/>
          <w:szCs w:val="24"/>
        </w:rPr>
        <w:t>He had his caseload of patients; they had their own caseload</w:t>
      </w:r>
      <w:r w:rsidR="00C223D1">
        <w:rPr>
          <w:rFonts w:cs="Times New Roman"/>
          <w:szCs w:val="24"/>
        </w:rPr>
        <w:t>s</w:t>
      </w:r>
      <w:r w:rsidR="00FE37B5" w:rsidRPr="00B73038">
        <w:rPr>
          <w:rFonts w:cs="Times New Roman"/>
          <w:szCs w:val="24"/>
        </w:rPr>
        <w:t>. They sometimes conferred with them, but he did not veto their decisions. For better or worse, Dr. Nadolny supervised the nurse practitioners – but didn’t really supervise them. He monitored them and might have stepped in had he noticed something grossly untoward, but he did not delegate to them.</w:t>
      </w:r>
    </w:p>
    <w:p w:rsidR="00C01764" w:rsidRDefault="00C01764" w:rsidP="008D4384">
      <w:pPr>
        <w:widowControl w:val="0"/>
        <w:ind w:firstLine="720"/>
        <w:rPr>
          <w:rFonts w:cs="Times New Roman"/>
          <w:szCs w:val="24"/>
        </w:rPr>
      </w:pPr>
      <w:r>
        <w:rPr>
          <w:rFonts w:cs="Times New Roman"/>
          <w:szCs w:val="24"/>
        </w:rPr>
        <w:t>BRM does not allege that Dr. Nadolny, by working in the same office as the nurse practitioners and by conducting chart reviews after they had issue</w:t>
      </w:r>
      <w:r w:rsidR="007E65B9">
        <w:rPr>
          <w:rFonts w:cs="Times New Roman"/>
          <w:szCs w:val="24"/>
        </w:rPr>
        <w:t>d</w:t>
      </w:r>
      <w:r>
        <w:rPr>
          <w:rFonts w:cs="Times New Roman"/>
          <w:szCs w:val="24"/>
        </w:rPr>
        <w:t xml:space="preserve"> certifications, delegated his authority to issue certifications to them. When nurse practitioners in Canna Care Docs were issuing paper certifications, the patients were those of the nurse practitioners, who were authorized to issue paper certifications under valid regulations. Dr. Nadolny did not delegate his authority to them. When nurse practitioners tried to use the MMJ Online System, the patients were still those of the nurse practitioners, who were still authorized to issue certifications under valid regulations. Had the MMJ Online System allowed nurse practitioners to do technologically what the regulations allowed them to do</w:t>
      </w:r>
      <w:r w:rsidR="00C223D1">
        <w:rPr>
          <w:rFonts w:cs="Times New Roman"/>
          <w:szCs w:val="24"/>
        </w:rPr>
        <w:t xml:space="preserve"> legally</w:t>
      </w:r>
      <w:r>
        <w:rPr>
          <w:rFonts w:cs="Times New Roman"/>
          <w:szCs w:val="24"/>
        </w:rPr>
        <w:t>, issue certifications, the BRM probably would not have moved to suspend Dr. Nadolny. Dr. Nadolny’s act of allowing nurse practitioners to use his ID was just that: allowing them to use his ID. It did not transform the process of nurse practitioners</w:t>
      </w:r>
      <w:r w:rsidR="00F44673">
        <w:rPr>
          <w:rFonts w:cs="Times New Roman"/>
          <w:szCs w:val="24"/>
        </w:rPr>
        <w:t>’</w:t>
      </w:r>
      <w:r>
        <w:rPr>
          <w:rFonts w:cs="Times New Roman"/>
          <w:szCs w:val="24"/>
        </w:rPr>
        <w:t xml:space="preserve"> issuing </w:t>
      </w:r>
      <w:r w:rsidR="00F44673">
        <w:rPr>
          <w:rFonts w:cs="Times New Roman"/>
          <w:szCs w:val="24"/>
        </w:rPr>
        <w:t xml:space="preserve">their own </w:t>
      </w:r>
      <w:r>
        <w:rPr>
          <w:rFonts w:cs="Times New Roman"/>
          <w:szCs w:val="24"/>
        </w:rPr>
        <w:t xml:space="preserve">marijuana certifications into Dr. Nadolny’s delegating </w:t>
      </w:r>
      <w:r w:rsidR="00F44673">
        <w:rPr>
          <w:rFonts w:cs="Times New Roman"/>
          <w:szCs w:val="24"/>
        </w:rPr>
        <w:t xml:space="preserve">to nurse practitioners </w:t>
      </w:r>
      <w:r>
        <w:rPr>
          <w:rFonts w:cs="Times New Roman"/>
          <w:szCs w:val="24"/>
        </w:rPr>
        <w:t>his authority to issue certifications.</w:t>
      </w:r>
    </w:p>
    <w:p w:rsidR="008D4384" w:rsidRPr="00B73038" w:rsidRDefault="008D4384" w:rsidP="008D4384">
      <w:pPr>
        <w:widowControl w:val="0"/>
        <w:ind w:firstLine="720"/>
        <w:rPr>
          <w:rFonts w:cs="Times New Roman"/>
          <w:szCs w:val="24"/>
        </w:rPr>
      </w:pPr>
      <w:r w:rsidRPr="00B73038">
        <w:rPr>
          <w:rFonts w:cs="Times New Roman"/>
          <w:szCs w:val="24"/>
        </w:rPr>
        <w:t xml:space="preserve">Ultimately, I see two non-issues in this case. One is </w:t>
      </w:r>
      <w:r w:rsidRPr="00B73038">
        <w:rPr>
          <w:rFonts w:cs="Times New Roman"/>
          <w:szCs w:val="24"/>
          <w:lang w:val="en"/>
        </w:rPr>
        <w:t>St. 2012, c. 369, § 3, which provides:</w:t>
      </w:r>
    </w:p>
    <w:p w:rsidR="008D4384" w:rsidRPr="00B73038" w:rsidRDefault="008D4384" w:rsidP="008D4384">
      <w:pPr>
        <w:spacing w:line="240" w:lineRule="auto"/>
        <w:ind w:left="720" w:right="720"/>
        <w:rPr>
          <w:rFonts w:cs="Times New Roman"/>
          <w:szCs w:val="24"/>
          <w:lang w:val="en"/>
        </w:rPr>
      </w:pPr>
      <w:r w:rsidRPr="00B73038">
        <w:rPr>
          <w:rFonts w:cs="Times New Roman"/>
          <w:szCs w:val="24"/>
          <w:lang w:val="en"/>
        </w:rPr>
        <w:t>A physician, and other health care professionals under a physician's supervision, shall not be penalized under Massachusetts law, in any manner, or denied any right or privilege, for:</w:t>
      </w:r>
      <w:r w:rsidRPr="00B73038">
        <w:rPr>
          <w:rFonts w:cs="Times New Roman"/>
          <w:szCs w:val="24"/>
          <w:lang w:val="en"/>
        </w:rPr>
        <w:br/>
        <w:t xml:space="preserve">(a) Advising a qualifying patient about the risks and benefits of medical use of </w:t>
      </w:r>
      <w:r w:rsidRPr="00B73038">
        <w:rPr>
          <w:rFonts w:cs="Times New Roman"/>
          <w:szCs w:val="24"/>
          <w:lang w:val="en"/>
        </w:rPr>
        <w:lastRenderedPageBreak/>
        <w:t>marijuana; or</w:t>
      </w:r>
      <w:r w:rsidRPr="00B73038">
        <w:rPr>
          <w:rFonts w:cs="Times New Roman"/>
          <w:szCs w:val="24"/>
          <w:lang w:val="en"/>
        </w:rPr>
        <w:br/>
        <w:t>(b) Providing a qualifying patient with written certification, based upon a full assessment of the qualifying patient’s medical history and condition, that the medical use of marijuana may benefit a particular qualifying patient.</w:t>
      </w:r>
    </w:p>
    <w:p w:rsidR="008D4384" w:rsidRPr="00B73038" w:rsidRDefault="008D4384" w:rsidP="008D4384">
      <w:pPr>
        <w:spacing w:line="240" w:lineRule="auto"/>
        <w:ind w:left="720" w:right="720"/>
        <w:rPr>
          <w:rFonts w:cs="Times New Roman"/>
          <w:szCs w:val="24"/>
          <w:lang w:val="en"/>
        </w:rPr>
      </w:pPr>
    </w:p>
    <w:p w:rsidR="008D4384" w:rsidRDefault="00634071" w:rsidP="00634071">
      <w:pPr>
        <w:ind w:firstLine="720"/>
        <w:rPr>
          <w:rFonts w:cs="Times New Roman"/>
          <w:szCs w:val="24"/>
        </w:rPr>
      </w:pPr>
      <w:r w:rsidRPr="00B73038">
        <w:rPr>
          <w:rFonts w:cs="Times New Roman"/>
          <w:szCs w:val="24"/>
          <w:lang w:val="en"/>
        </w:rPr>
        <w:t>This provision</w:t>
      </w:r>
      <w:r w:rsidR="001E3320">
        <w:rPr>
          <w:rFonts w:cs="Times New Roman"/>
          <w:szCs w:val="24"/>
          <w:lang w:val="en"/>
        </w:rPr>
        <w:t>, which Dr. Nadolny raises,</w:t>
      </w:r>
      <w:r w:rsidRPr="00B73038">
        <w:rPr>
          <w:rFonts w:cs="Times New Roman"/>
          <w:szCs w:val="24"/>
          <w:lang w:val="en"/>
        </w:rPr>
        <w:t xml:space="preserve"> does not confer blanket immunity from state action against a physician for any act related to the </w:t>
      </w:r>
      <w:r w:rsidR="00FE37B5">
        <w:rPr>
          <w:rFonts w:cs="Times New Roman"/>
          <w:szCs w:val="24"/>
          <w:lang w:val="en"/>
        </w:rPr>
        <w:t xml:space="preserve">medical marijuana </w:t>
      </w:r>
      <w:r w:rsidRPr="00B73038">
        <w:rPr>
          <w:rFonts w:cs="Times New Roman"/>
          <w:szCs w:val="24"/>
          <w:lang w:val="en"/>
        </w:rPr>
        <w:t>program.</w:t>
      </w:r>
      <w:r w:rsidRPr="00B73038">
        <w:rPr>
          <w:rFonts w:cs="Times New Roman"/>
          <w:szCs w:val="24"/>
        </w:rPr>
        <w:t xml:space="preserve">The BRM does not seek to penalize Dr. Nadolny for advising </w:t>
      </w:r>
      <w:r w:rsidR="008D4384" w:rsidRPr="00B73038">
        <w:rPr>
          <w:rFonts w:cs="Times New Roman"/>
          <w:szCs w:val="24"/>
        </w:rPr>
        <w:t>Patient A</w:t>
      </w:r>
      <w:r w:rsidRPr="00B73038">
        <w:rPr>
          <w:rFonts w:cs="Times New Roman"/>
          <w:szCs w:val="24"/>
        </w:rPr>
        <w:t xml:space="preserve"> or any other patient about “</w:t>
      </w:r>
      <w:r w:rsidRPr="00B73038">
        <w:rPr>
          <w:rFonts w:cs="Times New Roman"/>
          <w:szCs w:val="24"/>
          <w:lang w:val="en"/>
        </w:rPr>
        <w:t>the risks and benefits of medical use of marijuana</w:t>
      </w:r>
      <w:r w:rsidRPr="00B73038">
        <w:rPr>
          <w:rFonts w:cs="Times New Roman"/>
          <w:szCs w:val="24"/>
        </w:rPr>
        <w:t xml:space="preserve">.” </w:t>
      </w:r>
      <w:r w:rsidRPr="00B73038">
        <w:rPr>
          <w:rFonts w:cs="Times New Roman"/>
          <w:i/>
          <w:szCs w:val="24"/>
        </w:rPr>
        <w:t>Id.</w:t>
      </w:r>
      <w:r w:rsidRPr="00B73038">
        <w:rPr>
          <w:rFonts w:cs="Times New Roman"/>
          <w:szCs w:val="24"/>
        </w:rPr>
        <w:t xml:space="preserve"> It does not seek to penalize him for providing Patient A or any other qualifying patient with a marijuana certification. It seeks to penalize him for letting nurse practitione</w:t>
      </w:r>
      <w:r w:rsidR="007B6C07">
        <w:rPr>
          <w:rFonts w:cs="Times New Roman"/>
          <w:szCs w:val="24"/>
        </w:rPr>
        <w:t>rs use his MMJ Online System ID and allegedly delegating to nurse practitioners his authority to issue marijuana certifications.</w:t>
      </w:r>
    </w:p>
    <w:p w:rsidR="00877189" w:rsidRPr="00B73038" w:rsidRDefault="00634071" w:rsidP="005B3DDE">
      <w:pPr>
        <w:widowControl w:val="0"/>
        <w:ind w:firstLine="720"/>
        <w:rPr>
          <w:rFonts w:cs="Times New Roman"/>
          <w:szCs w:val="24"/>
          <w:lang w:val="en"/>
        </w:rPr>
      </w:pPr>
      <w:r w:rsidRPr="00B73038">
        <w:rPr>
          <w:rFonts w:cs="Times New Roman"/>
          <w:szCs w:val="24"/>
        </w:rPr>
        <w:t>The second non-issue</w:t>
      </w:r>
      <w:r w:rsidR="00FE37B5">
        <w:rPr>
          <w:rFonts w:cs="Times New Roman"/>
          <w:szCs w:val="24"/>
        </w:rPr>
        <w:t>, or what I hope is a non-issue,</w:t>
      </w:r>
      <w:r w:rsidRPr="00B73038">
        <w:rPr>
          <w:rFonts w:cs="Times New Roman"/>
          <w:szCs w:val="24"/>
        </w:rPr>
        <w:t xml:space="preserve"> is the tension between the Board of Registration in Medicine and the Board of Registration in Nursing. Dr. Nadolny sensed it; h</w:t>
      </w:r>
      <w:r w:rsidRPr="00B73038">
        <w:rPr>
          <w:szCs w:val="24"/>
        </w:rPr>
        <w:t>e figured that the BRM objected to nurse practitioners’ issuing marijuana certifications and he suspended the practice of nurse practitioners at Canna Care Docs doing so until the issue was resolved. (Tr. 71.</w:t>
      </w:r>
      <w:r w:rsidR="00877189" w:rsidRPr="00B73038">
        <w:rPr>
          <w:rFonts w:cs="Times New Roman"/>
          <w:szCs w:val="24"/>
        </w:rPr>
        <w:t xml:space="preserve">) I sensed the tension too. The BRM’s Complaint Counsel, in her opening statement’s overview of the law, stated that </w:t>
      </w:r>
      <w:r w:rsidR="001E3320">
        <w:rPr>
          <w:rFonts w:cs="Times New Roman"/>
          <w:szCs w:val="24"/>
          <w:lang w:val="en"/>
        </w:rPr>
        <w:t>the medical marijuana statute</w:t>
      </w:r>
      <w:r w:rsidR="00877189" w:rsidRPr="00B73038">
        <w:rPr>
          <w:rFonts w:cs="Times New Roman"/>
          <w:szCs w:val="24"/>
          <w:lang w:val="en"/>
        </w:rPr>
        <w:t xml:space="preserve"> “doesn’t say anything about nurse practitioners,” and the BRM was relying on that omission to proceed against Dr. Nadolny. (Tr. 33.) The Complaint Counsel continued that the Board of Registration in Nursing’s regulation was unauthorized under </w:t>
      </w:r>
      <w:r w:rsidR="00FE37B5">
        <w:rPr>
          <w:rFonts w:cs="Times New Roman"/>
          <w:szCs w:val="24"/>
          <w:lang w:val="en"/>
        </w:rPr>
        <w:t xml:space="preserve">the </w:t>
      </w:r>
      <w:r w:rsidR="00E13DD5">
        <w:rPr>
          <w:rFonts w:cs="Times New Roman"/>
          <w:szCs w:val="24"/>
          <w:lang w:val="en"/>
        </w:rPr>
        <w:t xml:space="preserve">medical marijuana </w:t>
      </w:r>
      <w:r w:rsidR="00FE37B5">
        <w:rPr>
          <w:rFonts w:cs="Times New Roman"/>
          <w:szCs w:val="24"/>
          <w:lang w:val="en"/>
        </w:rPr>
        <w:t xml:space="preserve">statute or </w:t>
      </w:r>
      <w:r w:rsidR="00877189" w:rsidRPr="00B73038">
        <w:rPr>
          <w:rFonts w:cs="Times New Roman"/>
          <w:szCs w:val="24"/>
          <w:lang w:val="en"/>
        </w:rPr>
        <w:t>regulations,</w:t>
      </w:r>
      <w:r w:rsidR="008C7359" w:rsidRPr="00B73038">
        <w:rPr>
          <w:rStyle w:val="FootnoteReference"/>
          <w:rFonts w:cs="Times New Roman"/>
          <w:szCs w:val="24"/>
          <w:lang w:val="en"/>
        </w:rPr>
        <w:footnoteReference w:id="11"/>
      </w:r>
      <w:r w:rsidR="00877189" w:rsidRPr="00B73038">
        <w:rPr>
          <w:rFonts w:cs="Times New Roman"/>
          <w:szCs w:val="24"/>
          <w:lang w:val="en"/>
        </w:rPr>
        <w:t xml:space="preserve"> stating that the “Nursing Board” is “not part of the Medical Marijuana Program;” it “decided on [its] own” that nurse practitioners could issue marijuana certifications;  and it “issued regulations on [its] own” </w:t>
      </w:r>
      <w:r w:rsidR="00877189" w:rsidRPr="00B73038">
        <w:rPr>
          <w:rFonts w:cs="Times New Roman"/>
          <w:szCs w:val="24"/>
          <w:lang w:val="en"/>
        </w:rPr>
        <w:lastRenderedPageBreak/>
        <w:t>– “sua sponte.”</w:t>
      </w:r>
      <w:r w:rsidR="008C7359" w:rsidRPr="00B73038">
        <w:rPr>
          <w:rStyle w:val="FootnoteReference"/>
          <w:rFonts w:cs="Times New Roman"/>
          <w:szCs w:val="24"/>
          <w:lang w:val="en"/>
        </w:rPr>
        <w:footnoteReference w:id="12"/>
      </w:r>
      <w:r w:rsidR="00877189" w:rsidRPr="00B73038">
        <w:rPr>
          <w:rFonts w:cs="Times New Roman"/>
          <w:szCs w:val="24"/>
          <w:lang w:val="en"/>
        </w:rPr>
        <w:t xml:space="preserve"> </w:t>
      </w:r>
    </w:p>
    <w:p w:rsidR="00877189" w:rsidRPr="00B73038" w:rsidRDefault="00DA559D" w:rsidP="005B3DDE">
      <w:pPr>
        <w:widowControl w:val="0"/>
        <w:ind w:firstLine="720"/>
        <w:rPr>
          <w:rFonts w:cs="Times New Roman"/>
          <w:szCs w:val="24"/>
          <w:lang w:val="en"/>
        </w:rPr>
      </w:pPr>
      <w:r w:rsidRPr="00B73038">
        <w:rPr>
          <w:rFonts w:cs="Times New Roman"/>
          <w:szCs w:val="24"/>
          <w:lang w:val="en"/>
        </w:rPr>
        <w:t>The Complaint Counsel enunciated the BRM’s position as follows:</w:t>
      </w:r>
    </w:p>
    <w:p w:rsidR="00DA559D" w:rsidRPr="00B73038" w:rsidRDefault="00DA559D" w:rsidP="00DA559D">
      <w:pPr>
        <w:widowControl w:val="0"/>
        <w:spacing w:line="240" w:lineRule="auto"/>
        <w:ind w:left="720" w:right="720"/>
        <w:rPr>
          <w:rFonts w:cs="Times New Roman"/>
          <w:szCs w:val="24"/>
          <w:lang w:val="en"/>
        </w:rPr>
      </w:pPr>
      <w:r w:rsidRPr="00B73038">
        <w:rPr>
          <w:rFonts w:cs="Times New Roman"/>
          <w:szCs w:val="24"/>
          <w:lang w:val="en"/>
        </w:rPr>
        <w:t>We’re here because a physician delegated this legal authority to certify to a nurse practitioner, and he is relying on the nursing regs to give that authority.</w:t>
      </w:r>
    </w:p>
    <w:p w:rsidR="008C7359" w:rsidRPr="00B73038" w:rsidRDefault="008C7359" w:rsidP="00DA559D">
      <w:pPr>
        <w:widowControl w:val="0"/>
        <w:spacing w:line="240" w:lineRule="auto"/>
        <w:ind w:left="720" w:right="720"/>
        <w:rPr>
          <w:rFonts w:cs="Times New Roman"/>
          <w:szCs w:val="24"/>
          <w:lang w:val="en"/>
        </w:rPr>
      </w:pPr>
    </w:p>
    <w:p w:rsidR="00DA559D" w:rsidRPr="00B73038" w:rsidRDefault="00DA559D" w:rsidP="001E3320">
      <w:pPr>
        <w:widowControl w:val="0"/>
        <w:rPr>
          <w:rFonts w:cs="Times New Roman"/>
          <w:szCs w:val="24"/>
        </w:rPr>
      </w:pPr>
      <w:r w:rsidRPr="00B73038">
        <w:rPr>
          <w:rFonts w:cs="Times New Roman"/>
          <w:szCs w:val="24"/>
          <w:lang w:val="en"/>
        </w:rPr>
        <w:t>(Tr. 34.)</w:t>
      </w:r>
    </w:p>
    <w:p w:rsidR="0091117B" w:rsidRDefault="00DA559D" w:rsidP="003033DE">
      <w:pPr>
        <w:widowControl w:val="0"/>
        <w:rPr>
          <w:rFonts w:cs="Times New Roman"/>
          <w:szCs w:val="24"/>
        </w:rPr>
      </w:pPr>
      <w:r w:rsidRPr="00B73038">
        <w:rPr>
          <w:rFonts w:cs="Times New Roman"/>
          <w:szCs w:val="24"/>
        </w:rPr>
        <w:tab/>
      </w:r>
      <w:r w:rsidR="00880EC1" w:rsidRPr="00B73038">
        <w:rPr>
          <w:rFonts w:cs="Times New Roman"/>
          <w:szCs w:val="24"/>
        </w:rPr>
        <w:t xml:space="preserve">I hope that the BRM </w:t>
      </w:r>
      <w:r w:rsidR="008C7359" w:rsidRPr="00B73038">
        <w:rPr>
          <w:rFonts w:cs="Times New Roman"/>
          <w:szCs w:val="24"/>
        </w:rPr>
        <w:t>is not</w:t>
      </w:r>
      <w:r w:rsidR="00880EC1" w:rsidRPr="00B73038">
        <w:rPr>
          <w:rFonts w:cs="Times New Roman"/>
          <w:szCs w:val="24"/>
        </w:rPr>
        <w:t xml:space="preserve"> seek</w:t>
      </w:r>
      <w:r w:rsidR="008C7359" w:rsidRPr="00B73038">
        <w:rPr>
          <w:rFonts w:cs="Times New Roman"/>
          <w:szCs w:val="24"/>
        </w:rPr>
        <w:t>ing</w:t>
      </w:r>
      <w:r w:rsidR="00880EC1" w:rsidRPr="00B73038">
        <w:rPr>
          <w:rFonts w:cs="Times New Roman"/>
          <w:szCs w:val="24"/>
        </w:rPr>
        <w:t xml:space="preserve"> to temporarily suspend Dr. Nadolny because it objects to the Board of Registration in Nursing’s regulation</w:t>
      </w:r>
      <w:r w:rsidR="00F44673">
        <w:rPr>
          <w:rFonts w:cs="Times New Roman"/>
          <w:szCs w:val="24"/>
        </w:rPr>
        <w:t xml:space="preserve"> or </w:t>
      </w:r>
      <w:r w:rsidR="00F44673" w:rsidRPr="00B73038">
        <w:rPr>
          <w:rFonts w:cs="Times New Roman"/>
          <w:szCs w:val="24"/>
        </w:rPr>
        <w:t xml:space="preserve">to the involvement of nurse practitioners in the </w:t>
      </w:r>
      <w:r w:rsidR="00F44673">
        <w:rPr>
          <w:rFonts w:cs="Times New Roman"/>
          <w:szCs w:val="24"/>
        </w:rPr>
        <w:t>medical marijuana program</w:t>
      </w:r>
      <w:r w:rsidR="003033DE">
        <w:rPr>
          <w:rFonts w:cs="Times New Roman"/>
          <w:szCs w:val="24"/>
        </w:rPr>
        <w:t>.</w:t>
      </w:r>
    </w:p>
    <w:p w:rsidR="00790BE1" w:rsidRPr="00B73038" w:rsidRDefault="00790BE1" w:rsidP="00790BE1">
      <w:pPr>
        <w:pStyle w:val="Default"/>
        <w:spacing w:line="480" w:lineRule="auto"/>
        <w:jc w:val="center"/>
        <w:rPr>
          <w:b/>
          <w:color w:val="auto"/>
        </w:rPr>
      </w:pPr>
      <w:r w:rsidRPr="00B73038">
        <w:rPr>
          <w:b/>
          <w:color w:val="auto"/>
        </w:rPr>
        <w:t>Conclusion and Order</w:t>
      </w:r>
    </w:p>
    <w:p w:rsidR="00E217B4" w:rsidRPr="00E217B4" w:rsidRDefault="00790BE1" w:rsidP="00E217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B73038">
        <w:tab/>
      </w:r>
      <w:r w:rsidR="007B6C07">
        <w:rPr>
          <w:szCs w:val="24"/>
        </w:rPr>
        <w:t>I recommend</w:t>
      </w:r>
      <w:r w:rsidR="00E217B4">
        <w:rPr>
          <w:szCs w:val="24"/>
        </w:rPr>
        <w:t xml:space="preserve"> that the Board of Registration in Medicine not temporarily suspend </w:t>
      </w:r>
      <w:r w:rsidR="00876C9E">
        <w:rPr>
          <w:szCs w:val="24"/>
        </w:rPr>
        <w:t>Dr. Nadolny.</w:t>
      </w:r>
      <w:r w:rsidR="00E217B4">
        <w:rPr>
          <w:szCs w:val="24"/>
        </w:rPr>
        <w:t xml:space="preserve"> </w:t>
      </w:r>
      <w:r w:rsidR="00876C9E">
        <w:rPr>
          <w:szCs w:val="24"/>
        </w:rPr>
        <w:t>When he allowed</w:t>
      </w:r>
      <w:r w:rsidR="00E217B4">
        <w:rPr>
          <w:szCs w:val="24"/>
        </w:rPr>
        <w:t xml:space="preserve"> nurse practitioners to use his online ID, </w:t>
      </w:r>
      <w:r w:rsidR="00876C9E">
        <w:rPr>
          <w:szCs w:val="24"/>
        </w:rPr>
        <w:t>he</w:t>
      </w:r>
      <w:r w:rsidR="00E217B4">
        <w:rPr>
          <w:szCs w:val="24"/>
        </w:rPr>
        <w:t xml:space="preserve"> was following </w:t>
      </w:r>
      <w:r w:rsidR="00876C9E">
        <w:rPr>
          <w:szCs w:val="24"/>
        </w:rPr>
        <w:t>DPH’s</w:t>
      </w:r>
      <w:r w:rsidR="00C223D1">
        <w:rPr>
          <w:szCs w:val="24"/>
        </w:rPr>
        <w:t xml:space="preserve"> advice</w:t>
      </w:r>
      <w:r w:rsidR="00E217B4">
        <w:rPr>
          <w:szCs w:val="24"/>
        </w:rPr>
        <w:t>, and did not delegate to nurse practitioners his authority to issue marijuana certifications; they had independent authority to issue certifications.</w:t>
      </w:r>
    </w:p>
    <w:p w:rsidR="007538A7" w:rsidRPr="00B73038" w:rsidRDefault="007538A7"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790BE1" w:rsidRPr="00B73038"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790BE1" w:rsidRPr="00B73038"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r w:rsidRPr="00B73038">
        <w:rPr>
          <w:szCs w:val="24"/>
        </w:rPr>
        <w:tab/>
      </w:r>
      <w:r w:rsidRPr="00B73038">
        <w:rPr>
          <w:szCs w:val="24"/>
        </w:rPr>
        <w:tab/>
      </w:r>
      <w:r w:rsidRPr="00B73038">
        <w:rPr>
          <w:szCs w:val="24"/>
        </w:rPr>
        <w:tab/>
      </w:r>
      <w:r w:rsidRPr="00B73038">
        <w:rPr>
          <w:szCs w:val="24"/>
        </w:rPr>
        <w:tab/>
      </w:r>
      <w:r w:rsidRPr="00B73038">
        <w:rPr>
          <w:szCs w:val="24"/>
        </w:rPr>
        <w:tab/>
        <w:t>DIVISION OF ADMINISTRATIVE LAW APPEALS</w:t>
      </w:r>
    </w:p>
    <w:p w:rsidR="00790BE1" w:rsidRPr="00B73038"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p>
    <w:p w:rsidR="00790BE1" w:rsidRPr="00B73038"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p>
    <w:p w:rsidR="00790BE1" w:rsidRPr="00B73038"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r w:rsidRPr="00B73038">
        <w:rPr>
          <w:szCs w:val="24"/>
        </w:rPr>
        <w:tab/>
      </w:r>
      <w:r w:rsidRPr="00B73038">
        <w:rPr>
          <w:szCs w:val="24"/>
        </w:rPr>
        <w:tab/>
      </w:r>
      <w:r w:rsidRPr="00B73038">
        <w:rPr>
          <w:szCs w:val="24"/>
        </w:rPr>
        <w:tab/>
      </w:r>
      <w:r w:rsidRPr="00B73038">
        <w:rPr>
          <w:szCs w:val="24"/>
        </w:rPr>
        <w:tab/>
      </w:r>
      <w:r w:rsidRPr="00B73038">
        <w:rPr>
          <w:szCs w:val="24"/>
        </w:rPr>
        <w:tab/>
        <w:t>__________________________________</w:t>
      </w:r>
    </w:p>
    <w:p w:rsidR="00790BE1" w:rsidRPr="00B73038"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r w:rsidRPr="00B73038">
        <w:rPr>
          <w:szCs w:val="24"/>
        </w:rPr>
        <w:tab/>
      </w:r>
      <w:r w:rsidRPr="00B73038">
        <w:rPr>
          <w:szCs w:val="24"/>
        </w:rPr>
        <w:tab/>
      </w:r>
      <w:r w:rsidRPr="00B73038">
        <w:rPr>
          <w:szCs w:val="24"/>
        </w:rPr>
        <w:tab/>
      </w:r>
      <w:r w:rsidRPr="00B73038">
        <w:rPr>
          <w:szCs w:val="24"/>
        </w:rPr>
        <w:tab/>
      </w:r>
      <w:r w:rsidRPr="00B73038">
        <w:rPr>
          <w:szCs w:val="24"/>
        </w:rPr>
        <w:tab/>
        <w:t>Kenneth Bresler</w:t>
      </w:r>
    </w:p>
    <w:p w:rsidR="00790BE1" w:rsidRPr="00B73038"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r w:rsidRPr="00B73038">
        <w:rPr>
          <w:szCs w:val="24"/>
        </w:rPr>
        <w:tab/>
      </w:r>
      <w:r w:rsidRPr="00B73038">
        <w:rPr>
          <w:szCs w:val="24"/>
        </w:rPr>
        <w:tab/>
      </w:r>
      <w:r w:rsidRPr="00B73038">
        <w:rPr>
          <w:szCs w:val="24"/>
        </w:rPr>
        <w:tab/>
      </w:r>
      <w:r w:rsidRPr="00B73038">
        <w:rPr>
          <w:szCs w:val="24"/>
        </w:rPr>
        <w:tab/>
      </w:r>
      <w:r w:rsidRPr="00B73038">
        <w:rPr>
          <w:szCs w:val="24"/>
        </w:rPr>
        <w:tab/>
        <w:t>Administrative Magistrate</w:t>
      </w:r>
    </w:p>
    <w:p w:rsidR="00790BE1" w:rsidRPr="00B73038"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p>
    <w:p w:rsidR="00790BE1" w:rsidRPr="00B73038"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p>
    <w:p w:rsidR="00790BE1" w:rsidRPr="00B73038"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r w:rsidRPr="00B73038">
        <w:rPr>
          <w:szCs w:val="24"/>
        </w:rPr>
        <w:t xml:space="preserve">Dated: </w:t>
      </w:r>
      <w:r w:rsidR="00310F3E">
        <w:rPr>
          <w:szCs w:val="24"/>
        </w:rPr>
        <w:t>September 23, 2016</w:t>
      </w:r>
      <w:bookmarkStart w:id="0" w:name="_GoBack"/>
      <w:bookmarkEnd w:id="0"/>
    </w:p>
    <w:p w:rsidR="00790BE1" w:rsidRPr="00B73038"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r w:rsidRPr="00B73038">
        <w:rPr>
          <w:szCs w:val="24"/>
        </w:rPr>
        <w:tab/>
      </w:r>
      <w:r w:rsidRPr="00B73038">
        <w:rPr>
          <w:szCs w:val="24"/>
        </w:rPr>
        <w:tab/>
      </w:r>
      <w:r w:rsidRPr="00B73038">
        <w:rPr>
          <w:szCs w:val="24"/>
        </w:rPr>
        <w:tab/>
      </w:r>
      <w:r w:rsidRPr="00B73038">
        <w:rPr>
          <w:szCs w:val="24"/>
        </w:rPr>
        <w:tab/>
      </w:r>
    </w:p>
    <w:p w:rsidR="00790BE1" w:rsidRPr="00B73038" w:rsidRDefault="00790BE1" w:rsidP="00790BE1">
      <w:pPr>
        <w:ind w:firstLine="720"/>
        <w:rPr>
          <w:szCs w:val="24"/>
        </w:rPr>
      </w:pPr>
    </w:p>
    <w:p w:rsidR="00343DEA" w:rsidRPr="00B73038" w:rsidRDefault="00343DEA" w:rsidP="00A61B7F">
      <w:pPr>
        <w:widowControl w:val="0"/>
        <w:rPr>
          <w:szCs w:val="24"/>
        </w:rPr>
      </w:pPr>
    </w:p>
    <w:sectPr w:rsidR="00343DEA" w:rsidRPr="00B73038" w:rsidSect="00194F39">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2EE" w:rsidRDefault="001C52EE">
      <w:pPr>
        <w:spacing w:line="240" w:lineRule="auto"/>
      </w:pPr>
      <w:r>
        <w:separator/>
      </w:r>
    </w:p>
  </w:endnote>
  <w:endnote w:type="continuationSeparator" w:id="0">
    <w:p w:rsidR="001C52EE" w:rsidRDefault="001C52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86270"/>
      <w:docPartObj>
        <w:docPartGallery w:val="Page Numbers (Bottom of Page)"/>
        <w:docPartUnique/>
      </w:docPartObj>
    </w:sdtPr>
    <w:sdtEndPr>
      <w:rPr>
        <w:noProof/>
      </w:rPr>
    </w:sdtEndPr>
    <w:sdtContent>
      <w:p w:rsidR="00194F39" w:rsidRDefault="00194F39">
        <w:pPr>
          <w:pStyle w:val="Footer"/>
          <w:jc w:val="center"/>
        </w:pPr>
        <w:r>
          <w:fldChar w:fldCharType="begin"/>
        </w:r>
        <w:r>
          <w:instrText xml:space="preserve"> PAGE   \* MERGEFORMAT </w:instrText>
        </w:r>
        <w:r>
          <w:fldChar w:fldCharType="separate"/>
        </w:r>
        <w:r w:rsidR="00310F3E">
          <w:rPr>
            <w:noProof/>
          </w:rPr>
          <w:t>18</w:t>
        </w:r>
        <w:r>
          <w:rPr>
            <w:noProof/>
          </w:rPr>
          <w:fldChar w:fldCharType="end"/>
        </w:r>
      </w:p>
    </w:sdtContent>
  </w:sdt>
  <w:p w:rsidR="00194F39" w:rsidRDefault="00194F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253835"/>
      <w:docPartObj>
        <w:docPartGallery w:val="Page Numbers (Bottom of Page)"/>
        <w:docPartUnique/>
      </w:docPartObj>
    </w:sdtPr>
    <w:sdtEndPr>
      <w:rPr>
        <w:noProof/>
      </w:rPr>
    </w:sdtEndPr>
    <w:sdtContent>
      <w:p w:rsidR="00194F39" w:rsidRDefault="00194F39">
        <w:pPr>
          <w:pStyle w:val="Footer"/>
          <w:jc w:val="center"/>
        </w:pPr>
        <w:r>
          <w:fldChar w:fldCharType="begin"/>
        </w:r>
        <w:r>
          <w:instrText xml:space="preserve"> PAGE   \* MERGEFORMAT </w:instrText>
        </w:r>
        <w:r>
          <w:fldChar w:fldCharType="separate"/>
        </w:r>
        <w:r w:rsidR="00310F3E">
          <w:rPr>
            <w:noProof/>
          </w:rPr>
          <w:t>1</w:t>
        </w:r>
        <w:r>
          <w:rPr>
            <w:noProof/>
          </w:rPr>
          <w:fldChar w:fldCharType="end"/>
        </w:r>
      </w:p>
    </w:sdtContent>
  </w:sdt>
  <w:p w:rsidR="00194F39" w:rsidRDefault="00194F39" w:rsidP="00194F3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2EE" w:rsidRDefault="001C52EE">
      <w:pPr>
        <w:spacing w:line="240" w:lineRule="auto"/>
      </w:pPr>
      <w:r>
        <w:separator/>
      </w:r>
    </w:p>
  </w:footnote>
  <w:footnote w:type="continuationSeparator" w:id="0">
    <w:p w:rsidR="001C52EE" w:rsidRDefault="001C52EE">
      <w:pPr>
        <w:spacing w:line="240" w:lineRule="auto"/>
      </w:pPr>
      <w:r>
        <w:continuationSeparator/>
      </w:r>
    </w:p>
  </w:footnote>
  <w:footnote w:id="1">
    <w:p w:rsidR="00194F39" w:rsidRDefault="00194F39">
      <w:pPr>
        <w:pStyle w:val="FootnoteText"/>
      </w:pPr>
      <w:r>
        <w:rPr>
          <w:rStyle w:val="FootnoteReference"/>
        </w:rPr>
        <w:footnoteRef/>
      </w:r>
      <w:r>
        <w:t xml:space="preserve"> </w:t>
      </w:r>
      <w:r w:rsidRPr="0033580C">
        <w:rPr>
          <w:sz w:val="24"/>
          <w:szCs w:val="24"/>
        </w:rPr>
        <w:t>The statute</w:t>
      </w:r>
      <w:r>
        <w:rPr>
          <w:sz w:val="24"/>
          <w:szCs w:val="24"/>
        </w:rPr>
        <w:t xml:space="preserve"> and</w:t>
      </w:r>
      <w:r w:rsidRPr="0033580C">
        <w:rPr>
          <w:sz w:val="24"/>
          <w:szCs w:val="24"/>
        </w:rPr>
        <w:t xml:space="preserve"> regulations for the medical marijuana program </w:t>
      </w:r>
      <w:r>
        <w:rPr>
          <w:sz w:val="24"/>
          <w:szCs w:val="24"/>
        </w:rPr>
        <w:t>provide</w:t>
      </w:r>
      <w:r w:rsidRPr="0033580C">
        <w:rPr>
          <w:sz w:val="24"/>
          <w:szCs w:val="24"/>
        </w:rPr>
        <w:t xml:space="preserve"> background for the </w:t>
      </w:r>
      <w:r>
        <w:rPr>
          <w:sz w:val="24"/>
          <w:szCs w:val="24"/>
        </w:rPr>
        <w:t>other</w:t>
      </w:r>
      <w:r w:rsidRPr="0033580C">
        <w:rPr>
          <w:sz w:val="24"/>
          <w:szCs w:val="24"/>
        </w:rPr>
        <w:t xml:space="preserve"> facts of this decision.</w:t>
      </w:r>
    </w:p>
  </w:footnote>
  <w:footnote w:id="2">
    <w:p w:rsidR="00194F39" w:rsidRPr="00B73038" w:rsidRDefault="00194F39" w:rsidP="00B73038">
      <w:pPr>
        <w:pStyle w:val="FootnoteText"/>
        <w:spacing w:after="120"/>
        <w:rPr>
          <w:sz w:val="24"/>
          <w:szCs w:val="24"/>
        </w:rPr>
      </w:pPr>
      <w:r w:rsidRPr="00B73038">
        <w:rPr>
          <w:rStyle w:val="FootnoteReference"/>
          <w:sz w:val="24"/>
          <w:szCs w:val="24"/>
        </w:rPr>
        <w:footnoteRef/>
      </w:r>
      <w:r w:rsidRPr="00B73038">
        <w:rPr>
          <w:sz w:val="24"/>
          <w:szCs w:val="24"/>
        </w:rPr>
        <w:t xml:space="preserve"> In its brief, BRM does </w:t>
      </w:r>
      <w:r w:rsidRPr="00B73038">
        <w:rPr>
          <w:i/>
          <w:sz w:val="24"/>
          <w:szCs w:val="24"/>
        </w:rPr>
        <w:t xml:space="preserve">not </w:t>
      </w:r>
      <w:r w:rsidRPr="00B73038">
        <w:rPr>
          <w:sz w:val="24"/>
          <w:szCs w:val="24"/>
        </w:rPr>
        <w:t>list this regulation in its section, “Applicable Law and Regulations,” indicating  that it does not consider the regulation as applicable.</w:t>
      </w:r>
    </w:p>
  </w:footnote>
  <w:footnote w:id="3">
    <w:p w:rsidR="00194F39" w:rsidRPr="00B73038" w:rsidRDefault="00194F39" w:rsidP="00B73038">
      <w:pPr>
        <w:pStyle w:val="FootnoteText"/>
        <w:spacing w:after="120"/>
        <w:rPr>
          <w:sz w:val="24"/>
          <w:szCs w:val="24"/>
        </w:rPr>
      </w:pPr>
      <w:r w:rsidRPr="00B73038">
        <w:rPr>
          <w:rStyle w:val="FootnoteReference"/>
          <w:sz w:val="24"/>
          <w:szCs w:val="24"/>
        </w:rPr>
        <w:footnoteRef/>
      </w:r>
      <w:r w:rsidRPr="00B73038">
        <w:rPr>
          <w:sz w:val="24"/>
          <w:szCs w:val="24"/>
        </w:rPr>
        <w:t xml:space="preserve"> In its brief, BRM does not list this regulation in its section, “Applicable Law and Regulations.”</w:t>
      </w:r>
    </w:p>
  </w:footnote>
  <w:footnote w:id="4">
    <w:p w:rsidR="00194F39" w:rsidRDefault="00194F39" w:rsidP="00B73038">
      <w:pPr>
        <w:pStyle w:val="FootnoteText"/>
        <w:spacing w:after="120"/>
      </w:pPr>
      <w:r w:rsidRPr="00B73038">
        <w:rPr>
          <w:rStyle w:val="FootnoteReference"/>
          <w:sz w:val="24"/>
          <w:szCs w:val="24"/>
        </w:rPr>
        <w:footnoteRef/>
      </w:r>
      <w:r w:rsidRPr="00B73038">
        <w:rPr>
          <w:sz w:val="24"/>
          <w:szCs w:val="24"/>
        </w:rPr>
        <w:t xml:space="preserve"> In its brief, BRM does not list this regulation in its section, “Applicable Law and Regulations.”</w:t>
      </w:r>
    </w:p>
  </w:footnote>
  <w:footnote w:id="5">
    <w:p w:rsidR="004554CF" w:rsidRPr="004554CF" w:rsidRDefault="004554CF" w:rsidP="004554CF">
      <w:pPr>
        <w:pStyle w:val="FootnoteText"/>
        <w:spacing w:after="120"/>
        <w:rPr>
          <w:sz w:val="24"/>
          <w:szCs w:val="24"/>
        </w:rPr>
      </w:pPr>
      <w:r w:rsidRPr="004554CF">
        <w:rPr>
          <w:rStyle w:val="FootnoteReference"/>
          <w:sz w:val="24"/>
          <w:szCs w:val="24"/>
        </w:rPr>
        <w:footnoteRef/>
      </w:r>
      <w:r w:rsidRPr="004554CF">
        <w:rPr>
          <w:sz w:val="24"/>
          <w:szCs w:val="24"/>
        </w:rPr>
        <w:t xml:space="preserve"> This provision is apparently self-contradictory. It does not explain how an approval for </w:t>
      </w:r>
      <w:r w:rsidRPr="0091117B">
        <w:rPr>
          <w:sz w:val="24"/>
          <w:szCs w:val="24"/>
        </w:rPr>
        <w:t>marijuana certification can be both the certified nursing practitioner’s and the certifying phy</w:t>
      </w:r>
      <w:r w:rsidR="008C4205">
        <w:rPr>
          <w:sz w:val="24"/>
          <w:szCs w:val="24"/>
        </w:rPr>
        <w:t>s</w:t>
      </w:r>
      <w:r w:rsidRPr="0091117B">
        <w:rPr>
          <w:sz w:val="24"/>
          <w:szCs w:val="24"/>
        </w:rPr>
        <w:t xml:space="preserve">ician’s. </w:t>
      </w:r>
      <w:r w:rsidR="0091117B" w:rsidRPr="0091117B">
        <w:rPr>
          <w:sz w:val="24"/>
          <w:szCs w:val="24"/>
        </w:rPr>
        <w:t>The apparent con</w:t>
      </w:r>
      <w:r w:rsidR="0091117B">
        <w:rPr>
          <w:sz w:val="24"/>
          <w:szCs w:val="24"/>
        </w:rPr>
        <w:t>tradiction</w:t>
      </w:r>
      <w:r w:rsidR="0091117B" w:rsidRPr="0091117B">
        <w:rPr>
          <w:sz w:val="24"/>
          <w:szCs w:val="24"/>
        </w:rPr>
        <w:t xml:space="preserve"> is probably due to the uneasy relationship of one set of regulations allowing physicians to issue medical marijuana certifications, and </w:t>
      </w:r>
      <w:r w:rsidR="0091117B" w:rsidRPr="0091117B">
        <w:rPr>
          <w:rFonts w:cs="Times New Roman"/>
          <w:sz w:val="24"/>
          <w:szCs w:val="24"/>
        </w:rPr>
        <w:t xml:space="preserve">105 CMR 725.650(C); </w:t>
      </w:r>
      <w:r w:rsidR="0091117B" w:rsidRPr="0091117B">
        <w:rPr>
          <w:rFonts w:cs="Times New Roman"/>
          <w:sz w:val="24"/>
          <w:szCs w:val="24"/>
          <w:lang w:val="en"/>
        </w:rPr>
        <w:t xml:space="preserve">G.L. c. 112, § 80I; and </w:t>
      </w:r>
      <w:r w:rsidR="0091117B" w:rsidRPr="0091117B">
        <w:rPr>
          <w:rFonts w:cs="Times New Roman"/>
          <w:sz w:val="24"/>
          <w:szCs w:val="24"/>
        </w:rPr>
        <w:t xml:space="preserve">244 CMR 4.06(3)(d), </w:t>
      </w:r>
      <w:r w:rsidR="0091117B" w:rsidRPr="0091117B">
        <w:rPr>
          <w:sz w:val="24"/>
          <w:szCs w:val="24"/>
        </w:rPr>
        <w:t xml:space="preserve">allowing nurse practitioners to do so. </w:t>
      </w:r>
      <w:r w:rsidRPr="0091117B">
        <w:rPr>
          <w:sz w:val="24"/>
          <w:szCs w:val="24"/>
        </w:rPr>
        <w:t>The apparent self-contradiction is not legally significant to this decision.</w:t>
      </w:r>
    </w:p>
  </w:footnote>
  <w:footnote w:id="6">
    <w:p w:rsidR="00194F39" w:rsidRPr="00283E74" w:rsidRDefault="00194F39" w:rsidP="00283E74">
      <w:pPr>
        <w:pStyle w:val="FootnoteText"/>
        <w:spacing w:after="120"/>
        <w:rPr>
          <w:sz w:val="24"/>
          <w:szCs w:val="24"/>
        </w:rPr>
      </w:pPr>
      <w:r w:rsidRPr="00283E74">
        <w:rPr>
          <w:rStyle w:val="FootnoteReference"/>
          <w:sz w:val="24"/>
          <w:szCs w:val="24"/>
        </w:rPr>
        <w:footnoteRef/>
      </w:r>
      <w:r w:rsidRPr="00283E74">
        <w:rPr>
          <w:sz w:val="24"/>
          <w:szCs w:val="24"/>
        </w:rPr>
        <w:t xml:space="preserve"> This language is derived, word for word, from 105 CMR 725.004 (definition of “</w:t>
      </w:r>
      <w:r w:rsidRPr="00283E74">
        <w:rPr>
          <w:i/>
          <w:iCs/>
          <w:color w:val="000000"/>
          <w:sz w:val="24"/>
          <w:szCs w:val="24"/>
        </w:rPr>
        <w:t xml:space="preserve">Bona Fide </w:t>
      </w:r>
      <w:r w:rsidRPr="00283E74">
        <w:rPr>
          <w:color w:val="000000"/>
          <w:sz w:val="24"/>
          <w:szCs w:val="24"/>
        </w:rPr>
        <w:t>Physician-patient Relationship”).</w:t>
      </w:r>
    </w:p>
  </w:footnote>
  <w:footnote w:id="7">
    <w:p w:rsidR="00194F39" w:rsidRDefault="00194F39" w:rsidP="00CB05DA">
      <w:pPr>
        <w:widowControl w:val="0"/>
        <w:spacing w:line="240" w:lineRule="auto"/>
      </w:pPr>
      <w:r w:rsidRPr="00283E74">
        <w:rPr>
          <w:rStyle w:val="FootnoteReference"/>
          <w:szCs w:val="24"/>
        </w:rPr>
        <w:footnoteRef/>
      </w:r>
      <w:r w:rsidRPr="00283E74">
        <w:rPr>
          <w:szCs w:val="24"/>
        </w:rPr>
        <w:t xml:space="preserve"> These two successive provisions appear to conflict. </w:t>
      </w:r>
      <w:r w:rsidR="0091117B" w:rsidRPr="007E65B9">
        <w:rPr>
          <w:i/>
          <w:szCs w:val="24"/>
        </w:rPr>
        <w:t>See</w:t>
      </w:r>
      <w:r w:rsidR="0091117B">
        <w:rPr>
          <w:szCs w:val="24"/>
        </w:rPr>
        <w:t xml:space="preserve"> note 5. </w:t>
      </w:r>
      <w:r w:rsidR="004554CF">
        <w:rPr>
          <w:szCs w:val="24"/>
        </w:rPr>
        <w:t>The apparent self-contradiction is not legally significant to this decision.</w:t>
      </w:r>
    </w:p>
  </w:footnote>
  <w:footnote w:id="8">
    <w:p w:rsidR="00194F39" w:rsidRPr="00F06E77" w:rsidRDefault="00194F39" w:rsidP="00F06E77">
      <w:pPr>
        <w:pStyle w:val="FootnoteText"/>
        <w:widowControl w:val="0"/>
        <w:spacing w:after="120"/>
        <w:rPr>
          <w:sz w:val="24"/>
          <w:szCs w:val="24"/>
        </w:rPr>
      </w:pPr>
      <w:r w:rsidRPr="00F06E77">
        <w:rPr>
          <w:rStyle w:val="FootnoteReference"/>
          <w:sz w:val="24"/>
          <w:szCs w:val="24"/>
        </w:rPr>
        <w:footnoteRef/>
      </w:r>
      <w:r w:rsidRPr="00F06E77">
        <w:rPr>
          <w:sz w:val="24"/>
          <w:szCs w:val="24"/>
        </w:rPr>
        <w:t xml:space="preserve"> Dr. Nadolny’s position is correct under </w:t>
      </w:r>
      <w:r w:rsidRPr="00F06E77">
        <w:rPr>
          <w:rFonts w:cs="Times New Roman"/>
          <w:sz w:val="24"/>
          <w:szCs w:val="24"/>
        </w:rPr>
        <w:t>105 CMR 725.650(C) ;</w:t>
      </w:r>
      <w:r w:rsidRPr="00F06E77">
        <w:rPr>
          <w:sz w:val="24"/>
          <w:szCs w:val="24"/>
        </w:rPr>
        <w:t xml:space="preserve"> </w:t>
      </w:r>
      <w:r w:rsidRPr="00F06E77">
        <w:rPr>
          <w:rFonts w:cs="Times New Roman"/>
          <w:sz w:val="24"/>
          <w:szCs w:val="24"/>
          <w:lang w:val="en"/>
        </w:rPr>
        <w:t xml:space="preserve">G.L. c. 112, § 80I; and </w:t>
      </w:r>
      <w:r w:rsidRPr="00F06E77">
        <w:rPr>
          <w:rFonts w:cs="Times New Roman"/>
          <w:sz w:val="24"/>
          <w:szCs w:val="24"/>
        </w:rPr>
        <w:t>244 CMR 4.06(3)(d).</w:t>
      </w:r>
    </w:p>
  </w:footnote>
  <w:footnote w:id="9">
    <w:p w:rsidR="004C0449" w:rsidRPr="004C0449" w:rsidRDefault="004C0449" w:rsidP="004C0449">
      <w:pPr>
        <w:pStyle w:val="FootnoteText"/>
        <w:widowControl w:val="0"/>
        <w:spacing w:after="120"/>
        <w:rPr>
          <w:sz w:val="24"/>
          <w:szCs w:val="24"/>
        </w:rPr>
      </w:pPr>
      <w:r w:rsidRPr="004C0449">
        <w:rPr>
          <w:rStyle w:val="FootnoteReference"/>
          <w:sz w:val="24"/>
          <w:szCs w:val="24"/>
        </w:rPr>
        <w:footnoteRef/>
      </w:r>
      <w:r w:rsidRPr="004C0449">
        <w:rPr>
          <w:sz w:val="24"/>
          <w:szCs w:val="24"/>
        </w:rPr>
        <w:t xml:space="preserve"> When DPH switched from paper marijuana certifications to the MMJ Online System is not in the record.</w:t>
      </w:r>
    </w:p>
  </w:footnote>
  <w:footnote w:id="10">
    <w:p w:rsidR="00194F39" w:rsidRPr="00280F02" w:rsidRDefault="00194F39" w:rsidP="003B01BA">
      <w:pPr>
        <w:pStyle w:val="FootnoteText"/>
        <w:rPr>
          <w:sz w:val="24"/>
          <w:szCs w:val="24"/>
        </w:rPr>
      </w:pPr>
      <w:r w:rsidRPr="00280F02">
        <w:rPr>
          <w:rStyle w:val="FootnoteReference"/>
          <w:sz w:val="24"/>
          <w:szCs w:val="24"/>
        </w:rPr>
        <w:footnoteRef/>
      </w:r>
      <w:r w:rsidRPr="00280F02">
        <w:rPr>
          <w:sz w:val="24"/>
          <w:szCs w:val="24"/>
        </w:rPr>
        <w:t xml:space="preserve"> </w:t>
      </w:r>
      <w:r>
        <w:rPr>
          <w:sz w:val="24"/>
          <w:szCs w:val="24"/>
        </w:rPr>
        <w:t xml:space="preserve">This factual finding is valid whether Dr. Nadolny actually sat down and personally used his MMJ Online System ID to approve nurse practitioners’ marijuana certificates or whether nurse practitioners used his ID. The latter is more likely, because Patient A’s marijuana certification was issued on a day that he was not present at Canna Care Docs. (Tr. 100.) Furthermore, it is unlikely that Dr. Nadolny sat down and physically entered his ID for thousands of patients whom nurse practitioners assessed. BRM seems to be arguing both that Dr. Nadolny used his MMJ Online System ID to approve nurse practitioners’ marijuana certificates (BRM br. at 7, citing Tr. 101) and that nurse practitioners used his ID. (BRM br. at 12.) (BRM relies on Tr. 101, </w:t>
      </w:r>
      <w:r w:rsidRPr="00280F02">
        <w:rPr>
          <w:sz w:val="24"/>
          <w:szCs w:val="24"/>
        </w:rPr>
        <w:t>where Ms. Gluchacki’s testimony is more ambiguous</w:t>
      </w:r>
      <w:r>
        <w:rPr>
          <w:sz w:val="24"/>
          <w:szCs w:val="24"/>
        </w:rPr>
        <w:t xml:space="preserve"> than it is at Tr. 104</w:t>
      </w:r>
      <w:r w:rsidRPr="00280F02">
        <w:rPr>
          <w:sz w:val="24"/>
          <w:szCs w:val="24"/>
        </w:rPr>
        <w:t>.</w:t>
      </w:r>
      <w:r>
        <w:rPr>
          <w:sz w:val="24"/>
          <w:szCs w:val="24"/>
        </w:rPr>
        <w:t xml:space="preserve"> Her testimony at Tr. 99 is ambiguous as well.) I hope that BRM is not arguing the contradictory positions that Dr. Nadolny’s license to practice medicine should be suspended both because he is culpable for </w:t>
      </w:r>
      <w:r w:rsidR="0029611C">
        <w:rPr>
          <w:sz w:val="24"/>
          <w:szCs w:val="24"/>
        </w:rPr>
        <w:t xml:space="preserve">personally </w:t>
      </w:r>
      <w:r>
        <w:rPr>
          <w:sz w:val="24"/>
          <w:szCs w:val="24"/>
        </w:rPr>
        <w:t xml:space="preserve">entering his ID </w:t>
      </w:r>
      <w:r w:rsidR="00983161">
        <w:rPr>
          <w:sz w:val="24"/>
          <w:szCs w:val="24"/>
        </w:rPr>
        <w:t xml:space="preserve">for thousands of patients who weren’t his, </w:t>
      </w:r>
      <w:r>
        <w:rPr>
          <w:i/>
          <w:sz w:val="24"/>
          <w:szCs w:val="24"/>
        </w:rPr>
        <w:t>and</w:t>
      </w:r>
      <w:r>
        <w:rPr>
          <w:sz w:val="24"/>
          <w:szCs w:val="24"/>
        </w:rPr>
        <w:t xml:space="preserve"> because he wasn’t even present when marijuana certifications were being issued under his ID. </w:t>
      </w:r>
    </w:p>
  </w:footnote>
  <w:footnote w:id="11">
    <w:p w:rsidR="00194F39" w:rsidRPr="00D44EFC" w:rsidRDefault="00194F39" w:rsidP="008C7359">
      <w:pPr>
        <w:rPr>
          <w:rFonts w:cs="Times New Roman"/>
          <w:szCs w:val="24"/>
        </w:rPr>
      </w:pPr>
      <w:r>
        <w:rPr>
          <w:rStyle w:val="FootnoteReference"/>
        </w:rPr>
        <w:footnoteRef/>
      </w:r>
      <w:r>
        <w:t xml:space="preserve"> This is not accurate. </w:t>
      </w:r>
      <w:r w:rsidRPr="00D44EFC">
        <w:rPr>
          <w:rFonts w:cs="Times New Roman"/>
          <w:szCs w:val="24"/>
        </w:rPr>
        <w:t>105 CMR 725.650(C) states:</w:t>
      </w:r>
    </w:p>
    <w:p w:rsidR="00194F39" w:rsidRPr="00D44EFC" w:rsidRDefault="00194F39" w:rsidP="008C7359">
      <w:pPr>
        <w:spacing w:line="240" w:lineRule="auto"/>
        <w:ind w:left="720" w:right="720"/>
        <w:rPr>
          <w:sz w:val="23"/>
          <w:szCs w:val="23"/>
        </w:rPr>
      </w:pPr>
      <w:r w:rsidRPr="00D44EFC">
        <w:rPr>
          <w:sz w:val="23"/>
          <w:szCs w:val="23"/>
        </w:rPr>
        <w:t>Nothing in 105 CMR 725.000 shall be construed to limit the scope of practice of a nurse practitioner pursuant to M.G.L. c. 112, § 80I.</w:t>
      </w:r>
    </w:p>
    <w:p w:rsidR="00194F39" w:rsidRDefault="00194F39">
      <w:pPr>
        <w:pStyle w:val="FootnoteText"/>
      </w:pPr>
    </w:p>
  </w:footnote>
  <w:footnote w:id="12">
    <w:p w:rsidR="00194F39" w:rsidRPr="008C7359" w:rsidRDefault="00194F39" w:rsidP="008C7359">
      <w:pPr>
        <w:pStyle w:val="FootnoteText"/>
        <w:widowControl w:val="0"/>
        <w:spacing w:after="120"/>
        <w:rPr>
          <w:sz w:val="24"/>
          <w:szCs w:val="24"/>
        </w:rPr>
      </w:pPr>
      <w:r w:rsidRPr="008C7359">
        <w:rPr>
          <w:rStyle w:val="FootnoteReference"/>
          <w:sz w:val="24"/>
          <w:szCs w:val="24"/>
        </w:rPr>
        <w:footnoteRef/>
      </w:r>
      <w:r w:rsidRPr="008C7359">
        <w:rPr>
          <w:sz w:val="24"/>
          <w:szCs w:val="24"/>
        </w:rPr>
        <w:t xml:space="preserve"> This is not precisely accurate. See the previous footnote.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BE1"/>
    <w:rsid w:val="00003CFF"/>
    <w:rsid w:val="00023B3D"/>
    <w:rsid w:val="000242EF"/>
    <w:rsid w:val="0005358F"/>
    <w:rsid w:val="000540CA"/>
    <w:rsid w:val="0006211C"/>
    <w:rsid w:val="000655F4"/>
    <w:rsid w:val="00076E00"/>
    <w:rsid w:val="000C3022"/>
    <w:rsid w:val="000C54CE"/>
    <w:rsid w:val="000E160F"/>
    <w:rsid w:val="001269DE"/>
    <w:rsid w:val="0012739E"/>
    <w:rsid w:val="00131329"/>
    <w:rsid w:val="00141C4B"/>
    <w:rsid w:val="00142718"/>
    <w:rsid w:val="001437AB"/>
    <w:rsid w:val="00181ACC"/>
    <w:rsid w:val="00194F39"/>
    <w:rsid w:val="001959A8"/>
    <w:rsid w:val="001C52EE"/>
    <w:rsid w:val="001C5894"/>
    <w:rsid w:val="001D69C0"/>
    <w:rsid w:val="001E3320"/>
    <w:rsid w:val="002074B6"/>
    <w:rsid w:val="002179D8"/>
    <w:rsid w:val="00217A22"/>
    <w:rsid w:val="0022183B"/>
    <w:rsid w:val="00236152"/>
    <w:rsid w:val="00280F02"/>
    <w:rsid w:val="00283E74"/>
    <w:rsid w:val="0029611C"/>
    <w:rsid w:val="002B0F16"/>
    <w:rsid w:val="002B3141"/>
    <w:rsid w:val="002D60A7"/>
    <w:rsid w:val="003033DE"/>
    <w:rsid w:val="00306776"/>
    <w:rsid w:val="00310F3E"/>
    <w:rsid w:val="0031514F"/>
    <w:rsid w:val="00316A60"/>
    <w:rsid w:val="00334891"/>
    <w:rsid w:val="00342DBE"/>
    <w:rsid w:val="00343DEA"/>
    <w:rsid w:val="0035367A"/>
    <w:rsid w:val="00355489"/>
    <w:rsid w:val="0036210C"/>
    <w:rsid w:val="00387035"/>
    <w:rsid w:val="003A00A9"/>
    <w:rsid w:val="003A5C51"/>
    <w:rsid w:val="003B01BA"/>
    <w:rsid w:val="003B6A06"/>
    <w:rsid w:val="003C386F"/>
    <w:rsid w:val="003D6383"/>
    <w:rsid w:val="00425E71"/>
    <w:rsid w:val="00437193"/>
    <w:rsid w:val="00445A9B"/>
    <w:rsid w:val="004554CF"/>
    <w:rsid w:val="00456AD8"/>
    <w:rsid w:val="00463E92"/>
    <w:rsid w:val="00470AD7"/>
    <w:rsid w:val="004A3C96"/>
    <w:rsid w:val="004C0449"/>
    <w:rsid w:val="004D3DAA"/>
    <w:rsid w:val="004F62B6"/>
    <w:rsid w:val="00513B1B"/>
    <w:rsid w:val="00525D72"/>
    <w:rsid w:val="00534924"/>
    <w:rsid w:val="005664BE"/>
    <w:rsid w:val="005A1452"/>
    <w:rsid w:val="005A3BE4"/>
    <w:rsid w:val="005A4EA2"/>
    <w:rsid w:val="005A6BFD"/>
    <w:rsid w:val="005B310A"/>
    <w:rsid w:val="005B34DB"/>
    <w:rsid w:val="005B3DDE"/>
    <w:rsid w:val="005C59E9"/>
    <w:rsid w:val="005C6354"/>
    <w:rsid w:val="005D14C7"/>
    <w:rsid w:val="005D1D84"/>
    <w:rsid w:val="005E3C39"/>
    <w:rsid w:val="00601150"/>
    <w:rsid w:val="0063388A"/>
    <w:rsid w:val="00634071"/>
    <w:rsid w:val="0064487D"/>
    <w:rsid w:val="00652488"/>
    <w:rsid w:val="00653A74"/>
    <w:rsid w:val="006558BE"/>
    <w:rsid w:val="00656F82"/>
    <w:rsid w:val="006B43FC"/>
    <w:rsid w:val="006B5ADD"/>
    <w:rsid w:val="006B7891"/>
    <w:rsid w:val="006D699E"/>
    <w:rsid w:val="006D74F9"/>
    <w:rsid w:val="00706AA3"/>
    <w:rsid w:val="00714353"/>
    <w:rsid w:val="00724AB7"/>
    <w:rsid w:val="00732EFF"/>
    <w:rsid w:val="00737D50"/>
    <w:rsid w:val="0074266D"/>
    <w:rsid w:val="00744211"/>
    <w:rsid w:val="0075071E"/>
    <w:rsid w:val="007538A7"/>
    <w:rsid w:val="00790BE1"/>
    <w:rsid w:val="007B6C07"/>
    <w:rsid w:val="007C1725"/>
    <w:rsid w:val="007E65B9"/>
    <w:rsid w:val="007E7046"/>
    <w:rsid w:val="008121B1"/>
    <w:rsid w:val="00822FB0"/>
    <w:rsid w:val="008513D6"/>
    <w:rsid w:val="00852589"/>
    <w:rsid w:val="00867C98"/>
    <w:rsid w:val="00871EBB"/>
    <w:rsid w:val="00874EB1"/>
    <w:rsid w:val="00876C9E"/>
    <w:rsid w:val="00877189"/>
    <w:rsid w:val="00880EC1"/>
    <w:rsid w:val="0088426D"/>
    <w:rsid w:val="008956DB"/>
    <w:rsid w:val="00895B5E"/>
    <w:rsid w:val="00897A4F"/>
    <w:rsid w:val="008A2435"/>
    <w:rsid w:val="008B1051"/>
    <w:rsid w:val="008C4205"/>
    <w:rsid w:val="008C7359"/>
    <w:rsid w:val="008D2DC3"/>
    <w:rsid w:val="008D4384"/>
    <w:rsid w:val="008D5DC5"/>
    <w:rsid w:val="008E1B22"/>
    <w:rsid w:val="008E2A9E"/>
    <w:rsid w:val="008F37C2"/>
    <w:rsid w:val="00906BA8"/>
    <w:rsid w:val="0091117B"/>
    <w:rsid w:val="0092065D"/>
    <w:rsid w:val="009324DF"/>
    <w:rsid w:val="009402B4"/>
    <w:rsid w:val="0095530C"/>
    <w:rsid w:val="00957362"/>
    <w:rsid w:val="009741C8"/>
    <w:rsid w:val="00977EFE"/>
    <w:rsid w:val="00983161"/>
    <w:rsid w:val="009B5520"/>
    <w:rsid w:val="009D6CB2"/>
    <w:rsid w:val="009E2099"/>
    <w:rsid w:val="009E29BB"/>
    <w:rsid w:val="009F5780"/>
    <w:rsid w:val="00A05922"/>
    <w:rsid w:val="00A112B6"/>
    <w:rsid w:val="00A15F96"/>
    <w:rsid w:val="00A16281"/>
    <w:rsid w:val="00A367B6"/>
    <w:rsid w:val="00A503E2"/>
    <w:rsid w:val="00A515A5"/>
    <w:rsid w:val="00A61B7F"/>
    <w:rsid w:val="00A66907"/>
    <w:rsid w:val="00A82603"/>
    <w:rsid w:val="00A830AE"/>
    <w:rsid w:val="00AB1854"/>
    <w:rsid w:val="00AD7CF1"/>
    <w:rsid w:val="00AF35E0"/>
    <w:rsid w:val="00B11DC5"/>
    <w:rsid w:val="00B12F3A"/>
    <w:rsid w:val="00B303BA"/>
    <w:rsid w:val="00B30EB7"/>
    <w:rsid w:val="00B31037"/>
    <w:rsid w:val="00B363BE"/>
    <w:rsid w:val="00B36B9E"/>
    <w:rsid w:val="00B3761A"/>
    <w:rsid w:val="00B41779"/>
    <w:rsid w:val="00B43CF8"/>
    <w:rsid w:val="00B52D15"/>
    <w:rsid w:val="00B552C5"/>
    <w:rsid w:val="00B566F4"/>
    <w:rsid w:val="00B639C2"/>
    <w:rsid w:val="00B7051C"/>
    <w:rsid w:val="00B73038"/>
    <w:rsid w:val="00BA62CB"/>
    <w:rsid w:val="00BC7107"/>
    <w:rsid w:val="00BE569D"/>
    <w:rsid w:val="00BE7032"/>
    <w:rsid w:val="00BF4055"/>
    <w:rsid w:val="00BF75D5"/>
    <w:rsid w:val="00C00674"/>
    <w:rsid w:val="00C01764"/>
    <w:rsid w:val="00C223D1"/>
    <w:rsid w:val="00C33228"/>
    <w:rsid w:val="00C35866"/>
    <w:rsid w:val="00C43C79"/>
    <w:rsid w:val="00C515B8"/>
    <w:rsid w:val="00C55E09"/>
    <w:rsid w:val="00C619EF"/>
    <w:rsid w:val="00C6221D"/>
    <w:rsid w:val="00C632AF"/>
    <w:rsid w:val="00C655FA"/>
    <w:rsid w:val="00C94EF5"/>
    <w:rsid w:val="00CB05DA"/>
    <w:rsid w:val="00CB4832"/>
    <w:rsid w:val="00CC59BD"/>
    <w:rsid w:val="00D04C3C"/>
    <w:rsid w:val="00D0713F"/>
    <w:rsid w:val="00D44EFC"/>
    <w:rsid w:val="00D86027"/>
    <w:rsid w:val="00D964F4"/>
    <w:rsid w:val="00DA559D"/>
    <w:rsid w:val="00DB1428"/>
    <w:rsid w:val="00DC2253"/>
    <w:rsid w:val="00DD12F3"/>
    <w:rsid w:val="00DE17C1"/>
    <w:rsid w:val="00E05B0D"/>
    <w:rsid w:val="00E13DD5"/>
    <w:rsid w:val="00E147A1"/>
    <w:rsid w:val="00E217B4"/>
    <w:rsid w:val="00E21A75"/>
    <w:rsid w:val="00E21BCA"/>
    <w:rsid w:val="00E277B7"/>
    <w:rsid w:val="00E350BE"/>
    <w:rsid w:val="00E4438A"/>
    <w:rsid w:val="00E507B7"/>
    <w:rsid w:val="00E77415"/>
    <w:rsid w:val="00E96E25"/>
    <w:rsid w:val="00EB5EB1"/>
    <w:rsid w:val="00EC491E"/>
    <w:rsid w:val="00EC711C"/>
    <w:rsid w:val="00ED0413"/>
    <w:rsid w:val="00EE75F9"/>
    <w:rsid w:val="00EF53E2"/>
    <w:rsid w:val="00EF5F19"/>
    <w:rsid w:val="00F02F0F"/>
    <w:rsid w:val="00F0462C"/>
    <w:rsid w:val="00F05969"/>
    <w:rsid w:val="00F06E77"/>
    <w:rsid w:val="00F20700"/>
    <w:rsid w:val="00F44673"/>
    <w:rsid w:val="00F637B7"/>
    <w:rsid w:val="00F80FB0"/>
    <w:rsid w:val="00F91C58"/>
    <w:rsid w:val="00FA1F10"/>
    <w:rsid w:val="00FA2208"/>
    <w:rsid w:val="00FA531F"/>
    <w:rsid w:val="00FA6E41"/>
    <w:rsid w:val="00FB0265"/>
    <w:rsid w:val="00FC15F6"/>
    <w:rsid w:val="00FD6BEE"/>
    <w:rsid w:val="00FE37B5"/>
    <w:rsid w:val="00FE5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styleId="FootnoteText">
    <w:name w:val="footnote text"/>
    <w:basedOn w:val="Normal"/>
    <w:link w:val="FootnoteTextChar"/>
    <w:uiPriority w:val="99"/>
    <w:unhideWhenUsed/>
    <w:rsid w:val="005B310A"/>
    <w:pPr>
      <w:spacing w:line="240" w:lineRule="auto"/>
    </w:pPr>
    <w:rPr>
      <w:sz w:val="20"/>
      <w:szCs w:val="20"/>
    </w:rPr>
  </w:style>
  <w:style w:type="character" w:customStyle="1" w:styleId="FootnoteTextChar">
    <w:name w:val="Footnote Text Char"/>
    <w:basedOn w:val="DefaultParagraphFont"/>
    <w:link w:val="FootnoteText"/>
    <w:uiPriority w:val="99"/>
    <w:rsid w:val="005B310A"/>
    <w:rPr>
      <w:rFonts w:ascii="Times New Roman" w:hAnsi="Times New Roman"/>
      <w:sz w:val="20"/>
      <w:szCs w:val="20"/>
    </w:rPr>
  </w:style>
  <w:style w:type="character" w:styleId="FootnoteReference">
    <w:name w:val="footnote reference"/>
    <w:basedOn w:val="DefaultParagraphFont"/>
    <w:uiPriority w:val="99"/>
    <w:semiHidden/>
    <w:unhideWhenUsed/>
    <w:rsid w:val="005B310A"/>
    <w:rPr>
      <w:vertAlign w:val="superscript"/>
    </w:rPr>
  </w:style>
  <w:style w:type="character" w:customStyle="1" w:styleId="hierarchydescription2">
    <w:name w:val="hierarchydescription2"/>
    <w:basedOn w:val="DefaultParagraphFont"/>
    <w:rsid w:val="00CC59BD"/>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styleId="FootnoteText">
    <w:name w:val="footnote text"/>
    <w:basedOn w:val="Normal"/>
    <w:link w:val="FootnoteTextChar"/>
    <w:uiPriority w:val="99"/>
    <w:unhideWhenUsed/>
    <w:rsid w:val="005B310A"/>
    <w:pPr>
      <w:spacing w:line="240" w:lineRule="auto"/>
    </w:pPr>
    <w:rPr>
      <w:sz w:val="20"/>
      <w:szCs w:val="20"/>
    </w:rPr>
  </w:style>
  <w:style w:type="character" w:customStyle="1" w:styleId="FootnoteTextChar">
    <w:name w:val="Footnote Text Char"/>
    <w:basedOn w:val="DefaultParagraphFont"/>
    <w:link w:val="FootnoteText"/>
    <w:uiPriority w:val="99"/>
    <w:rsid w:val="005B310A"/>
    <w:rPr>
      <w:rFonts w:ascii="Times New Roman" w:hAnsi="Times New Roman"/>
      <w:sz w:val="20"/>
      <w:szCs w:val="20"/>
    </w:rPr>
  </w:style>
  <w:style w:type="character" w:styleId="FootnoteReference">
    <w:name w:val="footnote reference"/>
    <w:basedOn w:val="DefaultParagraphFont"/>
    <w:uiPriority w:val="99"/>
    <w:semiHidden/>
    <w:unhideWhenUsed/>
    <w:rsid w:val="005B310A"/>
    <w:rPr>
      <w:vertAlign w:val="superscript"/>
    </w:rPr>
  </w:style>
  <w:style w:type="character" w:customStyle="1" w:styleId="hierarchydescription2">
    <w:name w:val="hierarchydescription2"/>
    <w:basedOn w:val="DefaultParagraphFont"/>
    <w:rsid w:val="00CC59BD"/>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21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7C780-9961-4E4F-9ECD-C2FE59E1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4419</Words>
  <Characters>25190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29550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2016-09-27T18:44:00Z</dcterms:created>
  <dc:creator>ANF</dc:creator>
  <lastModifiedBy>ANF</lastModifiedBy>
  <lastPrinted>2016-09-22T18:43:00Z</lastPrinted>
  <dcterms:modified xsi:type="dcterms:W3CDTF">2016-09-27T18:48:00Z</dcterms:modified>
  <revision>3</revision>
</coreProperties>
</file>