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620BF422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hurs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day, 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April 1</w:t>
      </w:r>
      <w:r w:rsid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7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ED54E9" w:rsidRDefault="001E1688" w:rsidP="001E1688">
      <w:pPr>
        <w:rPr>
          <w:rFonts w:ascii="Arial" w:hAnsi="Arial" w:cs="Arial"/>
          <w:sz w:val="20"/>
          <w:szCs w:val="20"/>
        </w:rPr>
      </w:pPr>
      <w:r w:rsidRPr="00ED54E9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ED54E9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04F969B2" w:rsidR="001E1688" w:rsidRPr="00ED54E9" w:rsidRDefault="001E1688" w:rsidP="001E1688">
      <w:pPr>
        <w:rPr>
          <w:rFonts w:ascii="Arial" w:hAnsi="Arial" w:cs="Arial"/>
          <w:sz w:val="20"/>
          <w:szCs w:val="20"/>
        </w:rPr>
      </w:pPr>
      <w:r w:rsidRPr="00ED54E9">
        <w:rPr>
          <w:rFonts w:ascii="Arial" w:hAnsi="Arial" w:cs="Arial"/>
          <w:sz w:val="20"/>
          <w:szCs w:val="20"/>
        </w:rPr>
        <w:t>T</w:t>
      </w:r>
      <w:r w:rsidR="00ED54E9" w:rsidRPr="00ED54E9">
        <w:rPr>
          <w:rFonts w:ascii="Arial" w:hAnsi="Arial" w:cs="Arial"/>
          <w:sz w:val="20"/>
          <w:szCs w:val="20"/>
        </w:rPr>
        <w:t>hurs</w:t>
      </w:r>
      <w:r w:rsidRPr="00ED54E9">
        <w:rPr>
          <w:rFonts w:ascii="Arial" w:hAnsi="Arial" w:cs="Arial"/>
          <w:sz w:val="20"/>
          <w:szCs w:val="20"/>
        </w:rPr>
        <w:t xml:space="preserve">day, </w:t>
      </w:r>
      <w:r w:rsidR="0099289C" w:rsidRPr="00ED54E9">
        <w:rPr>
          <w:rFonts w:ascii="Arial" w:hAnsi="Arial" w:cs="Arial"/>
          <w:sz w:val="20"/>
          <w:szCs w:val="20"/>
        </w:rPr>
        <w:t>April 1</w:t>
      </w:r>
      <w:r w:rsidR="00ED54E9" w:rsidRPr="00ED54E9">
        <w:rPr>
          <w:rFonts w:ascii="Arial" w:hAnsi="Arial" w:cs="Arial"/>
          <w:sz w:val="20"/>
          <w:szCs w:val="20"/>
        </w:rPr>
        <w:t>7</w:t>
      </w:r>
      <w:r w:rsidR="001D50B4" w:rsidRPr="00ED54E9">
        <w:rPr>
          <w:rFonts w:ascii="Arial" w:hAnsi="Arial" w:cs="Arial"/>
          <w:sz w:val="20"/>
          <w:szCs w:val="20"/>
        </w:rPr>
        <w:t>, 2025</w:t>
      </w:r>
      <w:r w:rsidRPr="00ED54E9">
        <w:rPr>
          <w:rFonts w:ascii="Arial" w:hAnsi="Arial" w:cs="Arial"/>
          <w:sz w:val="20"/>
          <w:szCs w:val="20"/>
        </w:rPr>
        <w:t xml:space="preserve"> 1:00 </w:t>
      </w:r>
      <w:r w:rsidR="00ED54E9" w:rsidRPr="00ED54E9">
        <w:rPr>
          <w:rFonts w:ascii="Arial" w:hAnsi="Arial" w:cs="Arial"/>
          <w:sz w:val="20"/>
          <w:szCs w:val="20"/>
        </w:rPr>
        <w:t>p</w:t>
      </w:r>
      <w:r w:rsidRPr="00ED54E9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ED54E9" w:rsidRDefault="003545B2" w:rsidP="003545B2">
      <w:pPr>
        <w:rPr>
          <w:rFonts w:ascii="Arial" w:hAnsi="Arial" w:cs="Arial"/>
          <w:sz w:val="20"/>
          <w:szCs w:val="20"/>
        </w:rPr>
      </w:pPr>
    </w:p>
    <w:p w14:paraId="5021811D" w14:textId="77777777" w:rsidR="003545B2" w:rsidRPr="00ED54E9" w:rsidRDefault="003545B2" w:rsidP="003545B2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ED54E9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475BF241" w14:textId="3481FB44" w:rsidR="004F4413" w:rsidRPr="004F4413" w:rsidRDefault="00ED54E9" w:rsidP="0099289C">
      <w:pPr>
        <w:spacing w:line="330" w:lineRule="atLeast"/>
        <w:rPr>
          <w:rFonts w:ascii="Arial" w:eastAsia="Aptos" w:hAnsi="Arial" w:cs="Arial"/>
          <w:color w:val="2F5496" w:themeColor="accent1" w:themeShade="BF"/>
          <w:sz w:val="20"/>
          <w:szCs w:val="20"/>
          <w:u w:val="single"/>
        </w:rPr>
      </w:pPr>
      <w:hyperlink r:id="rId7" w:history="1">
        <w:r w:rsidRPr="00ED54E9">
          <w:rPr>
            <w:rStyle w:val="Hyperlink"/>
            <w:rFonts w:ascii="Arial" w:eastAsia="Aptos" w:hAnsi="Arial" w:cs="Arial"/>
            <w:color w:val="2F5496" w:themeColor="accent1" w:themeShade="BF"/>
            <w:sz w:val="20"/>
            <w:szCs w:val="20"/>
          </w:rPr>
          <w:t>https://zoom.us/j/94334860723</w:t>
        </w:r>
      </w:hyperlink>
      <w:r w:rsidRPr="00ED54E9">
        <w:rPr>
          <w:rFonts w:ascii="Arial" w:eastAsia="Aptos" w:hAnsi="Arial" w:cs="Arial"/>
          <w:color w:val="2F5496" w:themeColor="accent1" w:themeShade="BF"/>
          <w:sz w:val="20"/>
          <w:szCs w:val="20"/>
        </w:rPr>
        <w:br/>
      </w:r>
      <w:r w:rsidRPr="00ED54E9">
        <w:rPr>
          <w:rFonts w:ascii="Arial" w:eastAsia="Aptos" w:hAnsi="Arial" w:cs="Arial"/>
          <w:color w:val="000000"/>
          <w:sz w:val="20"/>
          <w:szCs w:val="20"/>
        </w:rPr>
        <w:t>Webinar ID: 943 3486 0723</w:t>
      </w:r>
    </w:p>
    <w:p w14:paraId="62EB518B" w14:textId="12426A9A" w:rsidR="004F4413" w:rsidRPr="00ED54E9" w:rsidRDefault="004F4413" w:rsidP="0099289C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55A344D9" w14:textId="11EB8B56" w:rsidR="001D50B4" w:rsidRPr="00ED54E9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3951464" w14:textId="759AB33E" w:rsidR="001D50B4" w:rsidRPr="00ED54E9" w:rsidRDefault="001D50B4" w:rsidP="0099289C">
      <w:pPr>
        <w:spacing w:line="330" w:lineRule="atLeast"/>
        <w:rPr>
          <w:rFonts w:ascii="Arial" w:eastAsia="Aptos" w:hAnsi="Arial" w:cs="Arial"/>
          <w:sz w:val="20"/>
          <w:szCs w:val="20"/>
        </w:rPr>
      </w:pPr>
      <w:r w:rsidRPr="00ED54E9">
        <w:rPr>
          <w:rFonts w:ascii="Arial" w:hAnsi="Arial" w:cs="Arial"/>
          <w:sz w:val="20"/>
          <w:szCs w:val="20"/>
        </w:rPr>
        <w:t>+1-929-436-2866 US (New York)</w:t>
      </w:r>
      <w:r w:rsidRPr="00ED54E9">
        <w:rPr>
          <w:rFonts w:ascii="Arial" w:hAnsi="Arial" w:cs="Arial"/>
          <w:sz w:val="20"/>
          <w:szCs w:val="20"/>
        </w:rPr>
        <w:br/>
      </w:r>
      <w:r w:rsidR="00ED54E9" w:rsidRPr="00ED54E9">
        <w:rPr>
          <w:rFonts w:ascii="Arial" w:eastAsia="Aptos" w:hAnsi="Arial" w:cs="Arial"/>
          <w:color w:val="000000"/>
          <w:sz w:val="20"/>
          <w:szCs w:val="20"/>
        </w:rPr>
        <w:t>Webinar ID: 943 3486 0723</w:t>
      </w:r>
    </w:p>
    <w:p w14:paraId="5881CAD8" w14:textId="77777777" w:rsidR="001D50B4" w:rsidRPr="00ED54E9" w:rsidRDefault="001D50B4" w:rsidP="001E1688">
      <w:pPr>
        <w:pStyle w:val="Heading1"/>
        <w:jc w:val="left"/>
        <w:rPr>
          <w:rFonts w:cs="Arial"/>
        </w:rPr>
      </w:pPr>
    </w:p>
    <w:p w14:paraId="34A8A5B0" w14:textId="72B1CCB3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99289C">
        <w:rPr>
          <w:rFonts w:ascii="Arial" w:hAnsi="Arial" w:cs="Arial"/>
          <w:sz w:val="20"/>
        </w:rPr>
        <w:t>April 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C8A752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ED54E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053862C7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ED54E9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0EB3AE3" w:rsidR="0045644F" w:rsidRPr="00F8181A" w:rsidRDefault="00ED54E9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794951B0" w:rsidR="00853E16" w:rsidRPr="00853E16" w:rsidRDefault="0099289C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April 1</w:t>
    </w:r>
    <w:r w:rsidR="00ED54E9">
      <w:rPr>
        <w:rFonts w:ascii="Arial" w:hAnsi="Arial" w:cs="Arial"/>
        <w:b/>
        <w:sz w:val="20"/>
        <w:szCs w:val="20"/>
      </w:rPr>
      <w:t>7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3AFA"/>
    <w:rsid w:val="00004232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413"/>
    <w:rsid w:val="004F499B"/>
    <w:rsid w:val="0052263C"/>
    <w:rsid w:val="005274A4"/>
    <w:rsid w:val="00532EBB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452DB"/>
    <w:rsid w:val="00766A13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661C"/>
    <w:rsid w:val="00A00764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D54E9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9697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4334860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2025-04-01T17:24:00Z</dcterms:created>
  <dcterms:modified xsi:type="dcterms:W3CDTF">2025-04-01T17:24:00Z</dcterms:modified>
</cp:coreProperties>
</file>