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AF29"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When: Jul 12, 2024 10:00 AM Eastern Time (US and Canada)</w:t>
      </w:r>
    </w:p>
    <w:p w14:paraId="5957A224"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Topic: July 12, 2024 SAREC Meeting</w:t>
      </w:r>
    </w:p>
    <w:p w14:paraId="11F42ECD"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p>
    <w:p w14:paraId="5FB41B47"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Please click the link below to join the webinar:</w:t>
      </w:r>
    </w:p>
    <w:p w14:paraId="1B876476"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https://us06web.zoom.us/j/86973055450</w:t>
      </w:r>
    </w:p>
    <w:p w14:paraId="3425CB66"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Passcode: 370129</w:t>
      </w:r>
    </w:p>
    <w:p w14:paraId="28F8DB4D"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Or Telephone:</w:t>
      </w:r>
    </w:p>
    <w:p w14:paraId="6E01EB3E"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 xml:space="preserve">    Dial:</w:t>
      </w:r>
    </w:p>
    <w:p w14:paraId="5AAA944C"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 xml:space="preserve">            USA 602 333 0032 US Toll</w:t>
      </w:r>
    </w:p>
    <w:p w14:paraId="5D07FB4E" w14:textId="77777777" w:rsidR="00F1251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 xml:space="preserve">            USA 888 270 9936 US Toll-free</w:t>
      </w:r>
    </w:p>
    <w:p w14:paraId="09277B3A" w14:textId="1640B50F" w:rsidR="003E6D75" w:rsidRPr="00F12515" w:rsidRDefault="00F12515" w:rsidP="00F12515">
      <w:pPr>
        <w:pStyle w:val="Heading1"/>
        <w:tabs>
          <w:tab w:val="center" w:pos="4680"/>
          <w:tab w:val="left" w:pos="6015"/>
        </w:tabs>
        <w:jc w:val="left"/>
        <w:rPr>
          <w:rFonts w:ascii="Times New Roman" w:hAnsi="Times New Roman"/>
          <w:bCs/>
          <w:sz w:val="22"/>
          <w:szCs w:val="22"/>
        </w:rPr>
      </w:pPr>
      <w:r w:rsidRPr="00F12515">
        <w:rPr>
          <w:rFonts w:ascii="Times New Roman" w:hAnsi="Times New Roman"/>
          <w:bCs/>
          <w:sz w:val="22"/>
          <w:szCs w:val="22"/>
        </w:rPr>
        <w:t>Conference code: 916154</w:t>
      </w:r>
      <w:r w:rsidR="00DB00CD" w:rsidRPr="00F12515">
        <w:rPr>
          <w:rFonts w:ascii="Times New Roman" w:hAnsi="Times New Roman"/>
          <w:bCs/>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5E8C05DF"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681469">
        <w:rPr>
          <w:rFonts w:ascii="Times New Roman" w:hAnsi="Times New Roman"/>
          <w:b/>
          <w:sz w:val="22"/>
          <w:szCs w:val="22"/>
        </w:rPr>
        <w:t>Ju</w:t>
      </w:r>
      <w:r w:rsidR="00F12515">
        <w:rPr>
          <w:rFonts w:ascii="Times New Roman" w:hAnsi="Times New Roman"/>
          <w:b/>
          <w:sz w:val="22"/>
          <w:szCs w:val="22"/>
        </w:rPr>
        <w:t>ly 12</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1D7C7811"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F12515">
              <w:rPr>
                <w:rFonts w:ascii="Arial" w:eastAsia="Arial Unicode MS" w:hAnsi="Arial" w:cs="Arial"/>
                <w:b/>
                <w:sz w:val="20"/>
                <w:szCs w:val="20"/>
                <w:u w:color="000000"/>
              </w:rPr>
              <w:t>June 7, 2024</w:t>
            </w:r>
            <w:r w:rsidR="007C7FDE">
              <w:rPr>
                <w:rFonts w:ascii="Arial" w:eastAsia="Arial Unicode MS" w:hAnsi="Arial" w:cs="Arial"/>
                <w:b/>
                <w:sz w:val="20"/>
                <w:szCs w:val="20"/>
                <w:u w:color="000000"/>
              </w:rPr>
              <w:t xml:space="preserve"> </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6FF5D71B" w14:textId="77777777" w:rsidR="001D3614" w:rsidRDefault="001D3614" w:rsidP="00874270">
            <w:pPr>
              <w:jc w:val="center"/>
              <w:rPr>
                <w:rFonts w:ascii="Arial" w:eastAsia="Arial Unicode MS" w:hAnsi="Arial" w:cs="Arial"/>
                <w:sz w:val="20"/>
                <w:szCs w:val="20"/>
              </w:rPr>
            </w:pPr>
          </w:p>
          <w:p w14:paraId="4449A391" w14:textId="258A9394" w:rsidR="001D3614" w:rsidRDefault="001D3614" w:rsidP="00874270">
            <w:pPr>
              <w:jc w:val="center"/>
              <w:rPr>
                <w:rFonts w:ascii="Arial" w:eastAsia="Arial Unicode MS" w:hAnsi="Arial" w:cs="Arial"/>
                <w:sz w:val="20"/>
                <w:szCs w:val="20"/>
              </w:rPr>
            </w:pPr>
            <w:r>
              <w:rPr>
                <w:rFonts w:ascii="Arial" w:eastAsia="Arial Unicode MS" w:hAnsi="Arial" w:cs="Arial"/>
                <w:sz w:val="20"/>
                <w:szCs w:val="20"/>
              </w:rPr>
              <w:t>5”</w:t>
            </w: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32F1533A" w14:textId="0F1F79E6" w:rsidR="00A251EF" w:rsidRPr="00740DB6" w:rsidRDefault="00F12515" w:rsidP="00740DB6">
            <w:pPr>
              <w:tabs>
                <w:tab w:val="left" w:pos="1068"/>
              </w:tabs>
              <w:rPr>
                <w:rFonts w:ascii="Arial" w:hAnsi="Arial" w:cs="Arial"/>
                <w:sz w:val="20"/>
                <w:szCs w:val="20"/>
              </w:rPr>
            </w:pPr>
            <w:r>
              <w:rPr>
                <w:rFonts w:ascii="Arial" w:hAnsi="Arial" w:cs="Arial"/>
                <w:sz w:val="20"/>
                <w:szCs w:val="20"/>
              </w:rPr>
              <w:t>Determine SAREC Augst Meeting</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40BDC9E2" w14:textId="77B1D90F" w:rsidR="001D3614" w:rsidRDefault="00F12515"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Discussion</w:t>
            </w: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0B160311" w:rsidR="001D3614" w:rsidRDefault="001D361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5308DCA2" w:rsidR="00A2227E" w:rsidRPr="00A2227E" w:rsidRDefault="00681469">
    <w:pPr>
      <w:pStyle w:val="Footer"/>
      <w:rPr>
        <w:b/>
        <w:bCs/>
        <w:sz w:val="20"/>
        <w:szCs w:val="20"/>
      </w:rPr>
    </w:pPr>
    <w:r>
      <w:rPr>
        <w:b/>
        <w:bCs/>
        <w:sz w:val="20"/>
        <w:szCs w:val="20"/>
      </w:rPr>
      <w:t>Ju</w:t>
    </w:r>
    <w:r w:rsidR="00F12515">
      <w:rPr>
        <w:b/>
        <w:bCs/>
        <w:sz w:val="20"/>
        <w:szCs w:val="20"/>
      </w:rPr>
      <w:t>ly 12</w:t>
    </w:r>
    <w:r>
      <w:rPr>
        <w:b/>
        <w:bCs/>
        <w:sz w:val="20"/>
        <w:szCs w:val="20"/>
      </w:rPr>
      <w:t>,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E6D75"/>
    <w:rsid w:val="00441A47"/>
    <w:rsid w:val="00480ADC"/>
    <w:rsid w:val="004905E2"/>
    <w:rsid w:val="004A06BE"/>
    <w:rsid w:val="004A7CCF"/>
    <w:rsid w:val="004B3B78"/>
    <w:rsid w:val="004C4851"/>
    <w:rsid w:val="005043E2"/>
    <w:rsid w:val="005A0625"/>
    <w:rsid w:val="005B16D8"/>
    <w:rsid w:val="005E6536"/>
    <w:rsid w:val="00612A16"/>
    <w:rsid w:val="00640B0E"/>
    <w:rsid w:val="006449E8"/>
    <w:rsid w:val="00681469"/>
    <w:rsid w:val="00685689"/>
    <w:rsid w:val="006867F5"/>
    <w:rsid w:val="006B3C55"/>
    <w:rsid w:val="006D2827"/>
    <w:rsid w:val="006D43A8"/>
    <w:rsid w:val="006D741A"/>
    <w:rsid w:val="006F236F"/>
    <w:rsid w:val="007055DC"/>
    <w:rsid w:val="00715E7D"/>
    <w:rsid w:val="00740DB6"/>
    <w:rsid w:val="00746FB0"/>
    <w:rsid w:val="00773F59"/>
    <w:rsid w:val="007A45E8"/>
    <w:rsid w:val="007C7FDE"/>
    <w:rsid w:val="008056FC"/>
    <w:rsid w:val="00811193"/>
    <w:rsid w:val="0086372E"/>
    <w:rsid w:val="00871BE9"/>
    <w:rsid w:val="008A3DDF"/>
    <w:rsid w:val="008D4C10"/>
    <w:rsid w:val="009518DE"/>
    <w:rsid w:val="009F3C25"/>
    <w:rsid w:val="00A06F28"/>
    <w:rsid w:val="00A13D15"/>
    <w:rsid w:val="00A2227E"/>
    <w:rsid w:val="00A246BB"/>
    <w:rsid w:val="00A251EF"/>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E96C03"/>
    <w:rsid w:val="00F00CB2"/>
    <w:rsid w:val="00F12515"/>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68</cp:revision>
  <cp:lastPrinted>2022-03-08T16:09:00Z</cp:lastPrinted>
  <dcterms:created xsi:type="dcterms:W3CDTF">2022-09-30T14:14:00Z</dcterms:created>
  <dcterms:modified xsi:type="dcterms:W3CDTF">2024-06-27T13:50:00Z</dcterms:modified>
</cp:coreProperties>
</file>