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12" w:space="0" w:color="000000"/>
          <w:bottom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48"/>
        <w:gridCol w:w="8028"/>
      </w:tblGrid>
      <w:tr w:rsidR="00A17889" w:rsidTr="00957B21">
        <w:tc>
          <w:tcPr>
            <w:tcW w:w="1548" w:type="dxa"/>
          </w:tcPr>
          <w:p w:rsidR="00A17889" w:rsidRDefault="00A17889" w:rsidP="00F951F1">
            <w:pPr>
              <w:rPr>
                <w:b/>
              </w:rPr>
            </w:pPr>
            <w:bookmarkStart w:id="0" w:name="_GoBack"/>
            <w:bookmarkEnd w:id="0"/>
          </w:p>
          <w:p w:rsidR="00A17889" w:rsidRDefault="00A17889" w:rsidP="00F951F1">
            <w:pPr>
              <w:rPr>
                <w:b/>
                <w:i/>
              </w:rPr>
            </w:pPr>
            <w:r>
              <w:rPr>
                <w:b/>
              </w:rPr>
              <w:t>Title</w:t>
            </w:r>
          </w:p>
        </w:tc>
        <w:tc>
          <w:tcPr>
            <w:tcW w:w="8028" w:type="dxa"/>
          </w:tcPr>
          <w:p w:rsidR="00F951F1" w:rsidRDefault="00F951F1" w:rsidP="00F951F1">
            <w:pPr>
              <w:pStyle w:val="Header"/>
              <w:tabs>
                <w:tab w:val="clear" w:pos="4320"/>
                <w:tab w:val="clear" w:pos="8640"/>
              </w:tabs>
            </w:pPr>
          </w:p>
          <w:p w:rsidR="00A17889" w:rsidRDefault="00F951F1" w:rsidP="00F951F1">
            <w:pPr>
              <w:pStyle w:val="Header"/>
              <w:tabs>
                <w:tab w:val="clear" w:pos="4320"/>
                <w:tab w:val="clear" w:pos="8640"/>
              </w:tabs>
            </w:pPr>
            <w:r>
              <w:t xml:space="preserve">Board Staff Disposition of Selected </w:t>
            </w:r>
            <w:r w:rsidR="001749EB">
              <w:t>Allegations</w:t>
            </w:r>
          </w:p>
          <w:p w:rsidR="00FD132F" w:rsidRDefault="00FD132F" w:rsidP="00F951F1">
            <w:pPr>
              <w:pStyle w:val="Header"/>
              <w:tabs>
                <w:tab w:val="clear" w:pos="4320"/>
                <w:tab w:val="clear" w:pos="8640"/>
              </w:tabs>
            </w:pPr>
          </w:p>
        </w:tc>
      </w:tr>
      <w:tr w:rsidR="00A17889" w:rsidTr="00957B21">
        <w:tc>
          <w:tcPr>
            <w:tcW w:w="1548" w:type="dxa"/>
          </w:tcPr>
          <w:p w:rsidR="00A17889" w:rsidRDefault="00A17889" w:rsidP="00F951F1">
            <w:pPr>
              <w:rPr>
                <w:b/>
              </w:rPr>
            </w:pPr>
          </w:p>
          <w:p w:rsidR="00A17889" w:rsidRDefault="00A17889" w:rsidP="00F951F1">
            <w:r>
              <w:rPr>
                <w:b/>
              </w:rPr>
              <w:t>Purpose</w:t>
            </w:r>
          </w:p>
        </w:tc>
        <w:tc>
          <w:tcPr>
            <w:tcW w:w="8028" w:type="dxa"/>
          </w:tcPr>
          <w:p w:rsidR="00A17889" w:rsidRDefault="00A17889" w:rsidP="00F951F1">
            <w:pPr>
              <w:pStyle w:val="Header"/>
              <w:tabs>
                <w:tab w:val="clear" w:pos="4320"/>
                <w:tab w:val="clear" w:pos="8640"/>
              </w:tabs>
            </w:pPr>
          </w:p>
          <w:p w:rsidR="00B60B04" w:rsidRDefault="00A17889" w:rsidP="004253B4">
            <w:pPr>
              <w:pStyle w:val="Header"/>
              <w:tabs>
                <w:tab w:val="clear" w:pos="4320"/>
                <w:tab w:val="clear" w:pos="8640"/>
              </w:tabs>
            </w:pPr>
            <w:r>
              <w:t xml:space="preserve">The </w:t>
            </w:r>
            <w:r w:rsidR="00B60B04">
              <w:t>Board</w:t>
            </w:r>
            <w:r>
              <w:t xml:space="preserve"> of </w:t>
            </w:r>
            <w:r w:rsidR="007E3513">
              <w:t>Nursing Home Administrator</w:t>
            </w:r>
            <w:r w:rsidR="00D22861">
              <w:t xml:space="preserve">s (“the </w:t>
            </w:r>
            <w:r w:rsidR="00B60B04">
              <w:t>Board</w:t>
            </w:r>
            <w:r w:rsidR="00D22861">
              <w:t>”)</w:t>
            </w:r>
            <w:r>
              <w:t xml:space="preserve"> adopts this policy </w:t>
            </w:r>
            <w:r w:rsidRPr="003D24CE">
              <w:t xml:space="preserve">to </w:t>
            </w:r>
            <w:r w:rsidR="00F951F1" w:rsidRPr="00CB36C7">
              <w:rPr>
                <w:szCs w:val="24"/>
              </w:rPr>
              <w:t xml:space="preserve">permit Board staff to resolve </w:t>
            </w:r>
            <w:r w:rsidR="00376585">
              <w:rPr>
                <w:szCs w:val="24"/>
              </w:rPr>
              <w:t>allegations</w:t>
            </w:r>
            <w:r w:rsidR="00F951F1" w:rsidRPr="00CB36C7">
              <w:rPr>
                <w:szCs w:val="24"/>
              </w:rPr>
              <w:t xml:space="preserve"> against individual </w:t>
            </w:r>
            <w:r w:rsidR="007E3513">
              <w:rPr>
                <w:szCs w:val="24"/>
              </w:rPr>
              <w:t>Nursing Home Administrator</w:t>
            </w:r>
            <w:r w:rsidR="00F951F1" w:rsidRPr="00CB36C7">
              <w:rPr>
                <w:szCs w:val="24"/>
              </w:rPr>
              <w:t>s in a timely manner</w:t>
            </w:r>
            <w:r w:rsidR="00186D3D">
              <w:rPr>
                <w:szCs w:val="24"/>
              </w:rPr>
              <w:t>.</w:t>
            </w:r>
            <w:r w:rsidR="00ED57AA">
              <w:rPr>
                <w:szCs w:val="24"/>
              </w:rPr>
              <w:t xml:space="preserve">  The Board adopts the Centers for Medicaid and Medicare Services (CMS) definitions for the following terms: (1) Stand</w:t>
            </w:r>
            <w:r w:rsidR="00F33DFF">
              <w:rPr>
                <w:szCs w:val="24"/>
              </w:rPr>
              <w:t>a</w:t>
            </w:r>
            <w:r w:rsidR="00ED57AA">
              <w:rPr>
                <w:szCs w:val="24"/>
              </w:rPr>
              <w:t>rd Survey</w:t>
            </w:r>
            <w:r w:rsidR="00ED57AA">
              <w:rPr>
                <w:rStyle w:val="FootnoteReference"/>
                <w:szCs w:val="24"/>
              </w:rPr>
              <w:footnoteReference w:id="1"/>
            </w:r>
            <w:r w:rsidR="00130692">
              <w:rPr>
                <w:szCs w:val="24"/>
              </w:rPr>
              <w:t xml:space="preserve"> (2) Immediate Jeopardy</w:t>
            </w:r>
            <w:r w:rsidR="00130692">
              <w:rPr>
                <w:rStyle w:val="FootnoteReference"/>
                <w:szCs w:val="24"/>
              </w:rPr>
              <w:footnoteReference w:id="2"/>
            </w:r>
            <w:r w:rsidR="00130692">
              <w:rPr>
                <w:szCs w:val="24"/>
              </w:rPr>
              <w:t xml:space="preserve"> (3) Noncompliance</w:t>
            </w:r>
            <w:r w:rsidR="00130692">
              <w:rPr>
                <w:rStyle w:val="FootnoteReference"/>
              </w:rPr>
              <w:footnoteReference w:id="3"/>
            </w:r>
            <w:r w:rsidR="00130692">
              <w:rPr>
                <w:szCs w:val="24"/>
              </w:rPr>
              <w:t xml:space="preserve"> and (4) Substandard </w:t>
            </w:r>
            <w:r w:rsidR="00DD15FB">
              <w:rPr>
                <w:szCs w:val="24"/>
              </w:rPr>
              <w:t>Q</w:t>
            </w:r>
            <w:r w:rsidR="00130692">
              <w:rPr>
                <w:szCs w:val="24"/>
              </w:rPr>
              <w:t>uality of Care</w:t>
            </w:r>
            <w:r w:rsidR="00DD15FB">
              <w:rPr>
                <w:szCs w:val="24"/>
              </w:rPr>
              <w:t>.</w:t>
            </w:r>
            <w:r w:rsidR="00130692">
              <w:rPr>
                <w:rStyle w:val="FootnoteReference"/>
                <w:szCs w:val="24"/>
              </w:rPr>
              <w:footnoteReference w:id="4"/>
            </w:r>
          </w:p>
          <w:p w:rsidR="00F951F1" w:rsidRDefault="00F951F1" w:rsidP="004253B4">
            <w:pPr>
              <w:pStyle w:val="Header"/>
              <w:tabs>
                <w:tab w:val="clear" w:pos="4320"/>
                <w:tab w:val="clear" w:pos="8640"/>
              </w:tabs>
            </w:pPr>
          </w:p>
        </w:tc>
      </w:tr>
      <w:tr w:rsidR="00F951F1" w:rsidTr="00957B21">
        <w:tc>
          <w:tcPr>
            <w:tcW w:w="1548" w:type="dxa"/>
          </w:tcPr>
          <w:p w:rsidR="00F951F1" w:rsidRDefault="00F951F1" w:rsidP="00F951F1">
            <w:pPr>
              <w:rPr>
                <w:b/>
              </w:rPr>
            </w:pPr>
          </w:p>
          <w:p w:rsidR="00F951F1" w:rsidRDefault="00F951F1" w:rsidP="00F951F1">
            <w:pPr>
              <w:rPr>
                <w:b/>
              </w:rPr>
            </w:pPr>
            <w:r>
              <w:rPr>
                <w:b/>
              </w:rPr>
              <w:t>Date Adopted/</w:t>
            </w:r>
          </w:p>
          <w:p w:rsidR="00F951F1" w:rsidRDefault="00F951F1" w:rsidP="00F951F1">
            <w:pPr>
              <w:rPr>
                <w:b/>
              </w:rPr>
            </w:pPr>
            <w:r>
              <w:rPr>
                <w:b/>
              </w:rPr>
              <w:t>Revised</w:t>
            </w:r>
          </w:p>
          <w:p w:rsidR="00F951F1" w:rsidRDefault="00F951F1" w:rsidP="00F951F1"/>
        </w:tc>
        <w:tc>
          <w:tcPr>
            <w:tcW w:w="8028" w:type="dxa"/>
          </w:tcPr>
          <w:p w:rsidR="00F951F1" w:rsidRDefault="00F951F1" w:rsidP="00F951F1">
            <w:pPr>
              <w:tabs>
                <w:tab w:val="left" w:pos="-413"/>
                <w:tab w:val="left" w:pos="123"/>
              </w:tabs>
              <w:ind w:left="-413" w:right="105"/>
            </w:pPr>
            <w:r>
              <w:t xml:space="preserve">No </w:t>
            </w:r>
          </w:p>
          <w:p w:rsidR="00F951F1" w:rsidRDefault="00F951F1" w:rsidP="00EA6675">
            <w:pPr>
              <w:tabs>
                <w:tab w:val="left" w:pos="-413"/>
                <w:tab w:val="left" w:pos="123"/>
              </w:tabs>
              <w:ind w:left="-413" w:right="105"/>
            </w:pPr>
            <w:r>
              <w:t xml:space="preserve">No     November 18, </w:t>
            </w:r>
            <w:r w:rsidRPr="00225802">
              <w:t>2016</w:t>
            </w:r>
            <w:r>
              <w:t>,</w:t>
            </w:r>
            <w:r w:rsidRPr="00225802">
              <w:t xml:space="preserve"> Amended June 16, 2017</w:t>
            </w:r>
            <w:r>
              <w:t>,</w:t>
            </w:r>
            <w:r w:rsidRPr="008B4C1B">
              <w:rPr>
                <w:b/>
              </w:rPr>
              <w:t xml:space="preserve"> </w:t>
            </w:r>
            <w:r w:rsidR="00641416" w:rsidRPr="008B4C1B">
              <w:rPr>
                <w:b/>
              </w:rPr>
              <w:t>Revised</w:t>
            </w:r>
            <w:r w:rsidR="00641416">
              <w:t xml:space="preserve"> </w:t>
            </w:r>
            <w:r w:rsidR="00EA6675">
              <w:t>June 15</w:t>
            </w:r>
            <w:r>
              <w:t>, 2018</w:t>
            </w:r>
          </w:p>
        </w:tc>
      </w:tr>
      <w:tr w:rsidR="00F951F1" w:rsidTr="00957B21">
        <w:tc>
          <w:tcPr>
            <w:tcW w:w="1548" w:type="dxa"/>
          </w:tcPr>
          <w:p w:rsidR="00186D3D" w:rsidRDefault="00186D3D" w:rsidP="00F951F1">
            <w:pPr>
              <w:rPr>
                <w:b/>
              </w:rPr>
            </w:pPr>
          </w:p>
          <w:p w:rsidR="00F951F1" w:rsidRDefault="00F951F1" w:rsidP="00F951F1">
            <w:pPr>
              <w:rPr>
                <w:b/>
              </w:rPr>
            </w:pPr>
            <w:r>
              <w:rPr>
                <w:b/>
              </w:rPr>
              <w:t>General Statement of Policy</w:t>
            </w:r>
          </w:p>
          <w:p w:rsidR="00F951F1" w:rsidRDefault="00F951F1" w:rsidP="00F951F1">
            <w:pPr>
              <w:rPr>
                <w:b/>
              </w:rPr>
            </w:pPr>
          </w:p>
        </w:tc>
        <w:tc>
          <w:tcPr>
            <w:tcW w:w="8028" w:type="dxa"/>
          </w:tcPr>
          <w:p w:rsidR="007E3513" w:rsidRDefault="009068B3" w:rsidP="007E3513">
            <w:pPr>
              <w:shd w:val="clear" w:color="auto" w:fill="FFFFFF"/>
              <w:spacing w:before="300" w:after="300"/>
              <w:rPr>
                <w:szCs w:val="24"/>
              </w:rPr>
            </w:pPr>
            <w:r>
              <w:rPr>
                <w:szCs w:val="24"/>
              </w:rPr>
              <w:t>The Board’s miss</w:t>
            </w:r>
            <w:r w:rsidR="006A6D6A">
              <w:rPr>
                <w:szCs w:val="24"/>
              </w:rPr>
              <w:t xml:space="preserve">ion is to protect the public.  </w:t>
            </w:r>
            <w:r>
              <w:rPr>
                <w:szCs w:val="24"/>
              </w:rPr>
              <w:t>Pursuant to M.G.L.c 112 § 115, it</w:t>
            </w:r>
            <w:r w:rsidR="00ED57AA">
              <w:rPr>
                <w:szCs w:val="24"/>
              </w:rPr>
              <w:t xml:space="preserve"> i</w:t>
            </w:r>
            <w:r>
              <w:rPr>
                <w:szCs w:val="24"/>
              </w:rPr>
              <w:t>s the Board’s responsibility to (a) establish</w:t>
            </w:r>
            <w:r w:rsidR="006A6D6A">
              <w:rPr>
                <w:szCs w:val="24"/>
              </w:rPr>
              <w:t xml:space="preserve"> minimum requirements</w:t>
            </w:r>
            <w:r>
              <w:rPr>
                <w:szCs w:val="24"/>
              </w:rPr>
              <w:t xml:space="preserve"> </w:t>
            </w:r>
            <w:r w:rsidR="006A6D6A">
              <w:rPr>
                <w:szCs w:val="24"/>
              </w:rPr>
              <w:t>(</w:t>
            </w:r>
            <w:r>
              <w:rPr>
                <w:szCs w:val="24"/>
              </w:rPr>
              <w:t>standards</w:t>
            </w:r>
            <w:r w:rsidR="006A6D6A">
              <w:rPr>
                <w:szCs w:val="24"/>
              </w:rPr>
              <w:t>)</w:t>
            </w:r>
            <w:r>
              <w:rPr>
                <w:szCs w:val="24"/>
              </w:rPr>
              <w:t xml:space="preserve"> for </w:t>
            </w:r>
            <w:r w:rsidR="007E3513">
              <w:rPr>
                <w:szCs w:val="24"/>
              </w:rPr>
              <w:t>Nursing Home Administrator</w:t>
            </w:r>
            <w:r w:rsidR="00ED57AA">
              <w:rPr>
                <w:szCs w:val="24"/>
              </w:rPr>
              <w:t xml:space="preserve"> </w:t>
            </w:r>
            <w:r>
              <w:rPr>
                <w:szCs w:val="24"/>
              </w:rPr>
              <w:t xml:space="preserve">licensing, (b) establish </w:t>
            </w:r>
            <w:r w:rsidR="006A6D6A">
              <w:rPr>
                <w:szCs w:val="24"/>
              </w:rPr>
              <w:t>practice sta</w:t>
            </w:r>
            <w:r>
              <w:rPr>
                <w:szCs w:val="24"/>
              </w:rPr>
              <w:t>ndards</w:t>
            </w:r>
            <w:r w:rsidR="00ED57AA">
              <w:rPr>
                <w:szCs w:val="24"/>
              </w:rPr>
              <w:t xml:space="preserve"> for </w:t>
            </w:r>
            <w:r w:rsidR="007E3513">
              <w:rPr>
                <w:szCs w:val="24"/>
              </w:rPr>
              <w:t>Nursing Home Administrator</w:t>
            </w:r>
            <w:r w:rsidR="00ED57AA">
              <w:rPr>
                <w:szCs w:val="24"/>
              </w:rPr>
              <w:t>s</w:t>
            </w:r>
            <w:r>
              <w:rPr>
                <w:szCs w:val="24"/>
              </w:rPr>
              <w:t>, and (</w:t>
            </w:r>
            <w:r w:rsidR="006A6D6A">
              <w:rPr>
                <w:szCs w:val="24"/>
              </w:rPr>
              <w:t>c</w:t>
            </w:r>
            <w:r>
              <w:rPr>
                <w:szCs w:val="24"/>
              </w:rPr>
              <w:t>) investigate complaints</w:t>
            </w:r>
            <w:r w:rsidR="00ED57AA">
              <w:rPr>
                <w:szCs w:val="24"/>
              </w:rPr>
              <w:t xml:space="preserve"> against </w:t>
            </w:r>
            <w:r w:rsidR="007E3513">
              <w:rPr>
                <w:szCs w:val="24"/>
              </w:rPr>
              <w:t>Nursing Home Administrator</w:t>
            </w:r>
            <w:r w:rsidR="00DD15FB">
              <w:rPr>
                <w:szCs w:val="24"/>
              </w:rPr>
              <w:t>s</w:t>
            </w:r>
            <w:r>
              <w:rPr>
                <w:szCs w:val="24"/>
              </w:rPr>
              <w:t xml:space="preserve">. </w:t>
            </w:r>
            <w:r w:rsidR="00ED57AA">
              <w:rPr>
                <w:szCs w:val="24"/>
              </w:rPr>
              <w:t xml:space="preserve"> Therefore, </w:t>
            </w:r>
            <w:r w:rsidR="00BB50D9">
              <w:rPr>
                <w:szCs w:val="24"/>
              </w:rPr>
              <w:t>in fulfilling its responsibility to investigate complaints, the Board retains for itself the sole authority to resolve the following:</w:t>
            </w:r>
          </w:p>
          <w:p w:rsidR="00BB50D9" w:rsidRPr="007E3513" w:rsidRDefault="00BB50D9" w:rsidP="007E3513">
            <w:pPr>
              <w:pStyle w:val="ListParagraph"/>
              <w:numPr>
                <w:ilvl w:val="0"/>
                <w:numId w:val="14"/>
              </w:numPr>
              <w:shd w:val="clear" w:color="auto" w:fill="FFFFFF"/>
              <w:spacing w:before="300" w:after="300"/>
              <w:rPr>
                <w:szCs w:val="24"/>
              </w:rPr>
            </w:pPr>
            <w:r w:rsidRPr="007E3513">
              <w:rPr>
                <w:szCs w:val="24"/>
              </w:rPr>
              <w:t xml:space="preserve">Any allegations filed by </w:t>
            </w:r>
            <w:r w:rsidRPr="007E3513">
              <w:rPr>
                <w:b/>
                <w:szCs w:val="24"/>
              </w:rPr>
              <w:t>consumers</w:t>
            </w:r>
            <w:r>
              <w:rPr>
                <w:rStyle w:val="FootnoteReference"/>
                <w:szCs w:val="24"/>
              </w:rPr>
              <w:footnoteReference w:id="5"/>
            </w:r>
            <w:r w:rsidRPr="007E3513">
              <w:rPr>
                <w:szCs w:val="24"/>
              </w:rPr>
              <w:t xml:space="preserve"> against a </w:t>
            </w:r>
            <w:r w:rsidR="007E3513" w:rsidRPr="007E3513">
              <w:rPr>
                <w:szCs w:val="24"/>
              </w:rPr>
              <w:t>Nursing Home Administrator</w:t>
            </w:r>
            <w:r w:rsidRPr="007E3513">
              <w:rPr>
                <w:szCs w:val="24"/>
              </w:rPr>
              <w:t xml:space="preserve"> shall be investigated and brought to the Board at a monthly </w:t>
            </w:r>
            <w:r w:rsidRPr="007E3513">
              <w:rPr>
                <w:szCs w:val="24"/>
              </w:rPr>
              <w:lastRenderedPageBreak/>
              <w:t xml:space="preserve">board meeting for the Board to determine (a) if the </w:t>
            </w:r>
            <w:r w:rsidR="007E3513" w:rsidRPr="007E3513">
              <w:rPr>
                <w:szCs w:val="24"/>
              </w:rPr>
              <w:t>Nursing Home Administrator</w:t>
            </w:r>
            <w:r w:rsidRPr="007E3513">
              <w:rPr>
                <w:szCs w:val="24"/>
              </w:rPr>
              <w:t xml:space="preserve"> violated a statute, board regulation, or standard of care, and (b) what sanction, if any is appropriate. </w:t>
            </w:r>
          </w:p>
          <w:p w:rsidR="00077A51" w:rsidRDefault="00077A51" w:rsidP="00077A51">
            <w:pPr>
              <w:pStyle w:val="BodyText"/>
              <w:tabs>
                <w:tab w:val="left" w:pos="2097"/>
              </w:tabs>
              <w:spacing w:before="69" w:line="260" w:lineRule="auto"/>
              <w:ind w:left="720" w:right="115"/>
              <w:rPr>
                <w:rFonts w:ascii="Times New Roman" w:hAnsi="Times New Roman"/>
                <w:szCs w:val="24"/>
              </w:rPr>
            </w:pPr>
          </w:p>
          <w:p w:rsidR="00BB50D9" w:rsidRDefault="00BB50D9" w:rsidP="00077A51">
            <w:pPr>
              <w:pStyle w:val="BodyText"/>
              <w:numPr>
                <w:ilvl w:val="0"/>
                <w:numId w:val="14"/>
              </w:numPr>
              <w:tabs>
                <w:tab w:val="left" w:pos="2097"/>
              </w:tabs>
              <w:spacing w:before="69" w:line="260" w:lineRule="auto"/>
              <w:ind w:right="115"/>
              <w:rPr>
                <w:rFonts w:ascii="Times New Roman" w:hAnsi="Times New Roman"/>
                <w:szCs w:val="24"/>
              </w:rPr>
            </w:pPr>
            <w:r>
              <w:rPr>
                <w:rFonts w:ascii="Times New Roman" w:hAnsi="Times New Roman"/>
                <w:szCs w:val="24"/>
              </w:rPr>
              <w:t xml:space="preserve">All survey reports that make a finding of </w:t>
            </w:r>
            <w:r w:rsidRPr="00186D3D">
              <w:rPr>
                <w:rFonts w:ascii="Times New Roman" w:hAnsi="Times New Roman"/>
                <w:b/>
                <w:szCs w:val="24"/>
              </w:rPr>
              <w:t>Immediate Jeopardy</w:t>
            </w:r>
            <w:r>
              <w:rPr>
                <w:rFonts w:ascii="Times New Roman" w:hAnsi="Times New Roman"/>
                <w:szCs w:val="24"/>
              </w:rPr>
              <w:t xml:space="preserve"> as defined by the Centers for Medicaid and Medicare Services (CMS) shall be investigated and brought to the Board at a monthly board meeting for the Board to determine (a) if the </w:t>
            </w:r>
            <w:r w:rsidR="007E3513">
              <w:rPr>
                <w:rFonts w:ascii="Times New Roman" w:hAnsi="Times New Roman"/>
                <w:szCs w:val="24"/>
              </w:rPr>
              <w:t>Nursing Home Administrator</w:t>
            </w:r>
            <w:r>
              <w:rPr>
                <w:rFonts w:ascii="Times New Roman" w:hAnsi="Times New Roman"/>
                <w:szCs w:val="24"/>
              </w:rPr>
              <w:t xml:space="preserve"> violated a statute, board regulation, or standard of care, and (b) what sanction, if any is appropriate.</w:t>
            </w:r>
          </w:p>
          <w:p w:rsidR="00077A51" w:rsidRDefault="00077A51" w:rsidP="00077A51">
            <w:pPr>
              <w:pStyle w:val="BodyText"/>
              <w:tabs>
                <w:tab w:val="left" w:pos="2097"/>
              </w:tabs>
              <w:spacing w:before="69" w:line="260" w:lineRule="auto"/>
              <w:ind w:right="115"/>
              <w:rPr>
                <w:rFonts w:ascii="Times New Roman" w:hAnsi="Times New Roman"/>
                <w:szCs w:val="24"/>
              </w:rPr>
            </w:pPr>
          </w:p>
          <w:p w:rsidR="00BB50D9" w:rsidRDefault="00BB50D9" w:rsidP="00BB50D9">
            <w:pPr>
              <w:pStyle w:val="BodyText"/>
              <w:numPr>
                <w:ilvl w:val="0"/>
                <w:numId w:val="14"/>
              </w:numPr>
              <w:tabs>
                <w:tab w:val="left" w:pos="2097"/>
              </w:tabs>
              <w:spacing w:before="69" w:line="260" w:lineRule="auto"/>
              <w:ind w:right="115"/>
              <w:rPr>
                <w:rFonts w:ascii="Times New Roman" w:hAnsi="Times New Roman"/>
                <w:szCs w:val="24"/>
              </w:rPr>
            </w:pPr>
            <w:r>
              <w:rPr>
                <w:rFonts w:ascii="Times New Roman" w:hAnsi="Times New Roman"/>
                <w:szCs w:val="24"/>
              </w:rPr>
              <w:t xml:space="preserve">All survey reports that make a finding of </w:t>
            </w:r>
            <w:r w:rsidRPr="00186D3D">
              <w:rPr>
                <w:rFonts w:ascii="Times New Roman" w:hAnsi="Times New Roman"/>
                <w:b/>
                <w:szCs w:val="24"/>
              </w:rPr>
              <w:t>Substandard Quality of Care</w:t>
            </w:r>
            <w:r>
              <w:rPr>
                <w:rFonts w:ascii="Times New Roman" w:hAnsi="Times New Roman"/>
                <w:szCs w:val="24"/>
              </w:rPr>
              <w:t xml:space="preserve"> as defined by the Centers for Medicaid and Medicare Services (CMS) shall be investigated and brought to the Board at a monthly board meeting for the Board to determine (a) if the </w:t>
            </w:r>
            <w:r w:rsidR="007E3513">
              <w:rPr>
                <w:rFonts w:ascii="Times New Roman" w:hAnsi="Times New Roman"/>
                <w:szCs w:val="24"/>
              </w:rPr>
              <w:t>Nursing Home Administrator</w:t>
            </w:r>
            <w:r>
              <w:rPr>
                <w:rFonts w:ascii="Times New Roman" w:hAnsi="Times New Roman"/>
                <w:szCs w:val="24"/>
              </w:rPr>
              <w:t xml:space="preserve"> violated a statute, board regulation, or standard of care, and (b) what sanction, if any is appropriate.</w:t>
            </w:r>
            <w:r w:rsidR="00077A51">
              <w:rPr>
                <w:rFonts w:ascii="Times New Roman" w:hAnsi="Times New Roman"/>
                <w:szCs w:val="24"/>
              </w:rPr>
              <w:br/>
            </w:r>
          </w:p>
          <w:p w:rsidR="007D5322" w:rsidRDefault="007D5322" w:rsidP="00BB50D9">
            <w:pPr>
              <w:pStyle w:val="BodyText"/>
              <w:numPr>
                <w:ilvl w:val="0"/>
                <w:numId w:val="14"/>
              </w:numPr>
              <w:tabs>
                <w:tab w:val="left" w:pos="2097"/>
              </w:tabs>
              <w:spacing w:before="69" w:line="260" w:lineRule="auto"/>
              <w:ind w:right="115"/>
              <w:rPr>
                <w:rFonts w:ascii="Times New Roman" w:hAnsi="Times New Roman"/>
                <w:szCs w:val="24"/>
              </w:rPr>
            </w:pPr>
            <w:r>
              <w:rPr>
                <w:rFonts w:ascii="Times New Roman" w:hAnsi="Times New Roman"/>
                <w:szCs w:val="24"/>
              </w:rPr>
              <w:t>All survey reports that make a finding that the facility failed to report or investigate allegations made under the Patient Abuse Law, Massachusetts General Laws Chapter 111, sections 72F-72L shall be investigated and brought to the Board at a monthly board meeting for the Board to determine (a) if the Nursing Home Administrator violated a statute, board regulation, or standard of care, and (b) what sanction, if any is appropriate.</w:t>
            </w:r>
          </w:p>
          <w:p w:rsidR="00186D3D" w:rsidRPr="00BC5599" w:rsidRDefault="00186D3D" w:rsidP="00BB50D9">
            <w:pPr>
              <w:pStyle w:val="BodyText"/>
              <w:tabs>
                <w:tab w:val="left" w:pos="2097"/>
              </w:tabs>
              <w:spacing w:before="69" w:line="260" w:lineRule="auto"/>
              <w:ind w:right="115"/>
              <w:rPr>
                <w:rFonts w:ascii="Times New Roman" w:hAnsi="Times New Roman"/>
                <w:szCs w:val="24"/>
              </w:rPr>
            </w:pPr>
          </w:p>
        </w:tc>
      </w:tr>
      <w:tr w:rsidR="00957B21" w:rsidTr="00957B21">
        <w:tc>
          <w:tcPr>
            <w:tcW w:w="1548" w:type="dxa"/>
          </w:tcPr>
          <w:p w:rsidR="00957B21" w:rsidRDefault="00957B21" w:rsidP="00F951F1">
            <w:pPr>
              <w:rPr>
                <w:b/>
              </w:rPr>
            </w:pPr>
          </w:p>
          <w:p w:rsidR="00957B21" w:rsidRPr="00957B21" w:rsidRDefault="00957B21" w:rsidP="00F951F1">
            <w:pPr>
              <w:rPr>
                <w:b/>
                <w:sz w:val="22"/>
                <w:szCs w:val="22"/>
              </w:rPr>
            </w:pPr>
            <w:r w:rsidRPr="00957B21">
              <w:rPr>
                <w:b/>
                <w:sz w:val="22"/>
                <w:szCs w:val="22"/>
              </w:rPr>
              <w:t xml:space="preserve">Staff Authority to </w:t>
            </w:r>
          </w:p>
          <w:p w:rsidR="00957B21" w:rsidRDefault="00957B21" w:rsidP="00F951F1">
            <w:pPr>
              <w:rPr>
                <w:b/>
              </w:rPr>
            </w:pPr>
            <w:r w:rsidRPr="00957B21">
              <w:rPr>
                <w:b/>
                <w:sz w:val="22"/>
                <w:szCs w:val="22"/>
              </w:rPr>
              <w:t>Close Investigations</w:t>
            </w:r>
          </w:p>
        </w:tc>
        <w:tc>
          <w:tcPr>
            <w:tcW w:w="8028" w:type="dxa"/>
          </w:tcPr>
          <w:p w:rsidR="00957B21" w:rsidRDefault="00957B21" w:rsidP="00957B21">
            <w:pPr>
              <w:shd w:val="clear" w:color="auto" w:fill="FFFFFF"/>
              <w:spacing w:before="300" w:after="300"/>
            </w:pPr>
            <w:r>
              <w:rPr>
                <w:szCs w:val="24"/>
              </w:rPr>
              <w:t xml:space="preserve">The Board authorizes Board staff to close the investigation with no further action, </w:t>
            </w:r>
            <w:r>
              <w:t>for any of the following reasons:</w:t>
            </w:r>
          </w:p>
          <w:p w:rsidR="00957B21" w:rsidRDefault="00957B21" w:rsidP="00957B21">
            <w:pPr>
              <w:ind w:left="684" w:hanging="342"/>
            </w:pPr>
            <w:r>
              <w:t>1.  The complaint is outside the jurisdiction of the Board.</w:t>
            </w:r>
          </w:p>
          <w:p w:rsidR="00957B21" w:rsidRDefault="00957B21" w:rsidP="00957B21"/>
          <w:p w:rsidR="00957B21" w:rsidRDefault="00957B21" w:rsidP="00957B21">
            <w:pPr>
              <w:ind w:left="684" w:hanging="342"/>
            </w:pPr>
            <w:r>
              <w:t>2.  The complaint investigation yields no evidence, or insufficient evidence, to prove any violation of a Board statute or regulation at 245 CMR 3.00, 4.00, 5.00 or 6.00.</w:t>
            </w:r>
          </w:p>
          <w:p w:rsidR="00957B21" w:rsidRDefault="00957B21" w:rsidP="00957B21">
            <w:pPr>
              <w:ind w:left="684" w:hanging="342"/>
            </w:pPr>
          </w:p>
          <w:p w:rsidR="00957B21" w:rsidRPr="00957B21" w:rsidRDefault="00957B21" w:rsidP="00957B21">
            <w:pPr>
              <w:ind w:left="684" w:hanging="342"/>
            </w:pPr>
            <w:r>
              <w:t xml:space="preserve">3.  </w:t>
            </w:r>
            <w:r>
              <w:rPr>
                <w:szCs w:val="24"/>
              </w:rPr>
              <w:t>When the Board receives a report of a facility survey that reveals deficiencies that pose no great risk to resident health and safety and all deficiencies are corrected on or before the follow up survey, the Board staff may close the investigation with no further action, provided that</w:t>
            </w:r>
            <w:r w:rsidR="00077A51">
              <w:rPr>
                <w:szCs w:val="24"/>
              </w:rPr>
              <w:br/>
            </w:r>
          </w:p>
          <w:p w:rsidR="007D5322" w:rsidRDefault="007D5322" w:rsidP="00957B21">
            <w:pPr>
              <w:pStyle w:val="ListParagraph"/>
              <w:numPr>
                <w:ilvl w:val="0"/>
                <w:numId w:val="16"/>
              </w:numPr>
            </w:pPr>
            <w:r>
              <w:lastRenderedPageBreak/>
              <w:t>The finding does not involve a duty specifically the responsibility of the administrator such as but not limited to reporting alleged violations of the Patient Abuse Law or reportable incidents to the Department, or providing timely notification of pending closure as required by state and federal law;</w:t>
            </w:r>
            <w:r w:rsidR="00077A51">
              <w:br/>
            </w:r>
          </w:p>
          <w:p w:rsidR="00957B21" w:rsidRDefault="00957B21" w:rsidP="00957B21">
            <w:pPr>
              <w:pStyle w:val="ListParagraph"/>
              <w:numPr>
                <w:ilvl w:val="0"/>
                <w:numId w:val="16"/>
              </w:numPr>
            </w:pPr>
            <w:r w:rsidRPr="00957B21">
              <w:t xml:space="preserve">there is no history of previous Board investigation of  the </w:t>
            </w:r>
            <w:r w:rsidR="007E3513">
              <w:t>Nursing Home Administrator</w:t>
            </w:r>
            <w:r w:rsidRPr="00957B21">
              <w:t xml:space="preserve">; </w:t>
            </w:r>
          </w:p>
          <w:p w:rsidR="00077A51" w:rsidRDefault="00077A51" w:rsidP="00077A51">
            <w:pPr>
              <w:pStyle w:val="ListParagraph"/>
            </w:pPr>
          </w:p>
          <w:p w:rsidR="00957B21" w:rsidRDefault="00957B21" w:rsidP="00077A51">
            <w:pPr>
              <w:pStyle w:val="ListParagraph"/>
              <w:numPr>
                <w:ilvl w:val="0"/>
                <w:numId w:val="16"/>
              </w:numPr>
            </w:pPr>
            <w:r w:rsidRPr="00957B21">
              <w:t xml:space="preserve">there are no unrelated pending staff assignments, investigations or complaints against the </w:t>
            </w:r>
            <w:r w:rsidR="007E3513">
              <w:t>Nursing Home Administrator</w:t>
            </w:r>
            <w:r w:rsidRPr="00957B21">
              <w:t>;</w:t>
            </w:r>
            <w:r>
              <w:t xml:space="preserve"> </w:t>
            </w:r>
            <w:r w:rsidR="00077A51">
              <w:br/>
            </w:r>
          </w:p>
          <w:p w:rsidR="00957B21" w:rsidRDefault="00957B21" w:rsidP="00957B21">
            <w:pPr>
              <w:pStyle w:val="ListParagraph"/>
              <w:numPr>
                <w:ilvl w:val="0"/>
                <w:numId w:val="16"/>
              </w:numPr>
            </w:pPr>
            <w:r w:rsidRPr="00957B21">
              <w:t xml:space="preserve">the </w:t>
            </w:r>
            <w:r w:rsidR="007E3513">
              <w:t>Nursing Home Administrator</w:t>
            </w:r>
            <w:r w:rsidRPr="00957B21">
              <w:t xml:space="preserve"> acknowledges the conduct; and</w:t>
            </w:r>
            <w:r w:rsidR="00077A51">
              <w:br/>
            </w:r>
          </w:p>
          <w:p w:rsidR="00957B21" w:rsidRDefault="00957B21" w:rsidP="007E3513">
            <w:pPr>
              <w:pStyle w:val="ListParagraph"/>
              <w:numPr>
                <w:ilvl w:val="0"/>
                <w:numId w:val="16"/>
              </w:numPr>
            </w:pPr>
            <w:proofErr w:type="gramStart"/>
            <w:r w:rsidRPr="00957B21">
              <w:t>the</w:t>
            </w:r>
            <w:proofErr w:type="gramEnd"/>
            <w:r w:rsidRPr="00957B21">
              <w:t xml:space="preserve"> </w:t>
            </w:r>
            <w:r w:rsidR="007E3513">
              <w:t>Nursing Home Administrator</w:t>
            </w:r>
            <w:r w:rsidRPr="00957B21">
              <w:t xml:space="preserve"> is in compliance with continuing education regulations.</w:t>
            </w:r>
          </w:p>
          <w:p w:rsidR="007E3513" w:rsidRPr="007E3513" w:rsidRDefault="007E3513" w:rsidP="007E3513">
            <w:pPr>
              <w:pStyle w:val="ListParagraph"/>
              <w:ind w:left="1020"/>
            </w:pPr>
          </w:p>
        </w:tc>
      </w:tr>
      <w:tr w:rsidR="00957B21" w:rsidTr="00957B21">
        <w:tc>
          <w:tcPr>
            <w:tcW w:w="1548" w:type="dxa"/>
          </w:tcPr>
          <w:p w:rsidR="008B4C1B" w:rsidRDefault="008B4C1B" w:rsidP="00F951F1">
            <w:pPr>
              <w:rPr>
                <w:b/>
              </w:rPr>
            </w:pPr>
          </w:p>
          <w:p w:rsidR="00957B21" w:rsidRDefault="008B4C1B" w:rsidP="00F951F1">
            <w:pPr>
              <w:rPr>
                <w:b/>
              </w:rPr>
            </w:pPr>
            <w:r>
              <w:rPr>
                <w:b/>
              </w:rPr>
              <w:t>Report to Board</w:t>
            </w:r>
          </w:p>
        </w:tc>
        <w:tc>
          <w:tcPr>
            <w:tcW w:w="8028" w:type="dxa"/>
          </w:tcPr>
          <w:p w:rsidR="00957B21" w:rsidRDefault="008B4C1B" w:rsidP="008B4C1B">
            <w:pPr>
              <w:shd w:val="clear" w:color="auto" w:fill="FFFFFF"/>
              <w:spacing w:before="300" w:after="300"/>
              <w:rPr>
                <w:szCs w:val="24"/>
              </w:rPr>
            </w:pPr>
            <w:r>
              <w:t>At the next scheduled Board meeting, Board staff shall submit a report to the Board listing all actions taken pursuant to this policy since the prior Board meeting.</w:t>
            </w:r>
          </w:p>
        </w:tc>
      </w:tr>
    </w:tbl>
    <w:p w:rsidR="00957B21" w:rsidRPr="00957B21" w:rsidRDefault="00957B21" w:rsidP="007E3513">
      <w:pPr>
        <w:tabs>
          <w:tab w:val="num" w:pos="1206"/>
        </w:tabs>
      </w:pPr>
      <w:r w:rsidRPr="00957B21">
        <w:t xml:space="preserve">  </w:t>
      </w:r>
    </w:p>
    <w:p w:rsidR="00AD29A0" w:rsidRPr="00A950C0" w:rsidRDefault="00AD29A0" w:rsidP="008B4C1B">
      <w:pPr>
        <w:shd w:val="clear" w:color="auto" w:fill="FFFFFF"/>
        <w:spacing w:before="300" w:after="300"/>
        <w:rPr>
          <w:szCs w:val="24"/>
        </w:rPr>
      </w:pPr>
    </w:p>
    <w:sectPr w:rsidR="00AD29A0" w:rsidRPr="00A950C0" w:rsidSect="00A17889">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1BD" w:rsidRDefault="00EF21BD" w:rsidP="00A17889">
      <w:r>
        <w:separator/>
      </w:r>
    </w:p>
  </w:endnote>
  <w:endnote w:type="continuationSeparator" w:id="0">
    <w:p w:rsidR="00EF21BD" w:rsidRDefault="00EF21BD" w:rsidP="00A1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13" w:rsidRDefault="007E3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3513" w:rsidRDefault="007E35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697393"/>
      <w:docPartObj>
        <w:docPartGallery w:val="Page Numbers (Bottom of Page)"/>
        <w:docPartUnique/>
      </w:docPartObj>
    </w:sdtPr>
    <w:sdtEndPr/>
    <w:sdtContent>
      <w:sdt>
        <w:sdtPr>
          <w:id w:val="-1669238322"/>
          <w:docPartObj>
            <w:docPartGallery w:val="Page Numbers (Top of Page)"/>
            <w:docPartUnique/>
          </w:docPartObj>
        </w:sdtPr>
        <w:sdtEndPr/>
        <w:sdtContent>
          <w:p w:rsidR="007E3513" w:rsidRDefault="007E3513">
            <w:pPr>
              <w:pStyle w:val="Footer"/>
              <w:jc w:val="center"/>
            </w:pPr>
            <w:r>
              <w:t xml:space="preserve">Page </w:t>
            </w:r>
            <w:r w:rsidRPr="00966A6D">
              <w:rPr>
                <w:bCs/>
                <w:szCs w:val="24"/>
              </w:rPr>
              <w:fldChar w:fldCharType="begin"/>
            </w:r>
            <w:r w:rsidRPr="00966A6D">
              <w:rPr>
                <w:bCs/>
              </w:rPr>
              <w:instrText xml:space="preserve"> PAGE </w:instrText>
            </w:r>
            <w:r w:rsidRPr="00966A6D">
              <w:rPr>
                <w:bCs/>
                <w:szCs w:val="24"/>
              </w:rPr>
              <w:fldChar w:fldCharType="separate"/>
            </w:r>
            <w:r w:rsidR="00706443">
              <w:rPr>
                <w:bCs/>
                <w:noProof/>
              </w:rPr>
              <w:t>1</w:t>
            </w:r>
            <w:r w:rsidRPr="00966A6D">
              <w:rPr>
                <w:bCs/>
                <w:szCs w:val="24"/>
              </w:rPr>
              <w:fldChar w:fldCharType="end"/>
            </w:r>
            <w:r>
              <w:t xml:space="preserve"> of </w:t>
            </w:r>
            <w:r w:rsidRPr="00966A6D">
              <w:rPr>
                <w:bCs/>
                <w:szCs w:val="24"/>
              </w:rPr>
              <w:fldChar w:fldCharType="begin"/>
            </w:r>
            <w:r w:rsidRPr="00966A6D">
              <w:rPr>
                <w:bCs/>
              </w:rPr>
              <w:instrText xml:space="preserve"> NUMPAGES  </w:instrText>
            </w:r>
            <w:r w:rsidRPr="00966A6D">
              <w:rPr>
                <w:bCs/>
                <w:szCs w:val="24"/>
              </w:rPr>
              <w:fldChar w:fldCharType="separate"/>
            </w:r>
            <w:r w:rsidR="00706443">
              <w:rPr>
                <w:bCs/>
                <w:noProof/>
              </w:rPr>
              <w:t>3</w:t>
            </w:r>
            <w:r w:rsidRPr="00966A6D">
              <w:rPr>
                <w:bCs/>
                <w:szCs w:val="24"/>
              </w:rPr>
              <w:fldChar w:fldCharType="end"/>
            </w:r>
          </w:p>
        </w:sdtContent>
      </w:sdt>
    </w:sdtContent>
  </w:sdt>
  <w:p w:rsidR="007E3513" w:rsidRPr="00CE1074" w:rsidRDefault="007E3513" w:rsidP="00F951F1">
    <w:pPr>
      <w:pStyle w:val="Footer"/>
      <w:ind w:right="360"/>
      <w:rPr>
        <w:b/>
        <w:snapToGrid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13" w:rsidRDefault="007E3513">
    <w:pPr>
      <w:pStyle w:val="Footer"/>
      <w:rPr>
        <w:sz w:val="20"/>
      </w:rPr>
    </w:pPr>
    <w:r>
      <w:rPr>
        <w:sz w:val="20"/>
      </w:rPr>
      <w:t>Draft proposed revisions</w:t>
    </w:r>
  </w:p>
  <w:p w:rsidR="007E3513" w:rsidRDefault="007E3513">
    <w:pPr>
      <w:pStyle w:val="Footer"/>
      <w:rPr>
        <w:sz w:val="20"/>
      </w:rPr>
    </w:pPr>
    <w:r>
      <w:rPr>
        <w:sz w:val="20"/>
      </w:rPr>
      <w:t>Board review 9-12-2001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1BD" w:rsidRDefault="00EF21BD" w:rsidP="00A17889">
      <w:r>
        <w:separator/>
      </w:r>
    </w:p>
  </w:footnote>
  <w:footnote w:type="continuationSeparator" w:id="0">
    <w:p w:rsidR="00EF21BD" w:rsidRDefault="00EF21BD" w:rsidP="00A17889">
      <w:r>
        <w:continuationSeparator/>
      </w:r>
    </w:p>
  </w:footnote>
  <w:footnote w:id="1">
    <w:p w:rsidR="007E3513" w:rsidRPr="00130692" w:rsidRDefault="007E3513" w:rsidP="00130692">
      <w:pPr>
        <w:rPr>
          <w:sz w:val="20"/>
        </w:rPr>
      </w:pPr>
      <w:r w:rsidRPr="008B4C1B">
        <w:rPr>
          <w:sz w:val="16"/>
          <w:szCs w:val="16"/>
        </w:rPr>
        <w:footnoteRef/>
      </w:r>
      <w:r w:rsidRPr="008B4C1B">
        <w:rPr>
          <w:sz w:val="16"/>
          <w:szCs w:val="16"/>
        </w:rPr>
        <w:t xml:space="preserve"> </w:t>
      </w:r>
      <w:r w:rsidRPr="00130692">
        <w:rPr>
          <w:sz w:val="20"/>
        </w:rPr>
        <w:t xml:space="preserve">Pursuant to the Code of Federal Regulations at 42 C.F.R. §488.301, Standard Survey means a periodic </w:t>
      </w:r>
      <w:hyperlink r:id="rId1" w:history="1">
        <w:r w:rsidRPr="00130692">
          <w:rPr>
            <w:sz w:val="20"/>
          </w:rPr>
          <w:t>resident</w:t>
        </w:r>
      </w:hyperlink>
      <w:r w:rsidRPr="00130692">
        <w:rPr>
          <w:sz w:val="20"/>
        </w:rPr>
        <w:t>-centered inspection which gathers information about the </w:t>
      </w:r>
      <w:hyperlink r:id="rId2" w:history="1">
        <w:r w:rsidRPr="00130692">
          <w:rPr>
            <w:sz w:val="20"/>
          </w:rPr>
          <w:t>quality</w:t>
        </w:r>
      </w:hyperlink>
      <w:r w:rsidRPr="00130692">
        <w:rPr>
          <w:sz w:val="20"/>
        </w:rPr>
        <w:t> of service furnished in a </w:t>
      </w:r>
      <w:hyperlink r:id="rId3" w:history="1">
        <w:r w:rsidRPr="00130692">
          <w:rPr>
            <w:sz w:val="20"/>
          </w:rPr>
          <w:t>facility</w:t>
        </w:r>
      </w:hyperlink>
      <w:r w:rsidRPr="00130692">
        <w:rPr>
          <w:sz w:val="20"/>
        </w:rPr>
        <w:t> to determine compliance with the requirements for participation</w:t>
      </w:r>
      <w:r w:rsidRPr="00130692">
        <w:rPr>
          <w:color w:val="333333"/>
          <w:sz w:val="20"/>
        </w:rPr>
        <w:t>.</w:t>
      </w:r>
      <w:r w:rsidRPr="00130692">
        <w:rPr>
          <w:sz w:val="20"/>
        </w:rPr>
        <w:t xml:space="preserve"> </w:t>
      </w:r>
    </w:p>
  </w:footnote>
  <w:footnote w:id="2">
    <w:p w:rsidR="007E3513" w:rsidRDefault="007E3513" w:rsidP="00130692">
      <w:r w:rsidRPr="00130692">
        <w:rPr>
          <w:rStyle w:val="FootnoteReference"/>
          <w:sz w:val="20"/>
        </w:rPr>
        <w:footnoteRef/>
      </w:r>
      <w:r w:rsidRPr="00130692">
        <w:rPr>
          <w:sz w:val="20"/>
        </w:rPr>
        <w:t xml:space="preserve"> </w:t>
      </w:r>
      <w:r w:rsidRPr="00130692">
        <w:rPr>
          <w:rFonts w:eastAsiaTheme="minorHAnsi"/>
          <w:iCs/>
          <w:color w:val="333333"/>
          <w:sz w:val="20"/>
          <w:shd w:val="clear" w:color="auto" w:fill="FFFFFF"/>
        </w:rPr>
        <w:t>Immediate jeopardy</w:t>
      </w:r>
      <w:r w:rsidRPr="00130692">
        <w:rPr>
          <w:rFonts w:eastAsiaTheme="minorHAnsi"/>
          <w:color w:val="333333"/>
          <w:sz w:val="20"/>
          <w:shd w:val="clear" w:color="auto" w:fill="FFFFFF"/>
        </w:rPr>
        <w:t> means a situation in which the provider's or supplier's non-compliance with one or more requirements, </w:t>
      </w:r>
      <w:hyperlink r:id="rId4" w:history="1">
        <w:r w:rsidRPr="00130692">
          <w:rPr>
            <w:rFonts w:eastAsiaTheme="minorHAnsi"/>
            <w:sz w:val="20"/>
            <w:shd w:val="clear" w:color="auto" w:fill="FFFFFF"/>
          </w:rPr>
          <w:t>conditions of participation</w:t>
        </w:r>
      </w:hyperlink>
      <w:r w:rsidRPr="00130692">
        <w:rPr>
          <w:rFonts w:eastAsiaTheme="minorHAnsi"/>
          <w:color w:val="333333"/>
          <w:sz w:val="20"/>
          <w:shd w:val="clear" w:color="auto" w:fill="FFFFFF"/>
        </w:rPr>
        <w:t>, conditions for coverage, or conditions for certification has caused, or is likely to cause, serious injury, harm, impairment, or death to a resident or</w:t>
      </w:r>
      <w:r w:rsidRPr="00130692">
        <w:rPr>
          <w:rFonts w:eastAsiaTheme="minorHAnsi"/>
          <w:sz w:val="20"/>
          <w:shd w:val="clear" w:color="auto" w:fill="FFFFFF"/>
        </w:rPr>
        <w:t> </w:t>
      </w:r>
      <w:hyperlink r:id="rId5" w:history="1">
        <w:r w:rsidRPr="00130692">
          <w:rPr>
            <w:rFonts w:eastAsiaTheme="minorHAnsi"/>
            <w:sz w:val="20"/>
            <w:shd w:val="clear" w:color="auto" w:fill="FFFFFF"/>
          </w:rPr>
          <w:t>patient</w:t>
        </w:r>
      </w:hyperlink>
      <w:r w:rsidRPr="00130692">
        <w:rPr>
          <w:rFonts w:eastAsiaTheme="minorHAnsi"/>
          <w:sz w:val="20"/>
          <w:shd w:val="clear" w:color="auto" w:fill="FFFFFF"/>
        </w:rPr>
        <w:t>.</w:t>
      </w:r>
    </w:p>
  </w:footnote>
  <w:footnote w:id="3">
    <w:p w:rsidR="007E3513" w:rsidRDefault="007E3513">
      <w:pPr>
        <w:pStyle w:val="FootnoteText"/>
      </w:pPr>
      <w:r>
        <w:rPr>
          <w:rStyle w:val="FootnoteReference"/>
        </w:rPr>
        <w:footnoteRef/>
      </w:r>
      <w:r>
        <w:t xml:space="preserve"> </w:t>
      </w:r>
      <w:r w:rsidRPr="00966A6D">
        <w:rPr>
          <w:rFonts w:eastAsiaTheme="minorHAnsi"/>
          <w:iCs/>
          <w:shd w:val="clear" w:color="auto" w:fill="FFFFFF"/>
        </w:rPr>
        <w:t>Noncompliance</w:t>
      </w:r>
      <w:r w:rsidRPr="00966A6D">
        <w:rPr>
          <w:rFonts w:eastAsiaTheme="minorHAnsi"/>
          <w:shd w:val="clear" w:color="auto" w:fill="FFFFFF"/>
        </w:rPr>
        <w:t> means any </w:t>
      </w:r>
      <w:hyperlink r:id="rId6" w:history="1">
        <w:r w:rsidRPr="00966A6D">
          <w:rPr>
            <w:rFonts w:eastAsiaTheme="minorHAnsi"/>
            <w:shd w:val="clear" w:color="auto" w:fill="FFFFFF"/>
          </w:rPr>
          <w:t>deficiency</w:t>
        </w:r>
      </w:hyperlink>
      <w:r w:rsidRPr="00966A6D">
        <w:rPr>
          <w:rFonts w:eastAsiaTheme="minorHAnsi"/>
          <w:shd w:val="clear" w:color="auto" w:fill="FFFFFF"/>
        </w:rPr>
        <w:t> that causes a </w:t>
      </w:r>
      <w:hyperlink r:id="rId7" w:history="1">
        <w:r w:rsidRPr="00966A6D">
          <w:rPr>
            <w:rFonts w:eastAsiaTheme="minorHAnsi"/>
            <w:shd w:val="clear" w:color="auto" w:fill="FFFFFF"/>
          </w:rPr>
          <w:t>facility</w:t>
        </w:r>
      </w:hyperlink>
      <w:r w:rsidRPr="00966A6D">
        <w:rPr>
          <w:rFonts w:eastAsiaTheme="minorHAnsi"/>
          <w:shd w:val="clear" w:color="auto" w:fill="FFFFFF"/>
        </w:rPr>
        <w:t> to not be in </w:t>
      </w:r>
      <w:hyperlink r:id="rId8" w:history="1">
        <w:r w:rsidRPr="00966A6D">
          <w:rPr>
            <w:rFonts w:eastAsiaTheme="minorHAnsi"/>
            <w:shd w:val="clear" w:color="auto" w:fill="FFFFFF"/>
          </w:rPr>
          <w:t>substantial compliance</w:t>
        </w:r>
      </w:hyperlink>
      <w:r w:rsidRPr="00966A6D">
        <w:rPr>
          <w:rFonts w:eastAsiaTheme="minorHAnsi"/>
          <w:shd w:val="clear" w:color="auto" w:fill="FFFFFF"/>
        </w:rPr>
        <w:t>.  (</w:t>
      </w:r>
      <w:r w:rsidRPr="00966A6D">
        <w:rPr>
          <w:rFonts w:eastAsiaTheme="minorHAnsi"/>
          <w:lang w:val="en"/>
        </w:rPr>
        <w:t>Substantial compliance means a level of compliance with the requirements of participation such that any identified deficiencies pose no greater risk to resident health or safety than the potential for causing minimal harm.)</w:t>
      </w:r>
    </w:p>
  </w:footnote>
  <w:footnote w:id="4">
    <w:p w:rsidR="007E3513" w:rsidRPr="00FD5DEE" w:rsidRDefault="007E3513" w:rsidP="007E3513">
      <w:pPr>
        <w:rPr>
          <w:sz w:val="20"/>
        </w:rPr>
      </w:pPr>
      <w:r w:rsidRPr="00966A6D">
        <w:rPr>
          <w:rStyle w:val="FootnoteReference"/>
          <w:sz w:val="20"/>
        </w:rPr>
        <w:footnoteRef/>
      </w:r>
      <w:r w:rsidR="00FD5DEE" w:rsidRPr="00FD5DEE">
        <w:rPr>
          <w:sz w:val="20"/>
        </w:rPr>
        <w:t xml:space="preserve">Substandard quality of care means one or more deficiencies related to participation requirements under </w:t>
      </w:r>
      <w:hyperlink r:id="rId9" w:tooltip="§ 483.10" w:history="1">
        <w:r w:rsidR="00FD5DEE" w:rsidRPr="00FD5DEE">
          <w:rPr>
            <w:rStyle w:val="Hyperlink"/>
            <w:sz w:val="20"/>
          </w:rPr>
          <w:t>§ 483.10</w:t>
        </w:r>
      </w:hyperlink>
      <w:r w:rsidR="00FD5DEE" w:rsidRPr="00FD5DEE">
        <w:rPr>
          <w:sz w:val="20"/>
        </w:rPr>
        <w:t xml:space="preserve"> “Resident rights”, paragraphs (a)(1) through (a)(2), (b)(1) through (b)(2), (e) (except for (e)(2), (e)(7), and (e)(8)), (f)(1) through (f)(3), (f)(5) through (f)(8), and (i) of this chapter; </w:t>
      </w:r>
      <w:hyperlink r:id="rId10" w:tooltip="§ 483.12" w:history="1">
        <w:r w:rsidR="00FD5DEE" w:rsidRPr="00FD5DEE">
          <w:rPr>
            <w:rStyle w:val="Hyperlink"/>
            <w:sz w:val="20"/>
          </w:rPr>
          <w:t>§ 483.12</w:t>
        </w:r>
      </w:hyperlink>
      <w:r w:rsidR="00FD5DEE" w:rsidRPr="00FD5DEE">
        <w:rPr>
          <w:sz w:val="20"/>
        </w:rPr>
        <w:t xml:space="preserve"> of this chapter “Freedom from </w:t>
      </w:r>
      <w:hyperlink r:id="rId11" w:tooltip="abuse" w:history="1">
        <w:r w:rsidR="00FD5DEE" w:rsidRPr="00FD5DEE">
          <w:rPr>
            <w:rStyle w:val="Hyperlink"/>
            <w:sz w:val="20"/>
          </w:rPr>
          <w:t>abuse</w:t>
        </w:r>
      </w:hyperlink>
      <w:r w:rsidR="00FD5DEE" w:rsidRPr="00FD5DEE">
        <w:rPr>
          <w:sz w:val="20"/>
        </w:rPr>
        <w:t xml:space="preserve">, </w:t>
      </w:r>
      <w:hyperlink r:id="rId12" w:tooltip="neglect" w:history="1">
        <w:r w:rsidR="00FD5DEE" w:rsidRPr="00FD5DEE">
          <w:rPr>
            <w:rStyle w:val="Hyperlink"/>
            <w:sz w:val="20"/>
          </w:rPr>
          <w:t>neglect</w:t>
        </w:r>
      </w:hyperlink>
      <w:r w:rsidR="00FD5DEE" w:rsidRPr="00FD5DEE">
        <w:rPr>
          <w:sz w:val="20"/>
        </w:rPr>
        <w:t xml:space="preserve">, and exploitation”; </w:t>
      </w:r>
      <w:hyperlink r:id="rId13" w:tooltip="§ 483.24" w:history="1">
        <w:r w:rsidR="00FD5DEE" w:rsidRPr="00FD5DEE">
          <w:rPr>
            <w:rStyle w:val="Hyperlink"/>
            <w:sz w:val="20"/>
          </w:rPr>
          <w:t>§ 483.24</w:t>
        </w:r>
      </w:hyperlink>
      <w:r w:rsidR="00FD5DEE" w:rsidRPr="00FD5DEE">
        <w:rPr>
          <w:sz w:val="20"/>
        </w:rPr>
        <w:t xml:space="preserve"> of this chapter “Quality of life”; </w:t>
      </w:r>
      <w:hyperlink r:id="rId14" w:tooltip="§ 483.25" w:history="1">
        <w:r w:rsidR="00FD5DEE" w:rsidRPr="00FD5DEE">
          <w:rPr>
            <w:rStyle w:val="Hyperlink"/>
            <w:sz w:val="20"/>
          </w:rPr>
          <w:t>§ 483.25</w:t>
        </w:r>
      </w:hyperlink>
      <w:r w:rsidR="00FD5DEE" w:rsidRPr="00FD5DEE">
        <w:rPr>
          <w:sz w:val="20"/>
        </w:rPr>
        <w:t xml:space="preserve"> of this chapter “Quality of care”; § 483.40 “Behavioral health services”, paragraphs (b) and (d) of this chapter; § 483.45 “Pharmacy services”, paragraphs (d), (e), and (f) of this chapter; § 483.70 “Administration”, paragraph (p) of this chapter, and § 483.80 “Infection control”, paragraph (d) of this chapter, which constitute either </w:t>
      </w:r>
      <w:hyperlink r:id="rId15" w:tooltip="immediate jeopardy" w:history="1">
        <w:r w:rsidR="00FD5DEE" w:rsidRPr="00FD5DEE">
          <w:rPr>
            <w:rStyle w:val="Hyperlink"/>
            <w:sz w:val="20"/>
          </w:rPr>
          <w:t>immediate jeopardy</w:t>
        </w:r>
      </w:hyperlink>
      <w:r w:rsidR="00FD5DEE" w:rsidRPr="00FD5DEE">
        <w:rPr>
          <w:sz w:val="20"/>
        </w:rPr>
        <w:t xml:space="preserve"> to </w:t>
      </w:r>
      <w:hyperlink r:id="rId16" w:tooltip="resident" w:history="1">
        <w:r w:rsidR="00FD5DEE" w:rsidRPr="00FD5DEE">
          <w:rPr>
            <w:rStyle w:val="Hyperlink"/>
            <w:sz w:val="20"/>
          </w:rPr>
          <w:t>resident</w:t>
        </w:r>
      </w:hyperlink>
      <w:r w:rsidR="00FD5DEE" w:rsidRPr="00FD5DEE">
        <w:rPr>
          <w:sz w:val="20"/>
        </w:rPr>
        <w:t xml:space="preserve"> health or safety; a pattern of or widespread actual harm that is not </w:t>
      </w:r>
      <w:hyperlink r:id="rId17" w:tooltip="immediate jeopardy" w:history="1">
        <w:r w:rsidR="00FD5DEE" w:rsidRPr="00FD5DEE">
          <w:rPr>
            <w:rStyle w:val="Hyperlink"/>
            <w:sz w:val="20"/>
          </w:rPr>
          <w:t>immediate jeopardy</w:t>
        </w:r>
      </w:hyperlink>
      <w:r w:rsidR="00FD5DEE" w:rsidRPr="00FD5DEE">
        <w:rPr>
          <w:sz w:val="20"/>
        </w:rPr>
        <w:t xml:space="preserve">; or a widespread potential for more than minimal harm, but less than </w:t>
      </w:r>
      <w:hyperlink r:id="rId18" w:tooltip="immediate jeopardy" w:history="1">
        <w:r w:rsidR="00FD5DEE" w:rsidRPr="00FD5DEE">
          <w:rPr>
            <w:rStyle w:val="Hyperlink"/>
            <w:sz w:val="20"/>
          </w:rPr>
          <w:t>immediate jeopardy</w:t>
        </w:r>
      </w:hyperlink>
      <w:r w:rsidR="00FD5DEE" w:rsidRPr="00FD5DEE">
        <w:rPr>
          <w:sz w:val="20"/>
        </w:rPr>
        <w:t>, with no actual harm.</w:t>
      </w:r>
    </w:p>
  </w:footnote>
  <w:footnote w:id="5">
    <w:p w:rsidR="007E3513" w:rsidRDefault="007E3513" w:rsidP="00BB50D9">
      <w:pPr>
        <w:pStyle w:val="FootnoteText"/>
      </w:pPr>
      <w:r>
        <w:rPr>
          <w:rStyle w:val="FootnoteReference"/>
        </w:rPr>
        <w:footnoteRef/>
      </w:r>
      <w:r>
        <w:t xml:space="preserve"> </w:t>
      </w:r>
      <w:proofErr w:type="gramStart"/>
      <w:r>
        <w:t>Nursing Home residents, their family members, and others, filing on behalf of a resident.</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13" w:rsidRDefault="007E3513" w:rsidP="00A17889">
    <w:pPr>
      <w:pStyle w:val="Title"/>
    </w:pPr>
    <w:r>
      <w:t>BOARD OF REGISTRATION OF</w:t>
    </w:r>
  </w:p>
  <w:p w:rsidR="007E3513" w:rsidRDefault="007E3513" w:rsidP="00A17889">
    <w:pPr>
      <w:pStyle w:val="Title"/>
    </w:pPr>
    <w:r>
      <w:t xml:space="preserve"> NURSING HOME ADMINISTRATORS</w:t>
    </w:r>
  </w:p>
  <w:p w:rsidR="007E3513" w:rsidRDefault="007E3513" w:rsidP="00A17889">
    <w:pPr>
      <w:pStyle w:val="Tit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513" w:rsidRDefault="007E3513">
    <w:pPr>
      <w:pStyle w:val="Header"/>
    </w:pPr>
    <w:r>
      <w:t>Key:  Regular Type-Current policy provision</w:t>
    </w:r>
    <w:r>
      <w:tab/>
    </w:r>
    <w:r>
      <w:tab/>
      <w:t>4-17</w:t>
    </w:r>
  </w:p>
  <w:p w:rsidR="007E3513" w:rsidRDefault="007E3513">
    <w:pPr>
      <w:pStyle w:val="Header"/>
    </w:pPr>
    <w:r>
      <w:t xml:space="preserve">          </w:t>
    </w:r>
    <w:r>
      <w:rPr>
        <w:b/>
      </w:rPr>
      <w:t>Bold type</w:t>
    </w:r>
    <w:r>
      <w:t>-Proposed revision</w:t>
    </w:r>
  </w:p>
  <w:p w:rsidR="007E3513" w:rsidRDefault="007E351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2A60"/>
    <w:multiLevelType w:val="hybridMultilevel"/>
    <w:tmpl w:val="FB68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12F46"/>
    <w:multiLevelType w:val="hybridMultilevel"/>
    <w:tmpl w:val="0EDA4634"/>
    <w:lvl w:ilvl="0" w:tplc="04090019">
      <w:start w:val="1"/>
      <w:numFmt w:val="lowerLetter"/>
      <w:lvlText w:val="%1."/>
      <w:lvlJc w:val="left"/>
      <w:pPr>
        <w:tabs>
          <w:tab w:val="num" w:pos="1206"/>
        </w:tabs>
        <w:ind w:left="1206" w:hanging="360"/>
      </w:pPr>
      <w:rPr>
        <w:rFonts w:hint="default"/>
      </w:rPr>
    </w:lvl>
    <w:lvl w:ilvl="1" w:tplc="04090019" w:tentative="1">
      <w:start w:val="1"/>
      <w:numFmt w:val="lowerLetter"/>
      <w:lvlText w:val="%2."/>
      <w:lvlJc w:val="left"/>
      <w:pPr>
        <w:tabs>
          <w:tab w:val="num" w:pos="1926"/>
        </w:tabs>
        <w:ind w:left="1926" w:hanging="360"/>
      </w:pPr>
    </w:lvl>
    <w:lvl w:ilvl="2" w:tplc="0409001B" w:tentative="1">
      <w:start w:val="1"/>
      <w:numFmt w:val="lowerRoman"/>
      <w:lvlText w:val="%3."/>
      <w:lvlJc w:val="right"/>
      <w:pPr>
        <w:tabs>
          <w:tab w:val="num" w:pos="2646"/>
        </w:tabs>
        <w:ind w:left="2646" w:hanging="180"/>
      </w:pPr>
    </w:lvl>
    <w:lvl w:ilvl="3" w:tplc="0409000F" w:tentative="1">
      <w:start w:val="1"/>
      <w:numFmt w:val="decimal"/>
      <w:lvlText w:val="%4."/>
      <w:lvlJc w:val="left"/>
      <w:pPr>
        <w:tabs>
          <w:tab w:val="num" w:pos="3366"/>
        </w:tabs>
        <w:ind w:left="3366" w:hanging="360"/>
      </w:pPr>
    </w:lvl>
    <w:lvl w:ilvl="4" w:tplc="04090019" w:tentative="1">
      <w:start w:val="1"/>
      <w:numFmt w:val="lowerLetter"/>
      <w:lvlText w:val="%5."/>
      <w:lvlJc w:val="left"/>
      <w:pPr>
        <w:tabs>
          <w:tab w:val="num" w:pos="4086"/>
        </w:tabs>
        <w:ind w:left="4086" w:hanging="360"/>
      </w:pPr>
    </w:lvl>
    <w:lvl w:ilvl="5" w:tplc="0409001B" w:tentative="1">
      <w:start w:val="1"/>
      <w:numFmt w:val="lowerRoman"/>
      <w:lvlText w:val="%6."/>
      <w:lvlJc w:val="right"/>
      <w:pPr>
        <w:tabs>
          <w:tab w:val="num" w:pos="4806"/>
        </w:tabs>
        <w:ind w:left="4806" w:hanging="180"/>
      </w:pPr>
    </w:lvl>
    <w:lvl w:ilvl="6" w:tplc="0409000F" w:tentative="1">
      <w:start w:val="1"/>
      <w:numFmt w:val="decimal"/>
      <w:lvlText w:val="%7."/>
      <w:lvlJc w:val="left"/>
      <w:pPr>
        <w:tabs>
          <w:tab w:val="num" w:pos="5526"/>
        </w:tabs>
        <w:ind w:left="5526" w:hanging="360"/>
      </w:pPr>
    </w:lvl>
    <w:lvl w:ilvl="7" w:tplc="04090019" w:tentative="1">
      <w:start w:val="1"/>
      <w:numFmt w:val="lowerLetter"/>
      <w:lvlText w:val="%8."/>
      <w:lvlJc w:val="left"/>
      <w:pPr>
        <w:tabs>
          <w:tab w:val="num" w:pos="6246"/>
        </w:tabs>
        <w:ind w:left="6246" w:hanging="360"/>
      </w:pPr>
    </w:lvl>
    <w:lvl w:ilvl="8" w:tplc="0409001B" w:tentative="1">
      <w:start w:val="1"/>
      <w:numFmt w:val="lowerRoman"/>
      <w:lvlText w:val="%9."/>
      <w:lvlJc w:val="right"/>
      <w:pPr>
        <w:tabs>
          <w:tab w:val="num" w:pos="6966"/>
        </w:tabs>
        <w:ind w:left="6966" w:hanging="180"/>
      </w:pPr>
    </w:lvl>
  </w:abstractNum>
  <w:abstractNum w:abstractNumId="2">
    <w:nsid w:val="0AD40B2B"/>
    <w:multiLevelType w:val="hybridMultilevel"/>
    <w:tmpl w:val="A8485A88"/>
    <w:lvl w:ilvl="0" w:tplc="A710B93C">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nsid w:val="0B5B48AE"/>
    <w:multiLevelType w:val="hybridMultilevel"/>
    <w:tmpl w:val="734495E8"/>
    <w:lvl w:ilvl="0" w:tplc="6D7EE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F242E"/>
    <w:multiLevelType w:val="hybridMultilevel"/>
    <w:tmpl w:val="886C036C"/>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5">
    <w:nsid w:val="0F810776"/>
    <w:multiLevelType w:val="hybridMultilevel"/>
    <w:tmpl w:val="E01AD04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nsid w:val="13F72FF1"/>
    <w:multiLevelType w:val="hybridMultilevel"/>
    <w:tmpl w:val="4260B7E0"/>
    <w:lvl w:ilvl="0" w:tplc="801C3C94">
      <w:start w:val="3"/>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7">
    <w:nsid w:val="16835BB0"/>
    <w:multiLevelType w:val="hybridMultilevel"/>
    <w:tmpl w:val="A676B0F0"/>
    <w:lvl w:ilvl="0" w:tplc="4FDAF5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8">
    <w:nsid w:val="308B0744"/>
    <w:multiLevelType w:val="hybridMultilevel"/>
    <w:tmpl w:val="E584B1DC"/>
    <w:lvl w:ilvl="0" w:tplc="8A86AA82">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358872BB"/>
    <w:multiLevelType w:val="hybridMultilevel"/>
    <w:tmpl w:val="866A223C"/>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0">
    <w:nsid w:val="4D75367E"/>
    <w:multiLevelType w:val="multilevel"/>
    <w:tmpl w:val="5BBA65D0"/>
    <w:lvl w:ilvl="0">
      <w:start w:val="2"/>
      <w:numFmt w:val="decimal"/>
      <w:lvlText w:val="%1"/>
      <w:lvlJc w:val="left"/>
      <w:pPr>
        <w:ind w:hanging="420"/>
      </w:pPr>
      <w:rPr>
        <w:rFonts w:hint="default"/>
      </w:rPr>
    </w:lvl>
    <w:lvl w:ilvl="1">
      <w:start w:val="8"/>
      <w:numFmt w:val="decimal"/>
      <w:lvlText w:val="%1.%2"/>
      <w:lvlJc w:val="left"/>
      <w:pPr>
        <w:ind w:hanging="420"/>
      </w:pPr>
      <w:rPr>
        <w:rFonts w:ascii="Times New Roman" w:eastAsia="Times New Roman" w:hAnsi="Times New Roman" w:hint="default"/>
        <w:spacing w:val="-2"/>
        <w:sz w:val="24"/>
        <w:szCs w:val="24"/>
      </w:rPr>
    </w:lvl>
    <w:lvl w:ilvl="2">
      <w:start w:val="1"/>
      <w:numFmt w:val="decimal"/>
      <w:lvlText w:val="(%3)"/>
      <w:lvlJc w:val="left"/>
      <w:pPr>
        <w:ind w:hanging="449"/>
      </w:pPr>
      <w:rPr>
        <w:rFonts w:ascii="Times New Roman" w:eastAsia="Times New Roman" w:hAnsi="Times New Roman" w:hint="default"/>
        <w:spacing w:val="-6"/>
        <w:sz w:val="24"/>
        <w:szCs w:val="24"/>
      </w:rPr>
    </w:lvl>
    <w:lvl w:ilvl="3">
      <w:start w:val="1"/>
      <w:numFmt w:val="lowerLetter"/>
      <w:lvlText w:val="(%4)"/>
      <w:lvlJc w:val="left"/>
      <w:pPr>
        <w:ind w:hanging="434"/>
      </w:pPr>
      <w:rPr>
        <w:rFonts w:ascii="Times New Roman" w:eastAsia="Times New Roman" w:hAnsi="Times New Roman" w:hint="default"/>
        <w:spacing w:val="-6"/>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54824C3F"/>
    <w:multiLevelType w:val="hybridMultilevel"/>
    <w:tmpl w:val="467C5F94"/>
    <w:lvl w:ilvl="0" w:tplc="92EE6348">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9C07379"/>
    <w:multiLevelType w:val="hybridMultilevel"/>
    <w:tmpl w:val="6526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9D7907"/>
    <w:multiLevelType w:val="hybridMultilevel"/>
    <w:tmpl w:val="F07421BA"/>
    <w:lvl w:ilvl="0" w:tplc="DF5672F8">
      <w:start w:val="3"/>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nsid w:val="7E3745F6"/>
    <w:multiLevelType w:val="hybridMultilevel"/>
    <w:tmpl w:val="0D4A2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426B5F"/>
    <w:multiLevelType w:val="hybridMultilevel"/>
    <w:tmpl w:val="249CD530"/>
    <w:lvl w:ilvl="0" w:tplc="6E2AA0E6">
      <w:start w:val="6"/>
      <w:numFmt w:val="decimal"/>
      <w:lvlText w:val="%1."/>
      <w:lvlJc w:val="left"/>
      <w:pPr>
        <w:tabs>
          <w:tab w:val="num" w:pos="702"/>
        </w:tabs>
        <w:ind w:left="702" w:hanging="360"/>
      </w:pPr>
      <w:rPr>
        <w:rFonts w:hint="default"/>
      </w:rPr>
    </w:lvl>
    <w:lvl w:ilvl="1" w:tplc="1688D4D0">
      <w:start w:val="1"/>
      <w:numFmt w:val="lowerLetter"/>
      <w:lvlText w:val="%2."/>
      <w:lvlJc w:val="left"/>
      <w:pPr>
        <w:tabs>
          <w:tab w:val="num" w:pos="1422"/>
        </w:tabs>
        <w:ind w:left="1422" w:hanging="36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6"/>
  </w:num>
  <w:num w:numId="2">
    <w:abstractNumId w:val="7"/>
  </w:num>
  <w:num w:numId="3">
    <w:abstractNumId w:val="15"/>
  </w:num>
  <w:num w:numId="4">
    <w:abstractNumId w:val="11"/>
  </w:num>
  <w:num w:numId="5">
    <w:abstractNumId w:val="13"/>
  </w:num>
  <w:num w:numId="6">
    <w:abstractNumId w:val="2"/>
  </w:num>
  <w:num w:numId="7">
    <w:abstractNumId w:val="14"/>
  </w:num>
  <w:num w:numId="8">
    <w:abstractNumId w:val="10"/>
  </w:num>
  <w:num w:numId="9">
    <w:abstractNumId w:val="9"/>
  </w:num>
  <w:num w:numId="10">
    <w:abstractNumId w:val="4"/>
  </w:num>
  <w:num w:numId="11">
    <w:abstractNumId w:val="12"/>
  </w:num>
  <w:num w:numId="12">
    <w:abstractNumId w:val="5"/>
  </w:num>
  <w:num w:numId="13">
    <w:abstractNumId w:val="3"/>
  </w:num>
  <w:num w:numId="14">
    <w:abstractNumId w:val="0"/>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attachedTemplate r:id="rId1"/>
  <w:defaultTabStop w:val="720"/>
  <w:drawingGridHorizontalSpacing w:val="11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CD"/>
    <w:rsid w:val="000109DE"/>
    <w:rsid w:val="0005054E"/>
    <w:rsid w:val="00063065"/>
    <w:rsid w:val="00077A51"/>
    <w:rsid w:val="00094A5A"/>
    <w:rsid w:val="000C0047"/>
    <w:rsid w:val="000D3D8E"/>
    <w:rsid w:val="00127AE6"/>
    <w:rsid w:val="00130692"/>
    <w:rsid w:val="001749EB"/>
    <w:rsid w:val="00186D3D"/>
    <w:rsid w:val="001A3AF9"/>
    <w:rsid w:val="001C5E94"/>
    <w:rsid w:val="001F5270"/>
    <w:rsid w:val="00232A7D"/>
    <w:rsid w:val="00270527"/>
    <w:rsid w:val="002956BE"/>
    <w:rsid w:val="0032109E"/>
    <w:rsid w:val="003453A3"/>
    <w:rsid w:val="00376585"/>
    <w:rsid w:val="003C48A3"/>
    <w:rsid w:val="003C6B0D"/>
    <w:rsid w:val="004253B4"/>
    <w:rsid w:val="0042601F"/>
    <w:rsid w:val="00441A40"/>
    <w:rsid w:val="004601E2"/>
    <w:rsid w:val="0046364D"/>
    <w:rsid w:val="004839E0"/>
    <w:rsid w:val="0048721F"/>
    <w:rsid w:val="00522059"/>
    <w:rsid w:val="00524D40"/>
    <w:rsid w:val="0054277D"/>
    <w:rsid w:val="0056614A"/>
    <w:rsid w:val="0056753E"/>
    <w:rsid w:val="005865E4"/>
    <w:rsid w:val="005B585E"/>
    <w:rsid w:val="005B65C3"/>
    <w:rsid w:val="005C6886"/>
    <w:rsid w:val="0063172B"/>
    <w:rsid w:val="0063435A"/>
    <w:rsid w:val="0064026E"/>
    <w:rsid w:val="00641416"/>
    <w:rsid w:val="0066746B"/>
    <w:rsid w:val="00673E42"/>
    <w:rsid w:val="006A6D6A"/>
    <w:rsid w:val="00706443"/>
    <w:rsid w:val="00736823"/>
    <w:rsid w:val="007451A3"/>
    <w:rsid w:val="007A1FC6"/>
    <w:rsid w:val="007C1044"/>
    <w:rsid w:val="007D5322"/>
    <w:rsid w:val="007E3513"/>
    <w:rsid w:val="00830E09"/>
    <w:rsid w:val="00831E85"/>
    <w:rsid w:val="008735CE"/>
    <w:rsid w:val="008B3ED1"/>
    <w:rsid w:val="008B4C1B"/>
    <w:rsid w:val="009068B3"/>
    <w:rsid w:val="009133C1"/>
    <w:rsid w:val="009178BC"/>
    <w:rsid w:val="0092701F"/>
    <w:rsid w:val="00957B21"/>
    <w:rsid w:val="00966A6D"/>
    <w:rsid w:val="00975660"/>
    <w:rsid w:val="00A17889"/>
    <w:rsid w:val="00A205BA"/>
    <w:rsid w:val="00A85FC7"/>
    <w:rsid w:val="00A950C0"/>
    <w:rsid w:val="00AD29A0"/>
    <w:rsid w:val="00B00A9A"/>
    <w:rsid w:val="00B14FE7"/>
    <w:rsid w:val="00B36BD2"/>
    <w:rsid w:val="00B60B04"/>
    <w:rsid w:val="00B6423D"/>
    <w:rsid w:val="00BB50D9"/>
    <w:rsid w:val="00BC5599"/>
    <w:rsid w:val="00BF4A17"/>
    <w:rsid w:val="00C52DB8"/>
    <w:rsid w:val="00CA52C9"/>
    <w:rsid w:val="00CB2758"/>
    <w:rsid w:val="00CC106C"/>
    <w:rsid w:val="00CC5F9C"/>
    <w:rsid w:val="00CD264E"/>
    <w:rsid w:val="00CF3DA1"/>
    <w:rsid w:val="00D0625E"/>
    <w:rsid w:val="00D20035"/>
    <w:rsid w:val="00D22861"/>
    <w:rsid w:val="00D82052"/>
    <w:rsid w:val="00D92ADF"/>
    <w:rsid w:val="00DD15FB"/>
    <w:rsid w:val="00DE2C8A"/>
    <w:rsid w:val="00DF0164"/>
    <w:rsid w:val="00E2466D"/>
    <w:rsid w:val="00E36F9A"/>
    <w:rsid w:val="00E530C7"/>
    <w:rsid w:val="00E70906"/>
    <w:rsid w:val="00E83308"/>
    <w:rsid w:val="00EA4556"/>
    <w:rsid w:val="00EA6675"/>
    <w:rsid w:val="00ED57AA"/>
    <w:rsid w:val="00EE3789"/>
    <w:rsid w:val="00EF21BD"/>
    <w:rsid w:val="00F12DDD"/>
    <w:rsid w:val="00F226AF"/>
    <w:rsid w:val="00F33DFF"/>
    <w:rsid w:val="00F45E2A"/>
    <w:rsid w:val="00F748CD"/>
    <w:rsid w:val="00F951F1"/>
    <w:rsid w:val="00FD132F"/>
    <w:rsid w:val="00FD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889"/>
    <w:pPr>
      <w:tabs>
        <w:tab w:val="center" w:pos="4320"/>
        <w:tab w:val="right" w:pos="8640"/>
      </w:tabs>
    </w:pPr>
  </w:style>
  <w:style w:type="character" w:customStyle="1" w:styleId="HeaderChar">
    <w:name w:val="Header Char"/>
    <w:basedOn w:val="DefaultParagraphFont"/>
    <w:link w:val="Header"/>
    <w:rsid w:val="00A17889"/>
    <w:rPr>
      <w:rFonts w:ascii="Times New Roman" w:eastAsia="Times New Roman" w:hAnsi="Times New Roman" w:cs="Times New Roman"/>
      <w:sz w:val="24"/>
      <w:szCs w:val="20"/>
    </w:rPr>
  </w:style>
  <w:style w:type="paragraph" w:styleId="Footer">
    <w:name w:val="footer"/>
    <w:basedOn w:val="Normal"/>
    <w:link w:val="FooterChar"/>
    <w:uiPriority w:val="99"/>
    <w:rsid w:val="00A17889"/>
    <w:pPr>
      <w:tabs>
        <w:tab w:val="center" w:pos="4320"/>
        <w:tab w:val="right" w:pos="8640"/>
      </w:tabs>
    </w:pPr>
  </w:style>
  <w:style w:type="character" w:customStyle="1" w:styleId="FooterChar">
    <w:name w:val="Footer Char"/>
    <w:basedOn w:val="DefaultParagraphFont"/>
    <w:link w:val="Footer"/>
    <w:uiPriority w:val="99"/>
    <w:rsid w:val="00A17889"/>
    <w:rPr>
      <w:rFonts w:ascii="Times New Roman" w:eastAsia="Times New Roman" w:hAnsi="Times New Roman" w:cs="Times New Roman"/>
      <w:sz w:val="24"/>
      <w:szCs w:val="20"/>
    </w:rPr>
  </w:style>
  <w:style w:type="character" w:styleId="PageNumber">
    <w:name w:val="page number"/>
    <w:basedOn w:val="DefaultParagraphFont"/>
    <w:rsid w:val="00A17889"/>
  </w:style>
  <w:style w:type="paragraph" w:styleId="BodyTextIndent">
    <w:name w:val="Body Text Indent"/>
    <w:basedOn w:val="Normal"/>
    <w:link w:val="BodyTextIndentChar"/>
    <w:rsid w:val="00A17889"/>
    <w:pPr>
      <w:ind w:left="720"/>
    </w:pPr>
    <w:rPr>
      <w:i/>
    </w:rPr>
  </w:style>
  <w:style w:type="character" w:customStyle="1" w:styleId="BodyTextIndentChar">
    <w:name w:val="Body Text Indent Char"/>
    <w:basedOn w:val="DefaultParagraphFont"/>
    <w:link w:val="BodyTextIndent"/>
    <w:rsid w:val="00A17889"/>
    <w:rPr>
      <w:rFonts w:ascii="Times New Roman" w:eastAsia="Times New Roman" w:hAnsi="Times New Roman" w:cs="Times New Roman"/>
      <w:i/>
      <w:sz w:val="24"/>
      <w:szCs w:val="20"/>
    </w:rPr>
  </w:style>
  <w:style w:type="paragraph" w:styleId="BodyTextIndent2">
    <w:name w:val="Body Text Indent 2"/>
    <w:basedOn w:val="Normal"/>
    <w:link w:val="BodyTextIndent2Char"/>
    <w:rsid w:val="00A17889"/>
    <w:pPr>
      <w:ind w:left="720"/>
    </w:pPr>
  </w:style>
  <w:style w:type="character" w:customStyle="1" w:styleId="BodyTextIndent2Char">
    <w:name w:val="Body Text Indent 2 Char"/>
    <w:basedOn w:val="DefaultParagraphFont"/>
    <w:link w:val="BodyTextIndent2"/>
    <w:rsid w:val="00A17889"/>
    <w:rPr>
      <w:rFonts w:ascii="Times New Roman" w:eastAsia="Times New Roman" w:hAnsi="Times New Roman" w:cs="Times New Roman"/>
      <w:sz w:val="24"/>
      <w:szCs w:val="20"/>
    </w:rPr>
  </w:style>
  <w:style w:type="paragraph" w:styleId="BodyTextIndent3">
    <w:name w:val="Body Text Indent 3"/>
    <w:basedOn w:val="Normal"/>
    <w:link w:val="BodyTextIndent3Char"/>
    <w:rsid w:val="00A17889"/>
    <w:pPr>
      <w:ind w:left="612" w:hanging="270"/>
    </w:pPr>
  </w:style>
  <w:style w:type="character" w:customStyle="1" w:styleId="BodyTextIndent3Char">
    <w:name w:val="Body Text Indent 3 Char"/>
    <w:basedOn w:val="DefaultParagraphFont"/>
    <w:link w:val="BodyTextIndent3"/>
    <w:rsid w:val="00A17889"/>
    <w:rPr>
      <w:rFonts w:ascii="Times New Roman" w:eastAsia="Times New Roman" w:hAnsi="Times New Roman" w:cs="Times New Roman"/>
      <w:sz w:val="24"/>
      <w:szCs w:val="20"/>
    </w:rPr>
  </w:style>
  <w:style w:type="paragraph" w:styleId="BodyText">
    <w:name w:val="Body Text"/>
    <w:basedOn w:val="Normal"/>
    <w:link w:val="BodyTextChar"/>
    <w:rsid w:val="00A17889"/>
    <w:rPr>
      <w:rFonts w:ascii="Arial" w:hAnsi="Arial"/>
    </w:rPr>
  </w:style>
  <w:style w:type="character" w:customStyle="1" w:styleId="BodyTextChar">
    <w:name w:val="Body Text Char"/>
    <w:basedOn w:val="DefaultParagraphFont"/>
    <w:link w:val="BodyText"/>
    <w:rsid w:val="00A17889"/>
    <w:rPr>
      <w:rFonts w:ascii="Arial" w:eastAsia="Times New Roman" w:hAnsi="Arial" w:cs="Times New Roman"/>
      <w:sz w:val="24"/>
      <w:szCs w:val="20"/>
    </w:rPr>
  </w:style>
  <w:style w:type="paragraph" w:styleId="Title">
    <w:name w:val="Title"/>
    <w:basedOn w:val="Normal"/>
    <w:link w:val="TitleChar"/>
    <w:qFormat/>
    <w:rsid w:val="00A17889"/>
    <w:pPr>
      <w:jc w:val="center"/>
    </w:pPr>
    <w:rPr>
      <w:b/>
    </w:rPr>
  </w:style>
  <w:style w:type="character" w:customStyle="1" w:styleId="TitleChar">
    <w:name w:val="Title Char"/>
    <w:basedOn w:val="DefaultParagraphFont"/>
    <w:link w:val="Title"/>
    <w:rsid w:val="00A17889"/>
    <w:rPr>
      <w:rFonts w:ascii="Times New Roman" w:eastAsia="Times New Roman" w:hAnsi="Times New Roman" w:cs="Times New Roman"/>
      <w:b/>
      <w:sz w:val="24"/>
      <w:szCs w:val="20"/>
    </w:rPr>
  </w:style>
  <w:style w:type="paragraph" w:styleId="ListParagraph">
    <w:name w:val="List Paragraph"/>
    <w:basedOn w:val="Normal"/>
    <w:uiPriority w:val="34"/>
    <w:qFormat/>
    <w:rsid w:val="005B585E"/>
    <w:pPr>
      <w:ind w:left="720"/>
      <w:contextualSpacing/>
    </w:pPr>
  </w:style>
  <w:style w:type="character" w:styleId="CommentReference">
    <w:name w:val="annotation reference"/>
    <w:basedOn w:val="DefaultParagraphFont"/>
    <w:uiPriority w:val="99"/>
    <w:semiHidden/>
    <w:unhideWhenUsed/>
    <w:rsid w:val="001F5270"/>
    <w:rPr>
      <w:sz w:val="16"/>
      <w:szCs w:val="16"/>
    </w:rPr>
  </w:style>
  <w:style w:type="paragraph" w:styleId="CommentText">
    <w:name w:val="annotation text"/>
    <w:basedOn w:val="Normal"/>
    <w:link w:val="CommentTextChar"/>
    <w:uiPriority w:val="99"/>
    <w:semiHidden/>
    <w:unhideWhenUsed/>
    <w:rsid w:val="001F5270"/>
    <w:rPr>
      <w:sz w:val="20"/>
    </w:rPr>
  </w:style>
  <w:style w:type="character" w:customStyle="1" w:styleId="CommentTextChar">
    <w:name w:val="Comment Text Char"/>
    <w:basedOn w:val="DefaultParagraphFont"/>
    <w:link w:val="CommentText"/>
    <w:uiPriority w:val="99"/>
    <w:semiHidden/>
    <w:rsid w:val="001F5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270"/>
    <w:rPr>
      <w:b/>
      <w:bCs/>
    </w:rPr>
  </w:style>
  <w:style w:type="character" w:customStyle="1" w:styleId="CommentSubjectChar">
    <w:name w:val="Comment Subject Char"/>
    <w:basedOn w:val="CommentTextChar"/>
    <w:link w:val="CommentSubject"/>
    <w:uiPriority w:val="99"/>
    <w:semiHidden/>
    <w:rsid w:val="001F5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270"/>
    <w:rPr>
      <w:rFonts w:ascii="Tahoma" w:hAnsi="Tahoma" w:cs="Tahoma"/>
      <w:sz w:val="16"/>
      <w:szCs w:val="16"/>
    </w:rPr>
  </w:style>
  <w:style w:type="character" w:customStyle="1" w:styleId="BalloonTextChar">
    <w:name w:val="Balloon Text Char"/>
    <w:basedOn w:val="DefaultParagraphFont"/>
    <w:link w:val="BalloonText"/>
    <w:uiPriority w:val="99"/>
    <w:semiHidden/>
    <w:rsid w:val="001F527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C5F9C"/>
    <w:rPr>
      <w:sz w:val="20"/>
    </w:rPr>
  </w:style>
  <w:style w:type="character" w:customStyle="1" w:styleId="FootnoteTextChar">
    <w:name w:val="Footnote Text Char"/>
    <w:basedOn w:val="DefaultParagraphFont"/>
    <w:link w:val="FootnoteText"/>
    <w:uiPriority w:val="99"/>
    <w:semiHidden/>
    <w:rsid w:val="00CC5F9C"/>
    <w:rPr>
      <w:rFonts w:ascii="Times New Roman" w:eastAsia="Times New Roman" w:hAnsi="Times New Roman" w:cs="Times New Roman"/>
      <w:sz w:val="20"/>
      <w:szCs w:val="20"/>
    </w:rPr>
  </w:style>
  <w:style w:type="character" w:styleId="FootnoteReference">
    <w:name w:val="footnote reference"/>
    <w:basedOn w:val="DefaultParagraphFont"/>
    <w:unhideWhenUsed/>
    <w:rsid w:val="00CC5F9C"/>
    <w:rPr>
      <w:vertAlign w:val="superscript"/>
    </w:rPr>
  </w:style>
  <w:style w:type="paragraph" w:styleId="NormalWeb">
    <w:name w:val="Normal (Web)"/>
    <w:basedOn w:val="Normal"/>
    <w:uiPriority w:val="99"/>
    <w:semiHidden/>
    <w:unhideWhenUsed/>
    <w:rsid w:val="00186D3D"/>
    <w:rPr>
      <w:szCs w:val="24"/>
    </w:rPr>
  </w:style>
  <w:style w:type="character" w:styleId="Hyperlink">
    <w:name w:val="Hyperlink"/>
    <w:basedOn w:val="DefaultParagraphFont"/>
    <w:uiPriority w:val="99"/>
    <w:unhideWhenUsed/>
    <w:rsid w:val="00186D3D"/>
    <w:rPr>
      <w:color w:val="0000FF"/>
      <w:u w:val="single"/>
    </w:rPr>
  </w:style>
  <w:style w:type="paragraph" w:styleId="EndnoteText">
    <w:name w:val="endnote text"/>
    <w:basedOn w:val="Normal"/>
    <w:link w:val="EndnoteTextChar"/>
    <w:uiPriority w:val="99"/>
    <w:semiHidden/>
    <w:unhideWhenUsed/>
    <w:rsid w:val="00130692"/>
    <w:rPr>
      <w:sz w:val="20"/>
    </w:rPr>
  </w:style>
  <w:style w:type="character" w:customStyle="1" w:styleId="EndnoteTextChar">
    <w:name w:val="Endnote Text Char"/>
    <w:basedOn w:val="DefaultParagraphFont"/>
    <w:link w:val="EndnoteText"/>
    <w:uiPriority w:val="99"/>
    <w:semiHidden/>
    <w:rsid w:val="00130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306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8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889"/>
    <w:pPr>
      <w:tabs>
        <w:tab w:val="center" w:pos="4320"/>
        <w:tab w:val="right" w:pos="8640"/>
      </w:tabs>
    </w:pPr>
  </w:style>
  <w:style w:type="character" w:customStyle="1" w:styleId="HeaderChar">
    <w:name w:val="Header Char"/>
    <w:basedOn w:val="DefaultParagraphFont"/>
    <w:link w:val="Header"/>
    <w:rsid w:val="00A17889"/>
    <w:rPr>
      <w:rFonts w:ascii="Times New Roman" w:eastAsia="Times New Roman" w:hAnsi="Times New Roman" w:cs="Times New Roman"/>
      <w:sz w:val="24"/>
      <w:szCs w:val="20"/>
    </w:rPr>
  </w:style>
  <w:style w:type="paragraph" w:styleId="Footer">
    <w:name w:val="footer"/>
    <w:basedOn w:val="Normal"/>
    <w:link w:val="FooterChar"/>
    <w:uiPriority w:val="99"/>
    <w:rsid w:val="00A17889"/>
    <w:pPr>
      <w:tabs>
        <w:tab w:val="center" w:pos="4320"/>
        <w:tab w:val="right" w:pos="8640"/>
      </w:tabs>
    </w:pPr>
  </w:style>
  <w:style w:type="character" w:customStyle="1" w:styleId="FooterChar">
    <w:name w:val="Footer Char"/>
    <w:basedOn w:val="DefaultParagraphFont"/>
    <w:link w:val="Footer"/>
    <w:uiPriority w:val="99"/>
    <w:rsid w:val="00A17889"/>
    <w:rPr>
      <w:rFonts w:ascii="Times New Roman" w:eastAsia="Times New Roman" w:hAnsi="Times New Roman" w:cs="Times New Roman"/>
      <w:sz w:val="24"/>
      <w:szCs w:val="20"/>
    </w:rPr>
  </w:style>
  <w:style w:type="character" w:styleId="PageNumber">
    <w:name w:val="page number"/>
    <w:basedOn w:val="DefaultParagraphFont"/>
    <w:rsid w:val="00A17889"/>
  </w:style>
  <w:style w:type="paragraph" w:styleId="BodyTextIndent">
    <w:name w:val="Body Text Indent"/>
    <w:basedOn w:val="Normal"/>
    <w:link w:val="BodyTextIndentChar"/>
    <w:rsid w:val="00A17889"/>
    <w:pPr>
      <w:ind w:left="720"/>
    </w:pPr>
    <w:rPr>
      <w:i/>
    </w:rPr>
  </w:style>
  <w:style w:type="character" w:customStyle="1" w:styleId="BodyTextIndentChar">
    <w:name w:val="Body Text Indent Char"/>
    <w:basedOn w:val="DefaultParagraphFont"/>
    <w:link w:val="BodyTextIndent"/>
    <w:rsid w:val="00A17889"/>
    <w:rPr>
      <w:rFonts w:ascii="Times New Roman" w:eastAsia="Times New Roman" w:hAnsi="Times New Roman" w:cs="Times New Roman"/>
      <w:i/>
      <w:sz w:val="24"/>
      <w:szCs w:val="20"/>
    </w:rPr>
  </w:style>
  <w:style w:type="paragraph" w:styleId="BodyTextIndent2">
    <w:name w:val="Body Text Indent 2"/>
    <w:basedOn w:val="Normal"/>
    <w:link w:val="BodyTextIndent2Char"/>
    <w:rsid w:val="00A17889"/>
    <w:pPr>
      <w:ind w:left="720"/>
    </w:pPr>
  </w:style>
  <w:style w:type="character" w:customStyle="1" w:styleId="BodyTextIndent2Char">
    <w:name w:val="Body Text Indent 2 Char"/>
    <w:basedOn w:val="DefaultParagraphFont"/>
    <w:link w:val="BodyTextIndent2"/>
    <w:rsid w:val="00A17889"/>
    <w:rPr>
      <w:rFonts w:ascii="Times New Roman" w:eastAsia="Times New Roman" w:hAnsi="Times New Roman" w:cs="Times New Roman"/>
      <w:sz w:val="24"/>
      <w:szCs w:val="20"/>
    </w:rPr>
  </w:style>
  <w:style w:type="paragraph" w:styleId="BodyTextIndent3">
    <w:name w:val="Body Text Indent 3"/>
    <w:basedOn w:val="Normal"/>
    <w:link w:val="BodyTextIndent3Char"/>
    <w:rsid w:val="00A17889"/>
    <w:pPr>
      <w:ind w:left="612" w:hanging="270"/>
    </w:pPr>
  </w:style>
  <w:style w:type="character" w:customStyle="1" w:styleId="BodyTextIndent3Char">
    <w:name w:val="Body Text Indent 3 Char"/>
    <w:basedOn w:val="DefaultParagraphFont"/>
    <w:link w:val="BodyTextIndent3"/>
    <w:rsid w:val="00A17889"/>
    <w:rPr>
      <w:rFonts w:ascii="Times New Roman" w:eastAsia="Times New Roman" w:hAnsi="Times New Roman" w:cs="Times New Roman"/>
      <w:sz w:val="24"/>
      <w:szCs w:val="20"/>
    </w:rPr>
  </w:style>
  <w:style w:type="paragraph" w:styleId="BodyText">
    <w:name w:val="Body Text"/>
    <w:basedOn w:val="Normal"/>
    <w:link w:val="BodyTextChar"/>
    <w:rsid w:val="00A17889"/>
    <w:rPr>
      <w:rFonts w:ascii="Arial" w:hAnsi="Arial"/>
    </w:rPr>
  </w:style>
  <w:style w:type="character" w:customStyle="1" w:styleId="BodyTextChar">
    <w:name w:val="Body Text Char"/>
    <w:basedOn w:val="DefaultParagraphFont"/>
    <w:link w:val="BodyText"/>
    <w:rsid w:val="00A17889"/>
    <w:rPr>
      <w:rFonts w:ascii="Arial" w:eastAsia="Times New Roman" w:hAnsi="Arial" w:cs="Times New Roman"/>
      <w:sz w:val="24"/>
      <w:szCs w:val="20"/>
    </w:rPr>
  </w:style>
  <w:style w:type="paragraph" w:styleId="Title">
    <w:name w:val="Title"/>
    <w:basedOn w:val="Normal"/>
    <w:link w:val="TitleChar"/>
    <w:qFormat/>
    <w:rsid w:val="00A17889"/>
    <w:pPr>
      <w:jc w:val="center"/>
    </w:pPr>
    <w:rPr>
      <w:b/>
    </w:rPr>
  </w:style>
  <w:style w:type="character" w:customStyle="1" w:styleId="TitleChar">
    <w:name w:val="Title Char"/>
    <w:basedOn w:val="DefaultParagraphFont"/>
    <w:link w:val="Title"/>
    <w:rsid w:val="00A17889"/>
    <w:rPr>
      <w:rFonts w:ascii="Times New Roman" w:eastAsia="Times New Roman" w:hAnsi="Times New Roman" w:cs="Times New Roman"/>
      <w:b/>
      <w:sz w:val="24"/>
      <w:szCs w:val="20"/>
    </w:rPr>
  </w:style>
  <w:style w:type="paragraph" w:styleId="ListParagraph">
    <w:name w:val="List Paragraph"/>
    <w:basedOn w:val="Normal"/>
    <w:uiPriority w:val="34"/>
    <w:qFormat/>
    <w:rsid w:val="005B585E"/>
    <w:pPr>
      <w:ind w:left="720"/>
      <w:contextualSpacing/>
    </w:pPr>
  </w:style>
  <w:style w:type="character" w:styleId="CommentReference">
    <w:name w:val="annotation reference"/>
    <w:basedOn w:val="DefaultParagraphFont"/>
    <w:uiPriority w:val="99"/>
    <w:semiHidden/>
    <w:unhideWhenUsed/>
    <w:rsid w:val="001F5270"/>
    <w:rPr>
      <w:sz w:val="16"/>
      <w:szCs w:val="16"/>
    </w:rPr>
  </w:style>
  <w:style w:type="paragraph" w:styleId="CommentText">
    <w:name w:val="annotation text"/>
    <w:basedOn w:val="Normal"/>
    <w:link w:val="CommentTextChar"/>
    <w:uiPriority w:val="99"/>
    <w:semiHidden/>
    <w:unhideWhenUsed/>
    <w:rsid w:val="001F5270"/>
    <w:rPr>
      <w:sz w:val="20"/>
    </w:rPr>
  </w:style>
  <w:style w:type="character" w:customStyle="1" w:styleId="CommentTextChar">
    <w:name w:val="Comment Text Char"/>
    <w:basedOn w:val="DefaultParagraphFont"/>
    <w:link w:val="CommentText"/>
    <w:uiPriority w:val="99"/>
    <w:semiHidden/>
    <w:rsid w:val="001F52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270"/>
    <w:rPr>
      <w:b/>
      <w:bCs/>
    </w:rPr>
  </w:style>
  <w:style w:type="character" w:customStyle="1" w:styleId="CommentSubjectChar">
    <w:name w:val="Comment Subject Char"/>
    <w:basedOn w:val="CommentTextChar"/>
    <w:link w:val="CommentSubject"/>
    <w:uiPriority w:val="99"/>
    <w:semiHidden/>
    <w:rsid w:val="001F52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270"/>
    <w:rPr>
      <w:rFonts w:ascii="Tahoma" w:hAnsi="Tahoma" w:cs="Tahoma"/>
      <w:sz w:val="16"/>
      <w:szCs w:val="16"/>
    </w:rPr>
  </w:style>
  <w:style w:type="character" w:customStyle="1" w:styleId="BalloonTextChar">
    <w:name w:val="Balloon Text Char"/>
    <w:basedOn w:val="DefaultParagraphFont"/>
    <w:link w:val="BalloonText"/>
    <w:uiPriority w:val="99"/>
    <w:semiHidden/>
    <w:rsid w:val="001F527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C5F9C"/>
    <w:rPr>
      <w:sz w:val="20"/>
    </w:rPr>
  </w:style>
  <w:style w:type="character" w:customStyle="1" w:styleId="FootnoteTextChar">
    <w:name w:val="Footnote Text Char"/>
    <w:basedOn w:val="DefaultParagraphFont"/>
    <w:link w:val="FootnoteText"/>
    <w:uiPriority w:val="99"/>
    <w:semiHidden/>
    <w:rsid w:val="00CC5F9C"/>
    <w:rPr>
      <w:rFonts w:ascii="Times New Roman" w:eastAsia="Times New Roman" w:hAnsi="Times New Roman" w:cs="Times New Roman"/>
      <w:sz w:val="20"/>
      <w:szCs w:val="20"/>
    </w:rPr>
  </w:style>
  <w:style w:type="character" w:styleId="FootnoteReference">
    <w:name w:val="footnote reference"/>
    <w:basedOn w:val="DefaultParagraphFont"/>
    <w:unhideWhenUsed/>
    <w:rsid w:val="00CC5F9C"/>
    <w:rPr>
      <w:vertAlign w:val="superscript"/>
    </w:rPr>
  </w:style>
  <w:style w:type="paragraph" w:styleId="NormalWeb">
    <w:name w:val="Normal (Web)"/>
    <w:basedOn w:val="Normal"/>
    <w:uiPriority w:val="99"/>
    <w:semiHidden/>
    <w:unhideWhenUsed/>
    <w:rsid w:val="00186D3D"/>
    <w:rPr>
      <w:szCs w:val="24"/>
    </w:rPr>
  </w:style>
  <w:style w:type="character" w:styleId="Hyperlink">
    <w:name w:val="Hyperlink"/>
    <w:basedOn w:val="DefaultParagraphFont"/>
    <w:uiPriority w:val="99"/>
    <w:unhideWhenUsed/>
    <w:rsid w:val="00186D3D"/>
    <w:rPr>
      <w:color w:val="0000FF"/>
      <w:u w:val="single"/>
    </w:rPr>
  </w:style>
  <w:style w:type="paragraph" w:styleId="EndnoteText">
    <w:name w:val="endnote text"/>
    <w:basedOn w:val="Normal"/>
    <w:link w:val="EndnoteTextChar"/>
    <w:uiPriority w:val="99"/>
    <w:semiHidden/>
    <w:unhideWhenUsed/>
    <w:rsid w:val="00130692"/>
    <w:rPr>
      <w:sz w:val="20"/>
    </w:rPr>
  </w:style>
  <w:style w:type="character" w:customStyle="1" w:styleId="EndnoteTextChar">
    <w:name w:val="Endnote Text Char"/>
    <w:basedOn w:val="DefaultParagraphFont"/>
    <w:link w:val="EndnoteText"/>
    <w:uiPriority w:val="99"/>
    <w:semiHidden/>
    <w:rsid w:val="00130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30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0df18f8485badf7a30fb4f5410fa7fb1&amp;term_occur=1&amp;term_src=Title:42:Chapter:IV:Subchapter:G:Part:488:Subpart:E:488.301" TargetMode="External"/><Relationship Id="rId13" Type="http://schemas.openxmlformats.org/officeDocument/2006/relationships/hyperlink" Target="https://www.law.cornell.edu/cfr/text/42/483.24" TargetMode="External"/><Relationship Id="rId18" Type="http://schemas.openxmlformats.org/officeDocument/2006/relationships/hyperlink" Target="https://www.law.cornell.edu/definitions/index.php?width=840&amp;height=800&amp;iframe=true&amp;def_id=f9ad096a055e9952806c9af777e53e8c&amp;term_occur=2&amp;term_src=Title:42:Chapter:IV:Subchapter:G:Part:488:Subpart:E:488.301" TargetMode="External"/><Relationship Id="rId3" Type="http://schemas.openxmlformats.org/officeDocument/2006/relationships/hyperlink" Target="https://www.law.cornell.edu/definitions/index.php?width=840&amp;height=800&amp;iframe=true&amp;def_id=d50cfdfe22f7fd8875162a897179f51b&amp;term_occur=5&amp;term_src=Title:42:Chapter:IV:Subchapter:G:Part:488:Subpart:E:488.301" TargetMode="External"/><Relationship Id="rId7" Type="http://schemas.openxmlformats.org/officeDocument/2006/relationships/hyperlink" Target="https://www.law.cornell.edu/definitions/index.php?width=840&amp;height=800&amp;iframe=true&amp;def_id=d50cfdfe22f7fd8875162a897179f51b&amp;term_occur=3&amp;term_src=Title:42:Chapter:IV:Subchapter:G:Part:488:Subpart:E:488.301" TargetMode="External"/><Relationship Id="rId12" Type="http://schemas.openxmlformats.org/officeDocument/2006/relationships/hyperlink" Target="https://www.law.cornell.edu/definitions/index.php?width=840&amp;height=800&amp;iframe=true&amp;def_id=d3a443d60e238ed8d90d69af4a2935eb&amp;term_occur=1&amp;term_src=Title:42:Chapter:IV:Subchapter:G:Part:488:Subpart:E:488.301" TargetMode="External"/><Relationship Id="rId17" Type="http://schemas.openxmlformats.org/officeDocument/2006/relationships/hyperlink" Target="https://www.law.cornell.edu/definitions/index.php?width=840&amp;height=800&amp;iframe=true&amp;def_id=f9ad096a055e9952806c9af777e53e8c&amp;term_occur=3&amp;term_src=Title:42:Chapter:IV:Subchapter:G:Part:488:Subpart:E:488.301" TargetMode="External"/><Relationship Id="rId2" Type="http://schemas.openxmlformats.org/officeDocument/2006/relationships/hyperlink" Target="https://www.law.cornell.edu/definitions/index.php?width=840&amp;height=800&amp;iframe=true&amp;def_id=42121bbb67e6df40aa45f92e2878b074&amp;term_occur=1&amp;term_src=Title:42:Chapter:IV:Subchapter:G:Part:488:Subpart:E:488.301" TargetMode="External"/><Relationship Id="rId16" Type="http://schemas.openxmlformats.org/officeDocument/2006/relationships/hyperlink" Target="https://www.law.cornell.edu/definitions/index.php?width=840&amp;height=800&amp;iframe=true&amp;def_id=679b520dff6bd2d30d5a9d4b6c490e9e&amp;term_occur=8&amp;term_src=Title:42:Chapter:IV:Subchapter:G:Part:488:Subpart:E:488.301" TargetMode="External"/><Relationship Id="rId1" Type="http://schemas.openxmlformats.org/officeDocument/2006/relationships/hyperlink" Target="https://www.law.cornell.edu/definitions/index.php?width=840&amp;height=800&amp;iframe=true&amp;def_id=679b520dff6bd2d30d5a9d4b6c490e9e&amp;term_occur=6&amp;term_src=Title:42:Chapter:IV:Subchapter:G:Part:488:Subpart:E:488.301" TargetMode="External"/><Relationship Id="rId6" Type="http://schemas.openxmlformats.org/officeDocument/2006/relationships/hyperlink" Target="https://www.law.cornell.edu/definitions/index.php?width=840&amp;height=800&amp;iframe=true&amp;def_id=345ccc11daeb0a5709b290326c26fb98&amp;term_occur=1&amp;term_src=Title:42:Chapter:IV:Subchapter:G:Part:488:Subpart:E:488.301" TargetMode="External"/><Relationship Id="rId11" Type="http://schemas.openxmlformats.org/officeDocument/2006/relationships/hyperlink" Target="https://www.law.cornell.edu/definitions/index.php?width=840&amp;height=800&amp;iframe=true&amp;def_id=5ea2b241b811a2dae078707fb7d6ff57&amp;term_occur=9&amp;term_src=Title:42:Chapter:IV:Subchapter:G:Part:488:Subpart:E:488.301" TargetMode="External"/><Relationship Id="rId5" Type="http://schemas.openxmlformats.org/officeDocument/2006/relationships/hyperlink" Target="https://www.law.cornell.edu/definitions/index.php?width=840&amp;height=800&amp;iframe=true&amp;def_id=a7b754745b3208b7071ab7fb0db5c5cf&amp;term_occur=1&amp;term_src=Title:42:Chapter:IV:Subchapter:G:Part:489:Subpart:A:489.3" TargetMode="External"/><Relationship Id="rId15" Type="http://schemas.openxmlformats.org/officeDocument/2006/relationships/hyperlink" Target="https://www.law.cornell.edu/definitions/index.php?width=840&amp;height=800&amp;iframe=true&amp;def_id=f9ad096a055e9952806c9af777e53e8c&amp;term_occur=1&amp;term_src=Title:42:Chapter:IV:Subchapter:G:Part:488:Subpart:E:488.301" TargetMode="External"/><Relationship Id="rId10" Type="http://schemas.openxmlformats.org/officeDocument/2006/relationships/hyperlink" Target="https://www.law.cornell.edu/cfr/text/42/483.12" TargetMode="External"/><Relationship Id="rId4" Type="http://schemas.openxmlformats.org/officeDocument/2006/relationships/hyperlink" Target="https://www.law.cornell.edu/definitions/index.php?width=840&amp;height=800&amp;iframe=true&amp;def_id=0ed67594edf69d2a86b75e68c26b6b3e&amp;term_occur=1&amp;term_src=Title:42:Chapter:IV:Subchapter:G:Part:489:Subpart:A:489.3" TargetMode="External"/><Relationship Id="rId9" Type="http://schemas.openxmlformats.org/officeDocument/2006/relationships/hyperlink" Target="https://www.law.cornell.edu/cfr/text/42/483.10" TargetMode="External"/><Relationship Id="rId14" Type="http://schemas.openxmlformats.org/officeDocument/2006/relationships/hyperlink" Target="https://www.law.cornell.edu/cfr/text/42/48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Board%20Counsels\Mary%20S%20Multi\NHA\Policies\Proposed\REVISED%20Staff%20Action%20on%20Surveys-2-6-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0071E-CBEE-451D-8833-EED38C85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Staff Action on Surveys-2-6-18</Template>
  <TotalTime>11</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Anson (DPH)</dc:creator>
  <cp:lastModifiedBy>Nicolas, Jonane (DPH)</cp:lastModifiedBy>
  <cp:revision>2</cp:revision>
  <cp:lastPrinted>2018-06-11T21:48:00Z</cp:lastPrinted>
  <dcterms:created xsi:type="dcterms:W3CDTF">2018-08-24T14:25:00Z</dcterms:created>
  <dcterms:modified xsi:type="dcterms:W3CDTF">2018-08-24T14:25:00Z</dcterms:modified>
</cp:coreProperties>
</file>