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F5" w:rsidRDefault="00CE20F5" w:rsidP="00B35D5C">
      <w:pPr>
        <w:pStyle w:val="Title"/>
      </w:pPr>
      <w:r>
        <w:t xml:space="preserve">BOARD OF REGISTRATION OF </w:t>
      </w:r>
      <w:r w:rsidRPr="00DC2BED">
        <w:t>PERFUSIONISTS</w:t>
      </w:r>
    </w:p>
    <w:p w:rsidR="00CE20F5" w:rsidRDefault="00CE20F5">
      <w:pPr>
        <w:jc w:val="center"/>
        <w:rPr>
          <w:b/>
        </w:rPr>
      </w:pPr>
    </w:p>
    <w:p w:rsidR="00CE20F5" w:rsidRDefault="00CE20F5">
      <w:pPr>
        <w:jc w:val="center"/>
        <w:rPr>
          <w:b/>
        </w:rPr>
      </w:pPr>
      <w:r w:rsidRPr="000F3E0A">
        <w:rPr>
          <w:b/>
        </w:rPr>
        <w:t>Discipline</w:t>
      </w:r>
      <w:r>
        <w:rPr>
          <w:b/>
        </w:rPr>
        <w:t xml:space="preserve"> Policy 16-01</w:t>
      </w:r>
    </w:p>
    <w:p w:rsidR="00CE20F5" w:rsidRDefault="00CE20F5">
      <w:pPr>
        <w:jc w:val="center"/>
        <w:rPr>
          <w:b/>
        </w:rPr>
      </w:pPr>
    </w:p>
    <w:tbl>
      <w:tblPr>
        <w:tblW w:w="90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8"/>
        <w:gridCol w:w="6821"/>
      </w:tblGrid>
      <w:tr w:rsidR="00CE20F5" w:rsidTr="00D079BF">
        <w:trPr>
          <w:trHeight w:val="118"/>
        </w:trPr>
        <w:tc>
          <w:tcPr>
            <w:tcW w:w="2228" w:type="dxa"/>
          </w:tcPr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  <w:i/>
              </w:rPr>
            </w:pPr>
            <w:r>
              <w:rPr>
                <w:b/>
              </w:rPr>
              <w:t>Title</w:t>
            </w:r>
          </w:p>
        </w:tc>
        <w:tc>
          <w:tcPr>
            <w:tcW w:w="6821" w:type="dxa"/>
          </w:tcPr>
          <w:p w:rsidR="00CE20F5" w:rsidRDefault="00CE20F5">
            <w:pPr>
              <w:pStyle w:val="Header"/>
              <w:tabs>
                <w:tab w:val="clear" w:pos="4320"/>
                <w:tab w:val="clear" w:pos="8640"/>
              </w:tabs>
            </w:pPr>
          </w:p>
          <w:p w:rsidR="00CE20F5" w:rsidRDefault="00CE20F5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Board </w:t>
            </w:r>
            <w:r w:rsidR="00096BD6">
              <w:t>Staff</w:t>
            </w:r>
            <w:bookmarkStart w:id="0" w:name="_GoBack"/>
            <w:bookmarkEnd w:id="0"/>
            <w:r w:rsidR="00DD3064">
              <w:t xml:space="preserve"> Disposition of Selected </w:t>
            </w:r>
            <w:r>
              <w:t>Staff Assignments and Complaints</w:t>
            </w:r>
          </w:p>
          <w:p w:rsidR="00CE20F5" w:rsidRDefault="00CE20F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E20F5" w:rsidTr="00D079BF">
        <w:trPr>
          <w:trHeight w:val="118"/>
        </w:trPr>
        <w:tc>
          <w:tcPr>
            <w:tcW w:w="2228" w:type="dxa"/>
          </w:tcPr>
          <w:p w:rsidR="00CE20F5" w:rsidRDefault="00CE20F5"/>
          <w:p w:rsidR="00CE20F5" w:rsidRDefault="00CE20F5">
            <w:r>
              <w:rPr>
                <w:b/>
              </w:rPr>
              <w:t>Purpose</w:t>
            </w:r>
          </w:p>
        </w:tc>
        <w:tc>
          <w:tcPr>
            <w:tcW w:w="6821" w:type="dxa"/>
          </w:tcPr>
          <w:p w:rsidR="00CE20F5" w:rsidRDefault="00CE20F5">
            <w:pPr>
              <w:pStyle w:val="Header"/>
              <w:tabs>
                <w:tab w:val="clear" w:pos="4320"/>
                <w:tab w:val="clear" w:pos="8640"/>
              </w:tabs>
            </w:pPr>
          </w:p>
          <w:p w:rsidR="00CE20F5" w:rsidRDefault="00CE20F5" w:rsidP="00E16B13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M.G.L.c. 112 § 212 authorizes the Board of Registration of Perfusionists </w:t>
            </w:r>
            <w:r w:rsidRPr="00EC5E6E">
              <w:t>(“</w:t>
            </w:r>
            <w:r>
              <w:t xml:space="preserve">the </w:t>
            </w:r>
            <w:r w:rsidRPr="00EC5E6E">
              <w:t xml:space="preserve">Board”) </w:t>
            </w:r>
            <w:r>
              <w:t xml:space="preserve">to make rules and regulations to regulate the practice of perfusionists.  Pursuant to the Board’s regulations at 267 CMR 3.10, each licensed perfusionist must complete continuing education as a condition of license renewal.  The Board </w:t>
            </w:r>
            <w:r w:rsidRPr="00EC5E6E">
              <w:t xml:space="preserve">adopts this policy to authorize and allow for the timely review and disposition of </w:t>
            </w:r>
            <w:r>
              <w:t>staff assignments and c</w:t>
            </w:r>
            <w:r w:rsidRPr="00EC5E6E">
              <w:t>omplaints pertaining to</w:t>
            </w:r>
            <w:r>
              <w:t xml:space="preserve"> an individual perfusionist’s continuing education deficiencies for license renewal.</w:t>
            </w:r>
          </w:p>
          <w:p w:rsidR="00CE20F5" w:rsidRDefault="00CE20F5" w:rsidP="00E16B13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CE20F5" w:rsidTr="00D079BF">
        <w:trPr>
          <w:trHeight w:val="118"/>
        </w:trPr>
        <w:tc>
          <w:tcPr>
            <w:tcW w:w="2228" w:type="dxa"/>
          </w:tcPr>
          <w:p w:rsidR="00CE20F5" w:rsidRDefault="00CE20F5">
            <w:pPr>
              <w:rPr>
                <w:b/>
              </w:rPr>
            </w:pPr>
          </w:p>
          <w:p w:rsidR="00CE20F5" w:rsidRDefault="00CE20F5" w:rsidP="00190C15">
            <w:pPr>
              <w:jc w:val="center"/>
              <w:rPr>
                <w:b/>
              </w:rPr>
            </w:pPr>
            <w:r>
              <w:rPr>
                <w:b/>
              </w:rPr>
              <w:t>Date Adopted/</w:t>
            </w:r>
          </w:p>
          <w:p w:rsidR="00CE20F5" w:rsidRDefault="00CE20F5" w:rsidP="00A906A8">
            <w:pPr>
              <w:jc w:val="center"/>
            </w:pPr>
            <w:r>
              <w:rPr>
                <w:b/>
              </w:rPr>
              <w:t>Revised</w:t>
            </w:r>
          </w:p>
        </w:tc>
        <w:tc>
          <w:tcPr>
            <w:tcW w:w="6821" w:type="dxa"/>
          </w:tcPr>
          <w:p w:rsidR="00CE20F5" w:rsidRDefault="00CE20F5">
            <w:pPr>
              <w:pStyle w:val="Header"/>
              <w:tabs>
                <w:tab w:val="clear" w:pos="4320"/>
                <w:tab w:val="clear" w:pos="8640"/>
              </w:tabs>
            </w:pPr>
          </w:p>
          <w:p w:rsidR="00CE20F5" w:rsidRDefault="00CE20F5" w:rsidP="00C6669F">
            <w:pPr>
              <w:pStyle w:val="Header"/>
              <w:tabs>
                <w:tab w:val="clear" w:pos="4320"/>
                <w:tab w:val="clear" w:pos="8640"/>
                <w:tab w:val="left" w:pos="4260"/>
              </w:tabs>
            </w:pPr>
            <w:r>
              <w:t xml:space="preserve"> </w:t>
            </w:r>
            <w:r w:rsidR="00C6669F">
              <w:t>November 23, 2016</w:t>
            </w:r>
          </w:p>
        </w:tc>
      </w:tr>
      <w:tr w:rsidR="00CE20F5" w:rsidTr="00D079BF">
        <w:trPr>
          <w:trHeight w:val="50"/>
        </w:trPr>
        <w:tc>
          <w:tcPr>
            <w:tcW w:w="2228" w:type="dxa"/>
          </w:tcPr>
          <w:p w:rsidR="00CE20F5" w:rsidRDefault="00CE20F5" w:rsidP="00190C15">
            <w:pPr>
              <w:jc w:val="center"/>
              <w:rPr>
                <w:b/>
              </w:rPr>
            </w:pPr>
          </w:p>
          <w:p w:rsidR="00CE20F5" w:rsidRDefault="00CE20F5" w:rsidP="00190C15">
            <w:pPr>
              <w:jc w:val="center"/>
              <w:rPr>
                <w:b/>
              </w:rPr>
            </w:pPr>
            <w:r>
              <w:rPr>
                <w:b/>
              </w:rPr>
              <w:t>General Statement of Policy</w:t>
            </w:r>
          </w:p>
          <w:p w:rsidR="00CE20F5" w:rsidRDefault="00CE20F5" w:rsidP="00190C15">
            <w:pPr>
              <w:jc w:val="center"/>
              <w:rPr>
                <w:b/>
              </w:rPr>
            </w:pPr>
          </w:p>
        </w:tc>
        <w:tc>
          <w:tcPr>
            <w:tcW w:w="6821" w:type="dxa"/>
          </w:tcPr>
          <w:p w:rsidR="00CE20F5" w:rsidRDefault="00CE20F5"/>
          <w:p w:rsidR="00CE20F5" w:rsidRDefault="00CE20F5">
            <w:r>
              <w:t>The Board authorizes the Executive Director (ED) to open a staff assignment (pre-complaint) or a complaint if an investigation demonstrates that a licensed perfusionist failed to complete all requirements specified in 267 CMR 3.10(1) through (3)</w:t>
            </w:r>
            <w:r w:rsidRPr="003E3E10">
              <w:rPr>
                <w:b/>
              </w:rPr>
              <w:t xml:space="preserve">. </w:t>
            </w:r>
            <w:r>
              <w:t xml:space="preserve">Where these criteria are not met, the complaint will be brought before the full </w:t>
            </w:r>
            <w:r w:rsidRPr="007C367A">
              <w:t>Board</w:t>
            </w:r>
            <w:r>
              <w:t xml:space="preserve"> for its review and disposition. The Executive Director (or designee) will notify the Board quarterly of those staff assignments and complaints that have been resolved through this staff action policy.</w:t>
            </w:r>
          </w:p>
          <w:p w:rsidR="00CE20F5" w:rsidRDefault="00CE20F5"/>
        </w:tc>
      </w:tr>
      <w:tr w:rsidR="00CE20F5" w:rsidTr="00D079BF">
        <w:trPr>
          <w:trHeight w:val="4920"/>
        </w:trPr>
        <w:tc>
          <w:tcPr>
            <w:tcW w:w="2228" w:type="dxa"/>
          </w:tcPr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 w:rsidP="00246F9A">
            <w:pPr>
              <w:jc w:val="center"/>
              <w:rPr>
                <w:b/>
              </w:rPr>
            </w:pPr>
            <w:r>
              <w:rPr>
                <w:b/>
              </w:rPr>
              <w:t>Dismiss with Advisory</w:t>
            </w: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Default="00CE20F5">
            <w:pPr>
              <w:rPr>
                <w:b/>
              </w:rPr>
            </w:pPr>
          </w:p>
          <w:p w:rsidR="00CE20F5" w:rsidRPr="00D079BF" w:rsidRDefault="00CE20F5" w:rsidP="00D079BF"/>
        </w:tc>
        <w:tc>
          <w:tcPr>
            <w:tcW w:w="6821" w:type="dxa"/>
          </w:tcPr>
          <w:p w:rsidR="00CE20F5" w:rsidRDefault="00CE20F5" w:rsidP="00B35D5C"/>
          <w:p w:rsidR="00CE20F5" w:rsidRDefault="00CE20F5" w:rsidP="00B35D5C">
            <w:r>
              <w:t xml:space="preserve">The Executive Director shall offer a dismissal with an advisory letter in final resolution of a </w:t>
            </w:r>
            <w:r w:rsidRPr="000F25A0">
              <w:rPr>
                <w:b/>
              </w:rPr>
              <w:t>staff assignment</w:t>
            </w:r>
            <w:r>
              <w:t xml:space="preserve"> where the Executive Director concludes all of the following Board-approved criteria exist:</w:t>
            </w:r>
          </w:p>
          <w:p w:rsidR="00CE20F5" w:rsidRDefault="00CE20F5" w:rsidP="00B35D5C"/>
          <w:p w:rsidR="00CE20F5" w:rsidRDefault="00CE20F5" w:rsidP="00B35D5C">
            <w:pPr>
              <w:numPr>
                <w:ilvl w:val="0"/>
                <w:numId w:val="25"/>
              </w:numPr>
            </w:pPr>
            <w:r>
              <w:t>The Perfusionist holds a current Massachusetts Perfusionist license,</w:t>
            </w:r>
          </w:p>
          <w:p w:rsidR="00CE20F5" w:rsidRDefault="00CE20F5" w:rsidP="00B35D5C">
            <w:pPr>
              <w:numPr>
                <w:ilvl w:val="0"/>
                <w:numId w:val="25"/>
              </w:numPr>
            </w:pPr>
            <w:r>
              <w:t>The Perfusionist acknowledges the conduct,</w:t>
            </w:r>
          </w:p>
          <w:p w:rsidR="00CE20F5" w:rsidRDefault="00CE20F5" w:rsidP="00B35D5C">
            <w:pPr>
              <w:numPr>
                <w:ilvl w:val="0"/>
                <w:numId w:val="25"/>
              </w:numPr>
            </w:pPr>
            <w:r>
              <w:t xml:space="preserve">There is no history of previous Board discipline against the Perfusionist, </w:t>
            </w:r>
          </w:p>
          <w:p w:rsidR="00CE20F5" w:rsidRDefault="00CE20F5" w:rsidP="00B35D5C">
            <w:pPr>
              <w:numPr>
                <w:ilvl w:val="0"/>
                <w:numId w:val="25"/>
              </w:numPr>
            </w:pPr>
            <w:r>
              <w:t>There are no pending staff assignments, investigations or complaints against the Perfusionist</w:t>
            </w:r>
            <w:r w:rsidR="00C6669F">
              <w:t>’s license</w:t>
            </w:r>
            <w:r>
              <w:t>,</w:t>
            </w:r>
          </w:p>
          <w:p w:rsidR="00CE20F5" w:rsidRDefault="00CE20F5" w:rsidP="00B35D5C">
            <w:pPr>
              <w:numPr>
                <w:ilvl w:val="0"/>
                <w:numId w:val="25"/>
              </w:numPr>
            </w:pPr>
            <w:r>
              <w:t>The Perfusionist submits a letter of retirement or resignation to the Board that includes his or her license certificate.</w:t>
            </w:r>
          </w:p>
          <w:p w:rsidR="00CE20F5" w:rsidRPr="00D079BF" w:rsidRDefault="00CE20F5" w:rsidP="00D079BF"/>
        </w:tc>
      </w:tr>
      <w:tr w:rsidR="00CE20F5" w:rsidTr="00D079BF">
        <w:trPr>
          <w:trHeight w:val="50"/>
        </w:trPr>
        <w:tc>
          <w:tcPr>
            <w:tcW w:w="2228" w:type="dxa"/>
          </w:tcPr>
          <w:p w:rsidR="00CE20F5" w:rsidRDefault="00CE20F5" w:rsidP="00F63B20">
            <w:pPr>
              <w:jc w:val="center"/>
              <w:rPr>
                <w:b/>
              </w:rPr>
            </w:pPr>
            <w:r>
              <w:rPr>
                <w:b/>
              </w:rPr>
              <w:t>Consent Agreement for Reprimand</w:t>
            </w:r>
          </w:p>
        </w:tc>
        <w:tc>
          <w:tcPr>
            <w:tcW w:w="6821" w:type="dxa"/>
          </w:tcPr>
          <w:p w:rsidR="00CE20F5" w:rsidRDefault="00CE20F5" w:rsidP="00A906A8">
            <w:r>
              <w:t xml:space="preserve">The Executive Director shall offer a Consent Agreement for Reprimand in final resolution of a </w:t>
            </w:r>
            <w:r w:rsidRPr="000F25A0">
              <w:rPr>
                <w:b/>
              </w:rPr>
              <w:t>complaint</w:t>
            </w:r>
            <w:r>
              <w:t xml:space="preserve"> where the Executive Director concludes all of the following Board-approved criteria exist:</w:t>
            </w:r>
          </w:p>
          <w:p w:rsidR="00CE20F5" w:rsidRDefault="00CE20F5" w:rsidP="00A906A8">
            <w:pPr>
              <w:pStyle w:val="ListParagraph"/>
              <w:numPr>
                <w:ilvl w:val="0"/>
                <w:numId w:val="30"/>
              </w:numPr>
            </w:pPr>
            <w:r>
              <w:t>The Perfusionist holds a current Massachusetts Perfusionist license,</w:t>
            </w:r>
          </w:p>
          <w:p w:rsidR="00CE20F5" w:rsidRDefault="00CE20F5" w:rsidP="00A906A8">
            <w:pPr>
              <w:numPr>
                <w:ilvl w:val="0"/>
                <w:numId w:val="30"/>
              </w:numPr>
            </w:pPr>
            <w:r>
              <w:t>The Perfusionist acknowledges the conduct,</w:t>
            </w:r>
          </w:p>
          <w:p w:rsidR="00CE20F5" w:rsidRDefault="00CE20F5" w:rsidP="00A906A8">
            <w:pPr>
              <w:numPr>
                <w:ilvl w:val="0"/>
                <w:numId w:val="30"/>
              </w:numPr>
            </w:pPr>
            <w:r>
              <w:t>There is no history of previous Board discipline against the Perfusionist,</w:t>
            </w:r>
          </w:p>
          <w:p w:rsidR="00CE20F5" w:rsidRDefault="00CE20F5" w:rsidP="00A906A8">
            <w:pPr>
              <w:numPr>
                <w:ilvl w:val="0"/>
                <w:numId w:val="30"/>
              </w:numPr>
            </w:pPr>
            <w:r>
              <w:t>There are no other pending staff assignments, investigations or complaints against the Perfusionist</w:t>
            </w:r>
            <w:r w:rsidR="00C6669F">
              <w:t>’s license</w:t>
            </w:r>
            <w:r>
              <w:t>,</w:t>
            </w:r>
          </w:p>
          <w:p w:rsidR="00CE20F5" w:rsidRDefault="00CE20F5" w:rsidP="0089496C">
            <w:pPr>
              <w:pStyle w:val="ListParagraph"/>
              <w:numPr>
                <w:ilvl w:val="0"/>
                <w:numId w:val="30"/>
              </w:numPr>
            </w:pPr>
            <w:r>
              <w:t>The Perfusionist submits proof satisfactory to the Board of completion of all required continuing education in his or her response</w:t>
            </w:r>
            <w:r>
              <w:rPr>
                <w:rStyle w:val="FootnoteReference"/>
              </w:rPr>
              <w:footnoteReference w:id="1"/>
            </w:r>
            <w:r>
              <w:t xml:space="preserve"> to the Board’s notice of investigation.</w:t>
            </w:r>
          </w:p>
          <w:p w:rsidR="00CE20F5" w:rsidRDefault="00CE20F5" w:rsidP="001154B4">
            <w:pPr>
              <w:ind w:left="720"/>
            </w:pPr>
          </w:p>
          <w:p w:rsidR="00CE20F5" w:rsidRDefault="00CE20F5" w:rsidP="00A906A8">
            <w:pPr>
              <w:ind w:left="360"/>
            </w:pPr>
          </w:p>
          <w:p w:rsidR="00CE20F5" w:rsidRDefault="00CE20F5" w:rsidP="00A906A8"/>
          <w:p w:rsidR="00CE20F5" w:rsidRDefault="00CE20F5"/>
        </w:tc>
      </w:tr>
      <w:tr w:rsidR="0089496C" w:rsidTr="00D079BF">
        <w:trPr>
          <w:trHeight w:val="50"/>
        </w:trPr>
        <w:tc>
          <w:tcPr>
            <w:tcW w:w="2228" w:type="dxa"/>
          </w:tcPr>
          <w:p w:rsidR="0089496C" w:rsidRDefault="0089496C" w:rsidP="00F63B20">
            <w:pPr>
              <w:jc w:val="center"/>
              <w:rPr>
                <w:b/>
              </w:rPr>
            </w:pPr>
          </w:p>
        </w:tc>
        <w:tc>
          <w:tcPr>
            <w:tcW w:w="6821" w:type="dxa"/>
          </w:tcPr>
          <w:p w:rsidR="0089496C" w:rsidRDefault="0089496C" w:rsidP="00A906A8"/>
        </w:tc>
      </w:tr>
    </w:tbl>
    <w:p w:rsidR="00CE20F5" w:rsidRDefault="00CE20F5">
      <w:pPr>
        <w:pStyle w:val="Header"/>
        <w:tabs>
          <w:tab w:val="clear" w:pos="4320"/>
          <w:tab w:val="clear" w:pos="8640"/>
        </w:tabs>
      </w:pPr>
    </w:p>
    <w:sectPr w:rsidR="00CE20F5" w:rsidSect="00C436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59" w:other="259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0F5" w:rsidRDefault="00CE20F5">
      <w:r>
        <w:separator/>
      </w:r>
    </w:p>
  </w:endnote>
  <w:endnote w:type="continuationSeparator" w:id="0">
    <w:p w:rsidR="00CE20F5" w:rsidRDefault="00CE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F5" w:rsidRDefault="00CE20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0F5" w:rsidRDefault="00CE20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F5" w:rsidRDefault="00CE20F5">
    <w:pPr>
      <w:pStyle w:val="Footer"/>
      <w:ind w:right="360"/>
      <w:rPr>
        <w:snapToGrid w:val="0"/>
        <w:sz w:val="20"/>
      </w:rPr>
    </w:pPr>
    <w:r>
      <w:rPr>
        <w:snapToGrid w:val="0"/>
        <w:sz w:val="20"/>
      </w:rPr>
      <w:tab/>
      <w:t xml:space="preserve">Page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096BD6">
      <w:rPr>
        <w:noProof/>
        <w:snapToGrid w:val="0"/>
        <w:sz w:val="20"/>
      </w:rPr>
      <w:t>1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of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096BD6">
      <w:rPr>
        <w:noProof/>
        <w:snapToGrid w:val="0"/>
        <w:sz w:val="20"/>
      </w:rPr>
      <w:t>2</w:t>
    </w:r>
    <w:r>
      <w:rPr>
        <w:snapToGrid w:val="0"/>
        <w:sz w:val="20"/>
      </w:rPr>
      <w:fldChar w:fldCharType="end"/>
    </w:r>
  </w:p>
  <w:p w:rsidR="00CE20F5" w:rsidRDefault="00CE20F5">
    <w:pPr>
      <w:pStyle w:val="Footer"/>
      <w:ind w:right="360"/>
      <w:rPr>
        <w:sz w:val="20"/>
      </w:rPr>
    </w:pPr>
    <w:r>
      <w:rPr>
        <w:snapToGrid w:val="0"/>
        <w:sz w:val="20"/>
      </w:rPr>
      <w:tab/>
    </w:r>
    <w:r>
      <w:rPr>
        <w:snapToGrid w:val="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F5" w:rsidRDefault="00CE20F5">
    <w:pPr>
      <w:pStyle w:val="Footer"/>
      <w:rPr>
        <w:sz w:val="20"/>
      </w:rPr>
    </w:pPr>
    <w:r>
      <w:rPr>
        <w:sz w:val="20"/>
      </w:rPr>
      <w:t>Draft proposed revisions</w:t>
    </w:r>
  </w:p>
  <w:p w:rsidR="00CE20F5" w:rsidRDefault="00CE20F5">
    <w:pPr>
      <w:pStyle w:val="Footer"/>
      <w:rPr>
        <w:sz w:val="20"/>
      </w:rPr>
    </w:pPr>
    <w:r>
      <w:rPr>
        <w:sz w:val="20"/>
      </w:rPr>
      <w:t>Board review 9-12-2001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0F5" w:rsidRDefault="00CE20F5">
      <w:r>
        <w:separator/>
      </w:r>
    </w:p>
  </w:footnote>
  <w:footnote w:type="continuationSeparator" w:id="0">
    <w:p w:rsidR="00CE20F5" w:rsidRDefault="00CE20F5">
      <w:r>
        <w:continuationSeparator/>
      </w:r>
    </w:p>
  </w:footnote>
  <w:footnote w:id="1">
    <w:p w:rsidR="00CE20F5" w:rsidRDefault="00CE20F5" w:rsidP="00A906A8">
      <w:pPr>
        <w:pStyle w:val="FootnoteText"/>
      </w:pPr>
      <w:r>
        <w:rPr>
          <w:rStyle w:val="FootnoteReference"/>
        </w:rPr>
        <w:footnoteRef/>
      </w:r>
      <w:r>
        <w:t xml:space="preserve"> 21 days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F5" w:rsidRDefault="00CE20F5" w:rsidP="000A589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0F5" w:rsidRDefault="00CE20F5">
    <w:pPr>
      <w:pStyle w:val="Header"/>
    </w:pPr>
    <w:r>
      <w:t>Key:  Regular Type-Current policy provision</w:t>
    </w:r>
    <w:r>
      <w:tab/>
    </w:r>
    <w:r>
      <w:tab/>
      <w:t>4-17</w:t>
    </w:r>
  </w:p>
  <w:p w:rsidR="00CE20F5" w:rsidRDefault="00CE20F5">
    <w:pPr>
      <w:pStyle w:val="Header"/>
    </w:pPr>
    <w:r>
      <w:t xml:space="preserve">          </w:t>
    </w:r>
    <w:r>
      <w:rPr>
        <w:b/>
      </w:rPr>
      <w:t>Bold type</w:t>
    </w:r>
    <w:r>
      <w:t>-Proposed revision</w:t>
    </w:r>
  </w:p>
  <w:p w:rsidR="00CE20F5" w:rsidRDefault="00CE20F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DF09E5"/>
    <w:multiLevelType w:val="hybridMultilevel"/>
    <w:tmpl w:val="8172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12F46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100840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B4749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2213D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F243C2"/>
    <w:multiLevelType w:val="hybridMultilevel"/>
    <w:tmpl w:val="439C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CE033A"/>
    <w:multiLevelType w:val="singleLevel"/>
    <w:tmpl w:val="CFE89D14"/>
    <w:lvl w:ilvl="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</w:abstractNum>
  <w:abstractNum w:abstractNumId="8" w15:restartNumberingAfterBreak="0">
    <w:nsid w:val="1CC27A54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  <w:rPr>
        <w:rFonts w:cs="Times New Roman"/>
      </w:rPr>
    </w:lvl>
  </w:abstractNum>
  <w:abstractNum w:abstractNumId="9" w15:restartNumberingAfterBreak="0">
    <w:nsid w:val="24922DF2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BDA6AA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65D1293"/>
    <w:multiLevelType w:val="hybridMultilevel"/>
    <w:tmpl w:val="1AA47A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7357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0B45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BC0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0A6255"/>
    <w:multiLevelType w:val="singleLevel"/>
    <w:tmpl w:val="4C1413A8"/>
    <w:lvl w:ilvl="0">
      <w:start w:val="4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</w:abstractNum>
  <w:abstractNum w:abstractNumId="16" w15:restartNumberingAfterBreak="0">
    <w:nsid w:val="504E0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34C502D"/>
    <w:multiLevelType w:val="hybridMultilevel"/>
    <w:tmpl w:val="A9F8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2377F2"/>
    <w:multiLevelType w:val="hybridMultilevel"/>
    <w:tmpl w:val="6B80A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60C67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  <w:rPr>
        <w:rFonts w:cs="Times New Roman"/>
      </w:rPr>
    </w:lvl>
  </w:abstractNum>
  <w:abstractNum w:abstractNumId="20" w15:restartNumberingAfterBreak="0">
    <w:nsid w:val="5C76578E"/>
    <w:multiLevelType w:val="singleLevel"/>
    <w:tmpl w:val="4B2C3E8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 w15:restartNumberingAfterBreak="0">
    <w:nsid w:val="62B57D07"/>
    <w:multiLevelType w:val="hybridMultilevel"/>
    <w:tmpl w:val="0F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055947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AE06A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DC30EB1"/>
    <w:multiLevelType w:val="hybridMultilevel"/>
    <w:tmpl w:val="86DC04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4565313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0A2B3A"/>
    <w:multiLevelType w:val="singleLevel"/>
    <w:tmpl w:val="0C72C3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76DA4BFE"/>
    <w:multiLevelType w:val="hybridMultilevel"/>
    <w:tmpl w:val="8F7E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AC5F6D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7FB2235D"/>
    <w:multiLevelType w:val="singleLevel"/>
    <w:tmpl w:val="DFCAD26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3"/>
  </w:num>
  <w:num w:numId="4">
    <w:abstractNumId w:val="9"/>
  </w:num>
  <w:num w:numId="5">
    <w:abstractNumId w:val="22"/>
  </w:num>
  <w:num w:numId="6">
    <w:abstractNumId w:val="12"/>
  </w:num>
  <w:num w:numId="7">
    <w:abstractNumId w:val="23"/>
  </w:num>
  <w:num w:numId="8">
    <w:abstractNumId w:val="7"/>
  </w:num>
  <w:num w:numId="9">
    <w:abstractNumId w:val="16"/>
  </w:num>
  <w:num w:numId="10">
    <w:abstractNumId w:val="29"/>
  </w:num>
  <w:num w:numId="11">
    <w:abstractNumId w:val="26"/>
  </w:num>
  <w:num w:numId="12">
    <w:abstractNumId w:val="14"/>
  </w:num>
  <w:num w:numId="13">
    <w:abstractNumId w:val="13"/>
  </w:num>
  <w:num w:numId="14">
    <w:abstractNumId w:val="5"/>
  </w:num>
  <w:num w:numId="15">
    <w:abstractNumId w:val="15"/>
  </w:num>
  <w:num w:numId="16">
    <w:abstractNumId w:val="10"/>
  </w:num>
  <w:num w:numId="17">
    <w:abstractNumId w:val="20"/>
  </w:num>
  <w:num w:numId="18">
    <w:abstractNumId w:val="4"/>
  </w:num>
  <w:num w:numId="19">
    <w:abstractNumId w:val="27"/>
  </w:num>
  <w:num w:numId="20">
    <w:abstractNumId w:val="2"/>
  </w:num>
  <w:num w:numId="21">
    <w:abstractNumId w:val="18"/>
  </w:num>
  <w:num w:numId="22">
    <w:abstractNumId w:val="25"/>
  </w:num>
  <w:num w:numId="23">
    <w:abstractNumId w:val="8"/>
  </w:num>
  <w:num w:numId="24">
    <w:abstractNumId w:val="19"/>
  </w:num>
  <w:num w:numId="25">
    <w:abstractNumId w:val="1"/>
  </w:num>
  <w:num w:numId="26">
    <w:abstractNumId w:val="24"/>
  </w:num>
  <w:num w:numId="27">
    <w:abstractNumId w:val="6"/>
  </w:num>
  <w:num w:numId="28">
    <w:abstractNumId w:val="11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C"/>
    <w:rsid w:val="00016AA0"/>
    <w:rsid w:val="00031D2C"/>
    <w:rsid w:val="000454D8"/>
    <w:rsid w:val="00095CFB"/>
    <w:rsid w:val="00096BD6"/>
    <w:rsid w:val="000A5892"/>
    <w:rsid w:val="000E1F83"/>
    <w:rsid w:val="000F25A0"/>
    <w:rsid w:val="000F3E0A"/>
    <w:rsid w:val="00100CF3"/>
    <w:rsid w:val="001154B4"/>
    <w:rsid w:val="00142226"/>
    <w:rsid w:val="00190C15"/>
    <w:rsid w:val="001C68FC"/>
    <w:rsid w:val="00246F9A"/>
    <w:rsid w:val="0027043F"/>
    <w:rsid w:val="002E4458"/>
    <w:rsid w:val="002E51AF"/>
    <w:rsid w:val="002E533C"/>
    <w:rsid w:val="00337A2F"/>
    <w:rsid w:val="0034689E"/>
    <w:rsid w:val="00374DE0"/>
    <w:rsid w:val="00390997"/>
    <w:rsid w:val="003A21F7"/>
    <w:rsid w:val="003D2B0A"/>
    <w:rsid w:val="003E3E10"/>
    <w:rsid w:val="003E493B"/>
    <w:rsid w:val="00454827"/>
    <w:rsid w:val="00462B49"/>
    <w:rsid w:val="004A460C"/>
    <w:rsid w:val="004D45BA"/>
    <w:rsid w:val="004F06CD"/>
    <w:rsid w:val="00500F6B"/>
    <w:rsid w:val="00526DBE"/>
    <w:rsid w:val="00543450"/>
    <w:rsid w:val="00554250"/>
    <w:rsid w:val="00577C70"/>
    <w:rsid w:val="0058567B"/>
    <w:rsid w:val="005C56B7"/>
    <w:rsid w:val="005F7B50"/>
    <w:rsid w:val="006066A0"/>
    <w:rsid w:val="00612CB1"/>
    <w:rsid w:val="00616B07"/>
    <w:rsid w:val="006172BE"/>
    <w:rsid w:val="0063044B"/>
    <w:rsid w:val="006409C2"/>
    <w:rsid w:val="00677C82"/>
    <w:rsid w:val="00682FDB"/>
    <w:rsid w:val="00693F0D"/>
    <w:rsid w:val="006F5F29"/>
    <w:rsid w:val="006F6552"/>
    <w:rsid w:val="00711A77"/>
    <w:rsid w:val="00774FCE"/>
    <w:rsid w:val="007C0145"/>
    <w:rsid w:val="007C367A"/>
    <w:rsid w:val="007C509D"/>
    <w:rsid w:val="007C6B1D"/>
    <w:rsid w:val="007D5108"/>
    <w:rsid w:val="007E1A12"/>
    <w:rsid w:val="00817365"/>
    <w:rsid w:val="0082380A"/>
    <w:rsid w:val="0084065C"/>
    <w:rsid w:val="0089496C"/>
    <w:rsid w:val="008D3180"/>
    <w:rsid w:val="008E443A"/>
    <w:rsid w:val="00947B5A"/>
    <w:rsid w:val="009810E7"/>
    <w:rsid w:val="009817B0"/>
    <w:rsid w:val="009A7782"/>
    <w:rsid w:val="009C626C"/>
    <w:rsid w:val="00A01294"/>
    <w:rsid w:val="00A02F7C"/>
    <w:rsid w:val="00A32055"/>
    <w:rsid w:val="00A55BE7"/>
    <w:rsid w:val="00A82F00"/>
    <w:rsid w:val="00A906A8"/>
    <w:rsid w:val="00AB2345"/>
    <w:rsid w:val="00AC7B39"/>
    <w:rsid w:val="00AD1ADE"/>
    <w:rsid w:val="00AE70E9"/>
    <w:rsid w:val="00B02CE7"/>
    <w:rsid w:val="00B2235D"/>
    <w:rsid w:val="00B35D5C"/>
    <w:rsid w:val="00B47E7B"/>
    <w:rsid w:val="00B543ED"/>
    <w:rsid w:val="00B568ED"/>
    <w:rsid w:val="00B95E06"/>
    <w:rsid w:val="00B96143"/>
    <w:rsid w:val="00BB1547"/>
    <w:rsid w:val="00BB4290"/>
    <w:rsid w:val="00BD0530"/>
    <w:rsid w:val="00C05C0C"/>
    <w:rsid w:val="00C130E8"/>
    <w:rsid w:val="00C15CE3"/>
    <w:rsid w:val="00C43602"/>
    <w:rsid w:val="00C5489A"/>
    <w:rsid w:val="00C6669F"/>
    <w:rsid w:val="00C67A73"/>
    <w:rsid w:val="00C80E96"/>
    <w:rsid w:val="00C81FC3"/>
    <w:rsid w:val="00C971DC"/>
    <w:rsid w:val="00CA0D0C"/>
    <w:rsid w:val="00CA6795"/>
    <w:rsid w:val="00CB2622"/>
    <w:rsid w:val="00CB37B1"/>
    <w:rsid w:val="00CB4202"/>
    <w:rsid w:val="00CB5FAD"/>
    <w:rsid w:val="00CE20F5"/>
    <w:rsid w:val="00D01E01"/>
    <w:rsid w:val="00D079BF"/>
    <w:rsid w:val="00D117C0"/>
    <w:rsid w:val="00D408A2"/>
    <w:rsid w:val="00D86EC4"/>
    <w:rsid w:val="00D91ED3"/>
    <w:rsid w:val="00DC2BED"/>
    <w:rsid w:val="00DD3064"/>
    <w:rsid w:val="00DE01AD"/>
    <w:rsid w:val="00E01F63"/>
    <w:rsid w:val="00E16B13"/>
    <w:rsid w:val="00E3728C"/>
    <w:rsid w:val="00E66672"/>
    <w:rsid w:val="00E73215"/>
    <w:rsid w:val="00EB412F"/>
    <w:rsid w:val="00EC5E6E"/>
    <w:rsid w:val="00ED48B8"/>
    <w:rsid w:val="00F10AFD"/>
    <w:rsid w:val="00F2608B"/>
    <w:rsid w:val="00F63B20"/>
    <w:rsid w:val="00F827FF"/>
    <w:rsid w:val="00F85CD5"/>
    <w:rsid w:val="00F973BF"/>
    <w:rsid w:val="00FC0F25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63E85"/>
  <w15:docId w15:val="{D64793DA-8A10-460B-8524-FED9D229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54827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4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BCC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454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BCC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45482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454827"/>
    <w:pPr>
      <w:ind w:left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1BCC"/>
    <w:rPr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54827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1BCC"/>
    <w:rPr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54827"/>
    <w:pPr>
      <w:ind w:left="612" w:hanging="27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31BCC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454827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1BCC"/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454827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1BCC"/>
    <w:rPr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45482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B31BC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rsid w:val="0055425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12CB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12CB1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0F25A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A906A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906A8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906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Registration in Nursing</vt:lpstr>
    </vt:vector>
  </TitlesOfParts>
  <Company>DIVISION OF REGISTRATION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2016-09-27T13:36:00Z</dcterms:created>
  <dc:creator>Carol Silveira</dc:creator>
  <lastModifiedBy>Ferullo, Rebecca (DPH)</lastModifiedBy>
  <lastPrinted>2017-01-06T20:39:00Z</lastPrinted>
  <dcterms:modified xsi:type="dcterms:W3CDTF">2017-05-31T13:32:00Z</dcterms:modified>
  <revision>8</revision>
  <dc:title>Board of Registration in Nursing</dc:title>
</coreProperties>
</file>