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F9F8" w14:textId="0696023D" w:rsidR="00A72346" w:rsidRDefault="008840DB">
      <w:pPr>
        <w:tabs>
          <w:tab w:val="left" w:pos="1659"/>
        </w:tabs>
        <w:spacing w:before="90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Jason </w:t>
      </w:r>
      <w:r>
        <w:rPr>
          <w:rFonts w:ascii="Tahoma"/>
          <w:color w:val="0000FF"/>
          <w:spacing w:val="-2"/>
          <w:sz w:val="15"/>
          <w:u w:val="single" w:color="0000FF"/>
        </w:rPr>
        <w:t>Cohen</w:t>
      </w:r>
    </w:p>
    <w:p w14:paraId="52DF7855" w14:textId="77777777" w:rsidR="00A72346" w:rsidRDefault="008840DB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7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-6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62183B87" w14:textId="77777777" w:rsidR="00A72346" w:rsidRDefault="008840DB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Subject: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OEMS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–First Responder </w:t>
      </w:r>
      <w:r>
        <w:rPr>
          <w:rFonts w:ascii="Tahoma" w:hAnsi="Tahoma"/>
          <w:spacing w:val="-2"/>
          <w:sz w:val="15"/>
        </w:rPr>
        <w:t>Training</w:t>
      </w:r>
    </w:p>
    <w:p w14:paraId="56B0A466" w14:textId="77777777" w:rsidR="00A72346" w:rsidRDefault="008840DB">
      <w:pPr>
        <w:tabs>
          <w:tab w:val="left" w:pos="1659"/>
        </w:tabs>
        <w:spacing w:before="28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November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16,</w:t>
      </w:r>
      <w:r>
        <w:rPr>
          <w:rFonts w:ascii="Tahoma"/>
          <w:spacing w:val="-2"/>
          <w:sz w:val="15"/>
        </w:rPr>
        <w:t xml:space="preserve"> </w:t>
      </w:r>
      <w:proofErr w:type="gramStart"/>
      <w:r>
        <w:rPr>
          <w:rFonts w:ascii="Tahoma"/>
          <w:sz w:val="15"/>
        </w:rPr>
        <w:t>2022</w:t>
      </w:r>
      <w:proofErr w:type="gramEnd"/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1:24:01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PM</w:t>
      </w:r>
    </w:p>
    <w:p w14:paraId="519FCEA5" w14:textId="77777777" w:rsidR="00A72346" w:rsidRDefault="008840DB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image001.png</w:t>
      </w:r>
    </w:p>
    <w:p w14:paraId="7AC777DD" w14:textId="22B1FDA9" w:rsidR="00A72346" w:rsidRDefault="008840DB">
      <w:pPr>
        <w:pStyle w:val="BodyText"/>
        <w:spacing w:before="5"/>
        <w:rPr>
          <w:rFonts w:ascii="Tahoma"/>
          <w:sz w:val="10"/>
        </w:rPr>
      </w:pPr>
      <w:r>
        <w:pict w14:anchorId="1ED9E9EB">
          <v:rect id="docshape1" o:spid="_x0000_s1030" style="position:absolute;margin-left:78pt;margin-top:7.5pt;width:457.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514E5704" w14:textId="77777777" w:rsidR="00A72346" w:rsidRDefault="00A72346">
      <w:pPr>
        <w:pStyle w:val="BodyText"/>
        <w:spacing w:before="5"/>
        <w:rPr>
          <w:rFonts w:ascii="Tahoma"/>
          <w:sz w:val="10"/>
        </w:rPr>
      </w:pPr>
    </w:p>
    <w:p w14:paraId="456D0680" w14:textId="77777777" w:rsidR="00A72346" w:rsidRDefault="008840DB">
      <w:pPr>
        <w:pStyle w:val="BodyText"/>
        <w:ind w:left="100"/>
      </w:pPr>
      <w:r>
        <w:t>Thank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opportunity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comment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changes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105CMR170.</w:t>
      </w:r>
    </w:p>
    <w:p w14:paraId="029F325F" w14:textId="77777777" w:rsidR="00A72346" w:rsidRDefault="00A72346">
      <w:pPr>
        <w:pStyle w:val="BodyText"/>
        <w:spacing w:before="2"/>
        <w:rPr>
          <w:sz w:val="27"/>
        </w:rPr>
      </w:pPr>
    </w:p>
    <w:p w14:paraId="305C2022" w14:textId="77777777" w:rsidR="00A72346" w:rsidRDefault="008840DB">
      <w:pPr>
        <w:pStyle w:val="BodyText"/>
        <w:spacing w:line="268" w:lineRule="auto"/>
        <w:ind w:left="100" w:right="317"/>
      </w:pPr>
      <w:r>
        <w:t>As this document is undergoing review/update, I respectfully ask the Department to review/clarify the following:</w:t>
      </w:r>
    </w:p>
    <w:p w14:paraId="594985FA" w14:textId="77777777" w:rsidR="00A72346" w:rsidRDefault="00A72346">
      <w:pPr>
        <w:pStyle w:val="BodyText"/>
      </w:pPr>
    </w:p>
    <w:p w14:paraId="21F75256" w14:textId="77777777" w:rsidR="00A72346" w:rsidRDefault="008840DB">
      <w:pPr>
        <w:spacing w:before="186"/>
        <w:ind w:left="100"/>
        <w:rPr>
          <w:i/>
        </w:rPr>
      </w:pPr>
      <w:r>
        <w:rPr>
          <w:i/>
        </w:rPr>
        <w:t>170.305:</w:t>
      </w:r>
      <w:r>
        <w:rPr>
          <w:i/>
          <w:spacing w:val="16"/>
        </w:rPr>
        <w:t xml:space="preserve"> </w:t>
      </w:r>
      <w:r>
        <w:rPr>
          <w:i/>
          <w:spacing w:val="-2"/>
        </w:rPr>
        <w:t>Staffing</w:t>
      </w:r>
    </w:p>
    <w:p w14:paraId="281E76C0" w14:textId="77777777" w:rsidR="00A72346" w:rsidRDefault="00A72346">
      <w:pPr>
        <w:pStyle w:val="BodyText"/>
        <w:spacing w:before="2"/>
        <w:rPr>
          <w:i/>
          <w:sz w:val="27"/>
        </w:rPr>
      </w:pPr>
    </w:p>
    <w:p w14:paraId="33BE5E7F" w14:textId="77777777" w:rsidR="00A72346" w:rsidRDefault="008840DB">
      <w:pPr>
        <w:pStyle w:val="BodyText"/>
        <w:ind w:left="100"/>
      </w:pPr>
      <w:r>
        <w:t>(D)</w:t>
      </w:r>
      <w:r>
        <w:rPr>
          <w:spacing w:val="8"/>
        </w:rPr>
        <w:t xml:space="preserve"> </w:t>
      </w:r>
      <w:r>
        <w:t>Critical</w:t>
      </w:r>
      <w:r>
        <w:rPr>
          <w:spacing w:val="8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rPr>
          <w:spacing w:val="-2"/>
        </w:rPr>
        <w:t>Staffing</w:t>
      </w:r>
    </w:p>
    <w:p w14:paraId="293BF133" w14:textId="77777777" w:rsidR="00A72346" w:rsidRDefault="008840DB">
      <w:pPr>
        <w:pStyle w:val="BodyText"/>
        <w:spacing w:before="32" w:line="268" w:lineRule="auto"/>
        <w:ind w:left="820" w:right="294" w:firstLine="60"/>
      </w:pPr>
      <w:r>
        <w:t xml:space="preserve">2(b) (b) One of whom is licensed in Massachusetts as a physician, </w:t>
      </w:r>
      <w:r>
        <w:rPr>
          <w:color w:val="000000"/>
          <w:shd w:val="clear" w:color="auto" w:fill="FFFF00"/>
        </w:rPr>
        <w:t>or, at a minimum</w:t>
      </w:r>
      <w:r>
        <w:rPr>
          <w:color w:val="000000"/>
        </w:rPr>
        <w:t>, is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certified as a Paramedic and meets CAMTS or Department-approved substantially equivalent accreditation requirements for personnel credentials.</w:t>
      </w:r>
    </w:p>
    <w:p w14:paraId="69C2A366" w14:textId="77777777" w:rsidR="00A72346" w:rsidRDefault="00A72346">
      <w:pPr>
        <w:pStyle w:val="BodyText"/>
        <w:spacing w:before="12"/>
        <w:rPr>
          <w:sz w:val="26"/>
        </w:rPr>
      </w:pPr>
    </w:p>
    <w:p w14:paraId="6B0375EA" w14:textId="77777777" w:rsidR="00A72346" w:rsidRDefault="008840DB">
      <w:pPr>
        <w:pStyle w:val="BodyText"/>
        <w:spacing w:line="268" w:lineRule="auto"/>
        <w:ind w:left="100" w:right="211"/>
        <w:jc w:val="both"/>
      </w:pPr>
      <w:r>
        <w:t>This wording is non-spec</w:t>
      </w:r>
      <w:r>
        <w:t>ific and unclear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Does this mean that the second provider can or cannot be (for example) a Nurse Practitioner, a Physician Assistant, a Registered Nurse</w:t>
      </w:r>
      <w:proofErr w:type="gramStart"/>
      <w:r>
        <w:t>?</w:t>
      </w:r>
      <w:r>
        <w:rPr>
          <w:spacing w:val="40"/>
        </w:rPr>
        <w:t xml:space="preserve"> </w:t>
      </w:r>
      <w:proofErr w:type="gramEnd"/>
      <w:r>
        <w:t xml:space="preserve">As long as that person meets the </w:t>
      </w:r>
      <w:proofErr w:type="gramStart"/>
      <w:r>
        <w:t>CAMTS</w:t>
      </w:r>
      <w:proofErr w:type="gramEnd"/>
      <w:r>
        <w:t xml:space="preserve"> or Department approved equivalent requirement?</w:t>
      </w:r>
    </w:p>
    <w:p w14:paraId="7ECF877E" w14:textId="77777777" w:rsidR="00A72346" w:rsidRDefault="008840DB">
      <w:pPr>
        <w:pStyle w:val="BodyText"/>
        <w:spacing w:line="266" w:lineRule="exact"/>
        <w:ind w:left="100"/>
        <w:jc w:val="both"/>
      </w:pPr>
      <w:r>
        <w:t>A</w:t>
      </w:r>
      <w:r>
        <w:rPr>
          <w:spacing w:val="10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t>revision</w:t>
      </w:r>
      <w:r>
        <w:rPr>
          <w:spacing w:val="12"/>
        </w:rPr>
        <w:t xml:space="preserve"> </w:t>
      </w:r>
      <w:r>
        <w:rPr>
          <w:spacing w:val="-5"/>
        </w:rPr>
        <w:t>is:</w:t>
      </w:r>
    </w:p>
    <w:p w14:paraId="7A8DE5C8" w14:textId="77777777" w:rsidR="00A72346" w:rsidRDefault="008840DB">
      <w:pPr>
        <w:pStyle w:val="BodyText"/>
        <w:spacing w:before="32" w:line="268" w:lineRule="auto"/>
        <w:ind w:left="820" w:right="294" w:firstLine="60"/>
      </w:pPr>
      <w:r>
        <w:t xml:space="preserve">2(b) (b) One of whom is licensed in Massachusetts as a </w:t>
      </w:r>
      <w:r>
        <w:rPr>
          <w:color w:val="000000"/>
          <w:shd w:val="clear" w:color="auto" w:fill="FFFF00"/>
        </w:rPr>
        <w:t>physician, a physician assistant, a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nurse practitioner (within their scope of practice, a registered nurse, or a</w:t>
      </w:r>
      <w:r>
        <w:rPr>
          <w:color w:val="000000"/>
        </w:rPr>
        <w:t xml:space="preserve"> Paramedic and meets CAMTS or Department-approved substantially equivalent a</w:t>
      </w:r>
      <w:r>
        <w:rPr>
          <w:color w:val="000000"/>
        </w:rPr>
        <w:t>ccreditation requirements for personnel credentials.</w:t>
      </w:r>
    </w:p>
    <w:p w14:paraId="30B510FC" w14:textId="77777777" w:rsidR="00A72346" w:rsidRDefault="008840DB">
      <w:pPr>
        <w:pStyle w:val="BodyText"/>
        <w:spacing w:before="6"/>
        <w:rPr>
          <w:sz w:val="23"/>
        </w:rPr>
      </w:pPr>
      <w:r>
        <w:pict w14:anchorId="0A378074">
          <v:rect id="docshape3" o:spid="_x0000_s1028" style="position:absolute;margin-left:78pt;margin-top:15.6pt;width:456pt;height:.7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D59599B" w14:textId="77777777" w:rsidR="00A72346" w:rsidRDefault="00A72346">
      <w:pPr>
        <w:pStyle w:val="BodyText"/>
        <w:spacing w:before="7"/>
        <w:rPr>
          <w:sz w:val="24"/>
        </w:rPr>
      </w:pPr>
    </w:p>
    <w:p w14:paraId="57CF62C7" w14:textId="77777777" w:rsidR="00A72346" w:rsidRDefault="008840DB">
      <w:pPr>
        <w:pStyle w:val="BodyText"/>
        <w:spacing w:line="268" w:lineRule="auto"/>
        <w:ind w:left="100" w:right="294"/>
      </w:pPr>
      <w:r>
        <w:t>I would also like to voice strong agreement with the change to 170.350 (B)(1)(a-d) to require reporting while removing the subjective assessment towards patient injury.</w:t>
      </w:r>
    </w:p>
    <w:p w14:paraId="4A0D5378" w14:textId="77777777" w:rsidR="00A72346" w:rsidRDefault="008840DB">
      <w:pPr>
        <w:pStyle w:val="BodyText"/>
        <w:spacing w:before="8"/>
        <w:rPr>
          <w:sz w:val="23"/>
        </w:rPr>
      </w:pPr>
      <w:r>
        <w:pict w14:anchorId="0E47A79A">
          <v:rect id="docshape4" o:spid="_x0000_s1027" style="position:absolute;margin-left:78pt;margin-top:15.65pt;width:456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7C480100" w14:textId="77777777" w:rsidR="00A72346" w:rsidRDefault="00A72346">
      <w:pPr>
        <w:pStyle w:val="BodyText"/>
        <w:spacing w:before="7"/>
        <w:rPr>
          <w:sz w:val="24"/>
        </w:rPr>
      </w:pPr>
    </w:p>
    <w:p w14:paraId="715B581B" w14:textId="77777777" w:rsidR="00A72346" w:rsidRDefault="008840DB">
      <w:pPr>
        <w:pStyle w:val="BodyText"/>
        <w:spacing w:line="268" w:lineRule="auto"/>
        <w:ind w:left="100" w:right="294"/>
      </w:pPr>
      <w:r>
        <w:t>I would like to also voice a</w:t>
      </w:r>
      <w:r>
        <w:t>greement with the change to 170.365: Transport of a Deceased Person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I would propose a qualifier, though, in the instance of patients being transported for potential organ donation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Following the declaration of Brain-death, patients are considered legally/</w:t>
      </w:r>
      <w:r>
        <w:t>ethically</w:t>
      </w:r>
      <w:r>
        <w:rPr>
          <w:spacing w:val="40"/>
        </w:rPr>
        <w:t xml:space="preserve"> </w:t>
      </w:r>
      <w:r>
        <w:t>deceased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The current model of organ procurement from such legally deceased patients is evolving and in many areas of the country has evolved towards transporting such patients to designated</w:t>
      </w:r>
    </w:p>
    <w:p w14:paraId="0D7ADE16" w14:textId="77777777" w:rsidR="00A72346" w:rsidRDefault="008840DB">
      <w:pPr>
        <w:pStyle w:val="BodyText"/>
        <w:spacing w:before="40" w:line="268" w:lineRule="auto"/>
        <w:ind w:left="100" w:right="294"/>
      </w:pPr>
      <w:r>
        <w:t>procurement</w:t>
      </w:r>
      <w:r>
        <w:rPr>
          <w:spacing w:val="30"/>
        </w:rPr>
        <w:t xml:space="preserve"> </w:t>
      </w:r>
      <w:r>
        <w:t>sites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t>declaration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brain</w:t>
      </w:r>
      <w:r>
        <w:rPr>
          <w:spacing w:val="30"/>
        </w:rPr>
        <w:t xml:space="preserve"> </w:t>
      </w:r>
      <w:r>
        <w:t>death,</w:t>
      </w:r>
      <w:r>
        <w:rPr>
          <w:spacing w:val="30"/>
        </w:rPr>
        <w:t xml:space="preserve"> </w:t>
      </w:r>
      <w:r>
        <w:t>rather</w:t>
      </w:r>
      <w:r>
        <w:rPr>
          <w:spacing w:val="30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procuring</w:t>
      </w:r>
      <w:r>
        <w:rPr>
          <w:spacing w:val="30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outlying hospitals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 xml:space="preserve">These transports require ambulance transport with a high level of clinical care </w:t>
      </w:r>
      <w:proofErr w:type="gramStart"/>
      <w:r>
        <w:t>in order to</w:t>
      </w:r>
      <w:proofErr w:type="gramEnd"/>
      <w:r>
        <w:t xml:space="preserve"> maximize the positive recovery of organs for transplant.</w:t>
      </w:r>
      <w:r>
        <w:rPr>
          <w:spacing w:val="40"/>
        </w:rPr>
        <w:t xml:space="preserve"> </w:t>
      </w:r>
      <w:r>
        <w:t>Our regional OPO is moving in th</w:t>
      </w:r>
      <w:r>
        <w:t>is direction</w:t>
      </w:r>
      <w:r>
        <w:rPr>
          <w:spacing w:val="40"/>
        </w:rPr>
        <w:t xml:space="preserve"> </w:t>
      </w:r>
      <w:r>
        <w:t>as well.</w:t>
      </w:r>
    </w:p>
    <w:p w14:paraId="3DA6A997" w14:textId="77777777" w:rsidR="00A72346" w:rsidRDefault="00A72346">
      <w:pPr>
        <w:pStyle w:val="BodyText"/>
        <w:spacing w:before="4"/>
        <w:rPr>
          <w:sz w:val="24"/>
        </w:rPr>
      </w:pPr>
    </w:p>
    <w:p w14:paraId="3DC4D727" w14:textId="77777777" w:rsidR="00A72346" w:rsidRDefault="008840DB">
      <w:pPr>
        <w:pStyle w:val="BodyText"/>
        <w:ind w:left="100"/>
      </w:pPr>
      <w:r>
        <w:t>I</w:t>
      </w:r>
      <w:r>
        <w:rPr>
          <w:spacing w:val="12"/>
        </w:rPr>
        <w:t xml:space="preserve"> </w:t>
      </w:r>
      <w:r>
        <w:t>proposed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re-</w:t>
      </w:r>
      <w:r>
        <w:rPr>
          <w:spacing w:val="-2"/>
        </w:rPr>
        <w:t>wording:</w:t>
      </w:r>
    </w:p>
    <w:p w14:paraId="437ED014" w14:textId="77777777" w:rsidR="00A72346" w:rsidRDefault="00A72346">
      <w:pPr>
        <w:pStyle w:val="BodyText"/>
        <w:spacing w:before="1"/>
        <w:rPr>
          <w:sz w:val="27"/>
        </w:rPr>
      </w:pPr>
    </w:p>
    <w:p w14:paraId="73017218" w14:textId="77777777" w:rsidR="00A72346" w:rsidRDefault="008840DB">
      <w:pPr>
        <w:pStyle w:val="BodyText"/>
        <w:spacing w:before="1" w:line="268" w:lineRule="auto"/>
        <w:ind w:left="100" w:right="294" w:firstLine="720"/>
      </w:pPr>
      <w:r>
        <w:t>An ambulance shall not be used to transport a dead body except in special circumstances where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interest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public</w:t>
      </w:r>
      <w:r>
        <w:rPr>
          <w:spacing w:val="17"/>
        </w:rPr>
        <w:t xml:space="preserve"> </w:t>
      </w:r>
      <w:r>
        <w:t>health</w:t>
      </w:r>
      <w:r>
        <w:rPr>
          <w:spacing w:val="17"/>
        </w:rPr>
        <w:t xml:space="preserve"> </w:t>
      </w:r>
      <w:r>
        <w:t>and/or</w:t>
      </w:r>
      <w:r>
        <w:rPr>
          <w:spacing w:val="17"/>
        </w:rPr>
        <w:t xml:space="preserve"> </w:t>
      </w:r>
      <w:r>
        <w:t>safety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so</w:t>
      </w:r>
      <w:r>
        <w:rPr>
          <w:color w:val="000000"/>
          <w:shd w:val="clear" w:color="auto" w:fill="FFFF00"/>
        </w:rPr>
        <w:t>,</w:t>
      </w:r>
      <w:r>
        <w:rPr>
          <w:color w:val="000000"/>
          <w:spacing w:val="1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or</w:t>
      </w:r>
      <w:r>
        <w:rPr>
          <w:color w:val="000000"/>
          <w:spacing w:val="1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</w:t>
      </w:r>
      <w:r>
        <w:rPr>
          <w:color w:val="000000"/>
          <w:spacing w:val="1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1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case</w:t>
      </w:r>
      <w:r>
        <w:rPr>
          <w:color w:val="000000"/>
          <w:spacing w:val="1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1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brain-death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patients being transported for the purpose of organ donation</w:t>
      </w:r>
      <w:proofErr w:type="gramStart"/>
      <w:r>
        <w:rPr>
          <w:color w:val="000000"/>
          <w:shd w:val="clear" w:color="auto" w:fill="FFFF00"/>
        </w:rPr>
        <w:t>.</w:t>
      </w:r>
      <w:r>
        <w:rPr>
          <w:color w:val="000000"/>
          <w:spacing w:val="40"/>
          <w:shd w:val="clear" w:color="auto" w:fill="FFFF00"/>
        </w:rPr>
        <w:t xml:space="preserve"> </w:t>
      </w:r>
      <w:proofErr w:type="gramEnd"/>
      <w:r>
        <w:rPr>
          <w:color w:val="000000"/>
          <w:shd w:val="clear" w:color="auto" w:fill="FFFF00"/>
        </w:rPr>
        <w:t>In the case of ambulance services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engaged in the transport of brain-death donors, each service will develop policies in accordance with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105 CMR 170.000 and in accordance with accepte</w:t>
      </w:r>
      <w:r>
        <w:rPr>
          <w:color w:val="000000"/>
          <w:shd w:val="clear" w:color="auto" w:fill="FFFF00"/>
        </w:rPr>
        <w:t>d standards of medical practice</w:t>
      </w:r>
      <w:proofErr w:type="gramStart"/>
      <w:r>
        <w:rPr>
          <w:color w:val="000000"/>
          <w:shd w:val="clear" w:color="auto" w:fill="FFFF00"/>
        </w:rPr>
        <w:t>.</w:t>
      </w:r>
      <w:r>
        <w:rPr>
          <w:color w:val="000000"/>
          <w:spacing w:val="40"/>
        </w:rPr>
        <w:t xml:space="preserve"> </w:t>
      </w:r>
      <w:proofErr w:type="gramEnd"/>
      <w:r>
        <w:rPr>
          <w:strike/>
          <w:color w:val="FF0000"/>
        </w:rPr>
        <w:t>Each ambulance</w:t>
      </w:r>
      <w:r>
        <w:rPr>
          <w:color w:val="FF0000"/>
        </w:rPr>
        <w:t xml:space="preserve"> </w:t>
      </w:r>
      <w:r>
        <w:rPr>
          <w:strike/>
          <w:color w:val="FF0000"/>
        </w:rPr>
        <w:t>service shall develop policies in accordance with 105 CMR 170.000 and in accordance with accepted</w:t>
      </w:r>
      <w:r>
        <w:rPr>
          <w:color w:val="FF0000"/>
        </w:rPr>
        <w:t xml:space="preserve"> </w:t>
      </w:r>
      <w:r>
        <w:rPr>
          <w:strike/>
          <w:color w:val="FF0000"/>
        </w:rPr>
        <w:t>standards of medical practice.</w:t>
      </w:r>
    </w:p>
    <w:p w14:paraId="4FAFA51A" w14:textId="77777777" w:rsidR="00A72346" w:rsidRDefault="008840DB">
      <w:pPr>
        <w:pStyle w:val="BodyText"/>
        <w:spacing w:before="11"/>
        <w:rPr>
          <w:sz w:val="27"/>
        </w:rPr>
      </w:pPr>
      <w:r>
        <w:pict w14:anchorId="6DF58108">
          <v:rect id="docshape5" o:spid="_x0000_s1026" style="position:absolute;margin-left:78pt;margin-top:18.25pt;width:456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05DB934" w14:textId="77777777" w:rsidR="00A72346" w:rsidRDefault="00A72346">
      <w:pPr>
        <w:pStyle w:val="BodyText"/>
        <w:spacing w:before="9"/>
        <w:rPr>
          <w:sz w:val="19"/>
        </w:rPr>
      </w:pPr>
    </w:p>
    <w:p w14:paraId="4696C2CD" w14:textId="77777777" w:rsidR="00A72346" w:rsidRDefault="008840DB">
      <w:pPr>
        <w:pStyle w:val="BodyText"/>
        <w:spacing w:before="59"/>
        <w:ind w:left="820"/>
      </w:pPr>
      <w:r>
        <w:t>170.910:</w:t>
      </w:r>
      <w:r>
        <w:rPr>
          <w:spacing w:val="10"/>
        </w:rPr>
        <w:t xml:space="preserve"> </w:t>
      </w:r>
      <w:r>
        <w:t>Initial</w:t>
      </w:r>
      <w:r>
        <w:rPr>
          <w:spacing w:val="11"/>
        </w:rPr>
        <w:t xml:space="preserve"> </w:t>
      </w:r>
      <w:r>
        <w:rPr>
          <w:spacing w:val="-2"/>
        </w:rPr>
        <w:t>Certification</w:t>
      </w:r>
    </w:p>
    <w:p w14:paraId="20BC142E" w14:textId="77777777" w:rsidR="00A72346" w:rsidRDefault="00A72346">
      <w:pPr>
        <w:pStyle w:val="BodyText"/>
        <w:spacing w:before="2"/>
        <w:rPr>
          <w:sz w:val="27"/>
        </w:rPr>
      </w:pPr>
    </w:p>
    <w:p w14:paraId="6A5EFD27" w14:textId="77777777" w:rsidR="00A72346" w:rsidRDefault="008840DB">
      <w:pPr>
        <w:pStyle w:val="BodyText"/>
        <w:spacing w:line="268" w:lineRule="auto"/>
        <w:ind w:left="100" w:right="294" w:firstLine="720"/>
      </w:pPr>
      <w:r>
        <w:t>(A)(1) – I advocate for a change in the minimum age to 16 years old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This will have the effect</w:t>
      </w:r>
      <w:r>
        <w:rPr>
          <w:spacing w:val="40"/>
        </w:rPr>
        <w:t xml:space="preserve"> </w:t>
      </w:r>
      <w:r>
        <w:t>of increasing the eligible personnel for EMT position, especially during this time of severe shortage</w:t>
      </w:r>
      <w:proofErr w:type="gramStart"/>
      <w:r>
        <w:t xml:space="preserve">. </w:t>
      </w:r>
      <w:proofErr w:type="gramEnd"/>
      <w:r>
        <w:t>Several states have 16 years old as the minimum age with n</w:t>
      </w:r>
      <w:r>
        <w:t>o documented decrease in the level of care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This will have the secondary effect of increasing volunteer/community service for our high- school</w:t>
      </w:r>
      <w:r>
        <w:rPr>
          <w:spacing w:val="25"/>
        </w:rPr>
        <w:t xml:space="preserve"> </w:t>
      </w:r>
      <w:r>
        <w:t>age</w:t>
      </w:r>
      <w:r>
        <w:rPr>
          <w:spacing w:val="25"/>
        </w:rPr>
        <w:t xml:space="preserve"> </w:t>
      </w:r>
      <w:r>
        <w:t>students</w:t>
      </w:r>
      <w:proofErr w:type="gramStart"/>
      <w:r>
        <w:t>.</w:t>
      </w:r>
      <w:r>
        <w:rPr>
          <w:spacing w:val="80"/>
        </w:rPr>
        <w:t xml:space="preserve"> </w:t>
      </w:r>
      <w:proofErr w:type="gramEnd"/>
      <w:r>
        <w:t>High</w:t>
      </w:r>
      <w:r>
        <w:rPr>
          <w:spacing w:val="25"/>
        </w:rPr>
        <w:t xml:space="preserve"> </w:t>
      </w:r>
      <w:r>
        <w:t>school</w:t>
      </w:r>
      <w:r>
        <w:rPr>
          <w:spacing w:val="25"/>
        </w:rPr>
        <w:t xml:space="preserve"> </w:t>
      </w:r>
      <w:r>
        <w:t>students</w:t>
      </w:r>
      <w:r>
        <w:rPr>
          <w:spacing w:val="25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significant</w:t>
      </w:r>
      <w:r>
        <w:rPr>
          <w:spacing w:val="25"/>
        </w:rPr>
        <w:t xml:space="preserve"> </w:t>
      </w:r>
      <w:r>
        <w:t>contributor</w:t>
      </w:r>
      <w:r>
        <w:rPr>
          <w:spacing w:val="24"/>
        </w:rPr>
        <w:t xml:space="preserve"> </w:t>
      </w:r>
      <w:r>
        <w:t>towards</w:t>
      </w:r>
      <w:r>
        <w:rPr>
          <w:spacing w:val="25"/>
        </w:rPr>
        <w:t xml:space="preserve"> </w:t>
      </w:r>
      <w:r>
        <w:t xml:space="preserve">volunteer services – both increasing </w:t>
      </w:r>
      <w:r>
        <w:t>availability of service while inculcating students towards the hands-on benefit of community service and caring for neighbors.</w:t>
      </w:r>
    </w:p>
    <w:p w14:paraId="5922B634" w14:textId="77777777" w:rsidR="00A72346" w:rsidRDefault="00A72346">
      <w:pPr>
        <w:pStyle w:val="BodyText"/>
        <w:spacing w:before="1"/>
        <w:rPr>
          <w:sz w:val="24"/>
        </w:rPr>
      </w:pPr>
    </w:p>
    <w:p w14:paraId="23B4DE75" w14:textId="77777777" w:rsidR="00A72346" w:rsidRDefault="008840DB">
      <w:pPr>
        <w:pStyle w:val="BodyText"/>
        <w:spacing w:line="268" w:lineRule="auto"/>
        <w:ind w:left="100" w:right="386" w:firstLine="720"/>
      </w:pPr>
      <w:r>
        <w:t>(A)(2) – I respectfully disagree with the removal of the requirement to abstain from the abuse of drugs which impair professiona</w:t>
      </w:r>
      <w:r>
        <w:t>l judgement and/or practice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I do not see a benefit in the removal of this requirement, only risk towards the patients.</w:t>
      </w:r>
    </w:p>
    <w:p w14:paraId="24CF8C3F" w14:textId="77777777" w:rsidR="00A72346" w:rsidRDefault="00A72346">
      <w:pPr>
        <w:pStyle w:val="BodyText"/>
        <w:spacing w:before="11"/>
        <w:rPr>
          <w:sz w:val="26"/>
        </w:rPr>
      </w:pPr>
    </w:p>
    <w:p w14:paraId="49440C5A" w14:textId="77777777" w:rsidR="00A72346" w:rsidRDefault="008840DB">
      <w:pPr>
        <w:pStyle w:val="BodyText"/>
        <w:spacing w:line="268" w:lineRule="auto"/>
        <w:ind w:left="100" w:firstLine="720"/>
      </w:pPr>
      <w:r>
        <w:t>Thank you for your consideration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I will attempt to join the public-comment call as well but currently have a conflicting responsibili</w:t>
      </w:r>
      <w:r>
        <w:t>ty.</w:t>
      </w:r>
    </w:p>
    <w:p w14:paraId="12E2AD67" w14:textId="77777777" w:rsidR="00A72346" w:rsidRDefault="00A72346">
      <w:pPr>
        <w:pStyle w:val="BodyText"/>
        <w:rPr>
          <w:sz w:val="27"/>
        </w:rPr>
      </w:pPr>
    </w:p>
    <w:p w14:paraId="1D2305DD" w14:textId="77777777" w:rsidR="00A72346" w:rsidRDefault="008840DB">
      <w:pPr>
        <w:pStyle w:val="BodyText"/>
        <w:spacing w:line="535" w:lineRule="auto"/>
        <w:ind w:left="820" w:right="6535"/>
      </w:pPr>
      <w:r>
        <w:t>Very</w:t>
      </w:r>
      <w:r>
        <w:rPr>
          <w:spacing w:val="-2"/>
        </w:rPr>
        <w:t xml:space="preserve"> </w:t>
      </w:r>
      <w:r>
        <w:t>respectfully, Jason Cohen</w:t>
      </w:r>
    </w:p>
    <w:p w14:paraId="55ECFBBB" w14:textId="77777777" w:rsidR="00A72346" w:rsidRDefault="008840DB">
      <w:pPr>
        <w:spacing w:line="227" w:lineRule="exact"/>
        <w:ind w:left="100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>Jason</w:t>
      </w:r>
      <w:r>
        <w:rPr>
          <w:rFonts w:ascii="Tahoma"/>
          <w:color w:val="1F487C"/>
          <w:spacing w:val="9"/>
          <w:sz w:val="19"/>
        </w:rPr>
        <w:t xml:space="preserve"> </w:t>
      </w:r>
      <w:r>
        <w:rPr>
          <w:rFonts w:ascii="Tahoma"/>
          <w:color w:val="1F487C"/>
          <w:sz w:val="19"/>
        </w:rPr>
        <w:t>Cohen,</w:t>
      </w:r>
      <w:r>
        <w:rPr>
          <w:rFonts w:ascii="Tahoma"/>
          <w:color w:val="1F487C"/>
          <w:spacing w:val="9"/>
          <w:sz w:val="19"/>
        </w:rPr>
        <w:t xml:space="preserve"> </w:t>
      </w:r>
      <w:r>
        <w:rPr>
          <w:rFonts w:ascii="Tahoma"/>
          <w:color w:val="1F487C"/>
          <w:sz w:val="19"/>
        </w:rPr>
        <w:t>DO,</w:t>
      </w:r>
      <w:r>
        <w:rPr>
          <w:rFonts w:ascii="Tahoma"/>
          <w:color w:val="1F487C"/>
          <w:spacing w:val="9"/>
          <w:sz w:val="19"/>
        </w:rPr>
        <w:t xml:space="preserve"> </w:t>
      </w:r>
      <w:r>
        <w:rPr>
          <w:rFonts w:ascii="Tahoma"/>
          <w:color w:val="1F487C"/>
          <w:sz w:val="19"/>
        </w:rPr>
        <w:t>FACEP,</w:t>
      </w:r>
      <w:r>
        <w:rPr>
          <w:rFonts w:ascii="Tahoma"/>
          <w:color w:val="1F487C"/>
          <w:spacing w:val="9"/>
          <w:sz w:val="19"/>
        </w:rPr>
        <w:t xml:space="preserve"> </w:t>
      </w:r>
      <w:r>
        <w:rPr>
          <w:rFonts w:ascii="Tahoma"/>
          <w:color w:val="1F487C"/>
          <w:sz w:val="19"/>
        </w:rPr>
        <w:t>FAEMS,</w:t>
      </w:r>
      <w:r>
        <w:rPr>
          <w:rFonts w:ascii="Tahoma"/>
          <w:color w:val="1F487C"/>
          <w:spacing w:val="9"/>
          <w:sz w:val="19"/>
        </w:rPr>
        <w:t xml:space="preserve"> </w:t>
      </w:r>
      <w:r>
        <w:rPr>
          <w:rFonts w:ascii="Tahoma"/>
          <w:color w:val="1F487C"/>
          <w:spacing w:val="-4"/>
          <w:sz w:val="19"/>
        </w:rPr>
        <w:t>FCCM</w:t>
      </w:r>
    </w:p>
    <w:p w14:paraId="7F821690" w14:textId="77777777" w:rsidR="00A72346" w:rsidRDefault="008840DB">
      <w:pPr>
        <w:spacing w:before="2" w:line="235" w:lineRule="auto"/>
        <w:ind w:left="100" w:right="6984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 xml:space="preserve">Chief Medical Officer Boston </w:t>
      </w:r>
      <w:proofErr w:type="spellStart"/>
      <w:r>
        <w:rPr>
          <w:rFonts w:ascii="Tahoma"/>
          <w:color w:val="1F487C"/>
          <w:sz w:val="19"/>
        </w:rPr>
        <w:t>MedFlight</w:t>
      </w:r>
      <w:proofErr w:type="spellEnd"/>
    </w:p>
    <w:p w14:paraId="282F591E" w14:textId="77777777" w:rsidR="00A72346" w:rsidRDefault="008840DB">
      <w:pPr>
        <w:spacing w:before="85" w:line="227" w:lineRule="exact"/>
        <w:ind w:left="100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>150</w:t>
      </w:r>
      <w:r>
        <w:rPr>
          <w:rFonts w:ascii="Tahoma"/>
          <w:color w:val="1F487C"/>
          <w:spacing w:val="8"/>
          <w:sz w:val="19"/>
        </w:rPr>
        <w:t xml:space="preserve"> </w:t>
      </w:r>
      <w:r>
        <w:rPr>
          <w:rFonts w:ascii="Tahoma"/>
          <w:color w:val="1F487C"/>
          <w:sz w:val="19"/>
        </w:rPr>
        <w:t>Hanscom</w:t>
      </w:r>
      <w:r>
        <w:rPr>
          <w:rFonts w:ascii="Tahoma"/>
          <w:color w:val="1F487C"/>
          <w:spacing w:val="9"/>
          <w:sz w:val="19"/>
        </w:rPr>
        <w:t xml:space="preserve"> </w:t>
      </w:r>
      <w:r>
        <w:rPr>
          <w:rFonts w:ascii="Tahoma"/>
          <w:color w:val="1F487C"/>
          <w:spacing w:val="-2"/>
          <w:sz w:val="19"/>
        </w:rPr>
        <w:t>Drive</w:t>
      </w:r>
    </w:p>
    <w:p w14:paraId="3B7A8A4C" w14:textId="77777777" w:rsidR="00A72346" w:rsidRDefault="008840DB">
      <w:pPr>
        <w:spacing w:line="225" w:lineRule="exact"/>
        <w:ind w:left="100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>Bedford,</w:t>
      </w:r>
      <w:r>
        <w:rPr>
          <w:rFonts w:ascii="Tahoma"/>
          <w:color w:val="1F487C"/>
          <w:spacing w:val="7"/>
          <w:sz w:val="19"/>
        </w:rPr>
        <w:t xml:space="preserve"> </w:t>
      </w:r>
      <w:r>
        <w:rPr>
          <w:rFonts w:ascii="Tahoma"/>
          <w:color w:val="1F487C"/>
          <w:sz w:val="19"/>
        </w:rPr>
        <w:t>MA</w:t>
      </w:r>
      <w:r>
        <w:rPr>
          <w:rFonts w:ascii="Tahoma"/>
          <w:color w:val="1F487C"/>
          <w:spacing w:val="7"/>
          <w:sz w:val="19"/>
        </w:rPr>
        <w:t xml:space="preserve"> </w:t>
      </w:r>
      <w:r>
        <w:rPr>
          <w:rFonts w:ascii="Tahoma"/>
          <w:color w:val="1F487C"/>
          <w:spacing w:val="-2"/>
          <w:sz w:val="19"/>
        </w:rPr>
        <w:t>01730</w:t>
      </w:r>
    </w:p>
    <w:p w14:paraId="67185A80" w14:textId="77777777" w:rsidR="00A72346" w:rsidRDefault="008840DB">
      <w:pPr>
        <w:spacing w:line="225" w:lineRule="exact"/>
        <w:ind w:left="100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>Phone:</w:t>
      </w:r>
      <w:r>
        <w:rPr>
          <w:rFonts w:ascii="Tahoma"/>
          <w:color w:val="1F487C"/>
          <w:spacing w:val="22"/>
          <w:sz w:val="19"/>
        </w:rPr>
        <w:t xml:space="preserve"> </w:t>
      </w:r>
      <w:r>
        <w:rPr>
          <w:rFonts w:ascii="Tahoma"/>
          <w:color w:val="1F487C"/>
          <w:sz w:val="19"/>
        </w:rPr>
        <w:t>781-863-</w:t>
      </w:r>
      <w:r>
        <w:rPr>
          <w:rFonts w:ascii="Tahoma"/>
          <w:color w:val="1F487C"/>
          <w:spacing w:val="-4"/>
          <w:sz w:val="19"/>
        </w:rPr>
        <w:t>2213</w:t>
      </w:r>
    </w:p>
    <w:p w14:paraId="2C54D8FC" w14:textId="77777777" w:rsidR="00A72346" w:rsidRDefault="008840DB">
      <w:pPr>
        <w:spacing w:before="1" w:line="235" w:lineRule="auto"/>
        <w:ind w:left="100" w:right="4194"/>
        <w:rPr>
          <w:rFonts w:ascii="Tahoma"/>
          <w:sz w:val="19"/>
        </w:rPr>
      </w:pPr>
      <w:r>
        <w:rPr>
          <w:rFonts w:ascii="Tahoma"/>
          <w:color w:val="1F487C"/>
          <w:sz w:val="19"/>
        </w:rPr>
        <w:t>Patient Transport:</w:t>
      </w:r>
      <w:r>
        <w:rPr>
          <w:rFonts w:ascii="Tahoma"/>
          <w:color w:val="1F487C"/>
          <w:spacing w:val="40"/>
          <w:sz w:val="19"/>
        </w:rPr>
        <w:t xml:space="preserve"> </w:t>
      </w:r>
      <w:r>
        <w:rPr>
          <w:rFonts w:ascii="Tahoma"/>
          <w:color w:val="1F487C"/>
          <w:sz w:val="19"/>
        </w:rPr>
        <w:t xml:space="preserve">1-800-233-8998 </w:t>
      </w:r>
      <w:hyperlink r:id="rId5">
        <w:r>
          <w:rPr>
            <w:rFonts w:ascii="Tahoma"/>
            <w:color w:val="0000FF"/>
            <w:spacing w:val="-2"/>
            <w:sz w:val="19"/>
            <w:u w:val="single" w:color="0562C1"/>
          </w:rPr>
          <w:t>www.bostonmedflight.org</w:t>
        </w:r>
      </w:hyperlink>
    </w:p>
    <w:p w14:paraId="4E151862" w14:textId="77777777" w:rsidR="00A72346" w:rsidRDefault="008840DB">
      <w:pPr>
        <w:pStyle w:val="BodyText"/>
        <w:spacing w:before="5"/>
        <w:rPr>
          <w:rFonts w:ascii="Tahoma"/>
          <w:sz w:val="1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7E63F1AF" wp14:editId="5B3BC86C">
            <wp:simplePos x="0" y="0"/>
            <wp:positionH relativeFrom="page">
              <wp:posOffset>990600</wp:posOffset>
            </wp:positionH>
            <wp:positionV relativeFrom="paragraph">
              <wp:posOffset>156962</wp:posOffset>
            </wp:positionV>
            <wp:extent cx="1367313" cy="13578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313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54377" w14:textId="77777777" w:rsidR="00A72346" w:rsidRDefault="00A72346">
      <w:pPr>
        <w:pStyle w:val="BodyText"/>
        <w:spacing w:before="5"/>
        <w:rPr>
          <w:rFonts w:ascii="Tahoma"/>
          <w:sz w:val="25"/>
        </w:rPr>
      </w:pPr>
    </w:p>
    <w:p w14:paraId="5409FA3B" w14:textId="77777777" w:rsidR="00A72346" w:rsidRDefault="008840DB">
      <w:pPr>
        <w:pStyle w:val="BodyText"/>
        <w:spacing w:line="268" w:lineRule="auto"/>
        <w:ind w:left="100" w:right="386"/>
      </w:pPr>
      <w:r>
        <w:rPr>
          <w:color w:val="1F487C"/>
        </w:rPr>
        <w:t>Material in this message is produced for use in evaluating, reviewing, and improving the quality of medical care rendered</w:t>
      </w:r>
      <w:proofErr w:type="gramStart"/>
      <w:r>
        <w:rPr>
          <w:color w:val="1F487C"/>
        </w:rPr>
        <w:t>.</w:t>
      </w:r>
      <w:r>
        <w:rPr>
          <w:color w:val="1F487C"/>
          <w:spacing w:val="40"/>
        </w:rPr>
        <w:t xml:space="preserve"> </w:t>
      </w:r>
      <w:proofErr w:type="gramEnd"/>
      <w:r>
        <w:rPr>
          <w:color w:val="1F487C"/>
        </w:rPr>
        <w:t>That information is protected under the provisions of Massachusetts General Laws Chapter 111 § 203 et seq. and 243 CMR 3.0 et seq.</w:t>
      </w:r>
    </w:p>
    <w:p w14:paraId="1DD186A6" w14:textId="77777777" w:rsidR="00A72346" w:rsidRDefault="00A72346">
      <w:pPr>
        <w:pStyle w:val="BodyText"/>
        <w:spacing w:before="7"/>
        <w:rPr>
          <w:sz w:val="23"/>
        </w:rPr>
      </w:pPr>
    </w:p>
    <w:p w14:paraId="0A274049" w14:textId="77777777" w:rsidR="00A72346" w:rsidRDefault="008840DB">
      <w:pPr>
        <w:spacing w:line="235" w:lineRule="auto"/>
        <w:ind w:left="100" w:right="1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electronic transmission may contain information that is privileged, confidential and exempt from disclosure under applicable law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If you are not the intended recipient, please notify me immediately as use of this information is strictly prohibited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Ma</w:t>
      </w:r>
      <w:r>
        <w:rPr>
          <w:rFonts w:ascii="Times New Roman" w:hAnsi="Times New Roman"/>
          <w:sz w:val="24"/>
        </w:rPr>
        <w:t>terial is also produced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evaluating,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reviewing,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improving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quality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medical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rendered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That information is protected under the provisions of Massachusetts General Laws Chapter 111 § 203 et seq. and 243 CMR 3.0 et seq</w:t>
      </w:r>
    </w:p>
    <w:sectPr w:rsidR="00A72346" w:rsidSect="008840DB">
      <w:pgSz w:w="12240" w:h="15840"/>
      <w:pgMar w:top="630" w:right="1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346"/>
    <w:rsid w:val="008840DB"/>
    <w:rsid w:val="00A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B59B68C"/>
  <w15:docId w15:val="{AAAA16E5-0531-4E80-BE42-79F7694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ostonmedflight.org/" TargetMode="Externa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2022-12-19T15:34:00Z</dcterms:created>
  <dcterms:modified xsi:type="dcterms:W3CDTF">2022-12-19T15:43:00Z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2022-12-19T00:00:00Z</vt:filetime>
  </property>
  <property fmtid="{D5CDD505-2E9C-101B-9397-08002B2CF9AE}" pid="5" name="Producer">
    <vt:lpwstr>Adobe PDF Library 22.3.58</vt:lpwstr>
  </property>
</Properties>
</file>