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192" w:rsidRPr="00262A58" w:rsidRDefault="009D1192" w:rsidP="009D1192">
      <w:pPr>
        <w:jc w:val="center"/>
        <w:rPr>
          <w:rFonts w:ascii="Courier New" w:hAnsi="Courier New" w:cs="Courier New"/>
          <w:b/>
        </w:rPr>
      </w:pPr>
      <w:r w:rsidRPr="00262A58">
        <w:rPr>
          <w:rFonts w:ascii="Courier New" w:hAnsi="Courier New" w:cs="Courier New"/>
          <w:b/>
        </w:rPr>
        <w:t>COMMONWEALTH OF MASSACHUSETTS</w:t>
      </w:r>
    </w:p>
    <w:p w:rsidR="009D1192" w:rsidRPr="00262A58" w:rsidRDefault="009D1192" w:rsidP="009D1192">
      <w:pPr>
        <w:jc w:val="center"/>
        <w:rPr>
          <w:rFonts w:ascii="Courier New" w:hAnsi="Courier New" w:cs="Courier New"/>
          <w:b/>
        </w:rPr>
      </w:pPr>
    </w:p>
    <w:p w:rsidR="009D1192" w:rsidRPr="00262A58" w:rsidRDefault="009D1192" w:rsidP="009D1192">
      <w:pPr>
        <w:jc w:val="center"/>
        <w:rPr>
          <w:rFonts w:ascii="Courier New" w:hAnsi="Courier New" w:cs="Courier New"/>
          <w:b/>
        </w:rPr>
      </w:pPr>
      <w:r w:rsidRPr="00262A58">
        <w:rPr>
          <w:rFonts w:ascii="Courier New" w:hAnsi="Courier New" w:cs="Courier New"/>
          <w:b/>
        </w:rPr>
        <w:t>APPELLATE TAX BOARD</w:t>
      </w:r>
    </w:p>
    <w:p w:rsidR="009D1192" w:rsidRPr="00262A58" w:rsidRDefault="009D1192" w:rsidP="009D1192">
      <w:pPr>
        <w:jc w:val="center"/>
        <w:rPr>
          <w:rFonts w:ascii="Courier New" w:hAnsi="Courier New" w:cs="Courier New"/>
          <w:b/>
        </w:rPr>
      </w:pPr>
    </w:p>
    <w:p w:rsidR="009D1192" w:rsidRPr="00262A58" w:rsidRDefault="009D1192" w:rsidP="009D1192">
      <w:pPr>
        <w:jc w:val="center"/>
        <w:rPr>
          <w:rFonts w:ascii="Courier New" w:hAnsi="Courier New" w:cs="Courier New"/>
          <w:b/>
        </w:rPr>
      </w:pPr>
    </w:p>
    <w:tbl>
      <w:tblPr>
        <w:tblW w:w="0" w:type="auto"/>
        <w:tblLook w:val="04A0" w:firstRow="1" w:lastRow="0" w:firstColumn="1" w:lastColumn="0" w:noHBand="0" w:noVBand="1"/>
      </w:tblPr>
      <w:tblGrid>
        <w:gridCol w:w="4158"/>
        <w:gridCol w:w="1620"/>
        <w:gridCol w:w="3798"/>
      </w:tblGrid>
      <w:tr w:rsidR="00262A58" w:rsidRPr="00262A58" w:rsidTr="00041C68">
        <w:tc>
          <w:tcPr>
            <w:tcW w:w="4158" w:type="dxa"/>
            <w:shd w:val="clear" w:color="auto" w:fill="auto"/>
          </w:tcPr>
          <w:p w:rsidR="00876682" w:rsidRPr="00262A58" w:rsidRDefault="00876682" w:rsidP="00876682">
            <w:pPr>
              <w:rPr>
                <w:rFonts w:ascii="Courier New" w:hAnsi="Courier New" w:cs="Courier New"/>
                <w:b/>
              </w:rPr>
            </w:pPr>
            <w:r w:rsidRPr="00262A58">
              <w:rPr>
                <w:rFonts w:ascii="Courier New" w:hAnsi="Courier New" w:cs="Courier New"/>
                <w:b/>
              </w:rPr>
              <w:t>GARY A. &amp; ANNE M. BOUDREAU</w:t>
            </w:r>
          </w:p>
        </w:tc>
        <w:tc>
          <w:tcPr>
            <w:tcW w:w="1620" w:type="dxa"/>
            <w:shd w:val="clear" w:color="auto" w:fill="auto"/>
          </w:tcPr>
          <w:p w:rsidR="00876682" w:rsidRPr="00262A58" w:rsidRDefault="00876682" w:rsidP="00041C68">
            <w:pPr>
              <w:jc w:val="center"/>
              <w:rPr>
                <w:rFonts w:ascii="Courier New" w:hAnsi="Courier New" w:cs="Courier New"/>
                <w:b/>
              </w:rPr>
            </w:pPr>
            <w:r w:rsidRPr="00262A58">
              <w:rPr>
                <w:rFonts w:ascii="Courier New" w:hAnsi="Courier New" w:cs="Courier New"/>
                <w:b/>
              </w:rPr>
              <w:t>v.</w:t>
            </w:r>
          </w:p>
        </w:tc>
        <w:tc>
          <w:tcPr>
            <w:tcW w:w="3798" w:type="dxa"/>
            <w:shd w:val="clear" w:color="auto" w:fill="auto"/>
          </w:tcPr>
          <w:p w:rsidR="00876682" w:rsidRPr="00262A58" w:rsidRDefault="00876682" w:rsidP="00876682">
            <w:pPr>
              <w:rPr>
                <w:rFonts w:ascii="Courier New" w:hAnsi="Courier New" w:cs="Courier New"/>
                <w:b/>
              </w:rPr>
            </w:pPr>
            <w:r w:rsidRPr="00262A58">
              <w:rPr>
                <w:rFonts w:ascii="Courier New" w:hAnsi="Courier New" w:cs="Courier New"/>
                <w:b/>
              </w:rPr>
              <w:t>BOARD OF ASSESSORS OF</w:t>
            </w:r>
          </w:p>
        </w:tc>
      </w:tr>
      <w:tr w:rsidR="00876682" w:rsidRPr="00262A58" w:rsidTr="00041C68">
        <w:tc>
          <w:tcPr>
            <w:tcW w:w="4158" w:type="dxa"/>
            <w:shd w:val="clear" w:color="auto" w:fill="auto"/>
          </w:tcPr>
          <w:p w:rsidR="00876682" w:rsidRPr="00262A58" w:rsidRDefault="00876682" w:rsidP="00041C68">
            <w:pPr>
              <w:jc w:val="center"/>
              <w:rPr>
                <w:rFonts w:ascii="Courier New" w:hAnsi="Courier New" w:cs="Courier New"/>
                <w:b/>
              </w:rPr>
            </w:pPr>
          </w:p>
        </w:tc>
        <w:tc>
          <w:tcPr>
            <w:tcW w:w="1620" w:type="dxa"/>
            <w:shd w:val="clear" w:color="auto" w:fill="auto"/>
          </w:tcPr>
          <w:p w:rsidR="00876682" w:rsidRPr="00262A58" w:rsidRDefault="00876682" w:rsidP="00041C68">
            <w:pPr>
              <w:jc w:val="center"/>
              <w:rPr>
                <w:rFonts w:ascii="Courier New" w:hAnsi="Courier New" w:cs="Courier New"/>
                <w:b/>
              </w:rPr>
            </w:pPr>
          </w:p>
        </w:tc>
        <w:tc>
          <w:tcPr>
            <w:tcW w:w="3798" w:type="dxa"/>
            <w:shd w:val="clear" w:color="auto" w:fill="auto"/>
          </w:tcPr>
          <w:p w:rsidR="00876682" w:rsidRPr="00262A58" w:rsidRDefault="00876682" w:rsidP="00876682">
            <w:pPr>
              <w:rPr>
                <w:rFonts w:ascii="Courier New" w:hAnsi="Courier New" w:cs="Courier New"/>
                <w:b/>
              </w:rPr>
            </w:pPr>
            <w:r w:rsidRPr="00262A58">
              <w:rPr>
                <w:rFonts w:ascii="Courier New" w:hAnsi="Courier New" w:cs="Courier New"/>
                <w:b/>
              </w:rPr>
              <w:t>THE TOWN OF EASTHAM</w:t>
            </w:r>
          </w:p>
        </w:tc>
      </w:tr>
    </w:tbl>
    <w:p w:rsidR="009D1192" w:rsidRPr="00262A58" w:rsidRDefault="009D1192" w:rsidP="009D1192">
      <w:pPr>
        <w:jc w:val="center"/>
        <w:rPr>
          <w:rFonts w:ascii="Courier New" w:hAnsi="Courier New" w:cs="Courier New"/>
          <w:b/>
        </w:rPr>
      </w:pPr>
    </w:p>
    <w:p w:rsidR="009D1192" w:rsidRPr="00262A58" w:rsidRDefault="009D1192" w:rsidP="009D1192">
      <w:pPr>
        <w:rPr>
          <w:rFonts w:ascii="Courier New" w:hAnsi="Courier New" w:cs="Courier New"/>
        </w:rPr>
      </w:pPr>
      <w:r w:rsidRPr="00262A58">
        <w:rPr>
          <w:rFonts w:ascii="Courier New" w:hAnsi="Courier New" w:cs="Courier New"/>
        </w:rPr>
        <w:t>Docket No. F</w:t>
      </w:r>
      <w:r w:rsidR="00E01B6B" w:rsidRPr="00262A58">
        <w:rPr>
          <w:rFonts w:ascii="Courier New" w:hAnsi="Courier New" w:cs="Courier New"/>
        </w:rPr>
        <w:t>3</w:t>
      </w:r>
      <w:r w:rsidR="002134B4" w:rsidRPr="00262A58">
        <w:rPr>
          <w:rFonts w:ascii="Courier New" w:hAnsi="Courier New" w:cs="Courier New"/>
        </w:rPr>
        <w:t>32030</w:t>
      </w:r>
      <w:r w:rsidRPr="00262A58">
        <w:rPr>
          <w:rFonts w:ascii="Courier New" w:hAnsi="Courier New" w:cs="Courier New"/>
        </w:rPr>
        <w:tab/>
      </w:r>
      <w:r w:rsidRPr="00262A58">
        <w:rPr>
          <w:rFonts w:ascii="Courier New" w:hAnsi="Courier New" w:cs="Courier New"/>
        </w:rPr>
        <w:tab/>
      </w:r>
      <w:r w:rsidRPr="00262A58">
        <w:rPr>
          <w:rFonts w:ascii="Courier New" w:hAnsi="Courier New" w:cs="Courier New"/>
        </w:rPr>
        <w:tab/>
      </w:r>
      <w:r w:rsidRPr="00262A58">
        <w:rPr>
          <w:rFonts w:ascii="Courier New" w:hAnsi="Courier New" w:cs="Courier New"/>
        </w:rPr>
        <w:tab/>
      </w:r>
      <w:r w:rsidRPr="00262A58">
        <w:rPr>
          <w:rFonts w:ascii="Courier New" w:hAnsi="Courier New" w:cs="Courier New"/>
        </w:rPr>
        <w:tab/>
        <w:t>Promulgated:</w:t>
      </w:r>
    </w:p>
    <w:p w:rsidR="009D1192" w:rsidRPr="00262A58" w:rsidRDefault="009D1192" w:rsidP="009D1192">
      <w:pPr>
        <w:rPr>
          <w:rFonts w:ascii="Courier New" w:hAnsi="Courier New" w:cs="Courier New"/>
        </w:rPr>
      </w:pPr>
      <w:r w:rsidRPr="00262A58">
        <w:rPr>
          <w:rFonts w:ascii="Courier New" w:hAnsi="Courier New" w:cs="Courier New"/>
        </w:rPr>
        <w:tab/>
      </w:r>
      <w:r w:rsidRPr="00262A58">
        <w:rPr>
          <w:rFonts w:ascii="Courier New" w:hAnsi="Courier New" w:cs="Courier New"/>
        </w:rPr>
        <w:tab/>
      </w:r>
      <w:r w:rsidRPr="00262A58">
        <w:rPr>
          <w:rFonts w:ascii="Courier New" w:hAnsi="Courier New" w:cs="Courier New"/>
        </w:rPr>
        <w:tab/>
      </w:r>
      <w:r w:rsidRPr="00262A58">
        <w:rPr>
          <w:rFonts w:ascii="Courier New" w:hAnsi="Courier New" w:cs="Courier New"/>
        </w:rPr>
        <w:tab/>
      </w:r>
      <w:r w:rsidRPr="00262A58">
        <w:rPr>
          <w:rFonts w:ascii="Courier New" w:hAnsi="Courier New" w:cs="Courier New"/>
        </w:rPr>
        <w:tab/>
      </w:r>
      <w:r w:rsidRPr="00262A58">
        <w:rPr>
          <w:rFonts w:ascii="Courier New" w:hAnsi="Courier New" w:cs="Courier New"/>
        </w:rPr>
        <w:tab/>
      </w:r>
      <w:r w:rsidRPr="00262A58">
        <w:rPr>
          <w:rFonts w:ascii="Courier New" w:hAnsi="Courier New" w:cs="Courier New"/>
        </w:rPr>
        <w:tab/>
      </w:r>
      <w:r w:rsidR="0008391C">
        <w:rPr>
          <w:rFonts w:ascii="Courier New" w:hAnsi="Courier New" w:cs="Courier New"/>
        </w:rPr>
        <w:tab/>
        <w:t xml:space="preserve">February </w:t>
      </w:r>
      <w:r w:rsidR="00AB5834">
        <w:rPr>
          <w:rFonts w:ascii="Courier New" w:hAnsi="Courier New" w:cs="Courier New"/>
        </w:rPr>
        <w:t>13</w:t>
      </w:r>
      <w:bookmarkStart w:id="0" w:name="_GoBack"/>
      <w:bookmarkEnd w:id="0"/>
      <w:r w:rsidR="0008391C">
        <w:rPr>
          <w:rFonts w:ascii="Courier New" w:hAnsi="Courier New" w:cs="Courier New"/>
        </w:rPr>
        <w:t>, 2019</w:t>
      </w:r>
    </w:p>
    <w:p w:rsidR="009D1192" w:rsidRPr="00262A58" w:rsidRDefault="009D1192" w:rsidP="009D1192">
      <w:pPr>
        <w:rPr>
          <w:rFonts w:ascii="Courier New" w:hAnsi="Courier New" w:cs="Courier New"/>
        </w:rPr>
      </w:pPr>
    </w:p>
    <w:p w:rsidR="009D1192" w:rsidRPr="00262A58" w:rsidRDefault="009D1192" w:rsidP="009D1192">
      <w:pPr>
        <w:rPr>
          <w:rFonts w:ascii="Courier New" w:hAnsi="Courier New" w:cs="Courier New"/>
        </w:rPr>
      </w:pPr>
    </w:p>
    <w:p w:rsidR="009D1192" w:rsidRPr="00262A58" w:rsidRDefault="009D1192" w:rsidP="009D1192">
      <w:pPr>
        <w:pStyle w:val="BodyText2"/>
      </w:pPr>
      <w:r w:rsidRPr="00262A58">
        <w:t xml:space="preserve">This is an appeal filed under the formal procedure pursuant to G.L. c. 58A, § 7 and G.L. c. 59, §§ 64 and 65, from the refusal of the Board of Assessors of the </w:t>
      </w:r>
      <w:r w:rsidR="002134B4" w:rsidRPr="00262A58">
        <w:t>Town of Eastham</w:t>
      </w:r>
      <w:r w:rsidRPr="00262A58">
        <w:t xml:space="preserve"> (“appellee” or “assessors”) to abate a tax on real estate located in </w:t>
      </w:r>
      <w:r w:rsidR="002134B4" w:rsidRPr="00262A58">
        <w:t>Eastham</w:t>
      </w:r>
      <w:r w:rsidRPr="00262A58">
        <w:t xml:space="preserve">, owned by and assessed to </w:t>
      </w:r>
      <w:r w:rsidR="002134B4" w:rsidRPr="00262A58">
        <w:t>Gary A. &amp; Anne M. Boudreau</w:t>
      </w:r>
      <w:r w:rsidRPr="00262A58">
        <w:t xml:space="preserve"> (“appellant</w:t>
      </w:r>
      <w:r w:rsidR="002134B4" w:rsidRPr="00262A58">
        <w:t>s</w:t>
      </w:r>
      <w:r w:rsidRPr="00262A58">
        <w:t>”) under G.L. c. 59, §§ 11</w:t>
      </w:r>
      <w:r w:rsidR="00E01B6B" w:rsidRPr="00262A58">
        <w:t xml:space="preserve"> and 38, for fiscal year 201</w:t>
      </w:r>
      <w:r w:rsidR="002134B4" w:rsidRPr="00262A58">
        <w:t>7</w:t>
      </w:r>
      <w:r w:rsidR="00713523" w:rsidRPr="00262A58">
        <w:t xml:space="preserve"> (“fiscal year at issue”)</w:t>
      </w:r>
      <w:r w:rsidRPr="00262A58">
        <w:t>.</w:t>
      </w:r>
    </w:p>
    <w:p w:rsidR="002134B4" w:rsidRPr="00262A58" w:rsidRDefault="009D1192" w:rsidP="00801304">
      <w:pPr>
        <w:pStyle w:val="BodyText2"/>
        <w:rPr>
          <w:shd w:val="clear" w:color="auto" w:fill="FFFFFF"/>
        </w:rPr>
      </w:pPr>
      <w:r w:rsidRPr="00262A58">
        <w:t xml:space="preserve">Commissioner </w:t>
      </w:r>
      <w:r w:rsidR="002134B4" w:rsidRPr="00262A58">
        <w:t>Chmielinski (“Presiding Commissioner”) heard this appeal and issued a single-member</w:t>
      </w:r>
      <w:r w:rsidR="00262A58" w:rsidRPr="00262A58">
        <w:t xml:space="preserve"> </w:t>
      </w:r>
      <w:r w:rsidR="002134B4" w:rsidRPr="00262A58">
        <w:rPr>
          <w:shd w:val="clear" w:color="auto" w:fill="FFFFFF"/>
        </w:rPr>
        <w:t>decision for the appellants</w:t>
      </w:r>
      <w:r w:rsidR="00446154" w:rsidRPr="00262A58">
        <w:rPr>
          <w:rStyle w:val="FootnoteReference"/>
          <w:shd w:val="clear" w:color="auto" w:fill="FFFFFF"/>
        </w:rPr>
        <w:footnoteReference w:id="1"/>
      </w:r>
      <w:r w:rsidR="002134B4" w:rsidRPr="00262A58">
        <w:rPr>
          <w:shd w:val="clear" w:color="auto" w:fill="FFFFFF"/>
        </w:rPr>
        <w:t xml:space="preserve"> in accordance with G.L. c. 58A, § 1A and 831 CMR 1.20. </w:t>
      </w:r>
    </w:p>
    <w:p w:rsidR="009D1192" w:rsidRPr="00262A58" w:rsidRDefault="009D1192" w:rsidP="00801304">
      <w:pPr>
        <w:pStyle w:val="BodyText2"/>
      </w:pPr>
      <w:r w:rsidRPr="00262A58">
        <w:t>These findings of fact and report are made pursua</w:t>
      </w:r>
      <w:r w:rsidR="002134B4" w:rsidRPr="00262A58">
        <w:t>nt to a request by the appellee</w:t>
      </w:r>
      <w:r w:rsidRPr="00262A58">
        <w:t xml:space="preserve"> under G.L. c. 58A, § 13 and 831 CMR 1.32.</w:t>
      </w:r>
    </w:p>
    <w:p w:rsidR="00E86C44" w:rsidRPr="00262A58" w:rsidRDefault="00E86C44" w:rsidP="00E86C44">
      <w:pPr>
        <w:pStyle w:val="BodyText2"/>
      </w:pPr>
      <w:r w:rsidRPr="00262A58">
        <w:rPr>
          <w:i/>
        </w:rPr>
        <w:t xml:space="preserve">Gary A. </w:t>
      </w:r>
      <w:r w:rsidRPr="00262A58">
        <w:t>and</w:t>
      </w:r>
      <w:r w:rsidRPr="00262A58">
        <w:rPr>
          <w:i/>
        </w:rPr>
        <w:t xml:space="preserve"> Anne M. Boudreau</w:t>
      </w:r>
      <w:r w:rsidRPr="00262A58">
        <w:rPr>
          <w:i/>
          <w:iCs/>
        </w:rPr>
        <w:t>,</w:t>
      </w:r>
      <w:r w:rsidRPr="00262A58">
        <w:t xml:space="preserve"> </w:t>
      </w:r>
      <w:r w:rsidRPr="00262A58">
        <w:rPr>
          <w:i/>
        </w:rPr>
        <w:t>pro se</w:t>
      </w:r>
      <w:r w:rsidRPr="00262A58">
        <w:rPr>
          <w:i/>
          <w:iCs/>
        </w:rPr>
        <w:t>,</w:t>
      </w:r>
      <w:r w:rsidRPr="00262A58">
        <w:t xml:space="preserve"> for the appellants.</w:t>
      </w:r>
    </w:p>
    <w:p w:rsidR="00E86C44" w:rsidRPr="00262A58" w:rsidRDefault="00E86C44" w:rsidP="00E86C44">
      <w:pPr>
        <w:pStyle w:val="BodyText2"/>
      </w:pPr>
      <w:r w:rsidRPr="00262A58">
        <w:rPr>
          <w:i/>
        </w:rPr>
        <w:t>Belinda Eyestone</w:t>
      </w:r>
      <w:r w:rsidRPr="00262A58">
        <w:rPr>
          <w:iCs/>
        </w:rPr>
        <w:t>, principal assessor</w:t>
      </w:r>
      <w:r w:rsidRPr="00262A58">
        <w:rPr>
          <w:i/>
          <w:iCs/>
        </w:rPr>
        <w:t>,</w:t>
      </w:r>
      <w:r w:rsidRPr="00262A58">
        <w:t xml:space="preserve"> for the appellee.</w:t>
      </w:r>
    </w:p>
    <w:p w:rsidR="009D1192" w:rsidRPr="00262A58" w:rsidRDefault="009D1192" w:rsidP="009D1192">
      <w:pPr>
        <w:spacing w:line="480" w:lineRule="auto"/>
        <w:jc w:val="center"/>
        <w:rPr>
          <w:rFonts w:ascii="Courier New" w:hAnsi="Courier New" w:cs="Courier New"/>
          <w:b/>
        </w:rPr>
      </w:pPr>
      <w:r w:rsidRPr="00262A58">
        <w:rPr>
          <w:rFonts w:ascii="Courier New" w:hAnsi="Courier New" w:cs="Courier New"/>
          <w:b/>
        </w:rPr>
        <w:lastRenderedPageBreak/>
        <w:t>FINDINGS OF FACT AND REPORT</w:t>
      </w:r>
    </w:p>
    <w:p w:rsidR="00713523" w:rsidRPr="00262A58" w:rsidRDefault="009D1192" w:rsidP="00713523">
      <w:pPr>
        <w:spacing w:line="480" w:lineRule="auto"/>
        <w:jc w:val="both"/>
        <w:rPr>
          <w:rFonts w:ascii="Courier New" w:hAnsi="Courier New" w:cs="Courier New"/>
        </w:rPr>
      </w:pPr>
      <w:r w:rsidRPr="00262A58">
        <w:rPr>
          <w:rFonts w:ascii="Courier New" w:hAnsi="Courier New" w:cs="Courier New"/>
        </w:rPr>
        <w:tab/>
      </w:r>
      <w:r w:rsidR="00713523" w:rsidRPr="00262A58">
        <w:rPr>
          <w:rFonts w:ascii="Courier New" w:hAnsi="Courier New" w:cs="Courier New"/>
        </w:rPr>
        <w:t xml:space="preserve">On the basis of the testimony and exhibits offered into evidence at the hearing of this appeal, the </w:t>
      </w:r>
      <w:r w:rsidR="002134B4" w:rsidRPr="00262A58">
        <w:rPr>
          <w:rFonts w:ascii="Courier New" w:hAnsi="Courier New" w:cs="Courier New"/>
        </w:rPr>
        <w:t xml:space="preserve">Presiding Commissioner </w:t>
      </w:r>
      <w:r w:rsidR="00713523" w:rsidRPr="00262A58">
        <w:rPr>
          <w:rFonts w:ascii="Courier New" w:hAnsi="Courier New" w:cs="Courier New"/>
        </w:rPr>
        <w:t>made the following findings of fact.</w:t>
      </w:r>
    </w:p>
    <w:p w:rsidR="00732C05" w:rsidRPr="00262A58" w:rsidRDefault="002F3A1F" w:rsidP="00222F5E">
      <w:pPr>
        <w:spacing w:line="480" w:lineRule="auto"/>
        <w:ind w:firstLine="720"/>
        <w:jc w:val="both"/>
        <w:rPr>
          <w:rFonts w:ascii="Courier New" w:hAnsi="Courier New" w:cs="Courier New"/>
        </w:rPr>
      </w:pPr>
      <w:r w:rsidRPr="00262A58">
        <w:rPr>
          <w:rFonts w:ascii="Courier New" w:hAnsi="Courier New" w:cs="Courier New"/>
        </w:rPr>
        <w:t>On January 1, 2016</w:t>
      </w:r>
      <w:r w:rsidR="00713523" w:rsidRPr="00262A58">
        <w:rPr>
          <w:rFonts w:ascii="Courier New" w:hAnsi="Courier New" w:cs="Courier New"/>
        </w:rPr>
        <w:t xml:space="preserve">, the </w:t>
      </w:r>
      <w:r w:rsidRPr="00262A58">
        <w:rPr>
          <w:rFonts w:ascii="Courier New" w:hAnsi="Courier New" w:cs="Courier New"/>
        </w:rPr>
        <w:t xml:space="preserve">appellants were the assessed owners of a </w:t>
      </w:r>
      <w:r w:rsidR="009E7CA6" w:rsidRPr="00262A58">
        <w:rPr>
          <w:rFonts w:ascii="Courier New" w:hAnsi="Courier New" w:cs="Courier New"/>
        </w:rPr>
        <w:t xml:space="preserve">34,848-square-foot waterfront parcel of real estate located </w:t>
      </w:r>
      <w:r w:rsidR="009B53FC" w:rsidRPr="00262A58">
        <w:rPr>
          <w:rFonts w:ascii="Courier New" w:hAnsi="Courier New" w:cs="Courier New"/>
        </w:rPr>
        <w:t xml:space="preserve">at </w:t>
      </w:r>
      <w:r w:rsidR="00EB3DE4" w:rsidRPr="00262A58">
        <w:rPr>
          <w:rFonts w:ascii="Courier New" w:hAnsi="Courier New" w:cs="Courier New"/>
        </w:rPr>
        <w:t>700 State Highway</w:t>
      </w:r>
      <w:r w:rsidR="00446154" w:rsidRPr="00262A58">
        <w:rPr>
          <w:rFonts w:ascii="Courier New" w:hAnsi="Courier New" w:cs="Courier New"/>
        </w:rPr>
        <w:t xml:space="preserve"> in Eastham (“subject property”).</w:t>
      </w:r>
      <w:r w:rsidR="00E97F27" w:rsidRPr="00262A58">
        <w:rPr>
          <w:rFonts w:ascii="Courier New" w:hAnsi="Courier New" w:cs="Courier New"/>
        </w:rPr>
        <w:t xml:space="preserve">  </w:t>
      </w:r>
      <w:r w:rsidR="00EB3DE4" w:rsidRPr="00262A58">
        <w:rPr>
          <w:rFonts w:ascii="Courier New" w:hAnsi="Courier New" w:cs="Courier New"/>
        </w:rPr>
        <w:t>S</w:t>
      </w:r>
      <w:r w:rsidR="00624D03" w:rsidRPr="00262A58">
        <w:rPr>
          <w:rFonts w:ascii="Courier New" w:hAnsi="Courier New" w:cs="Courier New"/>
        </w:rPr>
        <w:t xml:space="preserve">ituated on the subject property is a </w:t>
      </w:r>
      <w:r w:rsidR="003E53D6" w:rsidRPr="00262A58">
        <w:rPr>
          <w:rFonts w:ascii="Courier New" w:hAnsi="Courier New" w:cs="Courier New"/>
        </w:rPr>
        <w:t>480-square-foot</w:t>
      </w:r>
      <w:r w:rsidR="00624D03" w:rsidRPr="00262A58">
        <w:rPr>
          <w:rFonts w:ascii="Courier New" w:hAnsi="Courier New" w:cs="Courier New"/>
        </w:rPr>
        <w:t xml:space="preserve"> </w:t>
      </w:r>
      <w:r w:rsidR="009B53FC" w:rsidRPr="00262A58">
        <w:rPr>
          <w:rFonts w:ascii="Courier New" w:hAnsi="Courier New" w:cs="Courier New"/>
        </w:rPr>
        <w:t xml:space="preserve">seasonal </w:t>
      </w:r>
      <w:r w:rsidR="00624D03" w:rsidRPr="00262A58">
        <w:rPr>
          <w:rFonts w:ascii="Courier New" w:hAnsi="Courier New" w:cs="Courier New"/>
        </w:rPr>
        <w:t>cabin</w:t>
      </w:r>
      <w:r w:rsidR="009055C6" w:rsidRPr="00262A58">
        <w:rPr>
          <w:rFonts w:ascii="Courier New" w:hAnsi="Courier New" w:cs="Courier New"/>
        </w:rPr>
        <w:t xml:space="preserve"> that does not have a bathroom and therefore</w:t>
      </w:r>
      <w:r w:rsidR="00446154" w:rsidRPr="00262A58">
        <w:rPr>
          <w:rFonts w:ascii="Courier New" w:hAnsi="Courier New" w:cs="Courier New"/>
        </w:rPr>
        <w:t>, pursuant to both the building and health departments of Eastham,</w:t>
      </w:r>
      <w:r w:rsidR="009055C6" w:rsidRPr="00262A58">
        <w:rPr>
          <w:rFonts w:ascii="Courier New" w:hAnsi="Courier New" w:cs="Courier New"/>
        </w:rPr>
        <w:t xml:space="preserve"> is not a legal dwelling.</w:t>
      </w:r>
      <w:r w:rsidR="003C7788" w:rsidRPr="00262A58">
        <w:rPr>
          <w:rFonts w:ascii="Courier New" w:hAnsi="Courier New" w:cs="Courier New"/>
        </w:rPr>
        <w:t xml:space="preserve">  The subject property is locate</w:t>
      </w:r>
      <w:r w:rsidR="00FB6671" w:rsidRPr="00262A58">
        <w:rPr>
          <w:rFonts w:ascii="Courier New" w:hAnsi="Courier New" w:cs="Courier New"/>
        </w:rPr>
        <w:t>d</w:t>
      </w:r>
      <w:r w:rsidR="003C7788" w:rsidRPr="00262A58">
        <w:rPr>
          <w:rFonts w:ascii="Courier New" w:hAnsi="Courier New" w:cs="Courier New"/>
        </w:rPr>
        <w:t xml:space="preserve"> in </w:t>
      </w:r>
      <w:r w:rsidR="00E54C31" w:rsidRPr="00262A58">
        <w:rPr>
          <w:rFonts w:ascii="Courier New" w:hAnsi="Courier New" w:cs="Courier New"/>
        </w:rPr>
        <w:t xml:space="preserve">the </w:t>
      </w:r>
      <w:r w:rsidR="003C7788" w:rsidRPr="00262A58">
        <w:rPr>
          <w:rFonts w:ascii="Courier New" w:hAnsi="Courier New" w:cs="Courier New"/>
        </w:rPr>
        <w:t>Town Cove</w:t>
      </w:r>
      <w:r w:rsidR="00E54C31" w:rsidRPr="00262A58">
        <w:rPr>
          <w:rFonts w:ascii="Courier New" w:hAnsi="Courier New" w:cs="Courier New"/>
        </w:rPr>
        <w:t xml:space="preserve"> area</w:t>
      </w:r>
      <w:r w:rsidR="003C7788" w:rsidRPr="00262A58">
        <w:rPr>
          <w:rFonts w:ascii="Courier New" w:hAnsi="Courier New" w:cs="Courier New"/>
        </w:rPr>
        <w:t>, a tidal body just off state Route 6</w:t>
      </w:r>
      <w:r w:rsidR="005F12B6" w:rsidRPr="00262A58">
        <w:rPr>
          <w:rFonts w:ascii="Courier New" w:hAnsi="Courier New" w:cs="Courier New"/>
        </w:rPr>
        <w:t xml:space="preserve"> that</w:t>
      </w:r>
      <w:r w:rsidR="003C7788" w:rsidRPr="00262A58">
        <w:rPr>
          <w:rFonts w:ascii="Courier New" w:hAnsi="Courier New" w:cs="Courier New"/>
        </w:rPr>
        <w:t xml:space="preserve"> allows fishing and boating, and is considered a prime location.  </w:t>
      </w:r>
      <w:r w:rsidR="00E228A2" w:rsidRPr="00262A58">
        <w:rPr>
          <w:rFonts w:ascii="Courier New" w:hAnsi="Courier New" w:cs="Courier New"/>
        </w:rPr>
        <w:t>As of the relevant date of assessment, the town had issued shellfish grant</w:t>
      </w:r>
      <w:r w:rsidR="00F4674A" w:rsidRPr="00262A58">
        <w:rPr>
          <w:rFonts w:ascii="Courier New" w:hAnsi="Courier New" w:cs="Courier New"/>
        </w:rPr>
        <w:t>s</w:t>
      </w:r>
      <w:r w:rsidR="00E228A2" w:rsidRPr="00262A58">
        <w:rPr>
          <w:rFonts w:ascii="Courier New" w:hAnsi="Courier New" w:cs="Courier New"/>
        </w:rPr>
        <w:t xml:space="preserve"> on area</w:t>
      </w:r>
      <w:r w:rsidR="00F4674A" w:rsidRPr="00262A58">
        <w:rPr>
          <w:rFonts w:ascii="Courier New" w:hAnsi="Courier New" w:cs="Courier New"/>
        </w:rPr>
        <w:t>s</w:t>
      </w:r>
      <w:r w:rsidR="00E228A2" w:rsidRPr="00262A58">
        <w:rPr>
          <w:rFonts w:ascii="Courier New" w:hAnsi="Courier New" w:cs="Courier New"/>
        </w:rPr>
        <w:t xml:space="preserve"> of tidal flats </w:t>
      </w:r>
      <w:r w:rsidR="00F4674A" w:rsidRPr="00262A58">
        <w:rPr>
          <w:rFonts w:ascii="Courier New" w:hAnsi="Courier New" w:cs="Courier New"/>
        </w:rPr>
        <w:t xml:space="preserve">in front of and abutting the </w:t>
      </w:r>
      <w:r w:rsidR="005F12B6" w:rsidRPr="00262A58">
        <w:rPr>
          <w:rFonts w:ascii="Courier New" w:hAnsi="Courier New" w:cs="Courier New"/>
        </w:rPr>
        <w:t>appellant</w:t>
      </w:r>
      <w:r w:rsidR="00F4674A" w:rsidRPr="00262A58">
        <w:rPr>
          <w:rFonts w:ascii="Courier New" w:hAnsi="Courier New" w:cs="Courier New"/>
        </w:rPr>
        <w:t>s</w:t>
      </w:r>
      <w:r w:rsidR="005F12B6" w:rsidRPr="00262A58">
        <w:rPr>
          <w:rFonts w:ascii="Courier New" w:hAnsi="Courier New" w:cs="Courier New"/>
        </w:rPr>
        <w:t>’</w:t>
      </w:r>
      <w:r w:rsidR="00F4674A" w:rsidRPr="00262A58">
        <w:rPr>
          <w:rFonts w:ascii="Courier New" w:hAnsi="Courier New" w:cs="Courier New"/>
        </w:rPr>
        <w:t xml:space="preserve"> upland in Town Cove, which allow the grant holder</w:t>
      </w:r>
      <w:r w:rsidR="00C81F28">
        <w:rPr>
          <w:rFonts w:ascii="Courier New" w:hAnsi="Courier New" w:cs="Courier New"/>
        </w:rPr>
        <w:t>s</w:t>
      </w:r>
      <w:r w:rsidR="00F4674A" w:rsidRPr="00262A58">
        <w:rPr>
          <w:rFonts w:ascii="Courier New" w:hAnsi="Courier New" w:cs="Courier New"/>
        </w:rPr>
        <w:t xml:space="preserve"> to </w:t>
      </w:r>
      <w:r w:rsidR="002E4528" w:rsidRPr="00262A58">
        <w:rPr>
          <w:rFonts w:ascii="Courier New" w:hAnsi="Courier New" w:cs="Courier New"/>
        </w:rPr>
        <w:t xml:space="preserve">plant, </w:t>
      </w:r>
      <w:r w:rsidR="006F073C" w:rsidRPr="00262A58">
        <w:rPr>
          <w:rFonts w:ascii="Courier New" w:hAnsi="Courier New" w:cs="Courier New"/>
        </w:rPr>
        <w:t>grow</w:t>
      </w:r>
      <w:r w:rsidR="002E4528" w:rsidRPr="00262A58">
        <w:rPr>
          <w:rFonts w:ascii="Courier New" w:hAnsi="Courier New" w:cs="Courier New"/>
        </w:rPr>
        <w:t>,</w:t>
      </w:r>
      <w:r w:rsidR="006F073C" w:rsidRPr="00262A58">
        <w:rPr>
          <w:rFonts w:ascii="Courier New" w:hAnsi="Courier New" w:cs="Courier New"/>
        </w:rPr>
        <w:t xml:space="preserve"> and harvest shellfish</w:t>
      </w:r>
      <w:r w:rsidR="00F4674A" w:rsidRPr="00262A58">
        <w:rPr>
          <w:rFonts w:ascii="Courier New" w:hAnsi="Courier New" w:cs="Courier New"/>
        </w:rPr>
        <w:t xml:space="preserve"> in the designated area</w:t>
      </w:r>
      <w:r w:rsidR="003C7788" w:rsidRPr="00262A58">
        <w:rPr>
          <w:rFonts w:ascii="Courier New" w:hAnsi="Courier New" w:cs="Courier New"/>
        </w:rPr>
        <w:t xml:space="preserve">.  </w:t>
      </w:r>
    </w:p>
    <w:p w:rsidR="00713523" w:rsidRPr="00262A58" w:rsidRDefault="00713523" w:rsidP="006C01D5">
      <w:pPr>
        <w:spacing w:line="480" w:lineRule="auto"/>
        <w:ind w:firstLine="720"/>
        <w:jc w:val="both"/>
        <w:rPr>
          <w:rFonts w:ascii="Courier New" w:hAnsi="Courier New" w:cs="Courier New"/>
        </w:rPr>
      </w:pPr>
      <w:r w:rsidRPr="00262A58">
        <w:rPr>
          <w:rFonts w:ascii="Courier New" w:hAnsi="Courier New" w:cs="Courier New"/>
        </w:rPr>
        <w:t xml:space="preserve">For </w:t>
      </w:r>
      <w:r w:rsidR="0063369B" w:rsidRPr="00262A58">
        <w:rPr>
          <w:rFonts w:ascii="Courier New" w:hAnsi="Courier New" w:cs="Courier New"/>
        </w:rPr>
        <w:t xml:space="preserve">the </w:t>
      </w:r>
      <w:r w:rsidRPr="00262A58">
        <w:rPr>
          <w:rFonts w:ascii="Courier New" w:hAnsi="Courier New" w:cs="Courier New"/>
        </w:rPr>
        <w:t xml:space="preserve">fiscal year </w:t>
      </w:r>
      <w:r w:rsidR="0063369B" w:rsidRPr="00262A58">
        <w:rPr>
          <w:rFonts w:ascii="Courier New" w:hAnsi="Courier New" w:cs="Courier New"/>
        </w:rPr>
        <w:t>at issue,</w:t>
      </w:r>
      <w:r w:rsidRPr="00262A58">
        <w:rPr>
          <w:rFonts w:ascii="Courier New" w:hAnsi="Courier New" w:cs="Courier New"/>
        </w:rPr>
        <w:t xml:space="preserve"> </w:t>
      </w:r>
      <w:r w:rsidR="008E6AA3" w:rsidRPr="00262A58">
        <w:rPr>
          <w:rFonts w:ascii="Courier New" w:hAnsi="Courier New" w:cs="Courier New"/>
        </w:rPr>
        <w:t>t</w:t>
      </w:r>
      <w:r w:rsidR="00C1647E" w:rsidRPr="00262A58">
        <w:rPr>
          <w:rFonts w:ascii="Courier New" w:hAnsi="Courier New" w:cs="Courier New"/>
        </w:rPr>
        <w:t xml:space="preserve">he </w:t>
      </w:r>
      <w:r w:rsidR="001E106E" w:rsidRPr="00262A58">
        <w:rPr>
          <w:rFonts w:ascii="Courier New" w:hAnsi="Courier New" w:cs="Courier New"/>
        </w:rPr>
        <w:t xml:space="preserve">assessors </w:t>
      </w:r>
      <w:r w:rsidR="008E6AA3" w:rsidRPr="00262A58">
        <w:rPr>
          <w:rFonts w:ascii="Courier New" w:hAnsi="Courier New" w:cs="Courier New"/>
        </w:rPr>
        <w:t>v</w:t>
      </w:r>
      <w:r w:rsidR="00107C08" w:rsidRPr="00262A58">
        <w:rPr>
          <w:rFonts w:ascii="Courier New" w:hAnsi="Courier New" w:cs="Courier New"/>
        </w:rPr>
        <w:t>al</w:t>
      </w:r>
      <w:r w:rsidRPr="00262A58">
        <w:rPr>
          <w:rFonts w:ascii="Courier New" w:hAnsi="Courier New" w:cs="Courier New"/>
        </w:rPr>
        <w:t>ued the subject property at $3</w:t>
      </w:r>
      <w:r w:rsidR="002021EA" w:rsidRPr="00262A58">
        <w:rPr>
          <w:rFonts w:ascii="Courier New" w:hAnsi="Courier New" w:cs="Courier New"/>
        </w:rPr>
        <w:t>95</w:t>
      </w:r>
      <w:r w:rsidR="006E7D02" w:rsidRPr="00262A58">
        <w:rPr>
          <w:rFonts w:ascii="Courier New" w:hAnsi="Courier New" w:cs="Courier New"/>
        </w:rPr>
        <w:t>,</w:t>
      </w:r>
      <w:r w:rsidR="002021EA" w:rsidRPr="00262A58">
        <w:rPr>
          <w:rFonts w:ascii="Courier New" w:hAnsi="Courier New" w:cs="Courier New"/>
        </w:rPr>
        <w:t>600</w:t>
      </w:r>
      <w:r w:rsidRPr="00262A58">
        <w:rPr>
          <w:rFonts w:ascii="Courier New" w:hAnsi="Courier New" w:cs="Courier New"/>
        </w:rPr>
        <w:t xml:space="preserve"> </w:t>
      </w:r>
      <w:r w:rsidR="003E53D6" w:rsidRPr="00262A58">
        <w:rPr>
          <w:rFonts w:ascii="Courier New" w:hAnsi="Courier New" w:cs="Courier New"/>
        </w:rPr>
        <w:t xml:space="preserve">- $378,100 for the land and $17,500 for the detached building - </w:t>
      </w:r>
      <w:r w:rsidRPr="00262A58">
        <w:rPr>
          <w:rFonts w:ascii="Courier New" w:hAnsi="Courier New" w:cs="Courier New"/>
        </w:rPr>
        <w:t>and assessed a tax</w:t>
      </w:r>
      <w:r w:rsidR="003E53D6" w:rsidRPr="00262A58">
        <w:rPr>
          <w:rFonts w:ascii="Courier New" w:hAnsi="Courier New" w:cs="Courier New"/>
        </w:rPr>
        <w:t xml:space="preserve"> thereon,</w:t>
      </w:r>
      <w:r w:rsidR="00FB1B74" w:rsidRPr="00262A58">
        <w:rPr>
          <w:rFonts w:ascii="Courier New" w:hAnsi="Courier New" w:cs="Courier New"/>
        </w:rPr>
        <w:t xml:space="preserve"> </w:t>
      </w:r>
      <w:r w:rsidR="00C71911" w:rsidRPr="00262A58">
        <w:rPr>
          <w:rFonts w:ascii="Courier New" w:hAnsi="Courier New" w:cs="Courier New"/>
        </w:rPr>
        <w:t xml:space="preserve">at </w:t>
      </w:r>
      <w:r w:rsidR="002021EA" w:rsidRPr="00262A58">
        <w:rPr>
          <w:rFonts w:ascii="Courier New" w:hAnsi="Courier New" w:cs="Courier New"/>
        </w:rPr>
        <w:t xml:space="preserve">the rate of </w:t>
      </w:r>
      <w:r w:rsidR="00FB1B74" w:rsidRPr="00262A58">
        <w:rPr>
          <w:rFonts w:ascii="Courier New" w:hAnsi="Courier New" w:cs="Courier New"/>
        </w:rPr>
        <w:t>$</w:t>
      </w:r>
      <w:r w:rsidR="002021EA" w:rsidRPr="00262A58">
        <w:rPr>
          <w:rFonts w:ascii="Courier New" w:hAnsi="Courier New" w:cs="Courier New"/>
        </w:rPr>
        <w:t>7.90</w:t>
      </w:r>
      <w:r w:rsidR="00FB1B74" w:rsidRPr="00262A58">
        <w:rPr>
          <w:rFonts w:ascii="Courier New" w:hAnsi="Courier New" w:cs="Courier New"/>
        </w:rPr>
        <w:t xml:space="preserve"> per thousand</w:t>
      </w:r>
      <w:r w:rsidR="002021EA" w:rsidRPr="00262A58">
        <w:rPr>
          <w:rFonts w:ascii="Courier New" w:hAnsi="Courier New" w:cs="Courier New"/>
        </w:rPr>
        <w:t xml:space="preserve">, </w:t>
      </w:r>
      <w:r w:rsidRPr="00262A58">
        <w:rPr>
          <w:rFonts w:ascii="Courier New" w:hAnsi="Courier New" w:cs="Courier New"/>
        </w:rPr>
        <w:t>in the total amount</w:t>
      </w:r>
      <w:r w:rsidR="00876682" w:rsidRPr="00262A58">
        <w:rPr>
          <w:rFonts w:ascii="Courier New" w:hAnsi="Courier New" w:cs="Courier New"/>
        </w:rPr>
        <w:t xml:space="preserve"> of $3,219</w:t>
      </w:r>
      <w:r w:rsidR="00FB6671" w:rsidRPr="00262A58">
        <w:rPr>
          <w:rFonts w:ascii="Courier New" w:hAnsi="Courier New" w:cs="Courier New"/>
        </w:rPr>
        <w:t>,</w:t>
      </w:r>
      <w:r w:rsidR="002021EA" w:rsidRPr="00262A58">
        <w:rPr>
          <w:rStyle w:val="FootnoteReference"/>
          <w:rFonts w:ascii="Courier New" w:hAnsi="Courier New"/>
        </w:rPr>
        <w:footnoteReference w:id="2"/>
      </w:r>
      <w:r w:rsidR="00FB6671" w:rsidRPr="00262A58">
        <w:rPr>
          <w:rFonts w:ascii="Courier New" w:hAnsi="Courier New" w:cs="Courier New"/>
        </w:rPr>
        <w:t xml:space="preserve"> which the </w:t>
      </w:r>
      <w:r w:rsidR="000D73F2" w:rsidRPr="00262A58">
        <w:rPr>
          <w:rFonts w:ascii="Courier New" w:hAnsi="Courier New" w:cs="Courier New"/>
        </w:rPr>
        <w:t xml:space="preserve">appellants paid without incurring interest.  On September </w:t>
      </w:r>
      <w:r w:rsidR="000D73F2" w:rsidRPr="00262A58">
        <w:rPr>
          <w:rFonts w:ascii="Courier New" w:hAnsi="Courier New" w:cs="Courier New"/>
        </w:rPr>
        <w:lastRenderedPageBreak/>
        <w:t>26, 2016</w:t>
      </w:r>
      <w:r w:rsidR="00505517" w:rsidRPr="00262A58">
        <w:rPr>
          <w:rFonts w:ascii="Courier New" w:hAnsi="Courier New" w:cs="Courier New"/>
        </w:rPr>
        <w:t xml:space="preserve">, in accordance with G.L. c. 59, </w:t>
      </w:r>
      <w:r w:rsidR="00E54C31" w:rsidRPr="00262A58">
        <w:rPr>
          <w:rFonts w:ascii="Courier New" w:hAnsi="Courier New" w:cs="Courier New"/>
        </w:rPr>
        <w:t xml:space="preserve">§ </w:t>
      </w:r>
      <w:r w:rsidR="00505517" w:rsidRPr="00262A58">
        <w:rPr>
          <w:rFonts w:ascii="Courier New" w:hAnsi="Courier New" w:cs="Courier New"/>
        </w:rPr>
        <w:t>59,</w:t>
      </w:r>
      <w:r w:rsidRPr="00262A58">
        <w:rPr>
          <w:rFonts w:ascii="Courier New" w:hAnsi="Courier New" w:cs="Courier New"/>
        </w:rPr>
        <w:t xml:space="preserve"> the appellant</w:t>
      </w:r>
      <w:r w:rsidR="00222F5E" w:rsidRPr="00262A58">
        <w:rPr>
          <w:rFonts w:ascii="Courier New" w:hAnsi="Courier New" w:cs="Courier New"/>
        </w:rPr>
        <w:t>s</w:t>
      </w:r>
      <w:r w:rsidRPr="00262A58">
        <w:rPr>
          <w:rFonts w:ascii="Courier New" w:hAnsi="Courier New" w:cs="Courier New"/>
        </w:rPr>
        <w:t xml:space="preserve"> timely filed an abatement application with the assessors, which </w:t>
      </w:r>
      <w:r w:rsidR="00111904" w:rsidRPr="00262A58">
        <w:rPr>
          <w:rFonts w:ascii="Courier New" w:hAnsi="Courier New" w:cs="Courier New"/>
        </w:rPr>
        <w:t>they</w:t>
      </w:r>
      <w:r w:rsidRPr="00262A58">
        <w:rPr>
          <w:rFonts w:ascii="Courier New" w:hAnsi="Courier New" w:cs="Courier New"/>
        </w:rPr>
        <w:t xml:space="preserve"> denied on </w:t>
      </w:r>
      <w:r w:rsidR="00505517" w:rsidRPr="00262A58">
        <w:rPr>
          <w:rFonts w:ascii="Courier New" w:hAnsi="Courier New" w:cs="Courier New"/>
        </w:rPr>
        <w:t xml:space="preserve">October 3, </w:t>
      </w:r>
      <w:r w:rsidRPr="00262A58">
        <w:rPr>
          <w:rFonts w:ascii="Courier New" w:hAnsi="Courier New" w:cs="Courier New"/>
        </w:rPr>
        <w:t xml:space="preserve">2016.  On </w:t>
      </w:r>
      <w:r w:rsidR="00505517" w:rsidRPr="00262A58">
        <w:rPr>
          <w:rFonts w:ascii="Courier New" w:hAnsi="Courier New" w:cs="Courier New"/>
        </w:rPr>
        <w:t>December 9</w:t>
      </w:r>
      <w:r w:rsidRPr="00262A58">
        <w:rPr>
          <w:rFonts w:ascii="Courier New" w:hAnsi="Courier New" w:cs="Courier New"/>
        </w:rPr>
        <w:t>, 201</w:t>
      </w:r>
      <w:r w:rsidR="00505517" w:rsidRPr="00262A58">
        <w:rPr>
          <w:rFonts w:ascii="Courier New" w:hAnsi="Courier New" w:cs="Courier New"/>
        </w:rPr>
        <w:t>7</w:t>
      </w:r>
      <w:r w:rsidRPr="00262A58">
        <w:rPr>
          <w:rFonts w:ascii="Courier New" w:hAnsi="Courier New" w:cs="Courier New"/>
        </w:rPr>
        <w:t>, in accordance with G.L. c. 59, §§ 64 and 65, the appellant</w:t>
      </w:r>
      <w:r w:rsidR="00505517" w:rsidRPr="00262A58">
        <w:rPr>
          <w:rFonts w:ascii="Courier New" w:hAnsi="Courier New" w:cs="Courier New"/>
        </w:rPr>
        <w:t>s</w:t>
      </w:r>
      <w:r w:rsidRPr="00262A58">
        <w:rPr>
          <w:rFonts w:ascii="Courier New" w:hAnsi="Courier New" w:cs="Courier New"/>
        </w:rPr>
        <w:t xml:space="preserve"> seasonably filed an appeal with the </w:t>
      </w:r>
      <w:r w:rsidR="00505517" w:rsidRPr="00262A58">
        <w:rPr>
          <w:rFonts w:ascii="Courier New" w:hAnsi="Courier New" w:cs="Courier New"/>
        </w:rPr>
        <w:t>Appellate Tax Board (“Board”).</w:t>
      </w:r>
      <w:r w:rsidRPr="00262A58">
        <w:rPr>
          <w:rFonts w:ascii="Courier New" w:hAnsi="Courier New" w:cs="Courier New"/>
        </w:rPr>
        <w:t xml:space="preserve"> On the basis of these facts, the </w:t>
      </w:r>
      <w:r w:rsidR="00505517" w:rsidRPr="00262A58">
        <w:rPr>
          <w:rFonts w:ascii="Courier New" w:hAnsi="Courier New" w:cs="Courier New"/>
        </w:rPr>
        <w:t>Presiding Commissioner</w:t>
      </w:r>
      <w:r w:rsidRPr="00262A58">
        <w:rPr>
          <w:rFonts w:ascii="Courier New" w:hAnsi="Courier New" w:cs="Courier New"/>
        </w:rPr>
        <w:t xml:space="preserve"> found and ruled that </w:t>
      </w:r>
      <w:r w:rsidR="00505517" w:rsidRPr="00262A58">
        <w:rPr>
          <w:rFonts w:ascii="Courier New" w:hAnsi="Courier New" w:cs="Courier New"/>
        </w:rPr>
        <w:t>the Board</w:t>
      </w:r>
      <w:r w:rsidRPr="00262A58">
        <w:rPr>
          <w:rFonts w:ascii="Courier New" w:hAnsi="Courier New" w:cs="Courier New"/>
        </w:rPr>
        <w:t xml:space="preserve"> had jurisdiction to hear and decide this appeal.</w:t>
      </w:r>
    </w:p>
    <w:p w:rsidR="008261D4" w:rsidRPr="00262A58" w:rsidRDefault="00505517" w:rsidP="00713523">
      <w:pPr>
        <w:spacing w:line="480" w:lineRule="auto"/>
        <w:ind w:firstLine="720"/>
        <w:jc w:val="both"/>
        <w:rPr>
          <w:rFonts w:ascii="Courier New" w:hAnsi="Courier New" w:cs="Courier New"/>
          <w:shd w:val="clear" w:color="auto" w:fill="FFFFFF"/>
        </w:rPr>
      </w:pPr>
      <w:r w:rsidRPr="00262A58">
        <w:rPr>
          <w:rFonts w:ascii="Courier New" w:hAnsi="Courier New" w:cs="Courier New"/>
          <w:shd w:val="clear" w:color="auto" w:fill="FFFFFF"/>
        </w:rPr>
        <w:t>Prior to this appeal, the appellants successfully appealed the subject property</w:t>
      </w:r>
      <w:r w:rsidR="00C81F28">
        <w:rPr>
          <w:rFonts w:ascii="Courier New" w:hAnsi="Courier New" w:cs="Courier New"/>
          <w:shd w:val="clear" w:color="auto" w:fill="FFFFFF"/>
        </w:rPr>
        <w:t>’</w:t>
      </w:r>
      <w:r w:rsidRPr="00262A58">
        <w:rPr>
          <w:rFonts w:ascii="Courier New" w:hAnsi="Courier New" w:cs="Courier New"/>
          <w:shd w:val="clear" w:color="auto" w:fill="FFFFFF"/>
        </w:rPr>
        <w:t>s fiscal year 2015 assessment. In that appeal, the</w:t>
      </w:r>
      <w:r w:rsidR="008261D4" w:rsidRPr="00262A58">
        <w:rPr>
          <w:rFonts w:ascii="Courier New" w:hAnsi="Courier New" w:cs="Courier New"/>
          <w:shd w:val="clear" w:color="auto" w:fill="FFFFFF"/>
        </w:rPr>
        <w:t xml:space="preserve"> Board issued a </w:t>
      </w:r>
      <w:r w:rsidRPr="00262A58">
        <w:rPr>
          <w:rFonts w:ascii="Courier New" w:hAnsi="Courier New" w:cs="Courier New"/>
          <w:shd w:val="clear" w:color="auto" w:fill="FFFFFF"/>
        </w:rPr>
        <w:t xml:space="preserve">single-member decision reducing the subject property’s assessed value from $344,700 to a fair cash value of $320,000 </w:t>
      </w:r>
      <w:r w:rsidR="006C01D5" w:rsidRPr="00262A58">
        <w:rPr>
          <w:rFonts w:ascii="Courier New" w:hAnsi="Courier New" w:cs="Courier New"/>
          <w:shd w:val="clear" w:color="auto" w:fill="FFFFFF"/>
        </w:rPr>
        <w:t>as of January 1, 201</w:t>
      </w:r>
      <w:r w:rsidRPr="00262A58">
        <w:rPr>
          <w:rFonts w:ascii="Courier New" w:hAnsi="Courier New" w:cs="Courier New"/>
          <w:shd w:val="clear" w:color="auto" w:fill="FFFFFF"/>
        </w:rPr>
        <w:t>4. </w:t>
      </w:r>
      <w:r w:rsidR="00446154" w:rsidRPr="00262A58">
        <w:rPr>
          <w:rFonts w:ascii="Courier New" w:hAnsi="Courier New" w:cs="Courier New"/>
          <w:shd w:val="clear" w:color="auto" w:fill="FFFFFF"/>
        </w:rPr>
        <w:t xml:space="preserve"> </w:t>
      </w:r>
      <w:r w:rsidR="00982CFD" w:rsidRPr="00262A58">
        <w:rPr>
          <w:rFonts w:ascii="Courier New" w:hAnsi="Courier New" w:cs="Courier New"/>
          <w:shd w:val="clear" w:color="auto" w:fill="FFFFFF"/>
        </w:rPr>
        <w:t>Pursuant to G.L. c. 58A, § 12A, b</w:t>
      </w:r>
      <w:r w:rsidR="008261D4" w:rsidRPr="00262A58">
        <w:rPr>
          <w:rFonts w:ascii="Courier New" w:hAnsi="Courier New" w:cs="Courier New"/>
          <w:shd w:val="clear" w:color="auto" w:fill="FFFFFF"/>
        </w:rPr>
        <w:t xml:space="preserve">ecause </w:t>
      </w:r>
      <w:r w:rsidR="00111904" w:rsidRPr="00262A58">
        <w:rPr>
          <w:rFonts w:ascii="Courier New" w:hAnsi="Courier New" w:cs="Courier New"/>
          <w:shd w:val="clear" w:color="auto" w:fill="FFFFFF"/>
        </w:rPr>
        <w:t xml:space="preserve">the increased assessment in </w:t>
      </w:r>
      <w:r w:rsidR="008261D4" w:rsidRPr="00262A58">
        <w:rPr>
          <w:rFonts w:ascii="Courier New" w:hAnsi="Courier New" w:cs="Courier New"/>
          <w:shd w:val="clear" w:color="auto" w:fill="FFFFFF"/>
        </w:rPr>
        <w:t>th</w:t>
      </w:r>
      <w:r w:rsidR="00982CFD" w:rsidRPr="00262A58">
        <w:rPr>
          <w:rFonts w:ascii="Courier New" w:hAnsi="Courier New" w:cs="Courier New"/>
          <w:shd w:val="clear" w:color="auto" w:fill="FFFFFF"/>
        </w:rPr>
        <w:t>is appeal</w:t>
      </w:r>
      <w:r w:rsidR="008261D4" w:rsidRPr="00262A58">
        <w:rPr>
          <w:rFonts w:ascii="Courier New" w:hAnsi="Courier New" w:cs="Courier New"/>
          <w:shd w:val="clear" w:color="auto" w:fill="FFFFFF"/>
        </w:rPr>
        <w:t xml:space="preserve"> involves one of the </w:t>
      </w:r>
      <w:r w:rsidR="005F12B6" w:rsidRPr="00262A58">
        <w:rPr>
          <w:rFonts w:ascii="Courier New" w:hAnsi="Courier New" w:cs="Courier New"/>
          <w:shd w:val="clear" w:color="auto" w:fill="FFFFFF"/>
        </w:rPr>
        <w:t>“</w:t>
      </w:r>
      <w:r w:rsidR="008261D4" w:rsidRPr="00262A58">
        <w:rPr>
          <w:rFonts w:ascii="Courier New" w:hAnsi="Courier New" w:cs="Courier New"/>
          <w:shd w:val="clear" w:color="auto" w:fill="FFFFFF"/>
        </w:rPr>
        <w:t>next two fiscal years after a fiscal year for which the Board has determined the fair cash value</w:t>
      </w:r>
      <w:r w:rsidR="005F12B6" w:rsidRPr="00262A58">
        <w:rPr>
          <w:rFonts w:ascii="Courier New" w:hAnsi="Courier New" w:cs="Courier New"/>
          <w:shd w:val="clear" w:color="auto" w:fill="FFFFFF"/>
        </w:rPr>
        <w:t xml:space="preserve">” </w:t>
      </w:r>
      <w:r w:rsidR="008261D4" w:rsidRPr="00262A58">
        <w:rPr>
          <w:rFonts w:ascii="Courier New" w:hAnsi="Courier New" w:cs="Courier New"/>
          <w:shd w:val="clear" w:color="auto" w:fill="FFFFFF"/>
        </w:rPr>
        <w:t>of the subject property</w:t>
      </w:r>
      <w:r w:rsidR="00111904" w:rsidRPr="00262A58">
        <w:rPr>
          <w:rFonts w:ascii="Courier New" w:hAnsi="Courier New" w:cs="Courier New"/>
          <w:shd w:val="clear" w:color="auto" w:fill="FFFFFF"/>
        </w:rPr>
        <w:t xml:space="preserve">, </w:t>
      </w:r>
      <w:r w:rsidR="008261D4" w:rsidRPr="00262A58">
        <w:rPr>
          <w:rFonts w:ascii="Courier New" w:hAnsi="Courier New" w:cs="Courier New"/>
          <w:shd w:val="clear" w:color="auto" w:fill="FFFFFF"/>
        </w:rPr>
        <w:t xml:space="preserve">the burden </w:t>
      </w:r>
      <w:r w:rsidR="00446154" w:rsidRPr="00262A58">
        <w:rPr>
          <w:rFonts w:ascii="Courier New" w:hAnsi="Courier New" w:cs="Courier New"/>
          <w:shd w:val="clear" w:color="auto" w:fill="FFFFFF"/>
        </w:rPr>
        <w:t>is on th</w:t>
      </w:r>
      <w:r w:rsidR="008261D4" w:rsidRPr="00262A58">
        <w:rPr>
          <w:rFonts w:ascii="Courier New" w:hAnsi="Courier New" w:cs="Courier New"/>
          <w:shd w:val="clear" w:color="auto" w:fill="FFFFFF"/>
        </w:rPr>
        <w:t>e assessors to justif</w:t>
      </w:r>
      <w:r w:rsidR="00446154" w:rsidRPr="00262A58">
        <w:rPr>
          <w:rFonts w:ascii="Courier New" w:hAnsi="Courier New" w:cs="Courier New"/>
          <w:shd w:val="clear" w:color="auto" w:fill="FFFFFF"/>
        </w:rPr>
        <w:t xml:space="preserve">y </w:t>
      </w:r>
      <w:r w:rsidR="00801304" w:rsidRPr="00262A58">
        <w:rPr>
          <w:rFonts w:ascii="Courier New" w:hAnsi="Courier New" w:cs="Courier New"/>
          <w:shd w:val="clear" w:color="auto" w:fill="FFFFFF"/>
        </w:rPr>
        <w:t>the increase over t</w:t>
      </w:r>
      <w:r w:rsidR="00446154" w:rsidRPr="00262A58">
        <w:rPr>
          <w:rFonts w:ascii="Courier New" w:hAnsi="Courier New" w:cs="Courier New"/>
          <w:shd w:val="clear" w:color="auto" w:fill="FFFFFF"/>
        </w:rPr>
        <w:t xml:space="preserve">he Board’s fiscal year 2015 value determination. </w:t>
      </w:r>
    </w:p>
    <w:p w:rsidR="00D509E5" w:rsidRPr="00262A58" w:rsidRDefault="00B23CE1" w:rsidP="00B968D8">
      <w:pPr>
        <w:spacing w:line="480" w:lineRule="auto"/>
        <w:ind w:firstLine="720"/>
        <w:jc w:val="both"/>
        <w:rPr>
          <w:rFonts w:ascii="Courier New" w:hAnsi="Courier New" w:cs="Courier New"/>
          <w:shd w:val="clear" w:color="auto" w:fill="FFFFFF"/>
        </w:rPr>
      </w:pPr>
      <w:r w:rsidRPr="00262A58">
        <w:rPr>
          <w:rFonts w:ascii="Courier New" w:hAnsi="Courier New" w:cs="Courier New"/>
          <w:shd w:val="clear" w:color="auto" w:fill="FFFFFF"/>
        </w:rPr>
        <w:t xml:space="preserve">In support of the increased assessment, </w:t>
      </w:r>
      <w:r w:rsidR="007C413E" w:rsidRPr="00262A58">
        <w:rPr>
          <w:rFonts w:ascii="Courier New" w:hAnsi="Courier New" w:cs="Courier New"/>
          <w:shd w:val="clear" w:color="auto" w:fill="FFFFFF"/>
        </w:rPr>
        <w:t xml:space="preserve">Belinda Eyestone, principal assessor for Eastham, </w:t>
      </w:r>
      <w:r w:rsidRPr="00262A58">
        <w:rPr>
          <w:rFonts w:ascii="Courier New" w:hAnsi="Courier New" w:cs="Courier New"/>
          <w:shd w:val="clear" w:color="auto" w:fill="FFFFFF"/>
        </w:rPr>
        <w:t>presented th</w:t>
      </w:r>
      <w:r w:rsidR="00425DAD" w:rsidRPr="00262A58">
        <w:rPr>
          <w:rFonts w:ascii="Courier New" w:hAnsi="Courier New" w:cs="Courier New"/>
          <w:shd w:val="clear" w:color="auto" w:fill="FFFFFF"/>
        </w:rPr>
        <w:t>e property record cards for three properties located in the Town Cove area</w:t>
      </w:r>
      <w:r w:rsidR="005F12B6" w:rsidRPr="00262A58">
        <w:rPr>
          <w:rFonts w:ascii="Courier New" w:hAnsi="Courier New" w:cs="Courier New"/>
          <w:shd w:val="clear" w:color="auto" w:fill="FFFFFF"/>
        </w:rPr>
        <w:t>,</w:t>
      </w:r>
      <w:r w:rsidR="00425DAD" w:rsidRPr="00262A58">
        <w:rPr>
          <w:rFonts w:ascii="Courier New" w:hAnsi="Courier New" w:cs="Courier New"/>
          <w:shd w:val="clear" w:color="auto" w:fill="FFFFFF"/>
        </w:rPr>
        <w:t xml:space="preserve"> including 670 State Highway</w:t>
      </w:r>
      <w:r w:rsidR="00760A43" w:rsidRPr="00262A58">
        <w:rPr>
          <w:rFonts w:ascii="Courier New" w:hAnsi="Courier New" w:cs="Courier New"/>
          <w:shd w:val="clear" w:color="auto" w:fill="FFFFFF"/>
        </w:rPr>
        <w:t>,</w:t>
      </w:r>
      <w:r w:rsidR="00425DAD" w:rsidRPr="00262A58">
        <w:rPr>
          <w:rFonts w:ascii="Courier New" w:hAnsi="Courier New" w:cs="Courier New"/>
          <w:shd w:val="clear" w:color="auto" w:fill="FFFFFF"/>
        </w:rPr>
        <w:t xml:space="preserve"> 550 State Highway</w:t>
      </w:r>
      <w:r w:rsidR="00760A43" w:rsidRPr="00262A58">
        <w:rPr>
          <w:rFonts w:ascii="Courier New" w:hAnsi="Courier New" w:cs="Courier New"/>
          <w:shd w:val="clear" w:color="auto" w:fill="FFFFFF"/>
        </w:rPr>
        <w:t xml:space="preserve">, </w:t>
      </w:r>
      <w:r w:rsidR="00425DAD" w:rsidRPr="00262A58">
        <w:rPr>
          <w:rFonts w:ascii="Courier New" w:hAnsi="Courier New" w:cs="Courier New"/>
          <w:shd w:val="clear" w:color="auto" w:fill="FFFFFF"/>
        </w:rPr>
        <w:t xml:space="preserve">and 30 Rogers Lane.  </w:t>
      </w:r>
      <w:r w:rsidR="00B968D8" w:rsidRPr="00262A58">
        <w:rPr>
          <w:rFonts w:ascii="Courier New" w:hAnsi="Courier New" w:cs="Courier New"/>
          <w:shd w:val="clear" w:color="auto" w:fill="FFFFFF"/>
        </w:rPr>
        <w:t xml:space="preserve">These properties </w:t>
      </w:r>
      <w:r w:rsidR="00175CD3" w:rsidRPr="00262A58">
        <w:rPr>
          <w:rFonts w:ascii="Courier New" w:hAnsi="Courier New" w:cs="Courier New"/>
          <w:shd w:val="clear" w:color="auto" w:fill="FFFFFF"/>
        </w:rPr>
        <w:t xml:space="preserve">ranged in size from 0.60 acres to </w:t>
      </w:r>
      <w:r w:rsidR="00AE0BD5" w:rsidRPr="00262A58">
        <w:rPr>
          <w:rFonts w:ascii="Courier New" w:hAnsi="Courier New" w:cs="Courier New"/>
          <w:shd w:val="clear" w:color="auto" w:fill="FFFFFF"/>
        </w:rPr>
        <w:t xml:space="preserve">1.65 acres and </w:t>
      </w:r>
      <w:r w:rsidR="00175CD3" w:rsidRPr="00262A58">
        <w:rPr>
          <w:rFonts w:ascii="Courier New" w:hAnsi="Courier New" w:cs="Courier New"/>
          <w:shd w:val="clear" w:color="auto" w:fill="FFFFFF"/>
        </w:rPr>
        <w:t xml:space="preserve">were improved with residential dwellings that ranged </w:t>
      </w:r>
      <w:r w:rsidR="00175CD3" w:rsidRPr="00262A58">
        <w:rPr>
          <w:rFonts w:ascii="Courier New" w:hAnsi="Courier New" w:cs="Courier New"/>
          <w:shd w:val="clear" w:color="auto" w:fill="FFFFFF"/>
        </w:rPr>
        <w:lastRenderedPageBreak/>
        <w:t>in size from 1,951 square feet to 4,314 square feet.</w:t>
      </w:r>
      <w:r w:rsidR="00AE0BD5" w:rsidRPr="00262A58">
        <w:rPr>
          <w:rFonts w:ascii="Courier New" w:hAnsi="Courier New" w:cs="Courier New"/>
          <w:shd w:val="clear" w:color="auto" w:fill="FFFFFF"/>
        </w:rPr>
        <w:t xml:space="preserve">  The properties sold </w:t>
      </w:r>
      <w:r w:rsidR="00506CD8" w:rsidRPr="00262A58">
        <w:rPr>
          <w:rFonts w:ascii="Courier New" w:hAnsi="Courier New" w:cs="Courier New"/>
          <w:shd w:val="clear" w:color="auto" w:fill="FFFFFF"/>
        </w:rPr>
        <w:t xml:space="preserve">between </w:t>
      </w:r>
      <w:r w:rsidR="00AE0BD5" w:rsidRPr="00262A58">
        <w:rPr>
          <w:rFonts w:ascii="Courier New" w:hAnsi="Courier New" w:cs="Courier New"/>
          <w:shd w:val="clear" w:color="auto" w:fill="FFFFFF"/>
        </w:rPr>
        <w:t>May 29, 2015</w:t>
      </w:r>
      <w:r w:rsidR="00506CD8" w:rsidRPr="00262A58">
        <w:rPr>
          <w:rFonts w:ascii="Courier New" w:hAnsi="Courier New" w:cs="Courier New"/>
          <w:shd w:val="clear" w:color="auto" w:fill="FFFFFF"/>
        </w:rPr>
        <w:t xml:space="preserve"> a</w:t>
      </w:r>
      <w:r w:rsidR="00F4674A" w:rsidRPr="00262A58">
        <w:rPr>
          <w:rFonts w:ascii="Courier New" w:hAnsi="Courier New" w:cs="Courier New"/>
          <w:shd w:val="clear" w:color="auto" w:fill="FFFFFF"/>
        </w:rPr>
        <w:t xml:space="preserve">nd </w:t>
      </w:r>
      <w:r w:rsidR="00AE0BD5" w:rsidRPr="00262A58">
        <w:rPr>
          <w:rFonts w:ascii="Courier New" w:hAnsi="Courier New" w:cs="Courier New"/>
          <w:shd w:val="clear" w:color="auto" w:fill="FFFFFF"/>
        </w:rPr>
        <w:t>June 21, 2017</w:t>
      </w:r>
      <w:r w:rsidR="00F4674A" w:rsidRPr="00262A58">
        <w:rPr>
          <w:rFonts w:ascii="Courier New" w:hAnsi="Courier New" w:cs="Courier New"/>
          <w:shd w:val="clear" w:color="auto" w:fill="FFFFFF"/>
        </w:rPr>
        <w:t>,</w:t>
      </w:r>
      <w:r w:rsidR="00AE0BD5" w:rsidRPr="00262A58">
        <w:rPr>
          <w:rFonts w:ascii="Courier New" w:hAnsi="Courier New" w:cs="Courier New"/>
          <w:shd w:val="clear" w:color="auto" w:fill="FFFFFF"/>
        </w:rPr>
        <w:t xml:space="preserve"> with sale prices </w:t>
      </w:r>
      <w:r w:rsidR="00506CD8" w:rsidRPr="00262A58">
        <w:rPr>
          <w:rFonts w:ascii="Courier New" w:hAnsi="Courier New" w:cs="Courier New"/>
          <w:shd w:val="clear" w:color="auto" w:fill="FFFFFF"/>
        </w:rPr>
        <w:t xml:space="preserve">ranging from </w:t>
      </w:r>
      <w:r w:rsidR="00F4674A" w:rsidRPr="00262A58">
        <w:rPr>
          <w:rFonts w:ascii="Courier New" w:hAnsi="Courier New" w:cs="Courier New"/>
          <w:shd w:val="clear" w:color="auto" w:fill="FFFFFF"/>
        </w:rPr>
        <w:t>$750,000</w:t>
      </w:r>
      <w:r w:rsidR="00506CD8" w:rsidRPr="00262A58">
        <w:rPr>
          <w:rFonts w:ascii="Courier New" w:hAnsi="Courier New" w:cs="Courier New"/>
          <w:shd w:val="clear" w:color="auto" w:fill="FFFFFF"/>
        </w:rPr>
        <w:t xml:space="preserve"> to</w:t>
      </w:r>
      <w:r w:rsidR="00F4674A" w:rsidRPr="00262A58">
        <w:rPr>
          <w:rFonts w:ascii="Courier New" w:hAnsi="Courier New" w:cs="Courier New"/>
          <w:shd w:val="clear" w:color="auto" w:fill="FFFFFF"/>
        </w:rPr>
        <w:t xml:space="preserve"> </w:t>
      </w:r>
      <w:r w:rsidR="00AE0BD5" w:rsidRPr="00262A58">
        <w:rPr>
          <w:rFonts w:ascii="Courier New" w:hAnsi="Courier New" w:cs="Courier New"/>
          <w:shd w:val="clear" w:color="auto" w:fill="FFFFFF"/>
        </w:rPr>
        <w:t>$1,942,192</w:t>
      </w:r>
      <w:r w:rsidRPr="00262A58">
        <w:rPr>
          <w:rFonts w:ascii="Courier New" w:hAnsi="Courier New" w:cs="Courier New"/>
          <w:shd w:val="clear" w:color="auto" w:fill="FFFFFF"/>
        </w:rPr>
        <w:t>.</w:t>
      </w:r>
      <w:r w:rsidR="00760A43" w:rsidRPr="00262A58">
        <w:rPr>
          <w:rFonts w:ascii="Courier New" w:hAnsi="Courier New" w:cs="Courier New"/>
          <w:shd w:val="clear" w:color="auto" w:fill="FFFFFF"/>
        </w:rPr>
        <w:t xml:space="preserve">  </w:t>
      </w:r>
      <w:r w:rsidR="00111904" w:rsidRPr="00262A58">
        <w:rPr>
          <w:rFonts w:ascii="Courier New" w:hAnsi="Courier New" w:cs="Courier New"/>
          <w:shd w:val="clear" w:color="auto" w:fill="FFFFFF"/>
        </w:rPr>
        <w:t>Their assessments ranged from $</w:t>
      </w:r>
      <w:r w:rsidR="001C0B32" w:rsidRPr="00262A58">
        <w:rPr>
          <w:rFonts w:ascii="Courier New" w:hAnsi="Courier New" w:cs="Courier New"/>
          <w:shd w:val="clear" w:color="auto" w:fill="FFFFFF"/>
        </w:rPr>
        <w:t xml:space="preserve">738,000 to $1,820,700, and </w:t>
      </w:r>
      <w:r w:rsidR="00876682" w:rsidRPr="00262A58">
        <w:rPr>
          <w:rFonts w:ascii="Courier New" w:hAnsi="Courier New" w:cs="Courier New"/>
          <w:shd w:val="clear" w:color="auto" w:fill="FFFFFF"/>
        </w:rPr>
        <w:t xml:space="preserve">their land assessments ranged </w:t>
      </w:r>
      <w:r w:rsidR="001C0B32" w:rsidRPr="00262A58">
        <w:rPr>
          <w:rFonts w:ascii="Courier New" w:hAnsi="Courier New" w:cs="Courier New"/>
          <w:shd w:val="clear" w:color="auto" w:fill="FFFFFF"/>
        </w:rPr>
        <w:t xml:space="preserve">from $384,500 to $518,400.  </w:t>
      </w:r>
      <w:r w:rsidR="00FC7A14" w:rsidRPr="00262A58">
        <w:rPr>
          <w:rFonts w:ascii="Courier New" w:hAnsi="Courier New" w:cs="Courier New"/>
          <w:shd w:val="clear" w:color="auto" w:fill="FFFFFF"/>
        </w:rPr>
        <w:t>Ms. Eyestone testified that all of these properties are also subject to shellfish grants within the</w:t>
      </w:r>
      <w:r w:rsidR="00625053" w:rsidRPr="00262A58">
        <w:rPr>
          <w:rFonts w:ascii="Courier New" w:hAnsi="Courier New" w:cs="Courier New"/>
          <w:shd w:val="clear" w:color="auto" w:fill="FFFFFF"/>
        </w:rPr>
        <w:t>ir</w:t>
      </w:r>
      <w:r w:rsidR="00FC7A14" w:rsidRPr="00262A58">
        <w:rPr>
          <w:rFonts w:ascii="Courier New" w:hAnsi="Courier New" w:cs="Courier New"/>
          <w:shd w:val="clear" w:color="auto" w:fill="FFFFFF"/>
        </w:rPr>
        <w:t xml:space="preserve"> immediate tidal area</w:t>
      </w:r>
      <w:r w:rsidR="00625053" w:rsidRPr="00262A58">
        <w:rPr>
          <w:rFonts w:ascii="Courier New" w:hAnsi="Courier New" w:cs="Courier New"/>
          <w:shd w:val="clear" w:color="auto" w:fill="FFFFFF"/>
        </w:rPr>
        <w:t>s</w:t>
      </w:r>
      <w:r w:rsidR="00FC7A14" w:rsidRPr="00262A58">
        <w:rPr>
          <w:rFonts w:ascii="Courier New" w:hAnsi="Courier New" w:cs="Courier New"/>
          <w:shd w:val="clear" w:color="auto" w:fill="FFFFFF"/>
        </w:rPr>
        <w:t>.</w:t>
      </w:r>
      <w:r w:rsidR="00506CD8" w:rsidRPr="00262A58">
        <w:rPr>
          <w:rFonts w:ascii="Courier New" w:hAnsi="Courier New" w:cs="Courier New"/>
          <w:shd w:val="clear" w:color="auto" w:fill="FFFFFF"/>
        </w:rPr>
        <w:t xml:space="preserve">  She did not, however, </w:t>
      </w:r>
      <w:r w:rsidR="000E4060" w:rsidRPr="00262A58">
        <w:rPr>
          <w:rFonts w:ascii="Courier New" w:hAnsi="Courier New" w:cs="Courier New"/>
          <w:shd w:val="clear" w:color="auto" w:fill="FFFFFF"/>
        </w:rPr>
        <w:t xml:space="preserve">provide any more information in this regard or </w:t>
      </w:r>
      <w:r w:rsidR="00506CD8" w:rsidRPr="00262A58">
        <w:rPr>
          <w:rFonts w:ascii="Courier New" w:hAnsi="Courier New" w:cs="Courier New"/>
          <w:shd w:val="clear" w:color="auto" w:fill="FFFFFF"/>
        </w:rPr>
        <w:t>make adjustments for any differences that existed between the subject property and the purportedly comparable properties.</w:t>
      </w:r>
      <w:r w:rsidR="00FC7A14" w:rsidRPr="00262A58">
        <w:rPr>
          <w:rFonts w:ascii="Courier New" w:hAnsi="Courier New" w:cs="Courier New"/>
          <w:shd w:val="clear" w:color="auto" w:fill="FFFFFF"/>
        </w:rPr>
        <w:t xml:space="preserve"> </w:t>
      </w:r>
    </w:p>
    <w:p w:rsidR="00E758DA" w:rsidRPr="00262A58" w:rsidRDefault="00EE79FA" w:rsidP="00E758DA">
      <w:pPr>
        <w:spacing w:line="480" w:lineRule="auto"/>
        <w:ind w:firstLine="720"/>
        <w:jc w:val="both"/>
        <w:rPr>
          <w:rFonts w:ascii="Courier New" w:hAnsi="Courier New" w:cs="Courier New"/>
          <w:shd w:val="clear" w:color="auto" w:fill="FFFFFF"/>
        </w:rPr>
      </w:pPr>
      <w:r w:rsidRPr="00262A58">
        <w:rPr>
          <w:rFonts w:ascii="Courier New" w:hAnsi="Courier New" w:cs="Courier New"/>
          <w:shd w:val="clear" w:color="auto" w:fill="FFFFFF"/>
        </w:rPr>
        <w:t>The appellants</w:t>
      </w:r>
      <w:r w:rsidR="00A52432" w:rsidRPr="00262A58">
        <w:rPr>
          <w:rFonts w:ascii="Courier New" w:hAnsi="Courier New" w:cs="Courier New"/>
          <w:shd w:val="clear" w:color="auto" w:fill="FFFFFF"/>
        </w:rPr>
        <w:t xml:space="preserve"> </w:t>
      </w:r>
      <w:r w:rsidR="00C55874" w:rsidRPr="00262A58">
        <w:rPr>
          <w:rFonts w:ascii="Courier New" w:hAnsi="Courier New" w:cs="Courier New"/>
          <w:shd w:val="clear" w:color="auto" w:fill="FFFFFF"/>
        </w:rPr>
        <w:t xml:space="preserve">presented </w:t>
      </w:r>
      <w:r w:rsidR="00A52432" w:rsidRPr="00262A58">
        <w:rPr>
          <w:rFonts w:ascii="Courier New" w:hAnsi="Courier New" w:cs="Courier New"/>
          <w:shd w:val="clear" w:color="auto" w:fill="FFFFFF"/>
        </w:rPr>
        <w:t>their c</w:t>
      </w:r>
      <w:r w:rsidRPr="00262A58">
        <w:rPr>
          <w:rFonts w:ascii="Courier New" w:hAnsi="Courier New" w:cs="Courier New"/>
          <w:shd w:val="clear" w:color="auto" w:fill="FFFFFF"/>
        </w:rPr>
        <w:t>ase</w:t>
      </w:r>
      <w:r w:rsidR="00E758DA" w:rsidRPr="00262A58">
        <w:rPr>
          <w:rFonts w:ascii="Courier New" w:hAnsi="Courier New" w:cs="Courier New"/>
          <w:shd w:val="clear" w:color="auto" w:fill="FFFFFF"/>
        </w:rPr>
        <w:t xml:space="preserve"> </w:t>
      </w:r>
      <w:r w:rsidR="00A52432" w:rsidRPr="00262A58">
        <w:rPr>
          <w:rFonts w:ascii="Courier New" w:hAnsi="Courier New" w:cs="Courier New"/>
          <w:shd w:val="clear" w:color="auto" w:fill="FFFFFF"/>
        </w:rPr>
        <w:t xml:space="preserve">through the testimony of </w:t>
      </w:r>
      <w:r w:rsidR="00C81F28">
        <w:rPr>
          <w:rFonts w:ascii="Courier New" w:hAnsi="Courier New" w:cs="Courier New"/>
          <w:shd w:val="clear" w:color="auto" w:fill="FFFFFF"/>
        </w:rPr>
        <w:t>Gary</w:t>
      </w:r>
      <w:r w:rsidRPr="00262A58">
        <w:rPr>
          <w:rFonts w:ascii="Courier New" w:hAnsi="Courier New" w:cs="Courier New"/>
          <w:shd w:val="clear" w:color="auto" w:fill="FFFFFF"/>
        </w:rPr>
        <w:t xml:space="preserve"> Boudreau</w:t>
      </w:r>
      <w:r w:rsidR="00A52432" w:rsidRPr="00262A58">
        <w:rPr>
          <w:rFonts w:ascii="Courier New" w:hAnsi="Courier New" w:cs="Courier New"/>
          <w:shd w:val="clear" w:color="auto" w:fill="FFFFFF"/>
        </w:rPr>
        <w:t xml:space="preserve">, </w:t>
      </w:r>
      <w:r w:rsidR="001C0B32" w:rsidRPr="00262A58">
        <w:rPr>
          <w:rFonts w:ascii="Courier New" w:hAnsi="Courier New" w:cs="Courier New"/>
          <w:shd w:val="clear" w:color="auto" w:fill="FFFFFF"/>
        </w:rPr>
        <w:t xml:space="preserve">an </w:t>
      </w:r>
      <w:r w:rsidR="00A52432" w:rsidRPr="00262A58">
        <w:rPr>
          <w:rFonts w:ascii="Courier New" w:hAnsi="Courier New" w:cs="Courier New"/>
          <w:shd w:val="clear" w:color="auto" w:fill="FFFFFF"/>
        </w:rPr>
        <w:t>owner</w:t>
      </w:r>
      <w:r w:rsidR="00E6225B" w:rsidRPr="00262A58">
        <w:rPr>
          <w:rFonts w:ascii="Courier New" w:hAnsi="Courier New" w:cs="Courier New"/>
          <w:shd w:val="clear" w:color="auto" w:fill="FFFFFF"/>
        </w:rPr>
        <w:t xml:space="preserve"> of the subject property</w:t>
      </w:r>
      <w:r w:rsidR="000E4060" w:rsidRPr="00262A58">
        <w:rPr>
          <w:rFonts w:ascii="Courier New" w:hAnsi="Courier New" w:cs="Courier New"/>
          <w:shd w:val="clear" w:color="auto" w:fill="FFFFFF"/>
        </w:rPr>
        <w:t>,</w:t>
      </w:r>
      <w:r w:rsidR="006F7E59" w:rsidRPr="00262A58">
        <w:rPr>
          <w:rFonts w:ascii="Courier New" w:hAnsi="Courier New" w:cs="Courier New"/>
          <w:shd w:val="clear" w:color="auto" w:fill="FFFFFF"/>
        </w:rPr>
        <w:t xml:space="preserve"> </w:t>
      </w:r>
      <w:r w:rsidRPr="00262A58">
        <w:rPr>
          <w:rFonts w:ascii="Courier New" w:hAnsi="Courier New" w:cs="Courier New"/>
          <w:shd w:val="clear" w:color="auto" w:fill="FFFFFF"/>
        </w:rPr>
        <w:t xml:space="preserve">and </w:t>
      </w:r>
      <w:r w:rsidR="006F7E59" w:rsidRPr="00262A58">
        <w:rPr>
          <w:rFonts w:ascii="Courier New" w:hAnsi="Courier New" w:cs="Courier New"/>
          <w:shd w:val="clear" w:color="auto" w:fill="FFFFFF"/>
        </w:rPr>
        <w:t xml:space="preserve">a </w:t>
      </w:r>
      <w:r w:rsidR="00C55874" w:rsidRPr="00262A58">
        <w:rPr>
          <w:rFonts w:ascii="Courier New" w:hAnsi="Courier New" w:cs="Courier New"/>
          <w:shd w:val="clear" w:color="auto" w:fill="FFFFFF"/>
        </w:rPr>
        <w:t xml:space="preserve">self-prepared </w:t>
      </w:r>
      <w:r w:rsidR="00625053" w:rsidRPr="00262A58">
        <w:rPr>
          <w:rFonts w:ascii="Courier New" w:hAnsi="Courier New" w:cs="Courier New"/>
          <w:shd w:val="clear" w:color="auto" w:fill="FFFFFF"/>
        </w:rPr>
        <w:t>packet cont</w:t>
      </w:r>
      <w:r w:rsidR="00A52432" w:rsidRPr="00262A58">
        <w:rPr>
          <w:rFonts w:ascii="Courier New" w:hAnsi="Courier New" w:cs="Courier New"/>
          <w:shd w:val="clear" w:color="auto" w:fill="FFFFFF"/>
        </w:rPr>
        <w:t>aining numerous documents, including</w:t>
      </w:r>
      <w:r w:rsidR="00506CD8" w:rsidRPr="00262A58">
        <w:rPr>
          <w:rFonts w:ascii="Courier New" w:hAnsi="Courier New" w:cs="Courier New"/>
          <w:shd w:val="clear" w:color="auto" w:fill="FFFFFF"/>
        </w:rPr>
        <w:t xml:space="preserve">:  </w:t>
      </w:r>
      <w:r w:rsidR="00A52432" w:rsidRPr="00262A58">
        <w:rPr>
          <w:rFonts w:ascii="Courier New" w:hAnsi="Courier New" w:cs="Courier New"/>
          <w:shd w:val="clear" w:color="auto" w:fill="FFFFFF"/>
        </w:rPr>
        <w:t xml:space="preserve"> </w:t>
      </w:r>
      <w:r w:rsidR="006F7E59" w:rsidRPr="00262A58">
        <w:rPr>
          <w:rFonts w:ascii="Courier New" w:hAnsi="Courier New" w:cs="Courier New"/>
          <w:shd w:val="clear" w:color="auto" w:fill="FFFFFF"/>
        </w:rPr>
        <w:t>p</w:t>
      </w:r>
      <w:r w:rsidR="00A52432" w:rsidRPr="00262A58">
        <w:rPr>
          <w:rFonts w:ascii="Courier New" w:hAnsi="Courier New" w:cs="Courier New"/>
          <w:shd w:val="clear" w:color="auto" w:fill="FFFFFF"/>
        </w:rPr>
        <w:t>hotographs o</w:t>
      </w:r>
      <w:r w:rsidR="006F7E59" w:rsidRPr="00262A58">
        <w:rPr>
          <w:rFonts w:ascii="Courier New" w:hAnsi="Courier New" w:cs="Courier New"/>
          <w:shd w:val="clear" w:color="auto" w:fill="FFFFFF"/>
        </w:rPr>
        <w:t>f the subject property</w:t>
      </w:r>
      <w:r w:rsidR="00506CD8" w:rsidRPr="00262A58">
        <w:rPr>
          <w:rFonts w:ascii="Courier New" w:hAnsi="Courier New" w:cs="Courier New"/>
          <w:shd w:val="clear" w:color="auto" w:fill="FFFFFF"/>
        </w:rPr>
        <w:t>;</w:t>
      </w:r>
      <w:r w:rsidR="006F7E59" w:rsidRPr="00262A58">
        <w:rPr>
          <w:rFonts w:ascii="Courier New" w:hAnsi="Courier New" w:cs="Courier New"/>
          <w:shd w:val="clear" w:color="auto" w:fill="FFFFFF"/>
        </w:rPr>
        <w:t xml:space="preserve"> </w:t>
      </w:r>
      <w:r w:rsidR="001C0B32" w:rsidRPr="00262A58">
        <w:rPr>
          <w:rFonts w:ascii="Courier New" w:hAnsi="Courier New" w:cs="Courier New"/>
          <w:shd w:val="clear" w:color="auto" w:fill="FFFFFF"/>
        </w:rPr>
        <w:t xml:space="preserve">marked-up </w:t>
      </w:r>
      <w:r w:rsidR="00C55874" w:rsidRPr="00262A58">
        <w:rPr>
          <w:rFonts w:ascii="Courier New" w:hAnsi="Courier New" w:cs="Courier New"/>
          <w:shd w:val="clear" w:color="auto" w:fill="FFFFFF"/>
        </w:rPr>
        <w:t>photograp</w:t>
      </w:r>
      <w:r w:rsidR="006F7E59" w:rsidRPr="00262A58">
        <w:rPr>
          <w:rFonts w:ascii="Courier New" w:hAnsi="Courier New" w:cs="Courier New"/>
          <w:shd w:val="clear" w:color="auto" w:fill="FFFFFF"/>
        </w:rPr>
        <w:t xml:space="preserve">hs of the tidal area that is encumbered by the shellfish grants </w:t>
      </w:r>
      <w:r w:rsidR="00AC0843" w:rsidRPr="00262A58">
        <w:rPr>
          <w:rFonts w:ascii="Courier New" w:hAnsi="Courier New" w:cs="Courier New"/>
          <w:shd w:val="clear" w:color="auto" w:fill="FFFFFF"/>
        </w:rPr>
        <w:t xml:space="preserve">showing </w:t>
      </w:r>
      <w:r w:rsidR="00506CD8" w:rsidRPr="00262A58">
        <w:rPr>
          <w:rFonts w:ascii="Courier New" w:hAnsi="Courier New" w:cs="Courier New"/>
          <w:shd w:val="clear" w:color="auto" w:fill="FFFFFF"/>
        </w:rPr>
        <w:t xml:space="preserve">the increased number of shellfish cages, </w:t>
      </w:r>
      <w:r w:rsidR="006F7E59" w:rsidRPr="00262A58">
        <w:rPr>
          <w:rFonts w:ascii="Courier New" w:hAnsi="Courier New" w:cs="Courier New"/>
          <w:shd w:val="clear" w:color="auto" w:fill="FFFFFF"/>
        </w:rPr>
        <w:t>unma</w:t>
      </w:r>
      <w:r w:rsidR="00506CD8" w:rsidRPr="00262A58">
        <w:rPr>
          <w:rFonts w:ascii="Courier New" w:hAnsi="Courier New" w:cs="Courier New"/>
          <w:shd w:val="clear" w:color="auto" w:fill="FFFFFF"/>
        </w:rPr>
        <w:t>rked cages and underground pipes,</w:t>
      </w:r>
      <w:r w:rsidR="00AC0843" w:rsidRPr="00262A58">
        <w:rPr>
          <w:rFonts w:ascii="Courier New" w:hAnsi="Courier New" w:cs="Courier New"/>
          <w:shd w:val="clear" w:color="auto" w:fill="FFFFFF"/>
        </w:rPr>
        <w:t xml:space="preserve"> </w:t>
      </w:r>
      <w:r w:rsidR="00506CD8" w:rsidRPr="00262A58">
        <w:rPr>
          <w:rFonts w:ascii="Courier New" w:hAnsi="Courier New" w:cs="Courier New"/>
          <w:shd w:val="clear" w:color="auto" w:fill="FFFFFF"/>
        </w:rPr>
        <w:t xml:space="preserve">and abandoned cages; </w:t>
      </w:r>
      <w:r w:rsidR="007239C7" w:rsidRPr="00262A58">
        <w:rPr>
          <w:rFonts w:ascii="Courier New" w:hAnsi="Courier New" w:cs="Courier New"/>
          <w:shd w:val="clear" w:color="auto" w:fill="FFFFFF"/>
        </w:rPr>
        <w:t xml:space="preserve">copies of </w:t>
      </w:r>
      <w:r w:rsidR="00876682" w:rsidRPr="00262A58">
        <w:rPr>
          <w:rFonts w:ascii="Courier New" w:hAnsi="Courier New" w:cs="Courier New"/>
          <w:shd w:val="clear" w:color="auto" w:fill="FFFFFF"/>
        </w:rPr>
        <w:t xml:space="preserve">statutes </w:t>
      </w:r>
      <w:r w:rsidR="007239C7" w:rsidRPr="00262A58">
        <w:rPr>
          <w:rFonts w:ascii="Courier New" w:hAnsi="Courier New" w:cs="Courier New"/>
          <w:shd w:val="clear" w:color="auto" w:fill="FFFFFF"/>
        </w:rPr>
        <w:t xml:space="preserve">requiring shellfish grants to be clearly identified; </w:t>
      </w:r>
      <w:r w:rsidR="00506CD8" w:rsidRPr="00262A58">
        <w:rPr>
          <w:rFonts w:ascii="Courier New" w:hAnsi="Courier New" w:cs="Courier New"/>
          <w:shd w:val="clear" w:color="auto" w:fill="FFFFFF"/>
        </w:rPr>
        <w:t xml:space="preserve">and </w:t>
      </w:r>
      <w:r w:rsidR="00AC0843" w:rsidRPr="00262A58">
        <w:rPr>
          <w:rFonts w:ascii="Courier New" w:hAnsi="Courier New" w:cs="Courier New"/>
          <w:shd w:val="clear" w:color="auto" w:fill="FFFFFF"/>
        </w:rPr>
        <w:t>correspondence</w:t>
      </w:r>
      <w:r w:rsidR="00506CD8" w:rsidRPr="00262A58">
        <w:rPr>
          <w:rFonts w:ascii="Courier New" w:hAnsi="Courier New" w:cs="Courier New"/>
          <w:shd w:val="clear" w:color="auto" w:fill="FFFFFF"/>
        </w:rPr>
        <w:t xml:space="preserve"> between </w:t>
      </w:r>
      <w:r w:rsidR="001C0B32" w:rsidRPr="00262A58">
        <w:rPr>
          <w:rFonts w:ascii="Courier New" w:hAnsi="Courier New" w:cs="Courier New"/>
          <w:shd w:val="clear" w:color="auto" w:fill="FFFFFF"/>
        </w:rPr>
        <w:t xml:space="preserve">Mr. Boudreau </w:t>
      </w:r>
      <w:r w:rsidR="00506CD8" w:rsidRPr="00262A58">
        <w:rPr>
          <w:rFonts w:ascii="Courier New" w:hAnsi="Courier New" w:cs="Courier New"/>
          <w:shd w:val="clear" w:color="auto" w:fill="FFFFFF"/>
        </w:rPr>
        <w:t>and the t</w:t>
      </w:r>
      <w:r w:rsidR="00AC0843" w:rsidRPr="00262A58">
        <w:rPr>
          <w:rFonts w:ascii="Courier New" w:hAnsi="Courier New" w:cs="Courier New"/>
          <w:shd w:val="clear" w:color="auto" w:fill="FFFFFF"/>
        </w:rPr>
        <w:t>own</w:t>
      </w:r>
      <w:r w:rsidR="007239C7" w:rsidRPr="00262A58">
        <w:rPr>
          <w:rFonts w:ascii="Courier New" w:hAnsi="Courier New" w:cs="Courier New"/>
          <w:shd w:val="clear" w:color="auto" w:fill="FFFFFF"/>
        </w:rPr>
        <w:t xml:space="preserve"> pertaining to the unmarked grants</w:t>
      </w:r>
      <w:r w:rsidR="00506CD8" w:rsidRPr="00262A58">
        <w:rPr>
          <w:rFonts w:ascii="Courier New" w:hAnsi="Courier New" w:cs="Courier New"/>
          <w:shd w:val="clear" w:color="auto" w:fill="FFFFFF"/>
        </w:rPr>
        <w:t xml:space="preserve"> and the hazards they present</w:t>
      </w:r>
      <w:r w:rsidR="00AC0843" w:rsidRPr="00262A58">
        <w:rPr>
          <w:rFonts w:ascii="Courier New" w:hAnsi="Courier New" w:cs="Courier New"/>
          <w:shd w:val="clear" w:color="auto" w:fill="FFFFFF"/>
        </w:rPr>
        <w:t xml:space="preserve">.  </w:t>
      </w:r>
      <w:r w:rsidR="009B6A17" w:rsidRPr="00262A58">
        <w:rPr>
          <w:rFonts w:ascii="Courier New" w:hAnsi="Courier New" w:cs="Courier New"/>
          <w:shd w:val="clear" w:color="auto" w:fill="FFFFFF"/>
        </w:rPr>
        <w:t xml:space="preserve">Mr. Boudreau testified that </w:t>
      </w:r>
      <w:r w:rsidR="001C0B32" w:rsidRPr="00262A58">
        <w:rPr>
          <w:rFonts w:ascii="Courier New" w:hAnsi="Courier New" w:cs="Courier New"/>
          <w:shd w:val="clear" w:color="auto" w:fill="FFFFFF"/>
        </w:rPr>
        <w:t>t</w:t>
      </w:r>
      <w:r w:rsidR="009B6A17" w:rsidRPr="00262A58">
        <w:rPr>
          <w:rFonts w:ascii="Courier New" w:hAnsi="Courier New" w:cs="Courier New"/>
          <w:shd w:val="clear" w:color="auto" w:fill="FFFFFF"/>
        </w:rPr>
        <w:t xml:space="preserve">he </w:t>
      </w:r>
      <w:r w:rsidR="001C0B32" w:rsidRPr="00262A58">
        <w:rPr>
          <w:rFonts w:ascii="Courier New" w:hAnsi="Courier New" w:cs="Courier New"/>
          <w:shd w:val="clear" w:color="auto" w:fill="FFFFFF"/>
        </w:rPr>
        <w:t xml:space="preserve">appellants are </w:t>
      </w:r>
      <w:r w:rsidR="009B6A17" w:rsidRPr="00262A58">
        <w:rPr>
          <w:rFonts w:ascii="Courier New" w:hAnsi="Courier New" w:cs="Courier New"/>
          <w:shd w:val="clear" w:color="auto" w:fill="FFFFFF"/>
        </w:rPr>
        <w:t xml:space="preserve">challenging the subject property’s land assessment because </w:t>
      </w:r>
      <w:r w:rsidR="00AC0843" w:rsidRPr="00262A58">
        <w:rPr>
          <w:rFonts w:ascii="Courier New" w:hAnsi="Courier New" w:cs="Courier New"/>
          <w:shd w:val="clear" w:color="auto" w:fill="FFFFFF"/>
        </w:rPr>
        <w:t>the</w:t>
      </w:r>
      <w:r w:rsidR="00876682" w:rsidRPr="00262A58">
        <w:rPr>
          <w:rFonts w:ascii="Courier New" w:hAnsi="Courier New" w:cs="Courier New"/>
          <w:shd w:val="clear" w:color="auto" w:fill="FFFFFF"/>
        </w:rPr>
        <w:t>ir use and enjoyment of the subject property</w:t>
      </w:r>
      <w:r w:rsidR="009B6A17" w:rsidRPr="00262A58">
        <w:rPr>
          <w:rFonts w:ascii="Courier New" w:hAnsi="Courier New" w:cs="Courier New"/>
          <w:shd w:val="clear" w:color="auto" w:fill="FFFFFF"/>
        </w:rPr>
        <w:t xml:space="preserve"> is adversely affected by </w:t>
      </w:r>
      <w:r w:rsidR="00876682" w:rsidRPr="00262A58">
        <w:rPr>
          <w:rFonts w:ascii="Courier New" w:hAnsi="Courier New" w:cs="Courier New"/>
          <w:shd w:val="clear" w:color="auto" w:fill="FFFFFF"/>
        </w:rPr>
        <w:t xml:space="preserve">the </w:t>
      </w:r>
      <w:r w:rsidR="00AC0843" w:rsidRPr="00262A58">
        <w:rPr>
          <w:rFonts w:ascii="Courier New" w:hAnsi="Courier New" w:cs="Courier New"/>
          <w:shd w:val="clear" w:color="auto" w:fill="FFFFFF"/>
        </w:rPr>
        <w:t>existing shellfish grants</w:t>
      </w:r>
      <w:r w:rsidR="00876682" w:rsidRPr="00262A58">
        <w:rPr>
          <w:rFonts w:ascii="Courier New" w:hAnsi="Courier New" w:cs="Courier New"/>
          <w:shd w:val="clear" w:color="auto" w:fill="FFFFFF"/>
        </w:rPr>
        <w:t xml:space="preserve">. </w:t>
      </w:r>
      <w:r w:rsidR="00E758DA" w:rsidRPr="00262A58">
        <w:rPr>
          <w:rFonts w:ascii="Courier New" w:hAnsi="Courier New" w:cs="Courier New"/>
          <w:shd w:val="clear" w:color="auto" w:fill="FFFFFF"/>
        </w:rPr>
        <w:t xml:space="preserve"> Specifically, the appellants maintained that </w:t>
      </w:r>
      <w:r w:rsidR="00E758DA" w:rsidRPr="00262A58">
        <w:rPr>
          <w:rFonts w:ascii="Courier New" w:hAnsi="Courier New" w:cs="Courier New"/>
          <w:shd w:val="clear" w:color="auto" w:fill="FFFFFF"/>
        </w:rPr>
        <w:lastRenderedPageBreak/>
        <w:t xml:space="preserve">the </w:t>
      </w:r>
      <w:r w:rsidR="00C81F28">
        <w:rPr>
          <w:rFonts w:ascii="Courier New" w:hAnsi="Courier New" w:cs="Courier New"/>
          <w:shd w:val="clear" w:color="auto" w:fill="FFFFFF"/>
        </w:rPr>
        <w:t>grant holders</w:t>
      </w:r>
      <w:r w:rsidR="00E758DA" w:rsidRPr="00262A58">
        <w:rPr>
          <w:rFonts w:ascii="Courier New" w:hAnsi="Courier New" w:cs="Courier New"/>
          <w:shd w:val="clear" w:color="auto" w:fill="FFFFFF"/>
        </w:rPr>
        <w:t>’ failure to flag cages and underground pipes</w:t>
      </w:r>
      <w:r w:rsidR="00E07F60" w:rsidRPr="00262A58">
        <w:rPr>
          <w:rFonts w:ascii="Courier New" w:hAnsi="Courier New" w:cs="Courier New"/>
          <w:shd w:val="clear" w:color="auto" w:fill="FFFFFF"/>
        </w:rPr>
        <w:t>, metal poles, and cinder blocks</w:t>
      </w:r>
      <w:r w:rsidR="00E758DA" w:rsidRPr="00262A58">
        <w:rPr>
          <w:rFonts w:ascii="Courier New" w:hAnsi="Courier New" w:cs="Courier New"/>
          <w:shd w:val="clear" w:color="auto" w:fill="FFFFFF"/>
        </w:rPr>
        <w:t xml:space="preserve"> pose</w:t>
      </w:r>
      <w:r w:rsidR="00E07F60" w:rsidRPr="00262A58">
        <w:rPr>
          <w:rFonts w:ascii="Courier New" w:hAnsi="Courier New" w:cs="Courier New"/>
          <w:shd w:val="clear" w:color="auto" w:fill="FFFFFF"/>
        </w:rPr>
        <w:t>s</w:t>
      </w:r>
      <w:r w:rsidR="00E758DA" w:rsidRPr="00262A58">
        <w:rPr>
          <w:rFonts w:ascii="Courier New" w:hAnsi="Courier New" w:cs="Courier New"/>
          <w:shd w:val="clear" w:color="auto" w:fill="FFFFFF"/>
        </w:rPr>
        <w:t xml:space="preserve"> a risk to swimmers in the immediate area and also </w:t>
      </w:r>
      <w:r w:rsidR="00E07F60" w:rsidRPr="00262A58">
        <w:rPr>
          <w:rFonts w:ascii="Courier New" w:hAnsi="Courier New" w:cs="Courier New"/>
          <w:shd w:val="clear" w:color="auto" w:fill="FFFFFF"/>
        </w:rPr>
        <w:t xml:space="preserve">makes it difficult for </w:t>
      </w:r>
      <w:r w:rsidR="00E758DA" w:rsidRPr="00262A58">
        <w:rPr>
          <w:rFonts w:ascii="Courier New" w:hAnsi="Courier New" w:cs="Courier New"/>
          <w:shd w:val="clear" w:color="auto" w:fill="FFFFFF"/>
        </w:rPr>
        <w:t>boat</w:t>
      </w:r>
      <w:r w:rsidR="00E07F60" w:rsidRPr="00262A58">
        <w:rPr>
          <w:rFonts w:ascii="Courier New" w:hAnsi="Courier New" w:cs="Courier New"/>
          <w:shd w:val="clear" w:color="auto" w:fill="FFFFFF"/>
        </w:rPr>
        <w:t>ers to navigate</w:t>
      </w:r>
      <w:r w:rsidR="00E758DA" w:rsidRPr="00262A58">
        <w:rPr>
          <w:rFonts w:ascii="Courier New" w:hAnsi="Courier New" w:cs="Courier New"/>
          <w:shd w:val="clear" w:color="auto" w:fill="FFFFFF"/>
        </w:rPr>
        <w:t xml:space="preserve"> through the waters.  </w:t>
      </w:r>
      <w:r w:rsidR="001C0B32" w:rsidRPr="00262A58">
        <w:rPr>
          <w:rFonts w:ascii="Courier New" w:hAnsi="Courier New" w:cs="Courier New"/>
          <w:shd w:val="clear" w:color="auto" w:fill="FFFFFF"/>
        </w:rPr>
        <w:t>Mr. Boudreau</w:t>
      </w:r>
      <w:r w:rsidR="00E07F60" w:rsidRPr="00262A58">
        <w:rPr>
          <w:rFonts w:ascii="Courier New" w:hAnsi="Courier New" w:cs="Courier New"/>
          <w:shd w:val="clear" w:color="auto" w:fill="FFFFFF"/>
        </w:rPr>
        <w:t xml:space="preserve"> further testified that the subject property is negatively impacted by the empty cages that are abandoned on the subject property and also by the wildlife that congregates on the cages and the </w:t>
      </w:r>
      <w:r w:rsidR="001C0B32" w:rsidRPr="00262A58">
        <w:rPr>
          <w:rFonts w:ascii="Courier New" w:hAnsi="Courier New" w:cs="Courier New"/>
          <w:shd w:val="clear" w:color="auto" w:fill="FFFFFF"/>
        </w:rPr>
        <w:t xml:space="preserve">accompanying </w:t>
      </w:r>
      <w:r w:rsidR="00E07F60" w:rsidRPr="00262A58">
        <w:rPr>
          <w:rFonts w:ascii="Courier New" w:hAnsi="Courier New" w:cs="Courier New"/>
          <w:shd w:val="clear" w:color="auto" w:fill="FFFFFF"/>
        </w:rPr>
        <w:t>infestation of the surrounding waters.</w:t>
      </w:r>
    </w:p>
    <w:p w:rsidR="00B64341" w:rsidRPr="00262A58" w:rsidRDefault="00B64341" w:rsidP="00C636F6">
      <w:pPr>
        <w:spacing w:line="480" w:lineRule="auto"/>
        <w:ind w:firstLine="720"/>
        <w:jc w:val="both"/>
        <w:rPr>
          <w:rFonts w:ascii="Courier New" w:hAnsi="Courier New" w:cs="Courier New"/>
          <w:shd w:val="clear" w:color="auto" w:fill="FFFFFF"/>
        </w:rPr>
      </w:pPr>
      <w:r w:rsidRPr="00262A58">
        <w:rPr>
          <w:rFonts w:ascii="Courier New" w:hAnsi="Courier New" w:cs="Courier New"/>
          <w:shd w:val="clear" w:color="auto" w:fill="FFFFFF"/>
        </w:rPr>
        <w:t xml:space="preserve">Based on the evidence presented, the Presiding Commissioner found that the assessors met their initial burden of overcoming the Board’s finding of value for fiscal year </w:t>
      </w:r>
      <w:r w:rsidR="00C55874" w:rsidRPr="00262A58">
        <w:rPr>
          <w:rFonts w:ascii="Courier New" w:hAnsi="Courier New" w:cs="Courier New"/>
          <w:shd w:val="clear" w:color="auto" w:fill="FFFFFF"/>
        </w:rPr>
        <w:t xml:space="preserve">2015 </w:t>
      </w:r>
      <w:r w:rsidRPr="00262A58">
        <w:rPr>
          <w:rFonts w:ascii="Courier New" w:hAnsi="Courier New" w:cs="Courier New"/>
          <w:shd w:val="clear" w:color="auto" w:fill="FFFFFF"/>
        </w:rPr>
        <w:t xml:space="preserve">and demonstrated that at least part of the increase in the assessed value of the subject property was warranted for fiscal year 2017.  The Presiding Commissioner </w:t>
      </w:r>
      <w:r w:rsidR="001C0B32" w:rsidRPr="00262A58">
        <w:rPr>
          <w:rFonts w:ascii="Courier New" w:hAnsi="Courier New" w:cs="Courier New"/>
          <w:shd w:val="clear" w:color="auto" w:fill="FFFFFF"/>
        </w:rPr>
        <w:t>determined that the land assessment</w:t>
      </w:r>
      <w:r w:rsidR="001340C9" w:rsidRPr="00262A58">
        <w:rPr>
          <w:rFonts w:ascii="Courier New" w:hAnsi="Courier New" w:cs="Courier New"/>
          <w:shd w:val="clear" w:color="auto" w:fill="FFFFFF"/>
        </w:rPr>
        <w:t>s</w:t>
      </w:r>
      <w:r w:rsidR="001C0B32" w:rsidRPr="00262A58">
        <w:rPr>
          <w:rFonts w:ascii="Courier New" w:hAnsi="Courier New" w:cs="Courier New"/>
          <w:shd w:val="clear" w:color="auto" w:fill="FFFFFF"/>
        </w:rPr>
        <w:t xml:space="preserve"> attributed to the comparable-sale properties</w:t>
      </w:r>
      <w:r w:rsidR="001340C9" w:rsidRPr="00262A58">
        <w:rPr>
          <w:rFonts w:ascii="Courier New" w:hAnsi="Courier New" w:cs="Courier New"/>
          <w:shd w:val="clear" w:color="auto" w:fill="FFFFFF"/>
        </w:rPr>
        <w:t xml:space="preserve"> established a higher value than the v</w:t>
      </w:r>
      <w:r w:rsidR="00E13ECB" w:rsidRPr="00262A58">
        <w:rPr>
          <w:rFonts w:ascii="Courier New" w:hAnsi="Courier New" w:cs="Courier New"/>
          <w:shd w:val="clear" w:color="auto" w:fill="FFFFFF"/>
        </w:rPr>
        <w:t xml:space="preserve">alue found by the Board for </w:t>
      </w:r>
      <w:r w:rsidR="001340C9" w:rsidRPr="00262A58">
        <w:rPr>
          <w:rFonts w:ascii="Courier New" w:hAnsi="Courier New" w:cs="Courier New"/>
          <w:shd w:val="clear" w:color="auto" w:fill="FFFFFF"/>
        </w:rPr>
        <w:t>fiscal year 2015</w:t>
      </w:r>
      <w:r w:rsidR="001C0B32" w:rsidRPr="00262A58">
        <w:rPr>
          <w:rFonts w:ascii="Courier New" w:hAnsi="Courier New" w:cs="Courier New"/>
          <w:shd w:val="clear" w:color="auto" w:fill="FFFFFF"/>
        </w:rPr>
        <w:t xml:space="preserve">.  </w:t>
      </w:r>
      <w:r w:rsidR="001340C9" w:rsidRPr="00262A58">
        <w:rPr>
          <w:rFonts w:ascii="Courier New" w:hAnsi="Courier New" w:cs="Courier New"/>
          <w:shd w:val="clear" w:color="auto" w:fill="FFFFFF"/>
        </w:rPr>
        <w:t>Howe</w:t>
      </w:r>
      <w:r w:rsidR="001C0B32" w:rsidRPr="00262A58">
        <w:rPr>
          <w:rFonts w:ascii="Courier New" w:hAnsi="Courier New" w:cs="Courier New"/>
          <w:shd w:val="clear" w:color="auto" w:fill="FFFFFF"/>
        </w:rPr>
        <w:t xml:space="preserve">ver, the Presiding Commissioner </w:t>
      </w:r>
      <w:r w:rsidRPr="00262A58">
        <w:rPr>
          <w:rFonts w:ascii="Courier New" w:hAnsi="Courier New" w:cs="Courier New"/>
          <w:shd w:val="clear" w:color="auto" w:fill="FFFFFF"/>
        </w:rPr>
        <w:t xml:space="preserve">found </w:t>
      </w:r>
      <w:r w:rsidR="00C55874" w:rsidRPr="00262A58">
        <w:rPr>
          <w:rFonts w:ascii="Courier New" w:hAnsi="Courier New" w:cs="Courier New"/>
          <w:shd w:val="clear" w:color="auto" w:fill="FFFFFF"/>
        </w:rPr>
        <w:t xml:space="preserve">that the </w:t>
      </w:r>
      <w:r w:rsidR="00C636F6" w:rsidRPr="00262A58">
        <w:rPr>
          <w:rFonts w:ascii="Courier New" w:hAnsi="Courier New" w:cs="Courier New"/>
          <w:shd w:val="clear" w:color="auto" w:fill="FFFFFF"/>
        </w:rPr>
        <w:t xml:space="preserve">appellants met their burden of proving that </w:t>
      </w:r>
      <w:r w:rsidRPr="00262A58">
        <w:rPr>
          <w:rFonts w:ascii="Courier New" w:hAnsi="Courier New" w:cs="Courier New"/>
          <w:shd w:val="clear" w:color="auto" w:fill="FFFFFF"/>
        </w:rPr>
        <w:t xml:space="preserve">the land value component of the subject property for the fiscal year at issue was excessive </w:t>
      </w:r>
      <w:r w:rsidR="001C0B32" w:rsidRPr="00262A58">
        <w:rPr>
          <w:rFonts w:ascii="Courier New" w:hAnsi="Courier New" w:cs="Courier New"/>
          <w:shd w:val="clear" w:color="auto" w:fill="FFFFFF"/>
        </w:rPr>
        <w:t xml:space="preserve">because </w:t>
      </w:r>
      <w:r w:rsidR="007454D8" w:rsidRPr="00262A58">
        <w:rPr>
          <w:rFonts w:ascii="Courier New" w:hAnsi="Courier New" w:cs="Courier New"/>
          <w:shd w:val="clear" w:color="auto" w:fill="FFFFFF"/>
        </w:rPr>
        <w:t xml:space="preserve">the evidence </w:t>
      </w:r>
      <w:r w:rsidR="001C0B32" w:rsidRPr="00262A58">
        <w:rPr>
          <w:rFonts w:ascii="Courier New" w:hAnsi="Courier New" w:cs="Courier New"/>
          <w:shd w:val="clear" w:color="auto" w:fill="FFFFFF"/>
        </w:rPr>
        <w:t xml:space="preserve">showed unique </w:t>
      </w:r>
      <w:r w:rsidR="007454D8" w:rsidRPr="00262A58">
        <w:rPr>
          <w:rFonts w:ascii="Courier New" w:hAnsi="Courier New" w:cs="Courier New"/>
          <w:shd w:val="clear" w:color="auto" w:fill="FFFFFF"/>
        </w:rPr>
        <w:t xml:space="preserve">limitations </w:t>
      </w:r>
      <w:r w:rsidR="001C0B32" w:rsidRPr="00262A58">
        <w:rPr>
          <w:rFonts w:ascii="Courier New" w:hAnsi="Courier New" w:cs="Courier New"/>
          <w:shd w:val="clear" w:color="auto" w:fill="FFFFFF"/>
        </w:rPr>
        <w:t xml:space="preserve">peculiar to </w:t>
      </w:r>
      <w:r w:rsidR="007454D8" w:rsidRPr="00262A58">
        <w:rPr>
          <w:rFonts w:ascii="Courier New" w:hAnsi="Courier New" w:cs="Courier New"/>
          <w:shd w:val="clear" w:color="auto" w:fill="FFFFFF"/>
        </w:rPr>
        <w:t xml:space="preserve">the subject property relating to the shellfish </w:t>
      </w:r>
      <w:r w:rsidR="00C81F28">
        <w:rPr>
          <w:rFonts w:ascii="Courier New" w:hAnsi="Courier New" w:cs="Courier New"/>
          <w:shd w:val="clear" w:color="auto" w:fill="FFFFFF"/>
        </w:rPr>
        <w:t>grant holders</w:t>
      </w:r>
      <w:r w:rsidR="00E13ECB" w:rsidRPr="00262A58">
        <w:rPr>
          <w:rFonts w:ascii="Courier New" w:hAnsi="Courier New" w:cs="Courier New"/>
          <w:shd w:val="clear" w:color="auto" w:fill="FFFFFF"/>
        </w:rPr>
        <w:t>’</w:t>
      </w:r>
      <w:r w:rsidR="007454D8" w:rsidRPr="00262A58">
        <w:rPr>
          <w:rFonts w:ascii="Courier New" w:hAnsi="Courier New" w:cs="Courier New"/>
          <w:shd w:val="clear" w:color="auto" w:fill="FFFFFF"/>
        </w:rPr>
        <w:t xml:space="preserve"> failure to comply with statutory regulations</w:t>
      </w:r>
      <w:r w:rsidR="00C27EB3" w:rsidRPr="00262A58">
        <w:rPr>
          <w:rFonts w:ascii="Courier New" w:hAnsi="Courier New" w:cs="Courier New"/>
          <w:shd w:val="clear" w:color="auto" w:fill="FFFFFF"/>
        </w:rPr>
        <w:t xml:space="preserve"> </w:t>
      </w:r>
      <w:r w:rsidR="00E13ECB" w:rsidRPr="00262A58">
        <w:rPr>
          <w:rFonts w:ascii="Courier New" w:hAnsi="Courier New" w:cs="Courier New"/>
          <w:shd w:val="clear" w:color="auto" w:fill="FFFFFF"/>
        </w:rPr>
        <w:t>that</w:t>
      </w:r>
      <w:r w:rsidR="001C0B32" w:rsidRPr="00262A58">
        <w:rPr>
          <w:rFonts w:ascii="Courier New" w:hAnsi="Courier New" w:cs="Courier New"/>
          <w:shd w:val="clear" w:color="auto" w:fill="FFFFFF"/>
        </w:rPr>
        <w:t xml:space="preserve"> resulted in swimming and boat</w:t>
      </w:r>
      <w:r w:rsidR="00876682" w:rsidRPr="00262A58">
        <w:rPr>
          <w:rFonts w:ascii="Courier New" w:hAnsi="Courier New" w:cs="Courier New"/>
          <w:shd w:val="clear" w:color="auto" w:fill="FFFFFF"/>
        </w:rPr>
        <w:t>ing</w:t>
      </w:r>
      <w:r w:rsidR="001C0B32" w:rsidRPr="00262A58">
        <w:rPr>
          <w:rFonts w:ascii="Courier New" w:hAnsi="Courier New" w:cs="Courier New"/>
          <w:shd w:val="clear" w:color="auto" w:fill="FFFFFF"/>
        </w:rPr>
        <w:t xml:space="preserve"> </w:t>
      </w:r>
      <w:r w:rsidR="007454D8" w:rsidRPr="00262A58">
        <w:rPr>
          <w:rFonts w:ascii="Courier New" w:hAnsi="Courier New" w:cs="Courier New"/>
          <w:shd w:val="clear" w:color="auto" w:fill="FFFFFF"/>
        </w:rPr>
        <w:t>hazards</w:t>
      </w:r>
      <w:r w:rsidR="001C0B32" w:rsidRPr="00262A58">
        <w:rPr>
          <w:rFonts w:ascii="Courier New" w:hAnsi="Courier New" w:cs="Courier New"/>
          <w:shd w:val="clear" w:color="auto" w:fill="FFFFFF"/>
        </w:rPr>
        <w:t xml:space="preserve">.  As a result, </w:t>
      </w:r>
      <w:r w:rsidR="007454D8" w:rsidRPr="00262A58">
        <w:rPr>
          <w:rFonts w:ascii="Courier New" w:hAnsi="Courier New" w:cs="Courier New"/>
          <w:shd w:val="clear" w:color="auto" w:fill="FFFFFF"/>
        </w:rPr>
        <w:t>t</w:t>
      </w:r>
      <w:r w:rsidRPr="00262A58">
        <w:rPr>
          <w:rFonts w:ascii="Courier New" w:hAnsi="Courier New" w:cs="Courier New"/>
          <w:shd w:val="clear" w:color="auto" w:fill="FFFFFF"/>
        </w:rPr>
        <w:t xml:space="preserve">he </w:t>
      </w:r>
      <w:r w:rsidR="00681368" w:rsidRPr="00262A58">
        <w:rPr>
          <w:rFonts w:ascii="Courier New" w:hAnsi="Courier New" w:cs="Courier New"/>
          <w:shd w:val="clear" w:color="auto" w:fill="FFFFFF"/>
        </w:rPr>
        <w:t>Presiding Commissioner found that the</w:t>
      </w:r>
      <w:r w:rsidR="007454D8" w:rsidRPr="00262A58">
        <w:rPr>
          <w:rFonts w:ascii="Courier New" w:hAnsi="Courier New" w:cs="Courier New"/>
          <w:shd w:val="clear" w:color="auto" w:fill="FFFFFF"/>
        </w:rPr>
        <w:t xml:space="preserve"> subject </w:t>
      </w:r>
      <w:r w:rsidR="007454D8" w:rsidRPr="00262A58">
        <w:rPr>
          <w:rFonts w:ascii="Courier New" w:hAnsi="Courier New" w:cs="Courier New"/>
          <w:shd w:val="clear" w:color="auto" w:fill="FFFFFF"/>
        </w:rPr>
        <w:lastRenderedPageBreak/>
        <w:t>property’s land component was excessive by approximately 10%</w:t>
      </w:r>
      <w:r w:rsidR="00C27EB3" w:rsidRPr="00262A58">
        <w:rPr>
          <w:rFonts w:ascii="Courier New" w:hAnsi="Courier New" w:cs="Courier New"/>
          <w:shd w:val="clear" w:color="auto" w:fill="FFFFFF"/>
        </w:rPr>
        <w:t>,</w:t>
      </w:r>
      <w:r w:rsidR="007454D8" w:rsidRPr="00262A58">
        <w:rPr>
          <w:rFonts w:ascii="Courier New" w:hAnsi="Courier New" w:cs="Courier New"/>
          <w:shd w:val="clear" w:color="auto" w:fill="FFFFFF"/>
        </w:rPr>
        <w:t xml:space="preserve"> which</w:t>
      </w:r>
      <w:r w:rsidR="001340C9" w:rsidRPr="00262A58">
        <w:rPr>
          <w:rFonts w:ascii="Courier New" w:hAnsi="Courier New" w:cs="Courier New"/>
          <w:shd w:val="clear" w:color="auto" w:fill="FFFFFF"/>
        </w:rPr>
        <w:t xml:space="preserve">, because the bulk of the value of the subject property was its land value, </w:t>
      </w:r>
      <w:r w:rsidR="007454D8" w:rsidRPr="00262A58">
        <w:rPr>
          <w:rFonts w:ascii="Courier New" w:hAnsi="Courier New" w:cs="Courier New"/>
          <w:shd w:val="clear" w:color="auto" w:fill="FFFFFF"/>
        </w:rPr>
        <w:t>rendered the subject property’s overall assessment excessive.</w:t>
      </w:r>
      <w:r w:rsidR="00681368" w:rsidRPr="00262A58">
        <w:rPr>
          <w:rFonts w:ascii="Courier New" w:hAnsi="Courier New" w:cs="Courier New"/>
          <w:shd w:val="clear" w:color="auto" w:fill="FFFFFF"/>
        </w:rPr>
        <w:t xml:space="preserve"> </w:t>
      </w:r>
    </w:p>
    <w:p w:rsidR="000A44FC" w:rsidRPr="00262A58" w:rsidRDefault="007454D8" w:rsidP="000A44FC">
      <w:pPr>
        <w:pStyle w:val="NormalWeb"/>
        <w:shd w:val="clear" w:color="auto" w:fill="FFFFFF"/>
        <w:spacing w:before="0" w:beforeAutospacing="0" w:after="0" w:afterAutospacing="0" w:line="480" w:lineRule="auto"/>
        <w:ind w:firstLine="720"/>
        <w:jc w:val="both"/>
        <w:textAlignment w:val="baseline"/>
        <w:rPr>
          <w:rFonts w:ascii="Courier New" w:hAnsi="Courier New" w:cs="Courier New"/>
        </w:rPr>
      </w:pPr>
      <w:r w:rsidRPr="00262A58">
        <w:rPr>
          <w:rFonts w:ascii="Courier New" w:hAnsi="Courier New" w:cs="Courier New"/>
          <w:shd w:val="clear" w:color="auto" w:fill="FFFFFF"/>
        </w:rPr>
        <w:t xml:space="preserve">Relying on the structure’s uncontested assessment of $17,500, the Presiding Commissioner adopted and maintained the value attributed to that component.  </w:t>
      </w:r>
      <w:r w:rsidR="000A44FC" w:rsidRPr="00262A58">
        <w:rPr>
          <w:rFonts w:ascii="Courier New" w:hAnsi="Courier New" w:cs="Courier New"/>
        </w:rPr>
        <w:t>In accordance with his findings, the Presiding Commissioner lowered the value of the portion of the assessment att</w:t>
      </w:r>
      <w:r w:rsidR="00E13ECB" w:rsidRPr="00262A58">
        <w:rPr>
          <w:rFonts w:ascii="Courier New" w:hAnsi="Courier New" w:cs="Courier New"/>
        </w:rPr>
        <w:t>ributed to the subject property’</w:t>
      </w:r>
      <w:r w:rsidR="000A44FC" w:rsidRPr="00262A58">
        <w:rPr>
          <w:rFonts w:ascii="Courier New" w:hAnsi="Courier New" w:cs="Courier New"/>
        </w:rPr>
        <w:t>s land component by $37,810, from $378,100 to $340,290. He then added the original assessment of $17,500 attribut</w:t>
      </w:r>
      <w:r w:rsidR="00E13ECB" w:rsidRPr="00262A58">
        <w:rPr>
          <w:rFonts w:ascii="Courier New" w:hAnsi="Courier New" w:cs="Courier New"/>
        </w:rPr>
        <w:t>ed to the subject property’</w:t>
      </w:r>
      <w:r w:rsidR="000A44FC" w:rsidRPr="00262A58">
        <w:rPr>
          <w:rFonts w:ascii="Courier New" w:hAnsi="Courier New" w:cs="Courier New"/>
        </w:rPr>
        <w:t>s detached structure to reach an overall value of $357,790, which he then rounded up to $358,000.  The Presiding Commissioner ultimately found that this value best represented the overall fair cash value of the subject property as of January 1, 2016</w:t>
      </w:r>
      <w:r w:rsidR="00E13ECB" w:rsidRPr="00262A58">
        <w:rPr>
          <w:rFonts w:ascii="Courier New" w:hAnsi="Courier New" w:cs="Courier New"/>
        </w:rPr>
        <w:t>, the</w:t>
      </w:r>
      <w:r w:rsidR="000A44FC" w:rsidRPr="00262A58">
        <w:rPr>
          <w:rFonts w:ascii="Courier New" w:hAnsi="Courier New" w:cs="Courier New"/>
        </w:rPr>
        <w:t xml:space="preserve"> valuation and assessment date for fiscal year 2017.</w:t>
      </w:r>
    </w:p>
    <w:p w:rsidR="000A44FC" w:rsidRPr="00262A58" w:rsidRDefault="000A44FC" w:rsidP="000A44FC">
      <w:pPr>
        <w:pStyle w:val="NormalWeb"/>
        <w:shd w:val="clear" w:color="auto" w:fill="FFFFFF"/>
        <w:spacing w:before="0" w:beforeAutospacing="0" w:after="0" w:afterAutospacing="0" w:line="480" w:lineRule="auto"/>
        <w:ind w:firstLine="720"/>
        <w:jc w:val="both"/>
        <w:textAlignment w:val="baseline"/>
        <w:rPr>
          <w:rFonts w:ascii="Courier New" w:hAnsi="Courier New" w:cs="Courier New"/>
        </w:rPr>
      </w:pPr>
      <w:r w:rsidRPr="00262A58">
        <w:rPr>
          <w:rFonts w:ascii="Courier New" w:hAnsi="Courier New" w:cs="Courier New"/>
        </w:rPr>
        <w:t>The Presiding Commissioner, therefore, decided this appeal for the appellant and granted an abatement in the amount of $30</w:t>
      </w:r>
      <w:r w:rsidR="009B6A17" w:rsidRPr="00262A58">
        <w:rPr>
          <w:rFonts w:ascii="Courier New" w:hAnsi="Courier New" w:cs="Courier New"/>
        </w:rPr>
        <w:t>5</w:t>
      </w:r>
      <w:r w:rsidRPr="00262A58">
        <w:rPr>
          <w:rFonts w:ascii="Courier New" w:hAnsi="Courier New" w:cs="Courier New"/>
        </w:rPr>
        <w:t>.9</w:t>
      </w:r>
      <w:r w:rsidR="009B6A17" w:rsidRPr="00262A58">
        <w:rPr>
          <w:rFonts w:ascii="Courier New" w:hAnsi="Courier New" w:cs="Courier New"/>
        </w:rPr>
        <w:t>5</w:t>
      </w:r>
      <w:r w:rsidRPr="00262A58">
        <w:rPr>
          <w:rFonts w:ascii="Courier New" w:hAnsi="Courier New" w:cs="Courier New"/>
        </w:rPr>
        <w:t>.</w:t>
      </w:r>
    </w:p>
    <w:p w:rsidR="00E86C44" w:rsidRPr="00262A58" w:rsidRDefault="00E86C44" w:rsidP="00B64341">
      <w:pPr>
        <w:spacing w:line="480" w:lineRule="auto"/>
        <w:jc w:val="center"/>
        <w:rPr>
          <w:rFonts w:ascii="Courier New" w:hAnsi="Courier New" w:cs="Courier New"/>
          <w:b/>
          <w:shd w:val="clear" w:color="auto" w:fill="FFFFFF"/>
        </w:rPr>
      </w:pPr>
    </w:p>
    <w:p w:rsidR="00E86C44" w:rsidRPr="00262A58" w:rsidRDefault="00E86C44" w:rsidP="00B64341">
      <w:pPr>
        <w:spacing w:line="480" w:lineRule="auto"/>
        <w:jc w:val="center"/>
        <w:rPr>
          <w:rFonts w:ascii="Courier New" w:hAnsi="Courier New" w:cs="Courier New"/>
          <w:b/>
          <w:shd w:val="clear" w:color="auto" w:fill="FFFFFF"/>
        </w:rPr>
      </w:pPr>
    </w:p>
    <w:p w:rsidR="00E86C44" w:rsidRPr="00262A58" w:rsidRDefault="00E86C44" w:rsidP="00B64341">
      <w:pPr>
        <w:spacing w:line="480" w:lineRule="auto"/>
        <w:jc w:val="center"/>
        <w:rPr>
          <w:rFonts w:ascii="Courier New" w:hAnsi="Courier New" w:cs="Courier New"/>
          <w:b/>
          <w:shd w:val="clear" w:color="auto" w:fill="FFFFFF"/>
        </w:rPr>
      </w:pPr>
    </w:p>
    <w:p w:rsidR="00E86C44" w:rsidRPr="00262A58" w:rsidRDefault="00E86C44" w:rsidP="00B64341">
      <w:pPr>
        <w:spacing w:line="480" w:lineRule="auto"/>
        <w:jc w:val="center"/>
        <w:rPr>
          <w:rFonts w:ascii="Courier New" w:hAnsi="Courier New" w:cs="Courier New"/>
          <w:b/>
          <w:shd w:val="clear" w:color="auto" w:fill="FFFFFF"/>
        </w:rPr>
      </w:pPr>
    </w:p>
    <w:p w:rsidR="00B64341" w:rsidRPr="00262A58" w:rsidRDefault="00B64341" w:rsidP="00B64341">
      <w:pPr>
        <w:spacing w:line="480" w:lineRule="auto"/>
        <w:jc w:val="center"/>
        <w:rPr>
          <w:rFonts w:ascii="Courier New" w:hAnsi="Courier New" w:cs="Courier New"/>
          <w:b/>
          <w:shd w:val="clear" w:color="auto" w:fill="FFFFFF"/>
        </w:rPr>
      </w:pPr>
      <w:r w:rsidRPr="00262A58">
        <w:rPr>
          <w:rFonts w:ascii="Courier New" w:hAnsi="Courier New" w:cs="Courier New"/>
          <w:b/>
          <w:shd w:val="clear" w:color="auto" w:fill="FFFFFF"/>
        </w:rPr>
        <w:lastRenderedPageBreak/>
        <w:t>OPINION</w:t>
      </w:r>
    </w:p>
    <w:p w:rsidR="00B64341" w:rsidRPr="00262A58" w:rsidRDefault="00B64341" w:rsidP="00B64341">
      <w:pPr>
        <w:spacing w:line="480" w:lineRule="auto"/>
        <w:ind w:firstLine="720"/>
        <w:jc w:val="both"/>
        <w:rPr>
          <w:rFonts w:ascii="Courier New" w:hAnsi="Courier New" w:cs="Courier New"/>
        </w:rPr>
      </w:pPr>
      <w:r w:rsidRPr="00262A58">
        <w:rPr>
          <w:rFonts w:ascii="Courier New" w:hAnsi="Courier New" w:cs="Courier New"/>
        </w:rPr>
        <w:t xml:space="preserve">The assessors are required to </w:t>
      </w:r>
      <w:r w:rsidR="00E13ECB" w:rsidRPr="00262A58">
        <w:rPr>
          <w:rFonts w:ascii="Courier New" w:hAnsi="Courier New" w:cs="Courier New"/>
        </w:rPr>
        <w:t>assess real estate at its “</w:t>
      </w:r>
      <w:r w:rsidRPr="00262A58">
        <w:rPr>
          <w:rFonts w:ascii="Courier New" w:hAnsi="Courier New" w:cs="Courier New"/>
        </w:rPr>
        <w:t>fair cash value.</w:t>
      </w:r>
      <w:r w:rsidR="00E13ECB" w:rsidRPr="00262A58">
        <w:rPr>
          <w:rFonts w:ascii="Courier New" w:hAnsi="Courier New" w:cs="Courier New"/>
        </w:rPr>
        <w:t>”</w:t>
      </w:r>
      <w:r w:rsidRPr="00262A58">
        <w:rPr>
          <w:rFonts w:ascii="Courier New" w:hAnsi="Courier New" w:cs="Courier New"/>
        </w:rPr>
        <w:t xml:space="preserve"> G.L. c. 59, § 38.  Fair cash value is defined as the price on which a willing seller and a willing buyer will agree if both of them are fully informed and under no compulsion. </w:t>
      </w:r>
      <w:r w:rsidRPr="00262A58">
        <w:rPr>
          <w:rFonts w:ascii="Courier New" w:hAnsi="Courier New" w:cs="Courier New"/>
          <w:b/>
          <w:bCs/>
          <w:i/>
          <w:iCs/>
        </w:rPr>
        <w:t xml:space="preserve">Boston Gas Co. v. Assessors of Boston, </w:t>
      </w:r>
      <w:r w:rsidRPr="00262A58">
        <w:rPr>
          <w:rFonts w:ascii="Courier New" w:hAnsi="Courier New" w:cs="Courier New"/>
        </w:rPr>
        <w:t xml:space="preserve">334 Mass. 549, 566 (1956).  </w:t>
      </w:r>
    </w:p>
    <w:p w:rsidR="00B64341" w:rsidRPr="00262A58" w:rsidRDefault="00B64341" w:rsidP="00B64341">
      <w:pPr>
        <w:spacing w:line="480" w:lineRule="auto"/>
        <w:ind w:firstLine="720"/>
        <w:jc w:val="both"/>
        <w:rPr>
          <w:rFonts w:ascii="Courier New" w:hAnsi="Courier New" w:cs="Courier New"/>
        </w:rPr>
      </w:pPr>
      <w:r w:rsidRPr="00262A58">
        <w:rPr>
          <w:rFonts w:ascii="Courier New" w:hAnsi="Courier New" w:cs="Courier New"/>
        </w:rPr>
        <w:t xml:space="preserve">Generally, the burden of proof is upon the taxpayer to prove that the subject property has a lower value than that assessed.  </w:t>
      </w:r>
      <w:r w:rsidRPr="00262A58">
        <w:rPr>
          <w:rFonts w:ascii="Courier New" w:hAnsi="Courier New" w:cs="Courier New"/>
          <w:b/>
          <w:i/>
        </w:rPr>
        <w:t>Schlaiker v. Assessors of Great Barrington,</w:t>
      </w:r>
      <w:r w:rsidRPr="00262A58">
        <w:rPr>
          <w:rFonts w:ascii="Courier New" w:hAnsi="Courier New" w:cs="Courier New"/>
          <w:b/>
        </w:rPr>
        <w:t xml:space="preserve"> </w:t>
      </w:r>
      <w:r w:rsidRPr="00262A58">
        <w:rPr>
          <w:rFonts w:ascii="Courier New" w:hAnsi="Courier New" w:cs="Courier New"/>
        </w:rPr>
        <w:t xml:space="preserve">365  Mass. 243, 245 (1974) (citing </w:t>
      </w:r>
      <w:r w:rsidRPr="00262A58">
        <w:rPr>
          <w:rFonts w:ascii="Courier New" w:hAnsi="Courier New" w:cs="Courier New"/>
          <w:b/>
          <w:i/>
        </w:rPr>
        <w:t>Judson Freight Forwarding Co. v. Commonwealth</w:t>
      </w:r>
      <w:r w:rsidRPr="00262A58">
        <w:rPr>
          <w:rFonts w:ascii="Courier New" w:hAnsi="Courier New" w:cs="Courier New"/>
        </w:rPr>
        <w:t xml:space="preserve">, 242 Mass. 47, 55 (1922)).  The assessment is presumed valid </w:t>
      </w:r>
      <w:r w:rsidR="00876682" w:rsidRPr="00262A58">
        <w:rPr>
          <w:rFonts w:ascii="Courier New" w:hAnsi="Courier New" w:cs="Courier New"/>
        </w:rPr>
        <w:t xml:space="preserve">unless </w:t>
      </w:r>
      <w:r w:rsidRPr="00262A58">
        <w:rPr>
          <w:rFonts w:ascii="Courier New" w:hAnsi="Courier New" w:cs="Courier New"/>
        </w:rPr>
        <w:t xml:space="preserve">the taxpayer </w:t>
      </w:r>
      <w:r w:rsidR="00876682" w:rsidRPr="00262A58">
        <w:rPr>
          <w:rFonts w:ascii="Courier New" w:hAnsi="Courier New" w:cs="Courier New"/>
        </w:rPr>
        <w:t xml:space="preserve">proves </w:t>
      </w:r>
      <w:r w:rsidRPr="00262A58">
        <w:rPr>
          <w:rFonts w:ascii="Courier New" w:hAnsi="Courier New" w:cs="Courier New"/>
        </w:rPr>
        <w:t xml:space="preserve">otherwise.  </w:t>
      </w:r>
      <w:r w:rsidRPr="00262A58">
        <w:rPr>
          <w:rFonts w:ascii="Courier New" w:hAnsi="Courier New" w:cs="Courier New"/>
          <w:b/>
          <w:i/>
        </w:rPr>
        <w:t>General Electric Co. v. Assessors of Lynn</w:t>
      </w:r>
      <w:r w:rsidRPr="00262A58">
        <w:rPr>
          <w:rFonts w:ascii="Courier New" w:hAnsi="Courier New" w:cs="Courier New"/>
        </w:rPr>
        <w:t>, 393</w:t>
      </w:r>
      <w:r w:rsidR="00DA1156">
        <w:rPr>
          <w:rFonts w:ascii="Courier New" w:hAnsi="Courier New" w:cs="Courier New"/>
        </w:rPr>
        <w:t xml:space="preserve"> </w:t>
      </w:r>
      <w:r w:rsidRPr="00262A58">
        <w:rPr>
          <w:rFonts w:ascii="Courier New" w:hAnsi="Courier New" w:cs="Courier New"/>
        </w:rPr>
        <w:t>Mass. 591, 598 (1984) (quoting</w:t>
      </w:r>
      <w:r w:rsidRPr="00262A58">
        <w:rPr>
          <w:rFonts w:ascii="Courier New" w:hAnsi="Courier New" w:cs="Courier New"/>
          <w:i/>
        </w:rPr>
        <w:t xml:space="preserve"> </w:t>
      </w:r>
      <w:r w:rsidRPr="00262A58">
        <w:rPr>
          <w:rFonts w:ascii="Courier New" w:hAnsi="Courier New" w:cs="Courier New"/>
          <w:b/>
          <w:i/>
        </w:rPr>
        <w:t>Schlaiker</w:t>
      </w:r>
      <w:r w:rsidR="00E13ECB" w:rsidRPr="00262A58">
        <w:rPr>
          <w:rFonts w:ascii="Courier New" w:hAnsi="Courier New" w:cs="Courier New"/>
        </w:rPr>
        <w:t>, 365</w:t>
      </w:r>
      <w:r w:rsidRPr="00262A58">
        <w:rPr>
          <w:rFonts w:ascii="Courier New" w:hAnsi="Courier New" w:cs="Courier New"/>
        </w:rPr>
        <w:t xml:space="preserve"> Mass. at 245).  </w:t>
      </w:r>
    </w:p>
    <w:p w:rsidR="005E6394" w:rsidRPr="00262A58" w:rsidRDefault="00B64341" w:rsidP="00B64341">
      <w:pPr>
        <w:pStyle w:val="BodyText2"/>
      </w:pPr>
      <w:r w:rsidRPr="00262A58">
        <w:t xml:space="preserve">If, however, the </w:t>
      </w:r>
      <w:r w:rsidR="008713EA" w:rsidRPr="00262A58">
        <w:t xml:space="preserve">assessment at issue exceeds the </w:t>
      </w:r>
      <w:r w:rsidRPr="00262A58">
        <w:t>Board</w:t>
      </w:r>
      <w:r w:rsidR="008713EA" w:rsidRPr="00262A58">
        <w:t>’s prior determination of the subject property’s fair cash value for either of the t</w:t>
      </w:r>
      <w:r w:rsidRPr="00262A58">
        <w:t xml:space="preserve">wo </w:t>
      </w:r>
      <w:r w:rsidR="008713EA" w:rsidRPr="00262A58">
        <w:t xml:space="preserve">immediately </w:t>
      </w:r>
      <w:r w:rsidRPr="00262A58">
        <w:t>preceding fiscal years, then</w:t>
      </w:r>
      <w:r w:rsidR="008713EA" w:rsidRPr="00262A58">
        <w:t>, pursuant to G.L. c. 58A, § 12A,</w:t>
      </w:r>
      <w:r w:rsidRPr="00262A58">
        <w:t xml:space="preserve"> </w:t>
      </w:r>
      <w:r w:rsidR="00E13ECB" w:rsidRPr="00262A58">
        <w:t>“</w:t>
      </w:r>
      <w:r w:rsidRPr="00262A58">
        <w:t>the burden shall be upon the [assessors] to prove that the assessed value was warranted.</w:t>
      </w:r>
      <w:r w:rsidR="00E13ECB" w:rsidRPr="00262A58">
        <w:t>”</w:t>
      </w:r>
      <w:r w:rsidRPr="00262A58">
        <w:t xml:space="preserve">  G.L. c. 58A, § 12A.  </w:t>
      </w:r>
      <w:r w:rsidR="008713EA" w:rsidRPr="00262A58">
        <w:t>Accordingly, because the Board’s fiscal year 2015 determination of value was less than the fiscal year 2017 assessed value f</w:t>
      </w:r>
      <w:r w:rsidR="00B657F0" w:rsidRPr="00262A58">
        <w:t xml:space="preserve">or the subject property, the Presiding Commissioner ruled in this appeal </w:t>
      </w:r>
      <w:r w:rsidRPr="00262A58">
        <w:t xml:space="preserve">that the burden of going </w:t>
      </w:r>
      <w:r w:rsidRPr="00262A58">
        <w:lastRenderedPageBreak/>
        <w:t xml:space="preserve">forward to justify the increase in </w:t>
      </w:r>
      <w:r w:rsidR="00B657F0" w:rsidRPr="00262A58">
        <w:t xml:space="preserve">the </w:t>
      </w:r>
      <w:r w:rsidRPr="00262A58">
        <w:t xml:space="preserve">subject property’s assessment was on the assessors.  </w:t>
      </w:r>
      <w:r w:rsidRPr="00262A58">
        <w:rPr>
          <w:i/>
        </w:rPr>
        <w:t xml:space="preserve">See generally </w:t>
      </w:r>
      <w:r w:rsidRPr="00262A58">
        <w:rPr>
          <w:b/>
          <w:i/>
        </w:rPr>
        <w:t xml:space="preserve">Beal v. Assessors of Boston, </w:t>
      </w:r>
      <w:r w:rsidRPr="00262A58">
        <w:t>389</w:t>
      </w:r>
      <w:r w:rsidR="00DA1156">
        <w:t xml:space="preserve"> </w:t>
      </w:r>
      <w:r w:rsidRPr="00262A58">
        <w:t xml:space="preserve">Mass. 648 (1983); </w:t>
      </w:r>
      <w:r w:rsidRPr="00262A58">
        <w:rPr>
          <w:i/>
        </w:rPr>
        <w:t xml:space="preserve">see also </w:t>
      </w:r>
      <w:r w:rsidRPr="00262A58">
        <w:rPr>
          <w:b/>
          <w:bCs/>
          <w:i/>
          <w:iCs/>
        </w:rPr>
        <w:t>Cressey Dockham &amp; Co., Inc. v. Assessors of</w:t>
      </w:r>
      <w:r w:rsidRPr="00262A58">
        <w:rPr>
          <w:b/>
          <w:bCs/>
        </w:rPr>
        <w:t xml:space="preserve"> </w:t>
      </w:r>
      <w:r w:rsidRPr="00262A58">
        <w:rPr>
          <w:b/>
          <w:bCs/>
          <w:i/>
          <w:iCs/>
        </w:rPr>
        <w:t>Andover,</w:t>
      </w:r>
      <w:r w:rsidRPr="00262A58">
        <w:t xml:space="preserve"> Mass. ATB Findings of Fact and Report</w:t>
      </w:r>
      <w:r w:rsidR="000E4060" w:rsidRPr="00262A58">
        <w:t>s 1989-72, 86-87 (“</w:t>
      </w:r>
      <w:r w:rsidRPr="00262A58">
        <w:t xml:space="preserve">Once a prior determination of the Board of the fair cash value of the same property [for one of the prior two fiscal years] has been placed in evidence, [] the statute requires </w:t>
      </w:r>
      <w:r w:rsidR="000E4060" w:rsidRPr="00262A58">
        <w:t xml:space="preserve">[that </w:t>
      </w:r>
      <w:r w:rsidRPr="00262A58">
        <w:t xml:space="preserve">the assessors] </w:t>
      </w:r>
      <w:r w:rsidR="000E4060" w:rsidRPr="00262A58">
        <w:t xml:space="preserve">produce evidence to </w:t>
      </w:r>
      <w:r w:rsidRPr="00262A58">
        <w:t>satisfy the Board that the increased valuation was warranted.</w:t>
      </w:r>
      <w:r w:rsidR="000E4060" w:rsidRPr="00262A58">
        <w:t>”</w:t>
      </w:r>
      <w:r w:rsidRPr="00262A58">
        <w:t xml:space="preserve">).  </w:t>
      </w:r>
    </w:p>
    <w:p w:rsidR="006D20AE" w:rsidRPr="00262A58" w:rsidRDefault="006D20AE" w:rsidP="006D20AE">
      <w:pPr>
        <w:widowControl w:val="0"/>
        <w:autoSpaceDE w:val="0"/>
        <w:autoSpaceDN w:val="0"/>
        <w:adjustRightInd w:val="0"/>
        <w:spacing w:line="480" w:lineRule="auto"/>
        <w:ind w:firstLine="720"/>
        <w:jc w:val="both"/>
        <w:rPr>
          <w:rFonts w:ascii="Courier New" w:hAnsi="Courier New" w:cs="Courier New"/>
          <w:bCs/>
        </w:rPr>
      </w:pPr>
      <w:r w:rsidRPr="00262A58">
        <w:rPr>
          <w:rFonts w:ascii="Courier New" w:hAnsi="Courier New" w:cs="Courier New"/>
          <w:bCs/>
        </w:rPr>
        <w:t xml:space="preserve">Notwithstanding this shift in the burden of production, the burden of persuasion on the issue of fair cash value still remains on </w:t>
      </w:r>
      <w:r w:rsidR="00E13ECB" w:rsidRPr="00262A58">
        <w:rPr>
          <w:rFonts w:ascii="Courier New" w:hAnsi="Courier New" w:cs="Courier New"/>
          <w:bCs/>
        </w:rPr>
        <w:t xml:space="preserve">a </w:t>
      </w:r>
      <w:r w:rsidRPr="00262A58">
        <w:rPr>
          <w:rFonts w:ascii="Courier New" w:hAnsi="Courier New" w:cs="Courier New"/>
          <w:bCs/>
        </w:rPr>
        <w:t>t</w:t>
      </w:r>
      <w:r w:rsidR="00E13ECB" w:rsidRPr="00262A58">
        <w:rPr>
          <w:rFonts w:ascii="Courier New" w:hAnsi="Courier New" w:cs="Courier New"/>
          <w:bCs/>
        </w:rPr>
        <w:t>axpayer</w:t>
      </w:r>
      <w:r w:rsidRPr="00262A58">
        <w:rPr>
          <w:rFonts w:ascii="Courier New" w:hAnsi="Courier New" w:cs="Courier New"/>
          <w:bCs/>
        </w:rPr>
        <w:t xml:space="preserve"> to prove that the subject property’s fair cash value is less than the Board’s prior determination.  </w:t>
      </w:r>
      <w:r w:rsidRPr="00262A58">
        <w:rPr>
          <w:rFonts w:ascii="Courier New" w:hAnsi="Courier New" w:cs="Courier New"/>
          <w:bCs/>
          <w:i/>
          <w:iCs/>
        </w:rPr>
        <w:t>See</w:t>
      </w:r>
      <w:r w:rsidRPr="00262A58">
        <w:rPr>
          <w:rFonts w:ascii="Courier New" w:hAnsi="Courier New" w:cs="Courier New"/>
          <w:bCs/>
        </w:rPr>
        <w:t xml:space="preserve"> </w:t>
      </w:r>
      <w:r w:rsidRPr="00262A58">
        <w:rPr>
          <w:rFonts w:ascii="Courier New" w:hAnsi="Courier New" w:cs="Courier New"/>
          <w:b/>
          <w:i/>
          <w:iCs/>
        </w:rPr>
        <w:t>Johnson v. Assessors of Lunenburg</w:t>
      </w:r>
      <w:r w:rsidRPr="00262A58">
        <w:rPr>
          <w:rFonts w:ascii="Courier New" w:hAnsi="Courier New" w:cs="Courier New"/>
          <w:bCs/>
        </w:rPr>
        <w:t xml:space="preserve">, Mass. ATB Findings of Fact and Reports 1992-1; </w:t>
      </w:r>
      <w:r w:rsidRPr="00262A58">
        <w:rPr>
          <w:rFonts w:ascii="Courier New" w:hAnsi="Courier New" w:cs="Courier New"/>
          <w:b/>
          <w:bCs/>
          <w:i/>
        </w:rPr>
        <w:t>Cre</w:t>
      </w:r>
      <w:r w:rsidRPr="00262A58">
        <w:rPr>
          <w:rFonts w:ascii="Courier New" w:hAnsi="Courier New" w:cs="Courier New"/>
          <w:b/>
          <w:i/>
          <w:iCs/>
        </w:rPr>
        <w:t>ssey Dockham</w:t>
      </w:r>
      <w:r w:rsidRPr="00262A58">
        <w:rPr>
          <w:rFonts w:ascii="Courier New" w:hAnsi="Courier New" w:cs="Courier New"/>
          <w:bCs/>
        </w:rPr>
        <w:t>, Mass. ATB Findings of Fact and Reports at 1989-86-87.</w:t>
      </w:r>
    </w:p>
    <w:p w:rsidR="00763F2A" w:rsidRPr="00262A58" w:rsidRDefault="005E6394" w:rsidP="00AC1277">
      <w:pPr>
        <w:pStyle w:val="BodyText2"/>
        <w:rPr>
          <w:shd w:val="clear" w:color="auto" w:fill="FFFFFF"/>
        </w:rPr>
      </w:pPr>
      <w:r w:rsidRPr="00262A58">
        <w:t>In the present appeal</w:t>
      </w:r>
      <w:r w:rsidR="00214ADA" w:rsidRPr="00262A58">
        <w:t xml:space="preserve">, </w:t>
      </w:r>
      <w:r w:rsidR="00214ADA" w:rsidRPr="00262A58">
        <w:rPr>
          <w:shd w:val="clear" w:color="auto" w:fill="FFFFFF"/>
        </w:rPr>
        <w:t xml:space="preserve">the assessors </w:t>
      </w:r>
      <w:r w:rsidR="006D20AE" w:rsidRPr="00262A58">
        <w:rPr>
          <w:shd w:val="clear" w:color="auto" w:fill="FFFFFF"/>
        </w:rPr>
        <w:t>presented an analysis of three</w:t>
      </w:r>
      <w:r w:rsidR="00197078" w:rsidRPr="00262A58">
        <w:rPr>
          <w:shd w:val="clear" w:color="auto" w:fill="FFFFFF"/>
        </w:rPr>
        <w:t xml:space="preserve"> </w:t>
      </w:r>
      <w:r w:rsidR="006D20AE" w:rsidRPr="00262A58">
        <w:rPr>
          <w:shd w:val="clear" w:color="auto" w:fill="FFFFFF"/>
        </w:rPr>
        <w:t xml:space="preserve">sales of </w:t>
      </w:r>
      <w:r w:rsidR="00197078" w:rsidRPr="00262A58">
        <w:rPr>
          <w:shd w:val="clear" w:color="auto" w:fill="FFFFFF"/>
        </w:rPr>
        <w:t>purpo</w:t>
      </w:r>
      <w:r w:rsidR="006D20AE" w:rsidRPr="00262A58">
        <w:rPr>
          <w:shd w:val="clear" w:color="auto" w:fill="FFFFFF"/>
        </w:rPr>
        <w:t xml:space="preserve">rtedly comparable properties and their fiscal year 2017 land assessments.  The Presiding Commissioner found that this analysis </w:t>
      </w:r>
      <w:r w:rsidR="00763F2A" w:rsidRPr="00262A58">
        <w:rPr>
          <w:shd w:val="clear" w:color="auto" w:fill="FFFFFF"/>
        </w:rPr>
        <w:t xml:space="preserve">was helpful </w:t>
      </w:r>
      <w:r w:rsidR="006D20AE" w:rsidRPr="00262A58">
        <w:rPr>
          <w:shd w:val="clear" w:color="auto" w:fill="FFFFFF"/>
        </w:rPr>
        <w:t>in justifying an increase</w:t>
      </w:r>
      <w:r w:rsidR="00763F2A" w:rsidRPr="00262A58">
        <w:rPr>
          <w:shd w:val="clear" w:color="auto" w:fill="FFFFFF"/>
        </w:rPr>
        <w:t>, at least in part,</w:t>
      </w:r>
      <w:r w:rsidR="006D20AE" w:rsidRPr="00262A58">
        <w:rPr>
          <w:shd w:val="clear" w:color="auto" w:fill="FFFFFF"/>
        </w:rPr>
        <w:t xml:space="preserve"> in the Board’s finding of the subject property’s fair cash value for fiscal year 2015.</w:t>
      </w:r>
      <w:r w:rsidR="00763F2A" w:rsidRPr="00262A58">
        <w:rPr>
          <w:shd w:val="clear" w:color="auto" w:fill="FFFFFF"/>
        </w:rPr>
        <w:t xml:space="preserve">  The Presiding Commissioner further found</w:t>
      </w:r>
      <w:r w:rsidR="000E4060" w:rsidRPr="00262A58">
        <w:rPr>
          <w:shd w:val="clear" w:color="auto" w:fill="FFFFFF"/>
        </w:rPr>
        <w:t>, however,</w:t>
      </w:r>
      <w:r w:rsidR="00763F2A" w:rsidRPr="00262A58">
        <w:rPr>
          <w:shd w:val="clear" w:color="auto" w:fill="FFFFFF"/>
        </w:rPr>
        <w:t xml:space="preserve"> that the appellants met their burden of demonstrating that the subject property was </w:t>
      </w:r>
      <w:r w:rsidR="00763F2A" w:rsidRPr="00262A58">
        <w:rPr>
          <w:shd w:val="clear" w:color="auto" w:fill="FFFFFF"/>
        </w:rPr>
        <w:lastRenderedPageBreak/>
        <w:t>overvalued for fiscal year 2017</w:t>
      </w:r>
      <w:r w:rsidR="00CA01EB" w:rsidRPr="00262A58">
        <w:rPr>
          <w:shd w:val="clear" w:color="auto" w:fill="FFFFFF"/>
        </w:rPr>
        <w:t xml:space="preserve"> because </w:t>
      </w:r>
      <w:r w:rsidR="00763F2A" w:rsidRPr="00262A58">
        <w:rPr>
          <w:shd w:val="clear" w:color="auto" w:fill="FFFFFF"/>
        </w:rPr>
        <w:t xml:space="preserve">the evidence </w:t>
      </w:r>
      <w:r w:rsidR="00C27EB3" w:rsidRPr="00262A58">
        <w:rPr>
          <w:shd w:val="clear" w:color="auto" w:fill="FFFFFF"/>
        </w:rPr>
        <w:t>showed unique li</w:t>
      </w:r>
      <w:r w:rsidR="00763F2A" w:rsidRPr="00262A58">
        <w:rPr>
          <w:shd w:val="clear" w:color="auto" w:fill="FFFFFF"/>
        </w:rPr>
        <w:t xml:space="preserve">mitations </w:t>
      </w:r>
      <w:r w:rsidR="00C27EB3" w:rsidRPr="00262A58">
        <w:rPr>
          <w:shd w:val="clear" w:color="auto" w:fill="FFFFFF"/>
        </w:rPr>
        <w:t xml:space="preserve">peculiar to the </w:t>
      </w:r>
      <w:r w:rsidR="00763F2A" w:rsidRPr="00262A58">
        <w:rPr>
          <w:shd w:val="clear" w:color="auto" w:fill="FFFFFF"/>
        </w:rPr>
        <w:t xml:space="preserve">subject property relating to the shellfish </w:t>
      </w:r>
      <w:r w:rsidR="00DA1156">
        <w:rPr>
          <w:shd w:val="clear" w:color="auto" w:fill="FFFFFF"/>
        </w:rPr>
        <w:t>grant holders</w:t>
      </w:r>
      <w:r w:rsidR="00C27EB3" w:rsidRPr="00262A58">
        <w:rPr>
          <w:shd w:val="clear" w:color="auto" w:fill="FFFFFF"/>
        </w:rPr>
        <w:t>’</w:t>
      </w:r>
      <w:r w:rsidR="00763F2A" w:rsidRPr="00262A58">
        <w:rPr>
          <w:shd w:val="clear" w:color="auto" w:fill="FFFFFF"/>
        </w:rPr>
        <w:t xml:space="preserve"> failure to comply with statutory regulations </w:t>
      </w:r>
      <w:r w:rsidR="00E13ECB" w:rsidRPr="00262A58">
        <w:rPr>
          <w:shd w:val="clear" w:color="auto" w:fill="FFFFFF"/>
        </w:rPr>
        <w:t>that</w:t>
      </w:r>
      <w:r w:rsidR="00AC1277" w:rsidRPr="00262A58">
        <w:rPr>
          <w:shd w:val="clear" w:color="auto" w:fill="FFFFFF"/>
        </w:rPr>
        <w:t xml:space="preserve"> </w:t>
      </w:r>
      <w:r w:rsidR="00C27EB3" w:rsidRPr="00262A58">
        <w:rPr>
          <w:shd w:val="clear" w:color="auto" w:fill="FFFFFF"/>
        </w:rPr>
        <w:t xml:space="preserve">resulted in swimming and boating </w:t>
      </w:r>
      <w:r w:rsidR="00763F2A" w:rsidRPr="00262A58">
        <w:rPr>
          <w:shd w:val="clear" w:color="auto" w:fill="FFFFFF"/>
        </w:rPr>
        <w:t>hazards</w:t>
      </w:r>
      <w:r w:rsidR="00CA01EB" w:rsidRPr="00262A58">
        <w:rPr>
          <w:shd w:val="clear" w:color="auto" w:fill="FFFFFF"/>
        </w:rPr>
        <w:t xml:space="preserve">.  Therefore, the </w:t>
      </w:r>
      <w:r w:rsidR="00763F2A" w:rsidRPr="00262A58">
        <w:rPr>
          <w:shd w:val="clear" w:color="auto" w:fill="FFFFFF"/>
        </w:rPr>
        <w:t>Presiding Commissioner found that the subject property’s land component was excessive by approximately 10%</w:t>
      </w:r>
      <w:r w:rsidR="00CA01EB" w:rsidRPr="00262A58">
        <w:rPr>
          <w:shd w:val="clear" w:color="auto" w:fill="FFFFFF"/>
        </w:rPr>
        <w:t>,</w:t>
      </w:r>
      <w:r w:rsidR="00763F2A" w:rsidRPr="00262A58">
        <w:rPr>
          <w:shd w:val="clear" w:color="auto" w:fill="FFFFFF"/>
        </w:rPr>
        <w:t xml:space="preserve"> which rendered the subject property’s overall assessment excessive. </w:t>
      </w:r>
    </w:p>
    <w:p w:rsidR="00587F97" w:rsidRPr="00262A58" w:rsidRDefault="00587F97" w:rsidP="00587F97">
      <w:pPr>
        <w:spacing w:line="480" w:lineRule="auto"/>
        <w:ind w:firstLine="720"/>
        <w:jc w:val="both"/>
        <w:rPr>
          <w:rFonts w:ascii="Courier New" w:hAnsi="Courier New" w:cs="Courier New"/>
        </w:rPr>
      </w:pPr>
      <w:r w:rsidRPr="00262A58">
        <w:rPr>
          <w:rFonts w:ascii="Courier New" w:hAnsi="Courier New" w:cs="Courier New"/>
        </w:rPr>
        <w:t xml:space="preserve">In abatement proceedings, “the question is whether the assessment for the parcel of real estate, including both the land and the structures thereon, is excessive.  The component parts, on which that single assessment is laid, are each open to inquiry and revision by the appellate tribunal in reaching the conclusion whether that single assessment is excessive.”  </w:t>
      </w:r>
      <w:r w:rsidRPr="00262A58">
        <w:rPr>
          <w:rFonts w:ascii="Courier New" w:hAnsi="Courier New" w:cs="Courier New"/>
          <w:b/>
          <w:bCs/>
          <w:i/>
          <w:iCs/>
        </w:rPr>
        <w:t xml:space="preserve">Massachusetts General Hospital v. Belmont, </w:t>
      </w:r>
      <w:r w:rsidRPr="00262A58">
        <w:rPr>
          <w:rFonts w:ascii="Courier New" w:hAnsi="Courier New" w:cs="Courier New"/>
        </w:rPr>
        <w:t xml:space="preserve">238 Mass. 396, 403 (1921).  </w:t>
      </w:r>
      <w:r w:rsidRPr="00262A58">
        <w:rPr>
          <w:rFonts w:ascii="Courier New" w:hAnsi="Courier New" w:cs="Courier New"/>
          <w:i/>
          <w:iCs/>
        </w:rPr>
        <w:t xml:space="preserve">See also </w:t>
      </w:r>
      <w:r w:rsidRPr="00262A58">
        <w:rPr>
          <w:rFonts w:ascii="Courier New" w:hAnsi="Courier New" w:cs="Courier New"/>
          <w:b/>
          <w:i/>
          <w:iCs/>
        </w:rPr>
        <w:t>Chelmsford Mobile Home Properties, LLC v. Assessors of Chelmsford</w:t>
      </w:r>
      <w:r w:rsidRPr="00262A58">
        <w:rPr>
          <w:rFonts w:ascii="Courier New" w:hAnsi="Courier New" w:cs="Courier New"/>
          <w:iCs/>
        </w:rPr>
        <w:t>, Mass. ATB Findings of Fact and Reports 2011-646, 667</w:t>
      </w:r>
      <w:r w:rsidRPr="00262A58">
        <w:rPr>
          <w:rFonts w:ascii="Courier New" w:hAnsi="Courier New" w:cs="Courier New"/>
          <w:b/>
          <w:i/>
          <w:iCs/>
        </w:rPr>
        <w:t xml:space="preserve"> </w:t>
      </w:r>
      <w:r w:rsidRPr="00262A58">
        <w:rPr>
          <w:rFonts w:ascii="Courier New" w:hAnsi="Courier New" w:cs="Courier New"/>
          <w:iCs/>
        </w:rPr>
        <w:t xml:space="preserve">(citing </w:t>
      </w:r>
      <w:r w:rsidRPr="00262A58">
        <w:rPr>
          <w:rFonts w:ascii="Courier New" w:hAnsi="Courier New" w:cs="Courier New"/>
          <w:b/>
          <w:bCs/>
          <w:i/>
          <w:iCs/>
        </w:rPr>
        <w:t xml:space="preserve">Buckley v. Assessors of Duxbury, </w:t>
      </w:r>
      <w:r w:rsidRPr="00262A58">
        <w:rPr>
          <w:rFonts w:ascii="Courier New" w:hAnsi="Courier New" w:cs="Courier New"/>
        </w:rPr>
        <w:t xml:space="preserve">Mass. ATB Findings of Fact and Reports 1990-110, 119; </w:t>
      </w:r>
      <w:r w:rsidRPr="00262A58">
        <w:rPr>
          <w:rFonts w:ascii="Courier New" w:hAnsi="Courier New" w:cs="Courier New"/>
          <w:b/>
          <w:bCs/>
          <w:i/>
          <w:iCs/>
        </w:rPr>
        <w:t xml:space="preserve">Jernegan v. Assessors of Duxbury, </w:t>
      </w:r>
      <w:r w:rsidRPr="00262A58">
        <w:rPr>
          <w:rFonts w:ascii="Courier New" w:hAnsi="Courier New" w:cs="Courier New"/>
        </w:rPr>
        <w:t xml:space="preserve">Mass. ATB Findings of Fact and Reports 1990-39, 48-49; </w:t>
      </w:r>
      <w:r w:rsidRPr="00262A58">
        <w:rPr>
          <w:rFonts w:ascii="Courier New" w:hAnsi="Courier New" w:cs="Courier New"/>
          <w:b/>
          <w:bCs/>
          <w:i/>
          <w:iCs/>
        </w:rPr>
        <w:t xml:space="preserve">Everhart v. Assessors of Dalton, </w:t>
      </w:r>
      <w:r w:rsidRPr="00262A58">
        <w:rPr>
          <w:rFonts w:ascii="Courier New" w:hAnsi="Courier New" w:cs="Courier New"/>
          <w:bCs/>
          <w:iCs/>
        </w:rPr>
        <w:t>Mass. ATB Findings of Fact and Reports 1985-49, 54)</w:t>
      </w:r>
      <w:r w:rsidRPr="00262A58">
        <w:rPr>
          <w:rFonts w:ascii="Courier New" w:hAnsi="Courier New" w:cs="Courier New"/>
        </w:rPr>
        <w:t xml:space="preserve">.  In the present appeal, </w:t>
      </w:r>
      <w:r w:rsidR="001340C9" w:rsidRPr="00262A58">
        <w:rPr>
          <w:rFonts w:ascii="Courier New" w:hAnsi="Courier New" w:cs="Courier New"/>
          <w:shd w:val="clear" w:color="auto" w:fill="FFFFFF"/>
        </w:rPr>
        <w:t>because the bulk of the subject property’s value was its land value,</w:t>
      </w:r>
      <w:r w:rsidR="001340C9" w:rsidRPr="00262A58">
        <w:rPr>
          <w:rFonts w:ascii="Courier New" w:hAnsi="Courier New" w:cs="Courier New"/>
        </w:rPr>
        <w:t xml:space="preserve"> </w:t>
      </w:r>
      <w:r w:rsidRPr="00262A58">
        <w:rPr>
          <w:rFonts w:ascii="Courier New" w:hAnsi="Courier New" w:cs="Courier New"/>
        </w:rPr>
        <w:t xml:space="preserve">the Presiding Commissioner ruled that the excessive </w:t>
      </w:r>
      <w:r w:rsidRPr="00262A58">
        <w:rPr>
          <w:rFonts w:ascii="Courier New" w:hAnsi="Courier New" w:cs="Courier New"/>
        </w:rPr>
        <w:lastRenderedPageBreak/>
        <w:t xml:space="preserve">value attributed to the land component of the subject property’s assessment resulted in the assessors commensurately overvaluing the subject property’s assessment.  </w:t>
      </w:r>
    </w:p>
    <w:p w:rsidR="00587F97" w:rsidRPr="00262A58" w:rsidRDefault="00587F97" w:rsidP="00587F97">
      <w:pPr>
        <w:pStyle w:val="BodyText2"/>
      </w:pPr>
      <w:r w:rsidRPr="00262A58">
        <w:t>On this basis, the Presiding Commissioner decided this appeal for the appellants and granted an abatement in the amount of $305.95.</w:t>
      </w:r>
    </w:p>
    <w:p w:rsidR="00587F97" w:rsidRPr="00262A58" w:rsidRDefault="00587F97" w:rsidP="00587F97">
      <w:pPr>
        <w:pStyle w:val="BodyText2"/>
        <w:ind w:firstLine="0"/>
      </w:pPr>
    </w:p>
    <w:p w:rsidR="00587F97" w:rsidRPr="00262A58" w:rsidRDefault="00587F97" w:rsidP="00587F97">
      <w:pPr>
        <w:ind w:left="3600" w:firstLine="720"/>
        <w:jc w:val="both"/>
        <w:rPr>
          <w:rFonts w:ascii="Courier New" w:hAnsi="Courier New" w:cs="Courier New"/>
          <w:b/>
          <w:bCs/>
        </w:rPr>
      </w:pPr>
      <w:r w:rsidRPr="00262A58">
        <w:rPr>
          <w:rFonts w:ascii="Courier New" w:hAnsi="Courier New" w:cs="Courier New"/>
          <w:b/>
        </w:rPr>
        <w:t xml:space="preserve">   THE </w:t>
      </w:r>
      <w:r w:rsidRPr="00262A58">
        <w:rPr>
          <w:rFonts w:ascii="Courier New" w:hAnsi="Courier New" w:cs="Courier New"/>
          <w:b/>
          <w:bCs/>
        </w:rPr>
        <w:t>APPELLATE TAX BOARD</w:t>
      </w:r>
    </w:p>
    <w:p w:rsidR="00587F97" w:rsidRPr="00262A58" w:rsidRDefault="00587F97" w:rsidP="00587F97">
      <w:pPr>
        <w:jc w:val="both"/>
        <w:rPr>
          <w:rFonts w:ascii="Courier New" w:hAnsi="Courier New" w:cs="Courier New"/>
          <w:b/>
          <w:bCs/>
        </w:rPr>
      </w:pPr>
    </w:p>
    <w:p w:rsidR="00587F97" w:rsidRPr="00262A58" w:rsidRDefault="00587F97" w:rsidP="00587F97">
      <w:pPr>
        <w:ind w:right="-180"/>
        <w:jc w:val="both"/>
        <w:rPr>
          <w:rFonts w:ascii="Courier New" w:hAnsi="Courier New" w:cs="Courier New"/>
          <w:b/>
          <w:bCs/>
        </w:rPr>
      </w:pPr>
    </w:p>
    <w:p w:rsidR="00587F97" w:rsidRPr="00262A58" w:rsidRDefault="00587F97" w:rsidP="00587F97">
      <w:pPr>
        <w:ind w:right="-180"/>
        <w:jc w:val="both"/>
        <w:rPr>
          <w:rFonts w:ascii="Courier New" w:hAnsi="Courier New" w:cs="Courier New"/>
          <w:b/>
          <w:bCs/>
        </w:rPr>
      </w:pPr>
    </w:p>
    <w:p w:rsidR="00587F97" w:rsidRPr="00262A58" w:rsidRDefault="00587F97" w:rsidP="00587F97">
      <w:pPr>
        <w:ind w:right="-180"/>
        <w:jc w:val="both"/>
        <w:rPr>
          <w:rFonts w:ascii="Courier New" w:hAnsi="Courier New" w:cs="Courier New"/>
          <w:b/>
          <w:bCs/>
        </w:rPr>
      </w:pPr>
      <w:r w:rsidRPr="00262A58">
        <w:rPr>
          <w:rFonts w:ascii="Courier New" w:hAnsi="Courier New" w:cs="Courier New"/>
          <w:b/>
          <w:bCs/>
        </w:rPr>
        <w:tab/>
      </w:r>
      <w:r w:rsidRPr="00262A58">
        <w:rPr>
          <w:rFonts w:ascii="Courier New" w:hAnsi="Courier New" w:cs="Courier New"/>
          <w:b/>
          <w:bCs/>
        </w:rPr>
        <w:tab/>
      </w:r>
      <w:r w:rsidRPr="00262A58">
        <w:rPr>
          <w:rFonts w:ascii="Courier New" w:hAnsi="Courier New" w:cs="Courier New"/>
          <w:b/>
          <w:bCs/>
        </w:rPr>
        <w:tab/>
      </w:r>
      <w:r w:rsidRPr="00262A58">
        <w:rPr>
          <w:rFonts w:ascii="Courier New" w:hAnsi="Courier New" w:cs="Courier New"/>
          <w:b/>
          <w:bCs/>
        </w:rPr>
        <w:tab/>
        <w:t> </w:t>
      </w:r>
      <w:r w:rsidRPr="00262A58">
        <w:rPr>
          <w:rFonts w:ascii="Courier New" w:hAnsi="Courier New" w:cs="Courier New"/>
          <w:b/>
          <w:bCs/>
        </w:rPr>
        <w:tab/>
      </w:r>
      <w:r w:rsidRPr="00262A58">
        <w:rPr>
          <w:rFonts w:ascii="Courier New" w:hAnsi="Courier New" w:cs="Courier New"/>
          <w:b/>
          <w:bCs/>
        </w:rPr>
        <w:tab/>
        <w:t>By:________________________________</w:t>
      </w:r>
    </w:p>
    <w:p w:rsidR="00587F97" w:rsidRPr="00262A58" w:rsidRDefault="00587F97" w:rsidP="00587F97">
      <w:pPr>
        <w:ind w:right="-180"/>
        <w:jc w:val="both"/>
        <w:rPr>
          <w:rFonts w:ascii="Courier New" w:hAnsi="Courier New" w:cs="Courier New"/>
          <w:b/>
          <w:bCs/>
        </w:rPr>
      </w:pPr>
      <w:r w:rsidRPr="00262A58">
        <w:rPr>
          <w:rFonts w:ascii="Courier New" w:hAnsi="Courier New" w:cs="Courier New"/>
          <w:b/>
          <w:bCs/>
        </w:rPr>
        <w:tab/>
      </w:r>
      <w:r w:rsidRPr="00262A58">
        <w:rPr>
          <w:rFonts w:ascii="Courier New" w:hAnsi="Courier New" w:cs="Courier New"/>
          <w:b/>
          <w:bCs/>
        </w:rPr>
        <w:tab/>
      </w:r>
      <w:r w:rsidRPr="00262A58">
        <w:rPr>
          <w:rFonts w:ascii="Courier New" w:hAnsi="Courier New" w:cs="Courier New"/>
          <w:b/>
          <w:bCs/>
        </w:rPr>
        <w:tab/>
      </w:r>
      <w:r w:rsidRPr="00262A58">
        <w:rPr>
          <w:rFonts w:ascii="Courier New" w:hAnsi="Courier New" w:cs="Courier New"/>
          <w:b/>
          <w:bCs/>
        </w:rPr>
        <w:tab/>
      </w:r>
      <w:r w:rsidRPr="00262A58">
        <w:rPr>
          <w:rFonts w:ascii="Courier New" w:hAnsi="Courier New" w:cs="Courier New"/>
          <w:b/>
          <w:bCs/>
        </w:rPr>
        <w:tab/>
        <w:t xml:space="preserve">        Thomas W. Hammond, Jr., Chairman</w:t>
      </w:r>
    </w:p>
    <w:p w:rsidR="00587F97" w:rsidRPr="00262A58" w:rsidRDefault="00587F97" w:rsidP="00587F97">
      <w:pPr>
        <w:spacing w:line="276" w:lineRule="auto"/>
        <w:ind w:right="-180"/>
        <w:jc w:val="both"/>
        <w:rPr>
          <w:rFonts w:ascii="Courier New" w:hAnsi="Courier New" w:cs="Courier New"/>
          <w:b/>
          <w:bCs/>
        </w:rPr>
      </w:pPr>
    </w:p>
    <w:p w:rsidR="00587F97" w:rsidRPr="00262A58" w:rsidRDefault="00587F97" w:rsidP="00587F97">
      <w:pPr>
        <w:ind w:right="-187"/>
        <w:jc w:val="both"/>
        <w:rPr>
          <w:rFonts w:ascii="Courier New" w:hAnsi="Courier New" w:cs="Courier New"/>
          <w:b/>
          <w:bCs/>
        </w:rPr>
      </w:pPr>
    </w:p>
    <w:p w:rsidR="00587F97" w:rsidRPr="00262A58" w:rsidRDefault="00587F97" w:rsidP="00587F97">
      <w:pPr>
        <w:ind w:right="-187"/>
        <w:jc w:val="both"/>
        <w:rPr>
          <w:rFonts w:ascii="Courier New" w:hAnsi="Courier New" w:cs="Courier New"/>
          <w:b/>
          <w:bCs/>
        </w:rPr>
      </w:pPr>
      <w:r w:rsidRPr="00262A58">
        <w:rPr>
          <w:rFonts w:ascii="Courier New" w:hAnsi="Courier New" w:cs="Courier New"/>
          <w:b/>
          <w:bCs/>
        </w:rPr>
        <w:t>A true copy,</w:t>
      </w:r>
    </w:p>
    <w:p w:rsidR="00587F97" w:rsidRPr="00262A58" w:rsidRDefault="00587F97" w:rsidP="00587F97">
      <w:pPr>
        <w:ind w:right="-187"/>
        <w:jc w:val="both"/>
        <w:rPr>
          <w:rFonts w:ascii="Courier New" w:hAnsi="Courier New" w:cs="Courier New"/>
          <w:b/>
          <w:bCs/>
        </w:rPr>
      </w:pPr>
    </w:p>
    <w:p w:rsidR="00587F97" w:rsidRPr="00262A58" w:rsidRDefault="00587F97" w:rsidP="00587F97">
      <w:pPr>
        <w:ind w:right="-187"/>
        <w:jc w:val="both"/>
        <w:rPr>
          <w:rFonts w:ascii="Courier New" w:hAnsi="Courier New" w:cs="Courier New"/>
          <w:b/>
          <w:bCs/>
        </w:rPr>
      </w:pPr>
    </w:p>
    <w:p w:rsidR="00587F97" w:rsidRPr="00262A58" w:rsidRDefault="00587F97" w:rsidP="00587F97">
      <w:pPr>
        <w:ind w:right="-187"/>
        <w:jc w:val="both"/>
        <w:rPr>
          <w:rFonts w:ascii="Courier New" w:hAnsi="Courier New" w:cs="Courier New"/>
          <w:b/>
          <w:bCs/>
        </w:rPr>
      </w:pPr>
      <w:r w:rsidRPr="00262A58">
        <w:rPr>
          <w:rFonts w:ascii="Courier New" w:hAnsi="Courier New" w:cs="Courier New"/>
          <w:b/>
          <w:bCs/>
        </w:rPr>
        <w:t>Attest: ____________________________</w:t>
      </w:r>
    </w:p>
    <w:p w:rsidR="00587F97" w:rsidRPr="00262A58" w:rsidRDefault="00587F97" w:rsidP="00587F97">
      <w:pPr>
        <w:pStyle w:val="BodyText"/>
        <w:rPr>
          <w:rFonts w:ascii="Courier New" w:hAnsi="Courier New" w:cs="Courier New"/>
          <w:b/>
          <w:bCs/>
        </w:rPr>
      </w:pPr>
      <w:r w:rsidRPr="00262A58">
        <w:rPr>
          <w:rFonts w:ascii="Courier New" w:hAnsi="Courier New" w:cs="Courier New"/>
        </w:rPr>
        <w:tab/>
        <w:t xml:space="preserve">        </w:t>
      </w:r>
      <w:r w:rsidRPr="00262A58">
        <w:rPr>
          <w:rFonts w:ascii="Courier New" w:hAnsi="Courier New" w:cs="Courier New"/>
          <w:b/>
        </w:rPr>
        <w:t>Clerk of the Board</w:t>
      </w:r>
    </w:p>
    <w:p w:rsidR="00587F97" w:rsidRPr="00262A58" w:rsidRDefault="00587F97" w:rsidP="00587F97">
      <w:pPr>
        <w:jc w:val="both"/>
        <w:rPr>
          <w:rFonts w:ascii="Arial" w:hAnsi="Arial" w:cs="Arial"/>
        </w:rPr>
      </w:pPr>
    </w:p>
    <w:p w:rsidR="00587F97" w:rsidRPr="00262A58" w:rsidRDefault="00587F97" w:rsidP="00587F97">
      <w:pPr>
        <w:ind w:right="-187"/>
        <w:jc w:val="both"/>
        <w:rPr>
          <w:b/>
          <w:bCs/>
        </w:rPr>
      </w:pPr>
    </w:p>
    <w:p w:rsidR="00587F97" w:rsidRPr="00262A58" w:rsidRDefault="00587F97" w:rsidP="00587F97">
      <w:pPr>
        <w:ind w:right="-187"/>
        <w:jc w:val="both"/>
        <w:rPr>
          <w:b/>
          <w:bCs/>
        </w:rPr>
      </w:pPr>
    </w:p>
    <w:p w:rsidR="00587F97" w:rsidRPr="00262A58" w:rsidRDefault="00587F97" w:rsidP="00587F97">
      <w:pPr>
        <w:pStyle w:val="BodyText2"/>
        <w:ind w:firstLine="0"/>
      </w:pPr>
    </w:p>
    <w:sectPr w:rsidR="00587F97" w:rsidRPr="00262A58" w:rsidSect="0008391C">
      <w:footerReference w:type="default" r:id="rId9"/>
      <w:pgSz w:w="12240" w:h="15840"/>
      <w:pgMar w:top="1440" w:right="1440" w:bottom="1440" w:left="1440" w:header="720" w:footer="720" w:gutter="0"/>
      <w:pgNumType w:start="13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C68" w:rsidRDefault="00041C68" w:rsidP="009D1192">
      <w:r>
        <w:separator/>
      </w:r>
    </w:p>
  </w:endnote>
  <w:endnote w:type="continuationSeparator" w:id="0">
    <w:p w:rsidR="00041C68" w:rsidRDefault="00041C68" w:rsidP="009D1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7A0" w:rsidRPr="00F41A97" w:rsidRDefault="00F41A97" w:rsidP="00787CFD">
    <w:pPr>
      <w:pStyle w:val="Footer"/>
      <w:jc w:val="center"/>
      <w:rPr>
        <w:rFonts w:ascii="Courier New" w:hAnsi="Courier New" w:cs="Courier New"/>
        <w:b/>
      </w:rPr>
    </w:pPr>
    <w:r>
      <w:rPr>
        <w:rFonts w:ascii="Courier New" w:hAnsi="Courier New" w:cs="Courier New"/>
        <w:b/>
      </w:rPr>
      <w:t>ATB 2019</w:t>
    </w:r>
    <w:r w:rsidR="00787CFD" w:rsidRPr="00F41A97">
      <w:rPr>
        <w:rFonts w:ascii="Courier New" w:hAnsi="Courier New" w:cs="Courier New"/>
        <w:b/>
      </w:rPr>
      <w:t>-</w:t>
    </w:r>
    <w:r w:rsidR="00FE27A0" w:rsidRPr="00F41A97">
      <w:rPr>
        <w:rFonts w:ascii="Courier New" w:hAnsi="Courier New" w:cs="Courier New"/>
        <w:b/>
      </w:rPr>
      <w:fldChar w:fldCharType="begin"/>
    </w:r>
    <w:r w:rsidR="00FE27A0" w:rsidRPr="00F41A97">
      <w:rPr>
        <w:rFonts w:ascii="Courier New" w:hAnsi="Courier New" w:cs="Courier New"/>
        <w:b/>
      </w:rPr>
      <w:instrText xml:space="preserve"> PAGE   \* MERGEFORMAT </w:instrText>
    </w:r>
    <w:r w:rsidR="00FE27A0" w:rsidRPr="00F41A97">
      <w:rPr>
        <w:rFonts w:ascii="Courier New" w:hAnsi="Courier New" w:cs="Courier New"/>
        <w:b/>
      </w:rPr>
      <w:fldChar w:fldCharType="separate"/>
    </w:r>
    <w:r w:rsidR="00AB5834">
      <w:rPr>
        <w:rFonts w:ascii="Courier New" w:hAnsi="Courier New" w:cs="Courier New"/>
        <w:b/>
        <w:noProof/>
      </w:rPr>
      <w:t>139</w:t>
    </w:r>
    <w:r w:rsidR="00FE27A0" w:rsidRPr="00F41A97">
      <w:rPr>
        <w:rFonts w:ascii="Courier New" w:hAnsi="Courier New" w:cs="Courier New"/>
        <w:b/>
        <w:noProof/>
      </w:rPr>
      <w:fldChar w:fldCharType="end"/>
    </w:r>
  </w:p>
  <w:p w:rsidR="00FE27A0" w:rsidRDefault="00FE27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C68" w:rsidRDefault="00041C68" w:rsidP="009D1192">
      <w:r>
        <w:separator/>
      </w:r>
    </w:p>
  </w:footnote>
  <w:footnote w:type="continuationSeparator" w:id="0">
    <w:p w:rsidR="00041C68" w:rsidRDefault="00041C68" w:rsidP="009D1192">
      <w:r>
        <w:continuationSeparator/>
      </w:r>
    </w:p>
  </w:footnote>
  <w:footnote w:id="1">
    <w:p w:rsidR="00446154" w:rsidRPr="00E54C31" w:rsidRDefault="00446154" w:rsidP="00446154">
      <w:pPr>
        <w:pStyle w:val="FootnoteText"/>
        <w:jc w:val="both"/>
        <w:rPr>
          <w:rFonts w:ascii="Courier New" w:hAnsi="Courier New" w:cs="Courier New"/>
        </w:rPr>
      </w:pPr>
      <w:r w:rsidRPr="00E54C31">
        <w:rPr>
          <w:rStyle w:val="FootnoteReference"/>
          <w:rFonts w:ascii="Courier New" w:hAnsi="Courier New" w:cs="Courier New"/>
        </w:rPr>
        <w:footnoteRef/>
      </w:r>
      <w:r w:rsidRPr="00E54C31">
        <w:rPr>
          <w:rFonts w:ascii="Courier New" w:hAnsi="Courier New" w:cs="Courier New"/>
        </w:rPr>
        <w:t xml:space="preserve"> </w:t>
      </w:r>
      <w:r w:rsidR="00C81F28">
        <w:rPr>
          <w:rFonts w:ascii="Courier New" w:hAnsi="Courier New" w:cs="Courier New"/>
        </w:rPr>
        <w:t>I</w:t>
      </w:r>
      <w:r w:rsidRPr="00E54C31">
        <w:rPr>
          <w:rFonts w:ascii="Courier New" w:hAnsi="Courier New" w:cs="Courier New"/>
        </w:rPr>
        <w:t>n the decision dated Decem</w:t>
      </w:r>
      <w:r w:rsidR="00E54C31">
        <w:rPr>
          <w:rFonts w:ascii="Courier New" w:hAnsi="Courier New" w:cs="Courier New"/>
        </w:rPr>
        <w:t xml:space="preserve">ber 6, 2017, under the heading </w:t>
      </w:r>
      <w:r w:rsidRPr="00E54C31">
        <w:rPr>
          <w:rFonts w:ascii="Courier New" w:hAnsi="Courier New" w:cs="Courier New"/>
        </w:rPr>
        <w:t>“Tax Assessed,” there was a clerical error and the correct amount i</w:t>
      </w:r>
      <w:r w:rsidR="00FB6671" w:rsidRPr="00E54C31">
        <w:rPr>
          <w:rFonts w:ascii="Courier New" w:hAnsi="Courier New" w:cs="Courier New"/>
        </w:rPr>
        <w:t>s $3,219. This oversight has</w:t>
      </w:r>
      <w:r w:rsidRPr="00E54C31">
        <w:rPr>
          <w:rFonts w:ascii="Courier New" w:hAnsi="Courier New" w:cs="Courier New"/>
        </w:rPr>
        <w:t xml:space="preserve"> no bearing on the tax abatement</w:t>
      </w:r>
      <w:r w:rsidR="00FB6671" w:rsidRPr="00E54C31">
        <w:rPr>
          <w:rFonts w:ascii="Courier New" w:hAnsi="Courier New" w:cs="Courier New"/>
        </w:rPr>
        <w:t xml:space="preserve"> granted</w:t>
      </w:r>
      <w:r w:rsidRPr="00E54C31">
        <w:rPr>
          <w:rFonts w:ascii="Courier New" w:hAnsi="Courier New" w:cs="Courier New"/>
        </w:rPr>
        <w:t>.</w:t>
      </w:r>
    </w:p>
  </w:footnote>
  <w:footnote w:id="2">
    <w:p w:rsidR="002021EA" w:rsidRPr="00E54C31" w:rsidRDefault="002021EA" w:rsidP="002021EA">
      <w:pPr>
        <w:pStyle w:val="FootnoteText"/>
        <w:jc w:val="both"/>
        <w:rPr>
          <w:rFonts w:ascii="Courier New" w:hAnsi="Courier New" w:cs="Courier New"/>
        </w:rPr>
      </w:pPr>
      <w:r w:rsidRPr="00E54C31">
        <w:rPr>
          <w:rStyle w:val="FootnoteReference"/>
          <w:rFonts w:ascii="Courier New" w:hAnsi="Courier New" w:cs="Courier New"/>
        </w:rPr>
        <w:footnoteRef/>
      </w:r>
      <w:r w:rsidRPr="00E54C31">
        <w:rPr>
          <w:rFonts w:ascii="Courier New" w:hAnsi="Courier New" w:cs="Courier New"/>
        </w:rPr>
        <w:t xml:space="preserve"> This includes a Community Preservation Act surcharge in the amount of $93.76.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3AD9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192"/>
    <w:rsid w:val="00021D9E"/>
    <w:rsid w:val="00041C68"/>
    <w:rsid w:val="000559F7"/>
    <w:rsid w:val="00072044"/>
    <w:rsid w:val="00073AA4"/>
    <w:rsid w:val="0008391C"/>
    <w:rsid w:val="000A099E"/>
    <w:rsid w:val="000A44FC"/>
    <w:rsid w:val="000D73F2"/>
    <w:rsid w:val="000D77F9"/>
    <w:rsid w:val="000E4060"/>
    <w:rsid w:val="000F4D40"/>
    <w:rsid w:val="00107C08"/>
    <w:rsid w:val="00111904"/>
    <w:rsid w:val="00122E86"/>
    <w:rsid w:val="001340C9"/>
    <w:rsid w:val="00155B6A"/>
    <w:rsid w:val="00156F09"/>
    <w:rsid w:val="0015779F"/>
    <w:rsid w:val="001647DA"/>
    <w:rsid w:val="0017378A"/>
    <w:rsid w:val="00175CD3"/>
    <w:rsid w:val="00197078"/>
    <w:rsid w:val="001B4310"/>
    <w:rsid w:val="001C01C8"/>
    <w:rsid w:val="001C0B32"/>
    <w:rsid w:val="001C6BB1"/>
    <w:rsid w:val="001E106E"/>
    <w:rsid w:val="002021EA"/>
    <w:rsid w:val="002134B4"/>
    <w:rsid w:val="00214ADA"/>
    <w:rsid w:val="00222F5E"/>
    <w:rsid w:val="00223901"/>
    <w:rsid w:val="00262A58"/>
    <w:rsid w:val="00290514"/>
    <w:rsid w:val="002E02D8"/>
    <w:rsid w:val="002E4528"/>
    <w:rsid w:val="002E51DD"/>
    <w:rsid w:val="002F0F20"/>
    <w:rsid w:val="002F1334"/>
    <w:rsid w:val="002F3A1F"/>
    <w:rsid w:val="00332CEC"/>
    <w:rsid w:val="00345835"/>
    <w:rsid w:val="00392BD1"/>
    <w:rsid w:val="00397A4D"/>
    <w:rsid w:val="003B1CBE"/>
    <w:rsid w:val="003C2B6D"/>
    <w:rsid w:val="003C76A2"/>
    <w:rsid w:val="003C7788"/>
    <w:rsid w:val="003E53D6"/>
    <w:rsid w:val="003F08D9"/>
    <w:rsid w:val="00422D41"/>
    <w:rsid w:val="00425DAD"/>
    <w:rsid w:val="00446154"/>
    <w:rsid w:val="004A6BE9"/>
    <w:rsid w:val="004D725C"/>
    <w:rsid w:val="004E5917"/>
    <w:rsid w:val="004E6703"/>
    <w:rsid w:val="004F3948"/>
    <w:rsid w:val="00505517"/>
    <w:rsid w:val="00506CD8"/>
    <w:rsid w:val="00533DAE"/>
    <w:rsid w:val="00542462"/>
    <w:rsid w:val="00555E05"/>
    <w:rsid w:val="005565BB"/>
    <w:rsid w:val="0056607B"/>
    <w:rsid w:val="0057224E"/>
    <w:rsid w:val="00574779"/>
    <w:rsid w:val="00582DF1"/>
    <w:rsid w:val="00587F97"/>
    <w:rsid w:val="005D2325"/>
    <w:rsid w:val="005E6394"/>
    <w:rsid w:val="005F12B6"/>
    <w:rsid w:val="005F1324"/>
    <w:rsid w:val="00624D03"/>
    <w:rsid w:val="00625053"/>
    <w:rsid w:val="00626CD8"/>
    <w:rsid w:val="0063369B"/>
    <w:rsid w:val="006454E4"/>
    <w:rsid w:val="00651CB6"/>
    <w:rsid w:val="00675C13"/>
    <w:rsid w:val="00681368"/>
    <w:rsid w:val="00691304"/>
    <w:rsid w:val="006B78C7"/>
    <w:rsid w:val="006C01D5"/>
    <w:rsid w:val="006D20AE"/>
    <w:rsid w:val="006D354E"/>
    <w:rsid w:val="006E7D02"/>
    <w:rsid w:val="006F073C"/>
    <w:rsid w:val="006F2540"/>
    <w:rsid w:val="006F7E59"/>
    <w:rsid w:val="007134B0"/>
    <w:rsid w:val="00713523"/>
    <w:rsid w:val="007239C7"/>
    <w:rsid w:val="007239E3"/>
    <w:rsid w:val="00730968"/>
    <w:rsid w:val="00732C05"/>
    <w:rsid w:val="007454D8"/>
    <w:rsid w:val="007552E9"/>
    <w:rsid w:val="00760A43"/>
    <w:rsid w:val="00763F2A"/>
    <w:rsid w:val="00787CFD"/>
    <w:rsid w:val="007A4F1C"/>
    <w:rsid w:val="007A644D"/>
    <w:rsid w:val="007C413E"/>
    <w:rsid w:val="007C6A36"/>
    <w:rsid w:val="007D761C"/>
    <w:rsid w:val="00801304"/>
    <w:rsid w:val="008033D4"/>
    <w:rsid w:val="008261D4"/>
    <w:rsid w:val="00846EE7"/>
    <w:rsid w:val="008575BE"/>
    <w:rsid w:val="008713EA"/>
    <w:rsid w:val="00876682"/>
    <w:rsid w:val="008A33D1"/>
    <w:rsid w:val="008B4237"/>
    <w:rsid w:val="008E0136"/>
    <w:rsid w:val="008E3C5C"/>
    <w:rsid w:val="008E40B8"/>
    <w:rsid w:val="008E5BF6"/>
    <w:rsid w:val="008E6AA3"/>
    <w:rsid w:val="009055C6"/>
    <w:rsid w:val="0091493B"/>
    <w:rsid w:val="0094045F"/>
    <w:rsid w:val="00982CFD"/>
    <w:rsid w:val="009833E6"/>
    <w:rsid w:val="009930B8"/>
    <w:rsid w:val="009B53FC"/>
    <w:rsid w:val="009B6A17"/>
    <w:rsid w:val="009D1192"/>
    <w:rsid w:val="009E7CA6"/>
    <w:rsid w:val="00A42373"/>
    <w:rsid w:val="00A52432"/>
    <w:rsid w:val="00AA48E8"/>
    <w:rsid w:val="00AB5834"/>
    <w:rsid w:val="00AB7A83"/>
    <w:rsid w:val="00AC0843"/>
    <w:rsid w:val="00AC1277"/>
    <w:rsid w:val="00AC1818"/>
    <w:rsid w:val="00AD1ECD"/>
    <w:rsid w:val="00AE0BD5"/>
    <w:rsid w:val="00AF5E81"/>
    <w:rsid w:val="00B23CE1"/>
    <w:rsid w:val="00B64341"/>
    <w:rsid w:val="00B657F0"/>
    <w:rsid w:val="00B84395"/>
    <w:rsid w:val="00B968D8"/>
    <w:rsid w:val="00BB7C98"/>
    <w:rsid w:val="00BE75B3"/>
    <w:rsid w:val="00C052EA"/>
    <w:rsid w:val="00C1647E"/>
    <w:rsid w:val="00C246B5"/>
    <w:rsid w:val="00C27EB3"/>
    <w:rsid w:val="00C55874"/>
    <w:rsid w:val="00C636F6"/>
    <w:rsid w:val="00C71911"/>
    <w:rsid w:val="00C751DA"/>
    <w:rsid w:val="00C81F28"/>
    <w:rsid w:val="00CA01EB"/>
    <w:rsid w:val="00CD062C"/>
    <w:rsid w:val="00CE1F0C"/>
    <w:rsid w:val="00CF52E5"/>
    <w:rsid w:val="00D24531"/>
    <w:rsid w:val="00D44265"/>
    <w:rsid w:val="00D47F5D"/>
    <w:rsid w:val="00D509E5"/>
    <w:rsid w:val="00D536F5"/>
    <w:rsid w:val="00D8164D"/>
    <w:rsid w:val="00D871A9"/>
    <w:rsid w:val="00DA1156"/>
    <w:rsid w:val="00DA14C1"/>
    <w:rsid w:val="00DA4C9B"/>
    <w:rsid w:val="00DC43A2"/>
    <w:rsid w:val="00DD5175"/>
    <w:rsid w:val="00DF3FA7"/>
    <w:rsid w:val="00E008D8"/>
    <w:rsid w:val="00E01B6B"/>
    <w:rsid w:val="00E05CEE"/>
    <w:rsid w:val="00E07F60"/>
    <w:rsid w:val="00E13ECB"/>
    <w:rsid w:val="00E228A2"/>
    <w:rsid w:val="00E23F6D"/>
    <w:rsid w:val="00E35B3E"/>
    <w:rsid w:val="00E52358"/>
    <w:rsid w:val="00E54C31"/>
    <w:rsid w:val="00E6225B"/>
    <w:rsid w:val="00E66FBB"/>
    <w:rsid w:val="00E758DA"/>
    <w:rsid w:val="00E843F3"/>
    <w:rsid w:val="00E86C44"/>
    <w:rsid w:val="00E97F27"/>
    <w:rsid w:val="00EB1FF8"/>
    <w:rsid w:val="00EB3DE4"/>
    <w:rsid w:val="00EC3170"/>
    <w:rsid w:val="00EE775D"/>
    <w:rsid w:val="00EE79FA"/>
    <w:rsid w:val="00EF78D6"/>
    <w:rsid w:val="00F41A97"/>
    <w:rsid w:val="00F4552B"/>
    <w:rsid w:val="00F4674A"/>
    <w:rsid w:val="00F51E2E"/>
    <w:rsid w:val="00F53E59"/>
    <w:rsid w:val="00F950D7"/>
    <w:rsid w:val="00FA4C30"/>
    <w:rsid w:val="00FA6CDA"/>
    <w:rsid w:val="00FB1B74"/>
    <w:rsid w:val="00FB6671"/>
    <w:rsid w:val="00FC7A14"/>
    <w:rsid w:val="00FD0BFD"/>
    <w:rsid w:val="00FE2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19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9D1192"/>
    <w:pPr>
      <w:autoSpaceDE w:val="0"/>
      <w:autoSpaceDN w:val="0"/>
      <w:spacing w:line="480" w:lineRule="auto"/>
      <w:ind w:firstLine="720"/>
      <w:jc w:val="both"/>
    </w:pPr>
    <w:rPr>
      <w:rFonts w:ascii="Courier New" w:hAnsi="Courier New" w:cs="Courier New"/>
    </w:rPr>
  </w:style>
  <w:style w:type="character" w:customStyle="1" w:styleId="BodyText2Char">
    <w:name w:val="Body Text 2 Char"/>
    <w:link w:val="BodyText2"/>
    <w:uiPriority w:val="99"/>
    <w:rsid w:val="009D1192"/>
    <w:rPr>
      <w:rFonts w:ascii="Courier New" w:eastAsia="Times New Roman" w:hAnsi="Courier New" w:cs="Courier New"/>
      <w:sz w:val="24"/>
      <w:szCs w:val="24"/>
    </w:rPr>
  </w:style>
  <w:style w:type="paragraph" w:styleId="FootnoteText">
    <w:name w:val="footnote text"/>
    <w:basedOn w:val="Normal"/>
    <w:link w:val="FootnoteTextChar"/>
    <w:semiHidden/>
    <w:rsid w:val="009D1192"/>
    <w:rPr>
      <w:sz w:val="20"/>
      <w:szCs w:val="20"/>
    </w:rPr>
  </w:style>
  <w:style w:type="character" w:customStyle="1" w:styleId="FootnoteTextChar">
    <w:name w:val="Footnote Text Char"/>
    <w:link w:val="FootnoteText"/>
    <w:uiPriority w:val="99"/>
    <w:semiHidden/>
    <w:rsid w:val="009D1192"/>
    <w:rPr>
      <w:rFonts w:ascii="Times New Roman" w:eastAsia="Times New Roman" w:hAnsi="Times New Roman" w:cs="Times New Roman"/>
      <w:sz w:val="20"/>
      <w:szCs w:val="20"/>
    </w:rPr>
  </w:style>
  <w:style w:type="character" w:styleId="FootnoteReference">
    <w:name w:val="footnote reference"/>
    <w:semiHidden/>
    <w:rsid w:val="009D1192"/>
    <w:rPr>
      <w:rFonts w:cs="Times New Roman"/>
      <w:vertAlign w:val="superscript"/>
    </w:rPr>
  </w:style>
  <w:style w:type="paragraph" w:styleId="BodyTextIndent">
    <w:name w:val="Body Text Indent"/>
    <w:basedOn w:val="Normal"/>
    <w:link w:val="BodyTextIndentChar"/>
    <w:uiPriority w:val="99"/>
    <w:unhideWhenUsed/>
    <w:rsid w:val="000A099E"/>
    <w:pPr>
      <w:spacing w:after="120"/>
      <w:ind w:left="360"/>
    </w:pPr>
  </w:style>
  <w:style w:type="character" w:customStyle="1" w:styleId="BodyTextIndentChar">
    <w:name w:val="Body Text Indent Char"/>
    <w:link w:val="BodyTextIndent"/>
    <w:uiPriority w:val="99"/>
    <w:rsid w:val="000A099E"/>
    <w:rPr>
      <w:rFonts w:ascii="Times New Roman" w:eastAsia="Times New Roman" w:hAnsi="Times New Roman"/>
      <w:sz w:val="24"/>
      <w:szCs w:val="24"/>
    </w:rPr>
  </w:style>
  <w:style w:type="paragraph" w:styleId="Header">
    <w:name w:val="header"/>
    <w:basedOn w:val="Normal"/>
    <w:link w:val="HeaderChar"/>
    <w:uiPriority w:val="99"/>
    <w:unhideWhenUsed/>
    <w:rsid w:val="00FE27A0"/>
    <w:pPr>
      <w:tabs>
        <w:tab w:val="center" w:pos="4680"/>
        <w:tab w:val="right" w:pos="9360"/>
      </w:tabs>
    </w:pPr>
  </w:style>
  <w:style w:type="character" w:customStyle="1" w:styleId="HeaderChar">
    <w:name w:val="Header Char"/>
    <w:link w:val="Header"/>
    <w:uiPriority w:val="99"/>
    <w:rsid w:val="00FE27A0"/>
    <w:rPr>
      <w:rFonts w:ascii="Times New Roman" w:eastAsia="Times New Roman" w:hAnsi="Times New Roman"/>
      <w:sz w:val="24"/>
      <w:szCs w:val="24"/>
    </w:rPr>
  </w:style>
  <w:style w:type="paragraph" w:styleId="Footer">
    <w:name w:val="footer"/>
    <w:basedOn w:val="Normal"/>
    <w:link w:val="FooterChar"/>
    <w:uiPriority w:val="99"/>
    <w:unhideWhenUsed/>
    <w:rsid w:val="00FE27A0"/>
    <w:pPr>
      <w:tabs>
        <w:tab w:val="center" w:pos="4680"/>
        <w:tab w:val="right" w:pos="9360"/>
      </w:tabs>
    </w:pPr>
  </w:style>
  <w:style w:type="character" w:customStyle="1" w:styleId="FooterChar">
    <w:name w:val="Footer Char"/>
    <w:link w:val="Footer"/>
    <w:uiPriority w:val="99"/>
    <w:rsid w:val="00FE27A0"/>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FE27A0"/>
    <w:rPr>
      <w:rFonts w:ascii="Tahoma" w:hAnsi="Tahoma" w:cs="Tahoma"/>
      <w:sz w:val="16"/>
      <w:szCs w:val="16"/>
    </w:rPr>
  </w:style>
  <w:style w:type="character" w:customStyle="1" w:styleId="BalloonTextChar">
    <w:name w:val="Balloon Text Char"/>
    <w:link w:val="BalloonText"/>
    <w:uiPriority w:val="99"/>
    <w:semiHidden/>
    <w:rsid w:val="00FE27A0"/>
    <w:rPr>
      <w:rFonts w:ascii="Tahoma" w:eastAsia="Times New Roman" w:hAnsi="Tahoma" w:cs="Tahoma"/>
      <w:sz w:val="16"/>
      <w:szCs w:val="16"/>
    </w:rPr>
  </w:style>
  <w:style w:type="character" w:customStyle="1" w:styleId="ssprior">
    <w:name w:val="ss_prior"/>
    <w:rsid w:val="002134B4"/>
  </w:style>
  <w:style w:type="character" w:customStyle="1" w:styleId="sssh">
    <w:name w:val="ss_sh"/>
    <w:rsid w:val="00F53E59"/>
  </w:style>
  <w:style w:type="character" w:styleId="Hyperlink">
    <w:name w:val="Hyperlink"/>
    <w:uiPriority w:val="99"/>
    <w:semiHidden/>
    <w:unhideWhenUsed/>
    <w:rsid w:val="00F53E59"/>
    <w:rPr>
      <w:color w:val="0000FF"/>
      <w:u w:val="single"/>
    </w:rPr>
  </w:style>
  <w:style w:type="character" w:customStyle="1" w:styleId="ssit">
    <w:name w:val="ss_it"/>
    <w:rsid w:val="00F53E59"/>
  </w:style>
  <w:style w:type="character" w:customStyle="1" w:styleId="sh1238228309">
    <w:name w:val="sh_1238228309"/>
    <w:rsid w:val="009055C6"/>
  </w:style>
  <w:style w:type="paragraph" w:styleId="NormalWeb">
    <w:name w:val="Normal (Web)"/>
    <w:basedOn w:val="Normal"/>
    <w:uiPriority w:val="99"/>
    <w:unhideWhenUsed/>
    <w:rsid w:val="006C01D5"/>
    <w:pPr>
      <w:spacing w:before="100" w:beforeAutospacing="1" w:after="100" w:afterAutospacing="1"/>
    </w:pPr>
  </w:style>
  <w:style w:type="character" w:customStyle="1" w:styleId="ssbf">
    <w:name w:val="ss_bf"/>
    <w:rsid w:val="006C01D5"/>
  </w:style>
  <w:style w:type="character" w:customStyle="1" w:styleId="sh1085262183">
    <w:name w:val="sh_1085262183"/>
    <w:rsid w:val="000A44FC"/>
  </w:style>
  <w:style w:type="paragraph" w:styleId="BodyText">
    <w:name w:val="Body Text"/>
    <w:basedOn w:val="Normal"/>
    <w:link w:val="BodyTextChar"/>
    <w:uiPriority w:val="99"/>
    <w:semiHidden/>
    <w:unhideWhenUsed/>
    <w:rsid w:val="00587F97"/>
    <w:pPr>
      <w:spacing w:after="120"/>
    </w:pPr>
  </w:style>
  <w:style w:type="character" w:customStyle="1" w:styleId="BodyTextChar">
    <w:name w:val="Body Text Char"/>
    <w:link w:val="BodyText"/>
    <w:uiPriority w:val="99"/>
    <w:semiHidden/>
    <w:rsid w:val="00587F97"/>
    <w:rPr>
      <w:rFonts w:ascii="Times New Roman" w:eastAsia="Times New Roman" w:hAnsi="Times New Roman"/>
      <w:sz w:val="24"/>
      <w:szCs w:val="24"/>
    </w:rPr>
  </w:style>
  <w:style w:type="table" w:styleId="TableGrid">
    <w:name w:val="Table Grid"/>
    <w:basedOn w:val="TableNormal"/>
    <w:uiPriority w:val="59"/>
    <w:rsid w:val="00876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19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9D1192"/>
    <w:pPr>
      <w:autoSpaceDE w:val="0"/>
      <w:autoSpaceDN w:val="0"/>
      <w:spacing w:line="480" w:lineRule="auto"/>
      <w:ind w:firstLine="720"/>
      <w:jc w:val="both"/>
    </w:pPr>
    <w:rPr>
      <w:rFonts w:ascii="Courier New" w:hAnsi="Courier New" w:cs="Courier New"/>
    </w:rPr>
  </w:style>
  <w:style w:type="character" w:customStyle="1" w:styleId="BodyText2Char">
    <w:name w:val="Body Text 2 Char"/>
    <w:link w:val="BodyText2"/>
    <w:uiPriority w:val="99"/>
    <w:rsid w:val="009D1192"/>
    <w:rPr>
      <w:rFonts w:ascii="Courier New" w:eastAsia="Times New Roman" w:hAnsi="Courier New" w:cs="Courier New"/>
      <w:sz w:val="24"/>
      <w:szCs w:val="24"/>
    </w:rPr>
  </w:style>
  <w:style w:type="paragraph" w:styleId="FootnoteText">
    <w:name w:val="footnote text"/>
    <w:basedOn w:val="Normal"/>
    <w:link w:val="FootnoteTextChar"/>
    <w:semiHidden/>
    <w:rsid w:val="009D1192"/>
    <w:rPr>
      <w:sz w:val="20"/>
      <w:szCs w:val="20"/>
    </w:rPr>
  </w:style>
  <w:style w:type="character" w:customStyle="1" w:styleId="FootnoteTextChar">
    <w:name w:val="Footnote Text Char"/>
    <w:link w:val="FootnoteText"/>
    <w:uiPriority w:val="99"/>
    <w:semiHidden/>
    <w:rsid w:val="009D1192"/>
    <w:rPr>
      <w:rFonts w:ascii="Times New Roman" w:eastAsia="Times New Roman" w:hAnsi="Times New Roman" w:cs="Times New Roman"/>
      <w:sz w:val="20"/>
      <w:szCs w:val="20"/>
    </w:rPr>
  </w:style>
  <w:style w:type="character" w:styleId="FootnoteReference">
    <w:name w:val="footnote reference"/>
    <w:semiHidden/>
    <w:rsid w:val="009D1192"/>
    <w:rPr>
      <w:rFonts w:cs="Times New Roman"/>
      <w:vertAlign w:val="superscript"/>
    </w:rPr>
  </w:style>
  <w:style w:type="paragraph" w:styleId="BodyTextIndent">
    <w:name w:val="Body Text Indent"/>
    <w:basedOn w:val="Normal"/>
    <w:link w:val="BodyTextIndentChar"/>
    <w:uiPriority w:val="99"/>
    <w:unhideWhenUsed/>
    <w:rsid w:val="000A099E"/>
    <w:pPr>
      <w:spacing w:after="120"/>
      <w:ind w:left="360"/>
    </w:pPr>
  </w:style>
  <w:style w:type="character" w:customStyle="1" w:styleId="BodyTextIndentChar">
    <w:name w:val="Body Text Indent Char"/>
    <w:link w:val="BodyTextIndent"/>
    <w:uiPriority w:val="99"/>
    <w:rsid w:val="000A099E"/>
    <w:rPr>
      <w:rFonts w:ascii="Times New Roman" w:eastAsia="Times New Roman" w:hAnsi="Times New Roman"/>
      <w:sz w:val="24"/>
      <w:szCs w:val="24"/>
    </w:rPr>
  </w:style>
  <w:style w:type="paragraph" w:styleId="Header">
    <w:name w:val="header"/>
    <w:basedOn w:val="Normal"/>
    <w:link w:val="HeaderChar"/>
    <w:uiPriority w:val="99"/>
    <w:unhideWhenUsed/>
    <w:rsid w:val="00FE27A0"/>
    <w:pPr>
      <w:tabs>
        <w:tab w:val="center" w:pos="4680"/>
        <w:tab w:val="right" w:pos="9360"/>
      </w:tabs>
    </w:pPr>
  </w:style>
  <w:style w:type="character" w:customStyle="1" w:styleId="HeaderChar">
    <w:name w:val="Header Char"/>
    <w:link w:val="Header"/>
    <w:uiPriority w:val="99"/>
    <w:rsid w:val="00FE27A0"/>
    <w:rPr>
      <w:rFonts w:ascii="Times New Roman" w:eastAsia="Times New Roman" w:hAnsi="Times New Roman"/>
      <w:sz w:val="24"/>
      <w:szCs w:val="24"/>
    </w:rPr>
  </w:style>
  <w:style w:type="paragraph" w:styleId="Footer">
    <w:name w:val="footer"/>
    <w:basedOn w:val="Normal"/>
    <w:link w:val="FooterChar"/>
    <w:uiPriority w:val="99"/>
    <w:unhideWhenUsed/>
    <w:rsid w:val="00FE27A0"/>
    <w:pPr>
      <w:tabs>
        <w:tab w:val="center" w:pos="4680"/>
        <w:tab w:val="right" w:pos="9360"/>
      </w:tabs>
    </w:pPr>
  </w:style>
  <w:style w:type="character" w:customStyle="1" w:styleId="FooterChar">
    <w:name w:val="Footer Char"/>
    <w:link w:val="Footer"/>
    <w:uiPriority w:val="99"/>
    <w:rsid w:val="00FE27A0"/>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FE27A0"/>
    <w:rPr>
      <w:rFonts w:ascii="Tahoma" w:hAnsi="Tahoma" w:cs="Tahoma"/>
      <w:sz w:val="16"/>
      <w:szCs w:val="16"/>
    </w:rPr>
  </w:style>
  <w:style w:type="character" w:customStyle="1" w:styleId="BalloonTextChar">
    <w:name w:val="Balloon Text Char"/>
    <w:link w:val="BalloonText"/>
    <w:uiPriority w:val="99"/>
    <w:semiHidden/>
    <w:rsid w:val="00FE27A0"/>
    <w:rPr>
      <w:rFonts w:ascii="Tahoma" w:eastAsia="Times New Roman" w:hAnsi="Tahoma" w:cs="Tahoma"/>
      <w:sz w:val="16"/>
      <w:szCs w:val="16"/>
    </w:rPr>
  </w:style>
  <w:style w:type="character" w:customStyle="1" w:styleId="ssprior">
    <w:name w:val="ss_prior"/>
    <w:rsid w:val="002134B4"/>
  </w:style>
  <w:style w:type="character" w:customStyle="1" w:styleId="sssh">
    <w:name w:val="ss_sh"/>
    <w:rsid w:val="00F53E59"/>
  </w:style>
  <w:style w:type="character" w:styleId="Hyperlink">
    <w:name w:val="Hyperlink"/>
    <w:uiPriority w:val="99"/>
    <w:semiHidden/>
    <w:unhideWhenUsed/>
    <w:rsid w:val="00F53E59"/>
    <w:rPr>
      <w:color w:val="0000FF"/>
      <w:u w:val="single"/>
    </w:rPr>
  </w:style>
  <w:style w:type="character" w:customStyle="1" w:styleId="ssit">
    <w:name w:val="ss_it"/>
    <w:rsid w:val="00F53E59"/>
  </w:style>
  <w:style w:type="character" w:customStyle="1" w:styleId="sh1238228309">
    <w:name w:val="sh_1238228309"/>
    <w:rsid w:val="009055C6"/>
  </w:style>
  <w:style w:type="paragraph" w:styleId="NormalWeb">
    <w:name w:val="Normal (Web)"/>
    <w:basedOn w:val="Normal"/>
    <w:uiPriority w:val="99"/>
    <w:unhideWhenUsed/>
    <w:rsid w:val="006C01D5"/>
    <w:pPr>
      <w:spacing w:before="100" w:beforeAutospacing="1" w:after="100" w:afterAutospacing="1"/>
    </w:pPr>
  </w:style>
  <w:style w:type="character" w:customStyle="1" w:styleId="ssbf">
    <w:name w:val="ss_bf"/>
    <w:rsid w:val="006C01D5"/>
  </w:style>
  <w:style w:type="character" w:customStyle="1" w:styleId="sh1085262183">
    <w:name w:val="sh_1085262183"/>
    <w:rsid w:val="000A44FC"/>
  </w:style>
  <w:style w:type="paragraph" w:styleId="BodyText">
    <w:name w:val="Body Text"/>
    <w:basedOn w:val="Normal"/>
    <w:link w:val="BodyTextChar"/>
    <w:uiPriority w:val="99"/>
    <w:semiHidden/>
    <w:unhideWhenUsed/>
    <w:rsid w:val="00587F97"/>
    <w:pPr>
      <w:spacing w:after="120"/>
    </w:pPr>
  </w:style>
  <w:style w:type="character" w:customStyle="1" w:styleId="BodyTextChar">
    <w:name w:val="Body Text Char"/>
    <w:link w:val="BodyText"/>
    <w:uiPriority w:val="99"/>
    <w:semiHidden/>
    <w:rsid w:val="00587F97"/>
    <w:rPr>
      <w:rFonts w:ascii="Times New Roman" w:eastAsia="Times New Roman" w:hAnsi="Times New Roman"/>
      <w:sz w:val="24"/>
      <w:szCs w:val="24"/>
    </w:rPr>
  </w:style>
  <w:style w:type="table" w:styleId="TableGrid">
    <w:name w:val="Table Grid"/>
    <w:basedOn w:val="TableNormal"/>
    <w:uiPriority w:val="59"/>
    <w:rsid w:val="00876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51219">
      <w:bodyDiv w:val="1"/>
      <w:marLeft w:val="0"/>
      <w:marRight w:val="0"/>
      <w:marTop w:val="0"/>
      <w:marBottom w:val="0"/>
      <w:divBdr>
        <w:top w:val="none" w:sz="0" w:space="0" w:color="auto"/>
        <w:left w:val="none" w:sz="0" w:space="0" w:color="auto"/>
        <w:bottom w:val="none" w:sz="0" w:space="0" w:color="auto"/>
        <w:right w:val="none" w:sz="0" w:space="0" w:color="auto"/>
      </w:divBdr>
    </w:div>
    <w:div w:id="205683009">
      <w:bodyDiv w:val="1"/>
      <w:marLeft w:val="0"/>
      <w:marRight w:val="0"/>
      <w:marTop w:val="0"/>
      <w:marBottom w:val="0"/>
      <w:divBdr>
        <w:top w:val="none" w:sz="0" w:space="0" w:color="auto"/>
        <w:left w:val="none" w:sz="0" w:space="0" w:color="auto"/>
        <w:bottom w:val="none" w:sz="0" w:space="0" w:color="auto"/>
        <w:right w:val="none" w:sz="0" w:space="0" w:color="auto"/>
      </w:divBdr>
    </w:div>
    <w:div w:id="516188654">
      <w:bodyDiv w:val="1"/>
      <w:marLeft w:val="0"/>
      <w:marRight w:val="0"/>
      <w:marTop w:val="0"/>
      <w:marBottom w:val="0"/>
      <w:divBdr>
        <w:top w:val="none" w:sz="0" w:space="0" w:color="auto"/>
        <w:left w:val="none" w:sz="0" w:space="0" w:color="auto"/>
        <w:bottom w:val="none" w:sz="0" w:space="0" w:color="auto"/>
        <w:right w:val="none" w:sz="0" w:space="0" w:color="auto"/>
      </w:divBdr>
      <w:divsChild>
        <w:div w:id="1399981324">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AC0AB-4E02-4D45-BB27-2F75473FB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1855</Words>
  <Characters>10577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11</cp:revision>
  <cp:lastPrinted>2019-02-12T18:32:00Z</cp:lastPrinted>
  <dcterms:created xsi:type="dcterms:W3CDTF">2018-12-06T15:19:00Z</dcterms:created>
  <dcterms:modified xsi:type="dcterms:W3CDTF">2019-02-13T15:17:00Z</dcterms:modified>
</cp:coreProperties>
</file>