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930B" w14:textId="77777777" w:rsidR="00856C8A" w:rsidRPr="00B35BF1" w:rsidRDefault="00856C8A" w:rsidP="00517329">
      <w:pPr>
        <w:rPr>
          <w:sz w:val="16"/>
          <w:szCs w:val="16"/>
        </w:rPr>
      </w:pPr>
    </w:p>
    <w:p w14:paraId="51A82370" w14:textId="1355587A" w:rsidR="00D751FD" w:rsidRPr="00744E29" w:rsidRDefault="00D751FD" w:rsidP="00517329">
      <w:r w:rsidRPr="00744E29">
        <w:t xml:space="preserve">Os requisitos de imunização escolar de Massachusetts são estabelecidos sob a autoridade do </w:t>
      </w:r>
      <w:hyperlink r:id="rId7" w:history="1">
        <w:r w:rsidRPr="00744E29">
          <w:rPr>
            <w:rStyle w:val="Hyperlink"/>
          </w:rPr>
          <w:t>105 CMR 220.000:</w:t>
        </w:r>
      </w:hyperlink>
      <w:hyperlink r:id="rId8" w:history="1">
        <w:r w:rsidRPr="00744E29">
          <w:rPr>
            <w:rStyle w:val="Hyperlink"/>
            <w:u w:val="none"/>
          </w:rPr>
          <w:t xml:space="preserve"> </w:t>
        </w:r>
        <w:r w:rsidRPr="00744E29">
          <w:rPr>
            <w:rStyle w:val="Hyperlink"/>
          </w:rPr>
          <w:t>Imunização de alunos antes da admissão à escola</w:t>
        </w:r>
      </w:hyperlink>
      <w:r w:rsidRPr="00744E29">
        <w:t>.</w:t>
      </w:r>
    </w:p>
    <w:p w14:paraId="3A6455DB" w14:textId="77777777" w:rsidR="00DC53B0" w:rsidRPr="00744E29" w:rsidRDefault="00DC53B0" w:rsidP="00517329">
      <w:pPr>
        <w:rPr>
          <w:rFonts w:eastAsia="Times New Roman"/>
          <w:sz w:val="16"/>
          <w:szCs w:val="16"/>
        </w:rPr>
      </w:pPr>
    </w:p>
    <w:p w14:paraId="17F63E3B" w14:textId="527AA71E" w:rsidR="00595339" w:rsidRPr="00744E29" w:rsidRDefault="003F068A" w:rsidP="00517329">
      <w:pPr>
        <w:rPr>
          <w:b/>
          <w:spacing w:val="-5"/>
        </w:rPr>
      </w:pPr>
      <w:r w:rsidRPr="00744E29">
        <w:rPr>
          <w:b/>
          <w:spacing w:val="-5"/>
        </w:rPr>
        <w:t xml:space="preserve">Os requisitos se aplicam a todos os alunos, incluindo indivíduos de outros países que frequentam ou visitam aulas ou programas educacionais como parte de um programa de visitas acadêmicas ou de </w:t>
      </w:r>
      <w:r w:rsidR="00975963" w:rsidRPr="00744E29">
        <w:rPr>
          <w:b/>
          <w:spacing w:val="-5"/>
        </w:rPr>
        <w:t>intercâmbio. Os</w:t>
      </w:r>
      <w:r w:rsidRPr="00744E29">
        <w:rPr>
          <w:b/>
          <w:spacing w:val="-5"/>
        </w:rPr>
        <w:t xml:space="preserve"> requisitos se aplicam a todos os alunos de todas as séries, mesmo que tenham mais de 18 anos de idade. As doses que atendem às recomendações do ACIP </w:t>
      </w:r>
      <w:hyperlink r:id="rId9" w:history="1">
        <w:r w:rsidRPr="00744E29">
          <w:rPr>
            <w:rStyle w:val="Hyperlink"/>
            <w:b/>
            <w:spacing w:val="-5"/>
          </w:rPr>
          <w:t>conforme adotadas pelo CDC no dia 24 de outubro de 2024</w:t>
        </w:r>
      </w:hyperlink>
      <w:r w:rsidRPr="00744E29">
        <w:rPr>
          <w:b/>
          <w:spacing w:val="-5"/>
        </w:rPr>
        <w:t>, também atendem aos requisitos da escola.</w:t>
      </w:r>
    </w:p>
    <w:p w14:paraId="64852261" w14:textId="77777777" w:rsidR="007D0FF3" w:rsidRPr="00744E29" w:rsidRDefault="007D0FF3" w:rsidP="00517329">
      <w:pPr>
        <w:rPr>
          <w:b/>
          <w:bCs/>
          <w:color w:val="0070C0"/>
          <w:sz w:val="16"/>
          <w:szCs w:val="16"/>
        </w:rPr>
      </w:pPr>
    </w:p>
    <w:p w14:paraId="5CBE194D" w14:textId="37D43F17" w:rsidR="00DC53B0" w:rsidRPr="00744E29" w:rsidRDefault="00C95D2E" w:rsidP="00517329">
      <w:pPr>
        <w:rPr>
          <w:b/>
          <w:bCs/>
          <w:color w:val="0070C0"/>
        </w:rPr>
      </w:pPr>
      <w:r w:rsidRPr="00744E29">
        <w:rPr>
          <w:b/>
          <w:color w:val="0070C0"/>
        </w:rPr>
        <w:t>Creche/Pré-escola</w:t>
      </w:r>
      <w:r w:rsidRPr="00744E29">
        <w:rPr>
          <w:b/>
          <w:color w:val="0070C0"/>
          <w:sz w:val="32"/>
          <w:vertAlign w:val="superscript"/>
        </w:rPr>
        <w:t>¶†</w:t>
      </w:r>
    </w:p>
    <w:p w14:paraId="03DD7DD6" w14:textId="0C977F0A" w:rsidR="00DC53B0" w:rsidRPr="00744E29" w:rsidRDefault="00C95D2E" w:rsidP="00517329">
      <w:pPr>
        <w:rPr>
          <w:vanish/>
          <w:spacing w:val="-4"/>
          <w:specVanish/>
        </w:rPr>
      </w:pPr>
      <w:r w:rsidRPr="00744E29">
        <w:rPr>
          <w:spacing w:val="-4"/>
        </w:rPr>
        <w:t xml:space="preserve">Os participantes com menos de 2 anos de idade devem ser imunizados para sua idade de acordo com o </w:t>
      </w:r>
      <w:hyperlink r:id="rId10" w:history="1">
        <w:r w:rsidRPr="00744E29">
          <w:rPr>
            <w:rStyle w:val="Hyperlink"/>
            <w:spacing w:val="-4"/>
          </w:rPr>
          <w:t>calendário de imunização recomendado pelo ACIP para 2025</w:t>
        </w:r>
      </w:hyperlink>
      <w:r w:rsidRPr="00744E29">
        <w:rPr>
          <w:spacing w:val="-4"/>
        </w:rPr>
        <w:t>.</w:t>
      </w:r>
      <w:r w:rsidR="00C67D03" w:rsidRPr="00744E29">
        <w:rPr>
          <w:spacing w:val="-4"/>
        </w:rPr>
        <w:t xml:space="preserve"> </w:t>
      </w:r>
      <w:r w:rsidRPr="00744E29">
        <w:rPr>
          <w:spacing w:val="-4"/>
        </w:rPr>
        <w:t>Os requisitos listados na tabela abaixo se aplicam a todos os participantes com</w:t>
      </w:r>
      <w:r w:rsidR="00B35BF1" w:rsidRPr="00744E29">
        <w:rPr>
          <w:spacing w:val="-4"/>
        </w:rPr>
        <w:t>`</w:t>
      </w:r>
      <w:r w:rsidRPr="00744E29">
        <w:rPr>
          <w:spacing w:val="-4"/>
        </w:rPr>
        <w:t xml:space="preserve">idade ≥2 </w:t>
      </w:r>
      <w:r w:rsidR="00975963" w:rsidRPr="00744E29">
        <w:rPr>
          <w:spacing w:val="-4"/>
        </w:rPr>
        <w:t>anos. Esses</w:t>
      </w:r>
      <w:r w:rsidRPr="00744E29">
        <w:rPr>
          <w:spacing w:val="-4"/>
        </w:rPr>
        <w:t xml:space="preserve"> requisitos também se aplicam a crianças nas turmas de educação infantil chamadas K0 ou K1.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9223"/>
      </w:tblGrid>
      <w:tr w:rsidR="00DC53B0" w:rsidRPr="00744E29" w14:paraId="204C1540" w14:textId="77777777" w:rsidTr="009E1D58">
        <w:trPr>
          <w:trHeight w:hRule="exact" w:val="432"/>
        </w:trPr>
        <w:tc>
          <w:tcPr>
            <w:tcW w:w="726" w:type="pct"/>
            <w:shd w:val="clear" w:color="auto" w:fill="C5DBFB"/>
            <w:vAlign w:val="center"/>
          </w:tcPr>
          <w:p w14:paraId="63312C91" w14:textId="64A9B7CB" w:rsidR="00DC53B0" w:rsidRPr="00744E29" w:rsidRDefault="00B35BF1" w:rsidP="0027174C">
            <w:pPr>
              <w:ind w:left="43"/>
            </w:pPr>
            <w:r w:rsidRPr="00744E29">
              <w:t xml:space="preserve"> </w:t>
            </w:r>
            <w:r w:rsidR="00C95D2E" w:rsidRPr="00744E29">
              <w:t>Hib</w:t>
            </w:r>
          </w:p>
        </w:tc>
        <w:tc>
          <w:tcPr>
            <w:tcW w:w="4274" w:type="pct"/>
            <w:vAlign w:val="center"/>
          </w:tcPr>
          <w:p w14:paraId="7087AEDC" w14:textId="7B0769CA" w:rsidR="00DC53B0" w:rsidRPr="00744E29" w:rsidRDefault="00C95D2E" w:rsidP="0027174C">
            <w:pPr>
              <w:ind w:left="43"/>
            </w:pPr>
            <w:r w:rsidRPr="00744E29">
              <w:rPr>
                <w:b/>
              </w:rPr>
              <w:t xml:space="preserve">1–4 doses; </w:t>
            </w:r>
            <w:r w:rsidRPr="00744E29">
              <w:t>o número de doses é determinado pelo produto da vacina e pela idade de início da série</w:t>
            </w:r>
          </w:p>
        </w:tc>
      </w:tr>
      <w:tr w:rsidR="00DC53B0" w:rsidRPr="00744E29" w14:paraId="276188CD" w14:textId="77777777" w:rsidTr="009E1D58">
        <w:trPr>
          <w:trHeight w:hRule="exact" w:val="432"/>
        </w:trPr>
        <w:tc>
          <w:tcPr>
            <w:tcW w:w="726" w:type="pct"/>
            <w:shd w:val="clear" w:color="auto" w:fill="C5DBFB"/>
            <w:vAlign w:val="center"/>
          </w:tcPr>
          <w:p w14:paraId="21D7FE4F" w14:textId="77777777" w:rsidR="00DC53B0" w:rsidRPr="00744E29" w:rsidRDefault="00C95D2E" w:rsidP="0027174C">
            <w:pPr>
              <w:ind w:left="43"/>
            </w:pPr>
            <w:r w:rsidRPr="00744E29">
              <w:t>DTaP</w:t>
            </w:r>
          </w:p>
        </w:tc>
        <w:tc>
          <w:tcPr>
            <w:tcW w:w="4274" w:type="pct"/>
            <w:vAlign w:val="center"/>
          </w:tcPr>
          <w:p w14:paraId="7643F02B" w14:textId="77777777" w:rsidR="00DC53B0" w:rsidRPr="00744E29" w:rsidRDefault="00C95D2E" w:rsidP="0027174C">
            <w:pPr>
              <w:ind w:left="43"/>
            </w:pPr>
            <w:r w:rsidRPr="00744E29">
              <w:rPr>
                <w:b/>
              </w:rPr>
              <w:t>4 doses</w:t>
            </w:r>
          </w:p>
        </w:tc>
      </w:tr>
      <w:tr w:rsidR="00DC53B0" w:rsidRPr="00744E29" w14:paraId="472102E3" w14:textId="77777777" w:rsidTr="009E1D58">
        <w:trPr>
          <w:trHeight w:hRule="exact" w:val="432"/>
        </w:trPr>
        <w:tc>
          <w:tcPr>
            <w:tcW w:w="726" w:type="pct"/>
            <w:shd w:val="clear" w:color="auto" w:fill="C5DBFB"/>
            <w:vAlign w:val="center"/>
          </w:tcPr>
          <w:p w14:paraId="63C9D898" w14:textId="77777777" w:rsidR="00DC53B0" w:rsidRPr="00744E29" w:rsidRDefault="00C95D2E" w:rsidP="0027174C">
            <w:pPr>
              <w:ind w:left="43"/>
            </w:pPr>
            <w:r w:rsidRPr="00744E29">
              <w:t>Pólio</w:t>
            </w:r>
          </w:p>
        </w:tc>
        <w:tc>
          <w:tcPr>
            <w:tcW w:w="4274" w:type="pct"/>
            <w:vAlign w:val="center"/>
          </w:tcPr>
          <w:p w14:paraId="51871AEE" w14:textId="77777777" w:rsidR="00DC53B0" w:rsidRPr="00744E29" w:rsidRDefault="00C95D2E" w:rsidP="0027174C">
            <w:pPr>
              <w:ind w:left="43"/>
            </w:pPr>
            <w:r w:rsidRPr="00744E29">
              <w:rPr>
                <w:b/>
              </w:rPr>
              <w:t>3 doses</w:t>
            </w:r>
          </w:p>
        </w:tc>
      </w:tr>
      <w:tr w:rsidR="00DC53B0" w:rsidRPr="00744E29" w14:paraId="41C9D52B" w14:textId="77777777" w:rsidTr="009E1D58">
        <w:trPr>
          <w:trHeight w:hRule="exact" w:val="432"/>
        </w:trPr>
        <w:tc>
          <w:tcPr>
            <w:tcW w:w="726" w:type="pct"/>
            <w:shd w:val="clear" w:color="auto" w:fill="C5DBFB"/>
            <w:vAlign w:val="center"/>
          </w:tcPr>
          <w:p w14:paraId="5878A3EB" w14:textId="77777777" w:rsidR="00DC53B0" w:rsidRPr="00744E29" w:rsidRDefault="00C95D2E" w:rsidP="0027174C">
            <w:pPr>
              <w:ind w:left="43"/>
            </w:pPr>
            <w:r w:rsidRPr="00744E29">
              <w:t>Hepatite B</w:t>
            </w:r>
          </w:p>
        </w:tc>
        <w:tc>
          <w:tcPr>
            <w:tcW w:w="4274" w:type="pct"/>
            <w:vAlign w:val="center"/>
          </w:tcPr>
          <w:p w14:paraId="273545F7" w14:textId="77777777" w:rsidR="00DC53B0" w:rsidRPr="00744E29" w:rsidRDefault="00C95D2E" w:rsidP="0027174C">
            <w:pPr>
              <w:ind w:left="43"/>
            </w:pPr>
            <w:r w:rsidRPr="00744E29">
              <w:rPr>
                <w:b/>
              </w:rPr>
              <w:t xml:space="preserve">3 doses; </w:t>
            </w:r>
            <w:r w:rsidRPr="00744E29">
              <w:t>evidência laboratorial de imunidade aceitável</w:t>
            </w:r>
          </w:p>
        </w:tc>
      </w:tr>
      <w:tr w:rsidR="00DC53B0" w:rsidRPr="00744E29" w14:paraId="7DC8BFDC" w14:textId="77777777" w:rsidTr="00B35BF1">
        <w:trPr>
          <w:trHeight w:hRule="exact" w:val="667"/>
        </w:trPr>
        <w:tc>
          <w:tcPr>
            <w:tcW w:w="726" w:type="pct"/>
            <w:shd w:val="clear" w:color="auto" w:fill="C5DBFB"/>
            <w:vAlign w:val="center"/>
          </w:tcPr>
          <w:p w14:paraId="7703B48D" w14:textId="77777777" w:rsidR="00DC53B0" w:rsidRPr="00744E29" w:rsidRDefault="00C95D2E" w:rsidP="0027174C">
            <w:pPr>
              <w:ind w:left="43"/>
            </w:pPr>
            <w:r w:rsidRPr="00744E29">
              <w:t>MMR</w:t>
            </w:r>
          </w:p>
        </w:tc>
        <w:tc>
          <w:tcPr>
            <w:tcW w:w="4274" w:type="pct"/>
            <w:vAlign w:val="center"/>
          </w:tcPr>
          <w:p w14:paraId="64326E92" w14:textId="77777777" w:rsidR="00DC53B0" w:rsidRPr="00744E29" w:rsidRDefault="00C95D2E" w:rsidP="0027174C">
            <w:pPr>
              <w:ind w:left="43"/>
            </w:pPr>
            <w:r w:rsidRPr="00744E29">
              <w:rPr>
                <w:b/>
              </w:rPr>
              <w:t xml:space="preserve">1 dose; </w:t>
            </w:r>
            <w:r w:rsidRPr="00744E29">
              <w:t>deve ser administrada no aniversário de 1 ano ou depois; evidência laboratorial de imunidade aceitável</w:t>
            </w:r>
          </w:p>
        </w:tc>
      </w:tr>
      <w:tr w:rsidR="00DC53B0" w:rsidRPr="00744E29" w14:paraId="3F2C52F8" w14:textId="77777777" w:rsidTr="009E1D58">
        <w:trPr>
          <w:trHeight w:hRule="exact" w:val="720"/>
        </w:trPr>
        <w:tc>
          <w:tcPr>
            <w:tcW w:w="726" w:type="pct"/>
            <w:shd w:val="clear" w:color="auto" w:fill="C5DBFB"/>
            <w:vAlign w:val="center"/>
          </w:tcPr>
          <w:p w14:paraId="46DF44D1" w14:textId="77777777" w:rsidR="00DC53B0" w:rsidRPr="00744E29" w:rsidRDefault="00C95D2E" w:rsidP="0027174C">
            <w:pPr>
              <w:ind w:left="43"/>
            </w:pPr>
            <w:r w:rsidRPr="00744E29">
              <w:t>Varicela</w:t>
            </w:r>
          </w:p>
        </w:tc>
        <w:tc>
          <w:tcPr>
            <w:tcW w:w="4274" w:type="pct"/>
            <w:vAlign w:val="center"/>
          </w:tcPr>
          <w:p w14:paraId="7E5FE049" w14:textId="77777777" w:rsidR="00DC53B0" w:rsidRPr="00744E29" w:rsidRDefault="00C95D2E" w:rsidP="0027174C">
            <w:pPr>
              <w:ind w:left="43"/>
            </w:pPr>
            <w:r w:rsidRPr="00744E29">
              <w:rPr>
                <w:b/>
              </w:rPr>
              <w:t xml:space="preserve">1 dose; </w:t>
            </w:r>
            <w:r w:rsidRPr="00744E29">
              <w:t>deve ser administrada no aniversário de 1 ano ou depois; um histórico confiável de catapora* ou evidência laboratorial de imunidade aceitável</w:t>
            </w:r>
          </w:p>
        </w:tc>
      </w:tr>
    </w:tbl>
    <w:p w14:paraId="0EC5A030" w14:textId="77777777" w:rsidR="0092536D" w:rsidRPr="00744E29" w:rsidRDefault="0092536D" w:rsidP="00051B8A">
      <w:pPr>
        <w:rPr>
          <w:b/>
          <w:bCs/>
          <w:color w:val="0070C0"/>
          <w:spacing w:val="-1"/>
        </w:rPr>
      </w:pPr>
    </w:p>
    <w:p w14:paraId="651B9A95" w14:textId="499C5DC1" w:rsidR="00DC53B0" w:rsidRPr="00744E29" w:rsidRDefault="00C95D2E" w:rsidP="00051B8A">
      <w:r w:rsidRPr="00744E29">
        <w:rPr>
          <w:b/>
          <w:color w:val="0070C0"/>
        </w:rPr>
        <w:t>Séries do jardim de infância ao 6º ano</w:t>
      </w:r>
      <w:r w:rsidRPr="00744E29">
        <w:rPr>
          <w:b/>
          <w:color w:val="0070C0"/>
          <w:sz w:val="32"/>
          <w:vertAlign w:val="superscript"/>
        </w:rPr>
        <w:t>¶†</w:t>
      </w:r>
    </w:p>
    <w:p w14:paraId="6F0637F1" w14:textId="77777777" w:rsidR="00DC53B0" w:rsidRPr="00744E29" w:rsidRDefault="00C95D2E" w:rsidP="00517329">
      <w:r w:rsidRPr="00744E29">
        <w:t>Em turmas não classificadas, os requisitos de Jardim de Infância se aplicam a todos os alunos com ≥5.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9217"/>
      </w:tblGrid>
      <w:tr w:rsidR="00DC53B0" w:rsidRPr="00744E29" w14:paraId="1BCB3A07" w14:textId="77777777" w:rsidTr="009E1D58">
        <w:trPr>
          <w:trHeight w:hRule="exact" w:val="720"/>
        </w:trPr>
        <w:tc>
          <w:tcPr>
            <w:tcW w:w="729" w:type="pct"/>
            <w:shd w:val="clear" w:color="auto" w:fill="C5DBFB"/>
            <w:vAlign w:val="center"/>
          </w:tcPr>
          <w:p w14:paraId="114A1BC2" w14:textId="6FBADACD" w:rsidR="00DC53B0" w:rsidRPr="00744E29" w:rsidRDefault="00C95D2E" w:rsidP="0027174C">
            <w:pPr>
              <w:ind w:left="43"/>
            </w:pPr>
            <w:r w:rsidRPr="00744E29">
              <w:t>DTaP/Tdap</w:t>
            </w:r>
          </w:p>
        </w:tc>
        <w:tc>
          <w:tcPr>
            <w:tcW w:w="4271" w:type="pct"/>
            <w:vAlign w:val="center"/>
          </w:tcPr>
          <w:p w14:paraId="63179C12" w14:textId="125F1988" w:rsidR="00DC53B0" w:rsidRPr="00744E29" w:rsidRDefault="00C95D2E" w:rsidP="0027174C">
            <w:pPr>
              <w:ind w:left="43"/>
            </w:pPr>
            <w:r w:rsidRPr="00744E29">
              <w:rPr>
                <w:b/>
              </w:rPr>
              <w:t xml:space="preserve">5 doses; </w:t>
            </w:r>
            <w:r w:rsidRPr="00744E29">
              <w:t xml:space="preserve">4 doses são aceitáveis se a quarta dose for dada no dia ou após o aniversário de 4 anos; </w:t>
            </w:r>
            <w:r w:rsidR="00B35BF1" w:rsidRPr="00744E29">
              <w:br/>
            </w:r>
            <w:r w:rsidRPr="00744E29">
              <w:t>a DT só é aceitável com uma carta declarando uma contraindicação médica à DTaP</w:t>
            </w:r>
          </w:p>
        </w:tc>
      </w:tr>
      <w:tr w:rsidR="00DC53B0" w:rsidRPr="00744E29" w14:paraId="7B5EDF01" w14:textId="77777777" w:rsidTr="009E1D58">
        <w:trPr>
          <w:trHeight w:hRule="exact" w:val="1008"/>
        </w:trPr>
        <w:tc>
          <w:tcPr>
            <w:tcW w:w="729" w:type="pct"/>
            <w:shd w:val="clear" w:color="auto" w:fill="C5DBFB"/>
            <w:vAlign w:val="center"/>
          </w:tcPr>
          <w:p w14:paraId="206F87A1" w14:textId="77777777" w:rsidR="00DC53B0" w:rsidRPr="00744E29" w:rsidRDefault="00C95D2E" w:rsidP="0027174C">
            <w:pPr>
              <w:ind w:left="43"/>
            </w:pPr>
            <w:r w:rsidRPr="00744E29">
              <w:t>Pólio</w:t>
            </w:r>
          </w:p>
        </w:tc>
        <w:tc>
          <w:tcPr>
            <w:tcW w:w="4271" w:type="pct"/>
            <w:vAlign w:val="center"/>
          </w:tcPr>
          <w:p w14:paraId="71B301F4" w14:textId="2A707A33" w:rsidR="00DC53B0" w:rsidRPr="00744E29" w:rsidRDefault="00C95D2E" w:rsidP="0027174C">
            <w:pPr>
              <w:ind w:left="43"/>
            </w:pPr>
            <w:r w:rsidRPr="00744E29">
              <w:rPr>
                <w:b/>
              </w:rPr>
              <w:t xml:space="preserve">4 doses; </w:t>
            </w:r>
            <w:r w:rsidRPr="00744E29">
              <w:t>a quarta dose deve ser administrada no dia ou após o aniversário de 4 anos e ≥6 meses após</w:t>
            </w:r>
            <w:r w:rsidR="00B35BF1" w:rsidRPr="00744E29">
              <w:t> </w:t>
            </w:r>
            <w:r w:rsidRPr="00744E29">
              <w:t>a dose anterior ou uma quinta dose é necessária; 3 doses são aceitáveis se a terceira dose for</w:t>
            </w:r>
            <w:r w:rsidR="00B35BF1" w:rsidRPr="00744E29">
              <w:t> </w:t>
            </w:r>
            <w:r w:rsidRPr="00744E29">
              <w:t>administrada no dia ou após o aniversário de 4 anos e ≥6 meses após a dose anterior</w:t>
            </w:r>
          </w:p>
        </w:tc>
      </w:tr>
      <w:tr w:rsidR="00DC53B0" w:rsidRPr="00744E29" w14:paraId="7323E26E" w14:textId="77777777" w:rsidTr="009E1D58">
        <w:trPr>
          <w:trHeight w:hRule="exact" w:val="432"/>
        </w:trPr>
        <w:tc>
          <w:tcPr>
            <w:tcW w:w="729" w:type="pct"/>
            <w:shd w:val="clear" w:color="auto" w:fill="C5DBFB"/>
            <w:vAlign w:val="center"/>
          </w:tcPr>
          <w:p w14:paraId="019E22D4" w14:textId="77777777" w:rsidR="00DC53B0" w:rsidRPr="00744E29" w:rsidRDefault="00C95D2E" w:rsidP="0027174C">
            <w:pPr>
              <w:ind w:left="43"/>
            </w:pPr>
            <w:r w:rsidRPr="00744E29">
              <w:t>Hepatite B</w:t>
            </w:r>
          </w:p>
        </w:tc>
        <w:tc>
          <w:tcPr>
            <w:tcW w:w="4271" w:type="pct"/>
            <w:vAlign w:val="center"/>
          </w:tcPr>
          <w:p w14:paraId="2AAABD10" w14:textId="77777777" w:rsidR="00DC53B0" w:rsidRPr="00744E29" w:rsidRDefault="00C95D2E" w:rsidP="0027174C">
            <w:pPr>
              <w:ind w:left="43"/>
            </w:pPr>
            <w:r w:rsidRPr="00744E29">
              <w:rPr>
                <w:b/>
              </w:rPr>
              <w:t xml:space="preserve">3 doses; </w:t>
            </w:r>
            <w:r w:rsidRPr="00744E29">
              <w:t>evidência laboratorial de imunidade aceitável</w:t>
            </w:r>
          </w:p>
        </w:tc>
      </w:tr>
      <w:tr w:rsidR="00DC53B0" w:rsidRPr="00744E29" w14:paraId="5D26525F" w14:textId="77777777" w:rsidTr="009E1D58">
        <w:trPr>
          <w:trHeight w:hRule="exact" w:val="720"/>
        </w:trPr>
        <w:tc>
          <w:tcPr>
            <w:tcW w:w="729" w:type="pct"/>
            <w:shd w:val="clear" w:color="auto" w:fill="C5DBFB"/>
            <w:vAlign w:val="center"/>
          </w:tcPr>
          <w:p w14:paraId="58476A54" w14:textId="77777777" w:rsidR="00DC53B0" w:rsidRPr="00744E29" w:rsidRDefault="00C95D2E" w:rsidP="0027174C">
            <w:pPr>
              <w:ind w:left="43"/>
            </w:pPr>
            <w:r w:rsidRPr="00744E29">
              <w:t>MMR</w:t>
            </w:r>
          </w:p>
        </w:tc>
        <w:tc>
          <w:tcPr>
            <w:tcW w:w="4271" w:type="pct"/>
            <w:vAlign w:val="center"/>
          </w:tcPr>
          <w:p w14:paraId="46C70C0E" w14:textId="5C49B2D9" w:rsidR="00DC53B0" w:rsidRPr="00744E29" w:rsidRDefault="00C95D2E" w:rsidP="0027174C">
            <w:pPr>
              <w:ind w:left="43"/>
              <w:rPr>
                <w:spacing w:val="-4"/>
              </w:rPr>
            </w:pPr>
            <w:r w:rsidRPr="00744E29">
              <w:rPr>
                <w:b/>
                <w:spacing w:val="-4"/>
              </w:rPr>
              <w:t xml:space="preserve">2 doses; </w:t>
            </w:r>
            <w:r w:rsidRPr="00744E29">
              <w:rPr>
                <w:spacing w:val="-4"/>
              </w:rPr>
              <w:t>a primeira dose deve ser administrada no dia do aniversário de 1 ano ou depois, e a segunda dose</w:t>
            </w:r>
            <w:r w:rsidR="00B35BF1" w:rsidRPr="00744E29">
              <w:rPr>
                <w:spacing w:val="-4"/>
              </w:rPr>
              <w:t> </w:t>
            </w:r>
            <w:r w:rsidRPr="00744E29">
              <w:rPr>
                <w:spacing w:val="-4"/>
              </w:rPr>
              <w:t>deve ser administrada ≥28 dias após a primeira dose; evidência laboratorial de imunidade aceitável</w:t>
            </w:r>
          </w:p>
        </w:tc>
      </w:tr>
      <w:tr w:rsidR="00DC53B0" w:rsidRPr="00744E29" w14:paraId="5362CC29" w14:textId="77777777" w:rsidTr="00B35BF1">
        <w:trPr>
          <w:trHeight w:hRule="exact" w:val="865"/>
        </w:trPr>
        <w:tc>
          <w:tcPr>
            <w:tcW w:w="729" w:type="pct"/>
            <w:shd w:val="clear" w:color="auto" w:fill="C5DBFB"/>
            <w:vAlign w:val="center"/>
          </w:tcPr>
          <w:p w14:paraId="15A784EE" w14:textId="77777777" w:rsidR="00DC53B0" w:rsidRPr="00744E29" w:rsidRDefault="00C95D2E" w:rsidP="0027174C">
            <w:pPr>
              <w:ind w:left="43"/>
            </w:pPr>
            <w:r w:rsidRPr="00744E29">
              <w:t>Varicela</w:t>
            </w:r>
          </w:p>
        </w:tc>
        <w:tc>
          <w:tcPr>
            <w:tcW w:w="4271" w:type="pct"/>
            <w:vAlign w:val="center"/>
          </w:tcPr>
          <w:p w14:paraId="56A3578E" w14:textId="77777777" w:rsidR="00DC53B0" w:rsidRPr="00744E29" w:rsidRDefault="00C95D2E" w:rsidP="0027174C">
            <w:pPr>
              <w:ind w:left="43"/>
            </w:pPr>
            <w:r w:rsidRPr="00744E29">
              <w:rPr>
                <w:b/>
              </w:rPr>
              <w:t xml:space="preserve">2 doses; </w:t>
            </w:r>
            <w:r w:rsidRPr="00744E29">
              <w:t>a primeira dose deve ser administrada no dia do aniversário de 1 ano ou depois, e a segunda dose deve ser administrada ≥28 dias após a primeira dose; um histórico confiável de catapora</w:t>
            </w:r>
            <w:r w:rsidRPr="00744E29">
              <w:rPr>
                <w:vertAlign w:val="superscript"/>
              </w:rPr>
              <w:t>*</w:t>
            </w:r>
            <w:r w:rsidRPr="00744E29">
              <w:t xml:space="preserve"> ou evidência laboratorial de imunidade aceitável</w:t>
            </w:r>
          </w:p>
        </w:tc>
      </w:tr>
    </w:tbl>
    <w:p w14:paraId="3315CFB7" w14:textId="77777777" w:rsidR="002E40EC" w:rsidRPr="00744E29" w:rsidRDefault="002E40EC" w:rsidP="00517329">
      <w:pPr>
        <w:rPr>
          <w:b/>
          <w:bCs/>
          <w:sz w:val="18"/>
          <w:szCs w:val="18"/>
        </w:rPr>
      </w:pPr>
      <w:bookmarkStart w:id="0" w:name="_Hlk44023794"/>
    </w:p>
    <w:p w14:paraId="571F75AE" w14:textId="0F635D2C" w:rsidR="00DC7293" w:rsidRPr="00744E29" w:rsidRDefault="00DC7293" w:rsidP="00517329">
      <w:pPr>
        <w:rPr>
          <w:sz w:val="18"/>
          <w:szCs w:val="18"/>
        </w:rPr>
      </w:pPr>
      <w:r w:rsidRPr="00744E29">
        <w:rPr>
          <w:b/>
          <w:sz w:val="18"/>
        </w:rPr>
        <w:t>§</w:t>
      </w:r>
      <w:r w:rsidRPr="00744E29">
        <w:rPr>
          <w:sz w:val="18"/>
        </w:rPr>
        <w:t xml:space="preserve"> Questões sobre a aplicação devem ser discutidas com o advogado </w:t>
      </w:r>
      <w:r w:rsidR="00975963" w:rsidRPr="00744E29">
        <w:rPr>
          <w:sz w:val="18"/>
        </w:rPr>
        <w:t>local. Os</w:t>
      </w:r>
      <w:r w:rsidRPr="00744E29">
        <w:rPr>
          <w:sz w:val="18"/>
        </w:rPr>
        <w:t xml:space="preserve"> requisitos escolares são aplicados em nível local.</w:t>
      </w:r>
    </w:p>
    <w:p w14:paraId="6CF287E6" w14:textId="148E414D" w:rsidR="00DC7293" w:rsidRPr="00744E29" w:rsidRDefault="00DC7293" w:rsidP="00517329">
      <w:pPr>
        <w:rPr>
          <w:sz w:val="18"/>
          <w:szCs w:val="18"/>
        </w:rPr>
      </w:pPr>
      <w:r w:rsidRPr="00744E29">
        <w:rPr>
          <w:b/>
          <w:sz w:val="18"/>
        </w:rPr>
        <w:t>¶</w:t>
      </w:r>
      <w:r w:rsidRPr="00744E29">
        <w:rPr>
          <w:sz w:val="18"/>
        </w:rPr>
        <w:t xml:space="preserve"> Os requisitos da vacina meningocócica (consultar as séries 7–10 e 11–12) também se aplicam aos alunos residenciais das séries pré-escolar </w:t>
      </w:r>
      <w:r w:rsidR="00B35BF1" w:rsidRPr="00744E29">
        <w:rPr>
          <w:sz w:val="18"/>
        </w:rPr>
        <w:br/>
      </w:r>
      <w:r w:rsidRPr="00744E29">
        <w:rPr>
          <w:sz w:val="18"/>
        </w:rPr>
        <w:t>a 8 se a escola combinar essas séries na mesma escola que os alunos das séries 9–12.</w:t>
      </w:r>
    </w:p>
    <w:p w14:paraId="2F546DC7" w14:textId="091EAA1C" w:rsidR="00DC7293" w:rsidRPr="00744E29" w:rsidRDefault="00DC7293" w:rsidP="00517329">
      <w:pPr>
        <w:rPr>
          <w:spacing w:val="-1"/>
          <w:sz w:val="18"/>
          <w:szCs w:val="18"/>
        </w:rPr>
      </w:pPr>
      <w:r w:rsidRPr="00744E29">
        <w:rPr>
          <w:b/>
          <w:sz w:val="18"/>
        </w:rPr>
        <w:t xml:space="preserve">† </w:t>
      </w:r>
      <w:r w:rsidRPr="00744E29">
        <w:rPr>
          <w:sz w:val="18"/>
        </w:rPr>
        <w:t>As exceções médicas (declaração de um médico afirmando que uma vacina é medicamente contraindicada para um aluno) devem ser renovadas anualmente no início do ano letivo, e as exceções religiosas (declaração de um aluno ou pai/responsável, se o aluno tiver menos de 18 anos de idade, afirmando que uma vacina é contra crenças religiosas sinceras) devem ser renovadas anualmente no início do ano letivo.</w:t>
      </w:r>
    </w:p>
    <w:p w14:paraId="76BF2297" w14:textId="33BF69ED" w:rsidR="0048308E" w:rsidRPr="00744E29" w:rsidRDefault="007C6D9B" w:rsidP="00517329">
      <w:pPr>
        <w:rPr>
          <w:spacing w:val="-1"/>
          <w:sz w:val="18"/>
          <w:szCs w:val="18"/>
        </w:rPr>
      </w:pPr>
      <w:r w:rsidRPr="00744E29">
        <w:rPr>
          <w:rFonts w:ascii="Lao UI" w:hAnsi="Lao UI"/>
          <w:b/>
          <w:sz w:val="18"/>
        </w:rPr>
        <w:t xml:space="preserve">* </w:t>
      </w:r>
      <w:r w:rsidRPr="00744E29">
        <w:rPr>
          <w:sz w:val="18"/>
        </w:rPr>
        <w:t>Um histórico confiável de catapora inclui o diagnóstico de catapora ou a interpretação da descrição de catapora feita pelos pais/responsáveis por</w:t>
      </w:r>
      <w:r w:rsidR="00B35BF1" w:rsidRPr="00744E29">
        <w:rPr>
          <w:sz w:val="18"/>
        </w:rPr>
        <w:t> </w:t>
      </w:r>
      <w:r w:rsidRPr="00744E29">
        <w:rPr>
          <w:sz w:val="18"/>
        </w:rPr>
        <w:t>um médico, enfermeiro, assistente médico ou pessoa designada.</w:t>
      </w:r>
    </w:p>
    <w:p w14:paraId="5180F434" w14:textId="77777777" w:rsidR="00555B33" w:rsidRPr="00744E29" w:rsidRDefault="00555B33" w:rsidP="00517329">
      <w:pPr>
        <w:rPr>
          <w:spacing w:val="-1"/>
          <w:sz w:val="18"/>
          <w:szCs w:val="18"/>
        </w:rPr>
      </w:pPr>
    </w:p>
    <w:p w14:paraId="409FCB19" w14:textId="025D707E" w:rsidR="00DC26A2" w:rsidRPr="00744E29" w:rsidRDefault="00DC7293" w:rsidP="00517329">
      <w:r w:rsidRPr="00744E29">
        <w:t>Consulte as páginas a seguir para as séries 7–10, 11–12 e faculdade (instituições pós-secundárias)</w:t>
      </w:r>
      <w:bookmarkEnd w:id="0"/>
    </w:p>
    <w:p w14:paraId="0BDD23E3" w14:textId="77777777" w:rsidR="007B10DB" w:rsidRPr="00744E29" w:rsidRDefault="007B10DB">
      <w:pPr>
        <w:rPr>
          <w:b/>
          <w:bCs/>
          <w:spacing w:val="-1"/>
        </w:rPr>
      </w:pPr>
      <w:r w:rsidRPr="00744E29">
        <w:br w:type="page"/>
      </w:r>
    </w:p>
    <w:p w14:paraId="2B40C374" w14:textId="77777777" w:rsidR="007B10DB" w:rsidRPr="00744E29" w:rsidRDefault="007B10DB" w:rsidP="00517329">
      <w:pPr>
        <w:rPr>
          <w:b/>
          <w:bCs/>
          <w:spacing w:val="-1"/>
        </w:rPr>
      </w:pPr>
    </w:p>
    <w:p w14:paraId="2D85F9FC" w14:textId="6E6904DE" w:rsidR="00517329" w:rsidRPr="00744E29" w:rsidRDefault="003F068A" w:rsidP="00517329">
      <w:pPr>
        <w:rPr>
          <w:b/>
          <w:bCs/>
          <w:spacing w:val="-5"/>
        </w:rPr>
      </w:pPr>
      <w:r w:rsidRPr="00744E29">
        <w:rPr>
          <w:b/>
          <w:spacing w:val="-5"/>
        </w:rPr>
        <w:t xml:space="preserve">Os requisitos se aplicam a todos os alunos, incluindo indivíduos de outros países que frequentam ou visitam aulas ou programas educacionais como parte de um programa de visitas acadêmicas ou de </w:t>
      </w:r>
      <w:r w:rsidR="00975963" w:rsidRPr="00744E29">
        <w:rPr>
          <w:b/>
          <w:spacing w:val="-5"/>
        </w:rPr>
        <w:t>intercâmbio. Os</w:t>
      </w:r>
      <w:r w:rsidRPr="00744E29">
        <w:rPr>
          <w:b/>
          <w:spacing w:val="-5"/>
        </w:rPr>
        <w:t xml:space="preserve"> requisitos se aplicam a todos os alunos de todas as séries, mesmo que tenham mais de 18 anos de idade. As doses que atendem às recomendações do ACIP </w:t>
      </w:r>
      <w:hyperlink r:id="rId11" w:history="1">
        <w:r w:rsidRPr="00744E29">
          <w:rPr>
            <w:rStyle w:val="Hyperlink"/>
            <w:b/>
            <w:spacing w:val="-5"/>
          </w:rPr>
          <w:t>conforme adotadas pelo CDC no dia 24 de outubro de 2024</w:t>
        </w:r>
      </w:hyperlink>
      <w:r w:rsidRPr="00744E29">
        <w:rPr>
          <w:b/>
          <w:spacing w:val="-5"/>
        </w:rPr>
        <w:t>, também atendem aos requisitos da escola.</w:t>
      </w:r>
    </w:p>
    <w:p w14:paraId="1D83C9D5" w14:textId="77777777" w:rsidR="007D0FF3" w:rsidRPr="00744E29" w:rsidRDefault="007D0FF3" w:rsidP="00051B8A">
      <w:pPr>
        <w:rPr>
          <w:b/>
          <w:bCs/>
          <w:color w:val="0070C0"/>
          <w:spacing w:val="-1"/>
        </w:rPr>
      </w:pPr>
    </w:p>
    <w:p w14:paraId="0B6B4DE2" w14:textId="6284D8F3" w:rsidR="00DC53B0" w:rsidRPr="00744E29" w:rsidRDefault="00C95D2E" w:rsidP="00051B8A">
      <w:pPr>
        <w:rPr>
          <w:b/>
          <w:bCs/>
        </w:rPr>
      </w:pPr>
      <w:r w:rsidRPr="00744E29">
        <w:rPr>
          <w:b/>
          <w:color w:val="0070C0"/>
        </w:rPr>
        <w:t>Séries 7–12</w:t>
      </w:r>
      <w:r w:rsidRPr="00744E29">
        <w:rPr>
          <w:b/>
          <w:color w:val="0070C0"/>
          <w:sz w:val="32"/>
          <w:vertAlign w:val="superscript"/>
        </w:rPr>
        <w:t>†</w:t>
      </w:r>
    </w:p>
    <w:p w14:paraId="2E979990" w14:textId="261668A5" w:rsidR="00DC53B0" w:rsidRPr="00744E29" w:rsidRDefault="00C95D2E" w:rsidP="00517329">
      <w:r w:rsidRPr="00744E29">
        <w:t>Em turmas não classificadas, os requisitos da 7ª série se aplicam a todos os alunos com ≥12 anos.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4"/>
        <w:gridCol w:w="9126"/>
      </w:tblGrid>
      <w:tr w:rsidR="00DC53B0" w:rsidRPr="00744E29" w14:paraId="4CF63F53" w14:textId="77777777" w:rsidTr="00B35BF1">
        <w:trPr>
          <w:trHeight w:hRule="exact" w:val="1225"/>
        </w:trPr>
        <w:tc>
          <w:tcPr>
            <w:tcW w:w="771" w:type="pct"/>
            <w:shd w:val="clear" w:color="auto" w:fill="C5DBFB"/>
            <w:vAlign w:val="center"/>
          </w:tcPr>
          <w:p w14:paraId="3B8E5936" w14:textId="77777777" w:rsidR="00DC53B0" w:rsidRPr="00744E29" w:rsidRDefault="00C95D2E" w:rsidP="00D2228B">
            <w:pPr>
              <w:ind w:left="43"/>
            </w:pPr>
            <w:r w:rsidRPr="00744E29">
              <w:t>Tdap</w:t>
            </w:r>
          </w:p>
        </w:tc>
        <w:tc>
          <w:tcPr>
            <w:tcW w:w="4229" w:type="pct"/>
            <w:vAlign w:val="center"/>
          </w:tcPr>
          <w:p w14:paraId="5F01390B" w14:textId="45DCA471" w:rsidR="00DC53B0" w:rsidRPr="00744E29" w:rsidRDefault="00C95D2E" w:rsidP="00D2228B">
            <w:pPr>
              <w:ind w:left="43"/>
            </w:pPr>
            <w:r w:rsidRPr="00744E29">
              <w:rPr>
                <w:b/>
              </w:rPr>
              <w:t xml:space="preserve">1 dose; </w:t>
            </w:r>
            <w:r w:rsidRPr="00744E29">
              <w:t xml:space="preserve">e histórico da série primária de DTaP ou vacinação de recuperação adequada para a idade; Tdap administrado a partir de 7 anos pode ser contado, mas é recomendada uma dose aos 11–12 anos caso tenha sido administrado anteriormente como parte de um cronograma de recuperação; </w:t>
            </w:r>
            <w:r w:rsidR="00B35BF1" w:rsidRPr="00744E29">
              <w:br/>
            </w:r>
            <w:r w:rsidRPr="00744E29">
              <w:t>Td ou Tdap deve ser administrado se já se passaram ≥10 anos desde a última dose de Tdap</w:t>
            </w:r>
          </w:p>
        </w:tc>
      </w:tr>
      <w:tr w:rsidR="00DC53B0" w:rsidRPr="00744E29" w14:paraId="3A4D5312" w14:textId="77777777" w:rsidTr="009E1D58">
        <w:trPr>
          <w:trHeight w:hRule="exact" w:val="1008"/>
        </w:trPr>
        <w:tc>
          <w:tcPr>
            <w:tcW w:w="771" w:type="pct"/>
            <w:shd w:val="clear" w:color="auto" w:fill="C5DBFB"/>
            <w:vAlign w:val="center"/>
          </w:tcPr>
          <w:p w14:paraId="7051EF96" w14:textId="77777777" w:rsidR="00DC53B0" w:rsidRPr="00744E29" w:rsidRDefault="00C95D2E" w:rsidP="00D2228B">
            <w:pPr>
              <w:ind w:left="43"/>
            </w:pPr>
            <w:r w:rsidRPr="00744E29">
              <w:t>Pólio</w:t>
            </w:r>
          </w:p>
        </w:tc>
        <w:tc>
          <w:tcPr>
            <w:tcW w:w="4229" w:type="pct"/>
            <w:vAlign w:val="center"/>
          </w:tcPr>
          <w:p w14:paraId="1261502C" w14:textId="48C7962B" w:rsidR="00DC53B0" w:rsidRPr="00744E29" w:rsidRDefault="00C95D2E" w:rsidP="00D2228B">
            <w:pPr>
              <w:ind w:left="43"/>
            </w:pPr>
            <w:r w:rsidRPr="00744E29">
              <w:rPr>
                <w:b/>
              </w:rPr>
              <w:t xml:space="preserve">4 doses; </w:t>
            </w:r>
            <w:r w:rsidRPr="00744E29">
              <w:t>a quarta dose deve ser administrada no dia ou após o aniversário de 4 anos e ≥6 meses após</w:t>
            </w:r>
            <w:r w:rsidR="00B35BF1" w:rsidRPr="00744E29">
              <w:t> </w:t>
            </w:r>
            <w:r w:rsidRPr="00744E29">
              <w:t>a dose anterior ou uma quinta dose é necessária; 3 doses são aceitáveis se a terceira dose for</w:t>
            </w:r>
            <w:r w:rsidR="00B35BF1" w:rsidRPr="00744E29">
              <w:t> </w:t>
            </w:r>
            <w:r w:rsidRPr="00744E29">
              <w:t>administrada no dia ou após o aniversário de 4 anos e ≥6 meses após a dose anterior</w:t>
            </w:r>
          </w:p>
        </w:tc>
      </w:tr>
      <w:tr w:rsidR="00DC53B0" w:rsidRPr="00744E29" w14:paraId="62031E31" w14:textId="77777777" w:rsidTr="009E1D58">
        <w:trPr>
          <w:trHeight w:val="720"/>
        </w:trPr>
        <w:tc>
          <w:tcPr>
            <w:tcW w:w="771" w:type="pct"/>
            <w:shd w:val="clear" w:color="auto" w:fill="C5DBFB"/>
            <w:vAlign w:val="center"/>
          </w:tcPr>
          <w:p w14:paraId="43789E06" w14:textId="77777777" w:rsidR="00DC53B0" w:rsidRPr="00744E29" w:rsidRDefault="00C95D2E" w:rsidP="00D2228B">
            <w:pPr>
              <w:ind w:left="43"/>
            </w:pPr>
            <w:r w:rsidRPr="00744E29">
              <w:t>Hepatite B</w:t>
            </w:r>
          </w:p>
        </w:tc>
        <w:tc>
          <w:tcPr>
            <w:tcW w:w="4229" w:type="pct"/>
            <w:vAlign w:val="center"/>
          </w:tcPr>
          <w:p w14:paraId="055326C6" w14:textId="01BF20BE" w:rsidR="00DC53B0" w:rsidRPr="00744E29" w:rsidRDefault="00C95D2E" w:rsidP="00D2228B">
            <w:pPr>
              <w:ind w:left="43"/>
            </w:pPr>
            <w:r w:rsidRPr="00744E29">
              <w:rPr>
                <w:b/>
              </w:rPr>
              <w:t xml:space="preserve">3 doses; </w:t>
            </w:r>
            <w:r w:rsidRPr="00744E29">
              <w:t xml:space="preserve">evidência laboratorial de imunidade aceitável; 2 doses de Heplisav-B administradas </w:t>
            </w:r>
            <w:r w:rsidR="008C7158" w:rsidRPr="00744E29">
              <w:br/>
            </w:r>
            <w:r w:rsidRPr="00744E29">
              <w:t>aos</w:t>
            </w:r>
            <w:r w:rsidR="008C7158" w:rsidRPr="00744E29">
              <w:t xml:space="preserve"> </w:t>
            </w:r>
            <w:r w:rsidRPr="00744E29">
              <w:t>18 anos de</w:t>
            </w:r>
            <w:r w:rsidRPr="00744E29">
              <w:rPr>
                <w:b/>
              </w:rPr>
              <w:t xml:space="preserve"> </w:t>
            </w:r>
            <w:r w:rsidRPr="00744E29">
              <w:t>idade ou após essa idade são aceitáveis</w:t>
            </w:r>
          </w:p>
        </w:tc>
      </w:tr>
      <w:tr w:rsidR="00DC53B0" w:rsidRPr="00744E29" w14:paraId="6AEAC578" w14:textId="77777777" w:rsidTr="009E1D58">
        <w:trPr>
          <w:trHeight w:val="720"/>
        </w:trPr>
        <w:tc>
          <w:tcPr>
            <w:tcW w:w="771" w:type="pct"/>
            <w:shd w:val="clear" w:color="auto" w:fill="C5DBFB"/>
            <w:vAlign w:val="center"/>
          </w:tcPr>
          <w:p w14:paraId="2CAA3AB5" w14:textId="77777777" w:rsidR="00DC53B0" w:rsidRPr="00744E29" w:rsidRDefault="00C95D2E" w:rsidP="00D2228B">
            <w:pPr>
              <w:ind w:left="43"/>
            </w:pPr>
            <w:r w:rsidRPr="00744E29">
              <w:t>MMR</w:t>
            </w:r>
          </w:p>
        </w:tc>
        <w:tc>
          <w:tcPr>
            <w:tcW w:w="4229" w:type="pct"/>
            <w:vAlign w:val="center"/>
          </w:tcPr>
          <w:p w14:paraId="199B03BA" w14:textId="229CC787" w:rsidR="00DC53B0" w:rsidRPr="00744E29" w:rsidRDefault="00C95D2E" w:rsidP="00D2228B">
            <w:pPr>
              <w:ind w:left="43"/>
              <w:rPr>
                <w:spacing w:val="-5"/>
              </w:rPr>
            </w:pPr>
            <w:r w:rsidRPr="00744E29">
              <w:rPr>
                <w:b/>
                <w:spacing w:val="-5"/>
              </w:rPr>
              <w:t xml:space="preserve">2 doses; </w:t>
            </w:r>
            <w:r w:rsidRPr="00744E29">
              <w:rPr>
                <w:spacing w:val="-5"/>
              </w:rPr>
              <w:t xml:space="preserve">a primeira dose deve ser administrada no dia do aniversário de 1 ano ou depois, e a segunda </w:t>
            </w:r>
            <w:r w:rsidR="008C7158" w:rsidRPr="00744E29">
              <w:rPr>
                <w:spacing w:val="-5"/>
              </w:rPr>
              <w:br/>
            </w:r>
            <w:r w:rsidRPr="00744E29">
              <w:rPr>
                <w:spacing w:val="-5"/>
              </w:rPr>
              <w:t>dose deve ser administrada ≥28 dias após a primeira dose; evidência laboratorial de imunidade aceitável</w:t>
            </w:r>
          </w:p>
        </w:tc>
      </w:tr>
      <w:tr w:rsidR="00DC53B0" w:rsidRPr="00744E29" w14:paraId="309A980C" w14:textId="77777777" w:rsidTr="009E1D58">
        <w:trPr>
          <w:trHeight w:val="720"/>
        </w:trPr>
        <w:tc>
          <w:tcPr>
            <w:tcW w:w="771" w:type="pct"/>
            <w:shd w:val="clear" w:color="auto" w:fill="C5DBFB"/>
            <w:vAlign w:val="center"/>
          </w:tcPr>
          <w:p w14:paraId="4BA670B3" w14:textId="77777777" w:rsidR="00DC53B0" w:rsidRPr="00744E29" w:rsidRDefault="00C95D2E" w:rsidP="00D2228B">
            <w:pPr>
              <w:ind w:left="43"/>
            </w:pPr>
            <w:r w:rsidRPr="00744E29">
              <w:t>Varicela</w:t>
            </w:r>
          </w:p>
        </w:tc>
        <w:tc>
          <w:tcPr>
            <w:tcW w:w="4229" w:type="pct"/>
            <w:vAlign w:val="center"/>
          </w:tcPr>
          <w:p w14:paraId="4B3E5047" w14:textId="77777777" w:rsidR="00DC53B0" w:rsidRPr="00744E29" w:rsidRDefault="00C95D2E" w:rsidP="00D2228B">
            <w:pPr>
              <w:ind w:left="43"/>
              <w:rPr>
                <w:spacing w:val="-2"/>
              </w:rPr>
            </w:pPr>
            <w:r w:rsidRPr="00744E29">
              <w:rPr>
                <w:b/>
                <w:spacing w:val="-2"/>
              </w:rPr>
              <w:t xml:space="preserve">2 doses; </w:t>
            </w:r>
            <w:r w:rsidRPr="00744E29">
              <w:rPr>
                <w:spacing w:val="-2"/>
              </w:rPr>
              <w:t>a primeira dose deve ser administrada no dia do aniversário de 1 ano ou depois, e a segunda dose deve ser administrada ≥28 dias após a primeira dose; um histórico confiável de catapora</w:t>
            </w:r>
            <w:r w:rsidRPr="00744E29">
              <w:rPr>
                <w:spacing w:val="-2"/>
                <w:vertAlign w:val="superscript"/>
              </w:rPr>
              <w:t>*</w:t>
            </w:r>
            <w:r w:rsidRPr="00744E29">
              <w:rPr>
                <w:spacing w:val="-2"/>
              </w:rPr>
              <w:t xml:space="preserve"> ou evidência laboratorial de imunidade aceitável</w:t>
            </w:r>
          </w:p>
        </w:tc>
      </w:tr>
      <w:tr w:rsidR="00C96A7F" w:rsidRPr="00744E29" w14:paraId="5DF0F141" w14:textId="77777777" w:rsidTr="009E1D58">
        <w:trPr>
          <w:trHeight w:val="1008"/>
        </w:trPr>
        <w:tc>
          <w:tcPr>
            <w:tcW w:w="771" w:type="pct"/>
            <w:shd w:val="clear" w:color="auto" w:fill="C5DBFB"/>
            <w:vAlign w:val="center"/>
          </w:tcPr>
          <w:p w14:paraId="01F21863" w14:textId="77777777" w:rsidR="00C96A7F" w:rsidRPr="00744E29" w:rsidRDefault="00C96A7F" w:rsidP="00C96A7F">
            <w:pPr>
              <w:ind w:left="43"/>
              <w:rPr>
                <w:spacing w:val="-1"/>
              </w:rPr>
            </w:pPr>
            <w:r w:rsidRPr="00744E29">
              <w:t>Meningocócica</w:t>
            </w:r>
          </w:p>
          <w:p w14:paraId="125BAFD9" w14:textId="0F1CA194" w:rsidR="00C96A7F" w:rsidRPr="00744E29" w:rsidRDefault="00C96A7F" w:rsidP="00C96A7F">
            <w:pPr>
              <w:ind w:left="43"/>
              <w:rPr>
                <w:b/>
                <w:bCs/>
              </w:rPr>
            </w:pPr>
            <w:r w:rsidRPr="00744E29">
              <w:rPr>
                <w:b/>
              </w:rPr>
              <w:t>Séries 7–10</w:t>
            </w:r>
          </w:p>
        </w:tc>
        <w:tc>
          <w:tcPr>
            <w:tcW w:w="4229" w:type="pct"/>
            <w:vAlign w:val="center"/>
          </w:tcPr>
          <w:p w14:paraId="6275D81E" w14:textId="2F8B9AE1" w:rsidR="00C96A7F" w:rsidRPr="00744E29" w:rsidRDefault="00C96A7F" w:rsidP="00C96A7F">
            <w:pPr>
              <w:ind w:left="43"/>
              <w:rPr>
                <w:b/>
                <w:bCs/>
              </w:rPr>
            </w:pPr>
            <w:r w:rsidRPr="00744E29">
              <w:rPr>
                <w:b/>
              </w:rPr>
              <w:t>1 dose</w:t>
            </w:r>
            <w:r w:rsidRPr="00744E29">
              <w:t>; essa dose deve ser administrada no dia ou após o 10</w:t>
            </w:r>
            <w:r w:rsidRPr="00744E29">
              <w:rPr>
                <w:vertAlign w:val="superscript"/>
              </w:rPr>
              <w:t>º</w:t>
            </w:r>
            <w:r w:rsidRPr="00744E29">
              <w:t xml:space="preserve"> </w:t>
            </w:r>
            <w:r w:rsidR="00975963" w:rsidRPr="00744E29">
              <w:t>aniversário. A</w:t>
            </w:r>
            <w:r w:rsidRPr="00744E29">
              <w:t xml:space="preserve"> vacina meningocócica conjugada, MenACWY (anteriormente MCV4) e MenABCWY, atende a esse requisito; a vacina meningocócica B (MenB) monovalente não é necessária e não atende a esse requisito</w:t>
            </w:r>
          </w:p>
        </w:tc>
      </w:tr>
      <w:tr w:rsidR="00C96A7F" w:rsidRPr="00744E29" w14:paraId="1DD89A9E" w14:textId="77777777" w:rsidTr="009E1D58">
        <w:trPr>
          <w:trHeight w:val="1296"/>
        </w:trPr>
        <w:tc>
          <w:tcPr>
            <w:tcW w:w="771" w:type="pct"/>
            <w:shd w:val="clear" w:color="auto" w:fill="C5DBFB"/>
            <w:vAlign w:val="center"/>
          </w:tcPr>
          <w:p w14:paraId="50F9B5FC" w14:textId="77777777" w:rsidR="00C96A7F" w:rsidRPr="00744E29" w:rsidRDefault="00C96A7F" w:rsidP="00C96A7F">
            <w:pPr>
              <w:ind w:left="43"/>
            </w:pPr>
            <w:r w:rsidRPr="00744E29">
              <w:t>Meningocócica</w:t>
            </w:r>
          </w:p>
          <w:p w14:paraId="16C76BCD" w14:textId="77777777" w:rsidR="00C96A7F" w:rsidRPr="00744E29" w:rsidRDefault="00C96A7F" w:rsidP="00C96A7F">
            <w:pPr>
              <w:ind w:left="43"/>
              <w:rPr>
                <w:b/>
                <w:bCs/>
                <w:sz w:val="28"/>
                <w:szCs w:val="28"/>
              </w:rPr>
            </w:pPr>
            <w:r w:rsidRPr="00744E29">
              <w:rPr>
                <w:b/>
              </w:rPr>
              <w:t>Séries 11–12</w:t>
            </w:r>
            <w:r w:rsidRPr="00744E29">
              <w:rPr>
                <w:b/>
                <w:sz w:val="28"/>
                <w:vertAlign w:val="superscript"/>
              </w:rPr>
              <w:t>‡</w:t>
            </w:r>
          </w:p>
          <w:p w14:paraId="06C5DF5A" w14:textId="77777777" w:rsidR="00C96A7F" w:rsidRPr="00744E29" w:rsidRDefault="00C96A7F" w:rsidP="00C96A7F">
            <w:pPr>
              <w:ind w:left="43"/>
              <w:rPr>
                <w:spacing w:val="-1"/>
              </w:rPr>
            </w:pPr>
          </w:p>
        </w:tc>
        <w:tc>
          <w:tcPr>
            <w:tcW w:w="4229" w:type="pct"/>
            <w:vAlign w:val="center"/>
          </w:tcPr>
          <w:p w14:paraId="70162D66" w14:textId="75F220CC" w:rsidR="00C96A7F" w:rsidRPr="00744E29" w:rsidRDefault="00C96A7F" w:rsidP="00C96A7F">
            <w:pPr>
              <w:ind w:left="43"/>
              <w:rPr>
                <w:b/>
                <w:bCs/>
              </w:rPr>
            </w:pPr>
            <w:r w:rsidRPr="00744E29">
              <w:rPr>
                <w:b/>
              </w:rPr>
              <w:t>2 doses</w:t>
            </w:r>
            <w:r w:rsidRPr="00744E29">
              <w:t>; a segunda dose de MenACWY (antigo MCV4) deve ser administrada no dia ou após o</w:t>
            </w:r>
            <w:r w:rsidR="00B35BF1" w:rsidRPr="00744E29">
              <w:t> </w:t>
            </w:r>
            <w:r w:rsidRPr="00744E29">
              <w:t xml:space="preserve">aniversário de 16 anos e ≥ 8 semanas após a dose anterior; 1 dose é aceitável se tiver sido administrada no dia ou após o aniversário de 16 </w:t>
            </w:r>
            <w:r w:rsidR="00975963" w:rsidRPr="00744E29">
              <w:t>anos. A</w:t>
            </w:r>
            <w:r w:rsidRPr="00744E29">
              <w:t xml:space="preserve"> vacina meningocócica conjugada MenACWY</w:t>
            </w:r>
            <w:r w:rsidR="00B35BF1" w:rsidRPr="00744E29">
              <w:t> </w:t>
            </w:r>
            <w:r w:rsidRPr="00744E29">
              <w:t>(MCV4) e MenABCWY atende a esse requisito; a vacina meningocócica B monovalente (MenB) não é necessária e não atende a esse requisito</w:t>
            </w:r>
          </w:p>
        </w:tc>
      </w:tr>
    </w:tbl>
    <w:p w14:paraId="16A1780A" w14:textId="77777777" w:rsidR="002E40EC" w:rsidRPr="00744E29" w:rsidRDefault="002E40EC" w:rsidP="00517329">
      <w:pPr>
        <w:rPr>
          <w:b/>
          <w:bCs/>
          <w:sz w:val="18"/>
          <w:szCs w:val="18"/>
        </w:rPr>
      </w:pPr>
    </w:p>
    <w:p w14:paraId="3CE378CA" w14:textId="5F502A44" w:rsidR="00AD5278" w:rsidRPr="00744E29" w:rsidRDefault="00AD5278" w:rsidP="00517329">
      <w:pPr>
        <w:rPr>
          <w:sz w:val="18"/>
          <w:szCs w:val="18"/>
        </w:rPr>
      </w:pPr>
      <w:r w:rsidRPr="00744E29">
        <w:rPr>
          <w:b/>
          <w:sz w:val="18"/>
        </w:rPr>
        <w:t xml:space="preserve">§ </w:t>
      </w:r>
      <w:r w:rsidRPr="00744E29">
        <w:rPr>
          <w:sz w:val="18"/>
        </w:rPr>
        <w:t xml:space="preserve">Questões sobre a aplicação devem ser discutidas com seu advogado </w:t>
      </w:r>
      <w:r w:rsidR="00975963" w:rsidRPr="00744E29">
        <w:rPr>
          <w:sz w:val="18"/>
        </w:rPr>
        <w:t>local. Os</w:t>
      </w:r>
      <w:r w:rsidRPr="00744E29">
        <w:rPr>
          <w:sz w:val="18"/>
        </w:rPr>
        <w:t xml:space="preserve"> requisitos escolares são aplicados em nível local.</w:t>
      </w:r>
    </w:p>
    <w:p w14:paraId="7D9D9F51" w14:textId="2E12501C" w:rsidR="00AD5278" w:rsidRPr="00744E29" w:rsidRDefault="00AD5278" w:rsidP="00517329">
      <w:pPr>
        <w:rPr>
          <w:spacing w:val="-2"/>
          <w:sz w:val="18"/>
          <w:szCs w:val="18"/>
        </w:rPr>
      </w:pPr>
      <w:r w:rsidRPr="00744E29">
        <w:rPr>
          <w:b/>
          <w:spacing w:val="-2"/>
          <w:sz w:val="18"/>
        </w:rPr>
        <w:t xml:space="preserve">† </w:t>
      </w:r>
      <w:r w:rsidRPr="00744E29">
        <w:rPr>
          <w:spacing w:val="-2"/>
          <w:sz w:val="18"/>
        </w:rPr>
        <w:t>As exceções médicas (declaração de um médico afirmando que uma vacina é medicamente contraindicada para um aluno) devem ser renovadas anualmente no início do ano letivo, e as exceções religiosas (declaração de um aluno ou pai/responsável, se o aluno tiver menos de 18 anos de idade, afirmando que uma vacina é contra crenças religiosas sinceras) devem ser renovadas anualmente no início do ano letivo.</w:t>
      </w:r>
    </w:p>
    <w:p w14:paraId="22F5E0A3" w14:textId="33E5348D" w:rsidR="00AD5278" w:rsidRPr="00744E29" w:rsidRDefault="006076CE" w:rsidP="00517329">
      <w:pPr>
        <w:rPr>
          <w:spacing w:val="-1"/>
          <w:sz w:val="18"/>
          <w:szCs w:val="18"/>
        </w:rPr>
      </w:pPr>
      <w:r w:rsidRPr="00744E29">
        <w:rPr>
          <w:rFonts w:ascii="Lao UI" w:hAnsi="Lao UI"/>
          <w:b/>
          <w:sz w:val="18"/>
        </w:rPr>
        <w:t>*</w:t>
      </w:r>
      <w:r w:rsidRPr="00744E29">
        <w:rPr>
          <w:rFonts w:ascii="Lao UI" w:hAnsi="Lao UI"/>
          <w:sz w:val="18"/>
        </w:rPr>
        <w:t xml:space="preserve"> </w:t>
      </w:r>
      <w:r w:rsidRPr="00744E29">
        <w:rPr>
          <w:sz w:val="18"/>
        </w:rPr>
        <w:t>Um histórico confiável de catapora inclui o diagnóstico de catapora ou a interpretação da descrição de catapora feita pelos pais/responsáveis por</w:t>
      </w:r>
      <w:r w:rsidR="00B35BF1" w:rsidRPr="00744E29">
        <w:rPr>
          <w:sz w:val="18"/>
        </w:rPr>
        <w:t> </w:t>
      </w:r>
      <w:r w:rsidRPr="00744E29">
        <w:rPr>
          <w:sz w:val="18"/>
        </w:rPr>
        <w:t>um médico, enfermeiro, assistente médico ou pessoa designada.</w:t>
      </w:r>
    </w:p>
    <w:p w14:paraId="4AC9531C" w14:textId="27901A81" w:rsidR="00E657F9" w:rsidRPr="00744E29" w:rsidRDefault="009D79B0" w:rsidP="00517329">
      <w:pPr>
        <w:rPr>
          <w:sz w:val="18"/>
          <w:szCs w:val="18"/>
        </w:rPr>
      </w:pPr>
      <w:r w:rsidRPr="00744E29">
        <w:rPr>
          <w:b/>
          <w:sz w:val="18"/>
        </w:rPr>
        <w:t>‡</w:t>
      </w:r>
      <w:r w:rsidRPr="00744E29">
        <w:rPr>
          <w:sz w:val="18"/>
        </w:rPr>
        <w:t xml:space="preserve"> Os alunos com 15 anos de idade na 11ª série estão em conformidade até completarem 16 anos de idade.</w:t>
      </w:r>
    </w:p>
    <w:p w14:paraId="14F4B739" w14:textId="77777777" w:rsidR="005A60B5" w:rsidRPr="00744E29" w:rsidRDefault="005A60B5" w:rsidP="00517329">
      <w:pPr>
        <w:rPr>
          <w:sz w:val="18"/>
          <w:szCs w:val="18"/>
        </w:rPr>
      </w:pPr>
    </w:p>
    <w:p w14:paraId="1E062DDC" w14:textId="21F0F1D9" w:rsidR="00292C37" w:rsidRPr="00744E29" w:rsidRDefault="00292C37" w:rsidP="00517329">
      <w:pPr>
        <w:rPr>
          <w:spacing w:val="-1"/>
        </w:rPr>
      </w:pPr>
      <w:r w:rsidRPr="00744E29">
        <w:t>Consulte a página a seguir para saber mais sobre a categoria Faculdade (instituições pós-secundárias)</w:t>
      </w:r>
    </w:p>
    <w:p w14:paraId="4C70E43E" w14:textId="77777777" w:rsidR="005C0DEA" w:rsidRPr="00744E29" w:rsidRDefault="005C0DEA">
      <w:pPr>
        <w:rPr>
          <w:b/>
          <w:spacing w:val="-1"/>
        </w:rPr>
      </w:pPr>
      <w:r w:rsidRPr="00744E29">
        <w:br w:type="page"/>
      </w:r>
    </w:p>
    <w:p w14:paraId="4DA9ABA5" w14:textId="77777777" w:rsidR="00C9059A" w:rsidRPr="00744E29" w:rsidRDefault="00C9059A" w:rsidP="00517329">
      <w:pPr>
        <w:rPr>
          <w:b/>
          <w:spacing w:val="-1"/>
        </w:rPr>
      </w:pPr>
    </w:p>
    <w:p w14:paraId="4748AA27" w14:textId="49039407" w:rsidR="004B7BFB" w:rsidRPr="00744E29" w:rsidRDefault="00AD5278" w:rsidP="00517329">
      <w:pPr>
        <w:rPr>
          <w:b/>
          <w:spacing w:val="-5"/>
        </w:rPr>
      </w:pPr>
      <w:r w:rsidRPr="00744E29">
        <w:rPr>
          <w:b/>
          <w:spacing w:val="-5"/>
        </w:rPr>
        <w:t xml:space="preserve">Os requisitos se aplicam a todos os alunos, incluindo indivíduos de outros países que frequentam ou visitam aulas ou programas educacionais como parte de um programa de visitas acadêmicas ou de </w:t>
      </w:r>
      <w:r w:rsidR="00975963" w:rsidRPr="00744E29">
        <w:rPr>
          <w:b/>
          <w:spacing w:val="-5"/>
        </w:rPr>
        <w:t>intercâmbio. Os</w:t>
      </w:r>
      <w:r w:rsidRPr="00744E29">
        <w:rPr>
          <w:b/>
          <w:spacing w:val="-5"/>
        </w:rPr>
        <w:t xml:space="preserve"> requisitos se aplicam a todos os alunos de todas as séries, mesmo que tenham mais de 18 anos de idade. As doses que atendem às recomendações do ACIP </w:t>
      </w:r>
      <w:hyperlink r:id="rId12" w:history="1">
        <w:r w:rsidRPr="00744E29">
          <w:rPr>
            <w:rStyle w:val="Hyperlink"/>
            <w:b/>
            <w:spacing w:val="-5"/>
          </w:rPr>
          <w:t>conforme adotadas pelo CDC no dia 24 de outubro de 2024</w:t>
        </w:r>
      </w:hyperlink>
      <w:r w:rsidRPr="00744E29">
        <w:rPr>
          <w:b/>
          <w:spacing w:val="-5"/>
        </w:rPr>
        <w:t>, também atendem aos requisitos da escola.</w:t>
      </w:r>
    </w:p>
    <w:p w14:paraId="08DD186C" w14:textId="77777777" w:rsidR="007D0FF3" w:rsidRPr="00744E29" w:rsidRDefault="007D0FF3" w:rsidP="00517329">
      <w:pPr>
        <w:rPr>
          <w:b/>
          <w:bCs/>
          <w:color w:val="0070C0"/>
          <w:spacing w:val="-1"/>
        </w:rPr>
      </w:pPr>
    </w:p>
    <w:p w14:paraId="39F67DEB" w14:textId="63E2A4E7" w:rsidR="00DC53B0" w:rsidRPr="00744E29" w:rsidRDefault="00C95D2E" w:rsidP="00517329">
      <w:r w:rsidRPr="00744E29">
        <w:rPr>
          <w:b/>
          <w:color w:val="0070C0"/>
        </w:rPr>
        <w:t>Faculdade (instituições pós-secundárias)</w:t>
      </w:r>
      <w:r w:rsidRPr="00744E29">
        <w:rPr>
          <w:rFonts w:ascii="Lao UI" w:hAnsi="Lao UI"/>
          <w:b/>
          <w:color w:val="0070C0"/>
          <w:sz w:val="32"/>
          <w:vertAlign w:val="superscript"/>
        </w:rPr>
        <w:t>**†</w:t>
      </w:r>
    </w:p>
    <w:p w14:paraId="3C2E46B5" w14:textId="48D1FBC6" w:rsidR="00D45F70" w:rsidRPr="00744E29" w:rsidRDefault="00C95D2E" w:rsidP="00517329">
      <w:r w:rsidRPr="00744E29">
        <w:t xml:space="preserve">Os requisitos se aplicam a todos os alunos de graduação e pós-graduação em tempo integral com menos de 30 anos de idade e a todos os alunos de ciências da saúde em tempo integral e </w:t>
      </w:r>
      <w:r w:rsidR="00975963" w:rsidRPr="00744E29">
        <w:t>parcial. Os</w:t>
      </w:r>
      <w:r w:rsidRPr="00744E29">
        <w:t xml:space="preserve"> requisitos para meningocócica se aplicam ao grupo especificado na tabela abaixo.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9263"/>
      </w:tblGrid>
      <w:tr w:rsidR="00DC53B0" w:rsidRPr="00744E29" w14:paraId="7E289ACD" w14:textId="77777777" w:rsidTr="00B35BF1">
        <w:trPr>
          <w:trHeight w:hRule="exact" w:val="1200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12A0FB3F" w14:textId="77777777" w:rsidR="00DC53B0" w:rsidRPr="00744E29" w:rsidRDefault="00C95D2E" w:rsidP="00C329C2">
            <w:pPr>
              <w:ind w:left="43"/>
            </w:pPr>
            <w:r w:rsidRPr="00744E29">
              <w:t>Tdap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36DD0" w14:textId="220B6A90" w:rsidR="00DC53B0" w:rsidRPr="00744E29" w:rsidRDefault="00C95D2E" w:rsidP="00C329C2">
            <w:pPr>
              <w:ind w:left="43"/>
            </w:pPr>
            <w:r w:rsidRPr="00744E29">
              <w:rPr>
                <w:b/>
              </w:rPr>
              <w:t xml:space="preserve">1 dose; </w:t>
            </w:r>
            <w:r w:rsidRPr="00744E29">
              <w:t>e histórico de uma série primária de DTaP ou vacinação de recuperação apropriada para a</w:t>
            </w:r>
            <w:r w:rsidR="00B35BF1" w:rsidRPr="00744E29">
              <w:t> </w:t>
            </w:r>
            <w:r w:rsidRPr="00744E29">
              <w:t xml:space="preserve">idade; a vacina dTpa administrada a ≥7 anos pode ser contada, mas recomenda-se uma dose aos </w:t>
            </w:r>
            <w:r w:rsidR="00B35BF1" w:rsidRPr="00744E29">
              <w:br/>
            </w:r>
            <w:r w:rsidRPr="00744E29">
              <w:t>11–12 anos de idade se a dTpa foi administrada antes como parte de um cronograma de recuperação; a dTd ou dTpa deve ser administrada se houver ≥10 anos desde a dTpa</w:t>
            </w:r>
          </w:p>
        </w:tc>
      </w:tr>
      <w:tr w:rsidR="00DC53B0" w:rsidRPr="00744E29" w14:paraId="4D5481B2" w14:textId="77777777" w:rsidTr="00E538DD">
        <w:trPr>
          <w:trHeight w:hRule="exact" w:val="720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76C7AD4B" w14:textId="77777777" w:rsidR="00DC53B0" w:rsidRPr="00744E29" w:rsidRDefault="00C95D2E" w:rsidP="00C329C2">
            <w:pPr>
              <w:ind w:left="43"/>
            </w:pPr>
            <w:r w:rsidRPr="00744E29">
              <w:t>Hepatite B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01C24" w14:textId="50F8E846" w:rsidR="00DC53B0" w:rsidRPr="00744E29" w:rsidRDefault="00C95D2E" w:rsidP="00C329C2">
            <w:pPr>
              <w:ind w:left="43"/>
            </w:pPr>
            <w:r w:rsidRPr="00744E29">
              <w:rPr>
                <w:b/>
              </w:rPr>
              <w:t xml:space="preserve">3 doses; </w:t>
            </w:r>
            <w:r w:rsidRPr="00744E29">
              <w:t xml:space="preserve">evidência laboratorial de imunidade aceitável; 2 doses de Heplisav-B administradas aos </w:t>
            </w:r>
            <w:r w:rsidR="00B35BF1" w:rsidRPr="00744E29">
              <w:br/>
            </w:r>
            <w:r w:rsidRPr="00744E29">
              <w:t>18 anos de</w:t>
            </w:r>
            <w:r w:rsidRPr="00744E29">
              <w:rPr>
                <w:b/>
              </w:rPr>
              <w:t xml:space="preserve"> </w:t>
            </w:r>
            <w:r w:rsidRPr="00744E29">
              <w:t>idade ou após essa idade são aceitáveis</w:t>
            </w:r>
          </w:p>
        </w:tc>
      </w:tr>
      <w:tr w:rsidR="00DC53B0" w:rsidRPr="00744E29" w14:paraId="7323E5BA" w14:textId="77777777" w:rsidTr="00B35BF1">
        <w:trPr>
          <w:trHeight w:hRule="exact" w:val="1164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2FFEBD26" w14:textId="77777777" w:rsidR="00DC53B0" w:rsidRPr="00744E29" w:rsidRDefault="00C95D2E" w:rsidP="00C329C2">
            <w:pPr>
              <w:ind w:left="43"/>
            </w:pPr>
            <w:r w:rsidRPr="00744E29">
              <w:t>MMR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B27D4" w14:textId="1DC17B1D" w:rsidR="00DC53B0" w:rsidRPr="00744E29" w:rsidRDefault="00C95D2E" w:rsidP="00C329C2">
            <w:pPr>
              <w:ind w:left="43"/>
            </w:pPr>
            <w:r w:rsidRPr="00744E29">
              <w:rPr>
                <w:b/>
              </w:rPr>
              <w:t xml:space="preserve">2 doses; </w:t>
            </w:r>
            <w:r w:rsidRPr="00744E29">
              <w:t xml:space="preserve">a primeira dose deve ser administrada no dia ou após o aniversário de 1 ano, e a segunda dose deve ser administrada ≥28 dias após a primeira dose; evidência laboratorial de imunidade aceitável; nascimento nos EUA antes de 1957 aceitável somente para alunos que não sejam da </w:t>
            </w:r>
            <w:r w:rsidR="008C7158" w:rsidRPr="00744E29">
              <w:br/>
            </w:r>
            <w:r w:rsidRPr="00744E29">
              <w:t>área</w:t>
            </w:r>
            <w:r w:rsidR="008C7158" w:rsidRPr="00744E29">
              <w:t xml:space="preserve"> </w:t>
            </w:r>
            <w:r w:rsidRPr="00744E29">
              <w:t>de ciências da saúde</w:t>
            </w:r>
          </w:p>
        </w:tc>
      </w:tr>
      <w:tr w:rsidR="00DC53B0" w:rsidRPr="00744E29" w14:paraId="35E9008A" w14:textId="77777777" w:rsidTr="00B35BF1">
        <w:trPr>
          <w:trHeight w:hRule="exact" w:val="1254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48AB984D" w14:textId="77777777" w:rsidR="00DC53B0" w:rsidRPr="00744E29" w:rsidRDefault="00C95D2E" w:rsidP="00C329C2">
            <w:pPr>
              <w:ind w:left="43"/>
            </w:pPr>
            <w:r w:rsidRPr="00744E29">
              <w:t>Varicela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E900B" w14:textId="2F952D6E" w:rsidR="00DC53B0" w:rsidRPr="00744E29" w:rsidRDefault="00C95D2E" w:rsidP="00C329C2">
            <w:pPr>
              <w:ind w:left="43"/>
              <w:rPr>
                <w:spacing w:val="-2"/>
              </w:rPr>
            </w:pPr>
            <w:r w:rsidRPr="00744E29">
              <w:rPr>
                <w:b/>
                <w:spacing w:val="-2"/>
              </w:rPr>
              <w:t xml:space="preserve">2 doses; </w:t>
            </w:r>
            <w:r w:rsidRPr="00744E29">
              <w:rPr>
                <w:spacing w:val="-2"/>
              </w:rPr>
              <w:t>a primeira dose deve ser administrada no dia ou após o aniversário de 1 ano e a segunda dose deve ser administrada ≥28 dias após a primeira dose; um histórico confiável de catapora</w:t>
            </w:r>
            <w:r w:rsidRPr="00744E29">
              <w:rPr>
                <w:spacing w:val="-2"/>
                <w:vertAlign w:val="superscript"/>
              </w:rPr>
              <w:t>*</w:t>
            </w:r>
            <w:r w:rsidRPr="00744E29">
              <w:rPr>
                <w:spacing w:val="-2"/>
              </w:rPr>
              <w:t xml:space="preserve"> ou evidência laboratorial de imunidade é aceitável; o nascimento nos EUA antes de 1980 é aceitável apenas para alunos que não sejam da área de ciências da saúde</w:t>
            </w:r>
          </w:p>
        </w:tc>
      </w:tr>
      <w:tr w:rsidR="00DC53B0" w:rsidRPr="00744E29" w14:paraId="32403EAE" w14:textId="77777777" w:rsidTr="00B35BF1">
        <w:trPr>
          <w:trHeight w:hRule="exact" w:val="2172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69848877" w14:textId="77777777" w:rsidR="00DC53B0" w:rsidRPr="00744E29" w:rsidRDefault="00C95D2E" w:rsidP="00C329C2">
            <w:pPr>
              <w:ind w:left="43"/>
            </w:pPr>
            <w:r w:rsidRPr="00744E29">
              <w:t>Meningocócica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43C76" w14:textId="5C729E3A" w:rsidR="00DC53B0" w:rsidRPr="00744E29" w:rsidRDefault="00C95D2E" w:rsidP="00C329C2">
            <w:pPr>
              <w:ind w:left="43"/>
            </w:pPr>
            <w:r w:rsidRPr="00744E29">
              <w:rPr>
                <w:b/>
              </w:rPr>
              <w:t xml:space="preserve">1 dose; </w:t>
            </w:r>
            <w:r w:rsidRPr="00744E29">
              <w:t>1 dose de MenACWY (anteriormente MCV4) exigida para todos os alunos de período integral com 21 anos de idade ou menos; a dose da vacina MenACWY deve ter sido recebida no dia ou após o</w:t>
            </w:r>
            <w:r w:rsidR="008C7158" w:rsidRPr="00744E29">
              <w:t> </w:t>
            </w:r>
            <w:r w:rsidRPr="00744E29">
              <w:t xml:space="preserve">aniversário de 16 anos do aluno; as doses recebidas em idades mais jovens não contam para essa </w:t>
            </w:r>
            <w:r w:rsidR="00975963" w:rsidRPr="00744E29">
              <w:t>exigência. A</w:t>
            </w:r>
            <w:r w:rsidRPr="00744E29">
              <w:t xml:space="preserve"> vacina meningocócica conjugada MenACWY (MCV4) e MenABCWY atende a esse requisito; a vacina meningocócica B monovalente (MenB) não é necessária e não atende a esse</w:t>
            </w:r>
            <w:r w:rsidR="00B35BF1" w:rsidRPr="00744E29">
              <w:t> </w:t>
            </w:r>
            <w:r w:rsidRPr="00744E29">
              <w:t xml:space="preserve">requisito. Os alunos podem recusar a vacina MenACWY depois de lerem e assinarem o </w:t>
            </w:r>
            <w:hyperlink r:id="rId13">
              <w:r w:rsidRPr="00744E29">
                <w:rPr>
                  <w:color w:val="0000FF"/>
                  <w:u w:val="single" w:color="0000FF"/>
                </w:rPr>
                <w:t>Formulário</w:t>
              </w:r>
              <w:r w:rsidR="00B35BF1" w:rsidRPr="00744E29">
                <w:rPr>
                  <w:color w:val="0000FF"/>
                  <w:u w:val="single" w:color="0000FF"/>
                </w:rPr>
                <w:t> </w:t>
              </w:r>
              <w:r w:rsidRPr="00744E29">
                <w:rPr>
                  <w:color w:val="0000FF"/>
                  <w:u w:val="single" w:color="0000FF"/>
                </w:rPr>
                <w:t>de</w:t>
              </w:r>
              <w:r w:rsidR="00B35BF1" w:rsidRPr="00744E29">
                <w:rPr>
                  <w:color w:val="0000FF"/>
                  <w:u w:val="single" w:color="0000FF"/>
                </w:rPr>
                <w:t> </w:t>
              </w:r>
              <w:r w:rsidRPr="00744E29">
                <w:rPr>
                  <w:color w:val="0000FF"/>
                  <w:u w:val="single" w:color="0000FF"/>
                </w:rPr>
                <w:t>isenção e informações sobre meningocócica do MDPH</w:t>
              </w:r>
              <w:r w:rsidRPr="00744E29">
                <w:rPr>
                  <w:color w:val="0000FF"/>
                  <w:u w:color="0000FF"/>
                </w:rPr>
                <w:t xml:space="preserve"> </w:t>
              </w:r>
            </w:hyperlink>
            <w:r w:rsidRPr="00744E29">
              <w:t>fornecido por sua instituição</w:t>
            </w:r>
          </w:p>
        </w:tc>
      </w:tr>
    </w:tbl>
    <w:p w14:paraId="691A848C" w14:textId="77777777" w:rsidR="002E40EC" w:rsidRPr="00744E29" w:rsidRDefault="002E40EC" w:rsidP="00517329">
      <w:pPr>
        <w:rPr>
          <w:b/>
          <w:bCs/>
          <w:sz w:val="18"/>
          <w:szCs w:val="18"/>
        </w:rPr>
      </w:pPr>
    </w:p>
    <w:p w14:paraId="01B93B2F" w14:textId="4A4F9251" w:rsidR="00AD5278" w:rsidRPr="00744E29" w:rsidRDefault="00AD5278" w:rsidP="00517329">
      <w:pPr>
        <w:rPr>
          <w:sz w:val="18"/>
          <w:szCs w:val="18"/>
        </w:rPr>
      </w:pPr>
      <w:r w:rsidRPr="00744E29">
        <w:rPr>
          <w:b/>
          <w:sz w:val="18"/>
        </w:rPr>
        <w:t>§</w:t>
      </w:r>
      <w:r w:rsidRPr="00744E29">
        <w:rPr>
          <w:sz w:val="18"/>
        </w:rPr>
        <w:t xml:space="preserve"> Questões sobre a aplicação devem ser discutidas com o advogado </w:t>
      </w:r>
      <w:r w:rsidR="00975963" w:rsidRPr="00744E29">
        <w:rPr>
          <w:sz w:val="18"/>
        </w:rPr>
        <w:t>local. Os</w:t>
      </w:r>
      <w:r w:rsidRPr="00744E29">
        <w:rPr>
          <w:sz w:val="18"/>
        </w:rPr>
        <w:t xml:space="preserve"> requisitos escolares são aplicados em nível local.</w:t>
      </w:r>
    </w:p>
    <w:p w14:paraId="3A201A4C" w14:textId="51942A00" w:rsidR="005261E1" w:rsidRPr="00744E29" w:rsidRDefault="0070226C" w:rsidP="00517329">
      <w:pPr>
        <w:rPr>
          <w:sz w:val="18"/>
          <w:szCs w:val="18"/>
        </w:rPr>
      </w:pPr>
      <w:r w:rsidRPr="00744E29">
        <w:rPr>
          <w:rFonts w:ascii="Lao UI" w:hAnsi="Lao UI"/>
          <w:b/>
          <w:sz w:val="18"/>
        </w:rPr>
        <w:t>**</w:t>
      </w:r>
      <w:r w:rsidRPr="00744E29">
        <w:rPr>
          <w:sz w:val="18"/>
        </w:rPr>
        <w:t xml:space="preserve"> Os requisitos de imunização se aplicam a todos os alunos que participam de qualquer aula ou atividade no campus, mesmo que uma única </w:t>
      </w:r>
      <w:r w:rsidR="00975963" w:rsidRPr="00744E29">
        <w:rPr>
          <w:sz w:val="18"/>
        </w:rPr>
        <w:t>vez. Se</w:t>
      </w:r>
      <w:r w:rsidRPr="00744E29">
        <w:rPr>
          <w:sz w:val="18"/>
        </w:rPr>
        <w:t xml:space="preserve"> todas as aulas e atividades forem remotas e o aluno nunca estiver no campus pessoalmente, os requisitos não se </w:t>
      </w:r>
      <w:r w:rsidR="00975963" w:rsidRPr="00744E29">
        <w:rPr>
          <w:sz w:val="18"/>
        </w:rPr>
        <w:t>aplicarão. Se</w:t>
      </w:r>
      <w:r w:rsidRPr="00744E29">
        <w:rPr>
          <w:sz w:val="18"/>
        </w:rPr>
        <w:t xml:space="preserve"> um aluno retornar fisicamente ao campus, ele precisará cumprir esse requisito.</w:t>
      </w:r>
    </w:p>
    <w:p w14:paraId="7C9D98A1" w14:textId="60A4E195" w:rsidR="00AD5278" w:rsidRPr="00744E29" w:rsidRDefault="00AD5278" w:rsidP="00517329">
      <w:pPr>
        <w:rPr>
          <w:spacing w:val="-4"/>
          <w:sz w:val="18"/>
          <w:szCs w:val="18"/>
        </w:rPr>
      </w:pPr>
      <w:r w:rsidRPr="00744E29">
        <w:rPr>
          <w:b/>
          <w:spacing w:val="-4"/>
          <w:sz w:val="18"/>
        </w:rPr>
        <w:t xml:space="preserve">† </w:t>
      </w:r>
      <w:r w:rsidRPr="00744E29">
        <w:rPr>
          <w:spacing w:val="-4"/>
          <w:sz w:val="18"/>
        </w:rPr>
        <w:t>As exceções médicas (declaração de um médico afirmando que uma vacina é medicamente contraindicada para um aluno) devem ser renovadas anualmente no início do ano letivo, e as exceções religiosas (declaração de um aluno ou pai/responsável, se o aluno tiver menos de 18 anos de idade, afirmando que uma vacina é contra crenças religiosas sinceras) devem ser renovadas anualmente no início do ano letivo.</w:t>
      </w:r>
    </w:p>
    <w:p w14:paraId="4A163F8B" w14:textId="4F2F9036" w:rsidR="00B71CBC" w:rsidRPr="00975963" w:rsidRDefault="005B259B" w:rsidP="00470EBA">
      <w:pPr>
        <w:rPr>
          <w:spacing w:val="-1"/>
          <w:sz w:val="18"/>
          <w:szCs w:val="18"/>
        </w:rPr>
      </w:pPr>
      <w:r w:rsidRPr="00744E29">
        <w:rPr>
          <w:rFonts w:ascii="Lao UI" w:hAnsi="Lao UI"/>
          <w:b/>
          <w:sz w:val="18"/>
        </w:rPr>
        <w:t xml:space="preserve">* </w:t>
      </w:r>
      <w:r w:rsidRPr="00744E29">
        <w:rPr>
          <w:sz w:val="18"/>
        </w:rPr>
        <w:t>Um histórico confiável de catapora inclui o diagnóstico de catapora ou a interpretação da descrição de catapora feita pelos pais/responsáveis por</w:t>
      </w:r>
      <w:r w:rsidR="00B35BF1" w:rsidRPr="00744E29">
        <w:rPr>
          <w:sz w:val="18"/>
        </w:rPr>
        <w:t> </w:t>
      </w:r>
      <w:r w:rsidRPr="00744E29">
        <w:rPr>
          <w:sz w:val="18"/>
        </w:rPr>
        <w:t>um médico, enfermeiro, assistente médico ou pessoa designada.</w:t>
      </w:r>
    </w:p>
    <w:sectPr w:rsidR="00B71CBC" w:rsidRPr="00975963" w:rsidSect="008A653F">
      <w:headerReference w:type="default" r:id="rId14"/>
      <w:footerReference w:type="default" r:id="rId15"/>
      <w:pgSz w:w="12240" w:h="15840"/>
      <w:pgMar w:top="720" w:right="720" w:bottom="720" w:left="720" w:header="526" w:footer="5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D66D" w14:textId="77777777" w:rsidR="00CF4B44" w:rsidRDefault="00CF4B44">
      <w:r>
        <w:separator/>
      </w:r>
    </w:p>
  </w:endnote>
  <w:endnote w:type="continuationSeparator" w:id="0">
    <w:p w14:paraId="5CBF6378" w14:textId="77777777" w:rsidR="00CF4B44" w:rsidRDefault="00CF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o UI">
    <w:charset w:val="00"/>
    <w:family w:val="swiss"/>
    <w:pitch w:val="variable"/>
    <w:sig w:usb0="82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A8E" w14:textId="43758B84" w:rsidR="00DC26A2" w:rsidRPr="00304064" w:rsidRDefault="00DC26A2" w:rsidP="00DC26A2">
    <w:pPr>
      <w:pStyle w:val="Footer"/>
      <w:jc w:val="right"/>
      <w:rPr>
        <w:sz w:val="20"/>
        <w:szCs w:val="16"/>
      </w:rPr>
    </w:pPr>
    <w:r>
      <w:rPr>
        <w:sz w:val="20"/>
      </w:rPr>
      <w:t>Departamento de Saúde Pública de Massachusetts – Divisão de Imunização – Atualizado em março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1B22" w14:textId="77777777" w:rsidR="00CF4B44" w:rsidRDefault="00CF4B44">
      <w:r>
        <w:separator/>
      </w:r>
    </w:p>
  </w:footnote>
  <w:footnote w:type="continuationSeparator" w:id="0">
    <w:p w14:paraId="2869BB7F" w14:textId="77777777" w:rsidR="00CF4B44" w:rsidRDefault="00CF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0292" w14:textId="1FF0703A" w:rsidR="00DC53B0" w:rsidRPr="00B35BF1" w:rsidRDefault="004909B0" w:rsidP="007D0FF3">
    <w:pPr>
      <w:spacing w:line="400" w:lineRule="exact"/>
      <w:ind w:left="20"/>
      <w:jc w:val="center"/>
      <w:rPr>
        <w:sz w:val="34"/>
        <w:szCs w:val="34"/>
      </w:rPr>
    </w:pPr>
    <w:r w:rsidRPr="00B35BF1">
      <w:rPr>
        <w:rFonts w:ascii="Lao UI"/>
        <w:sz w:val="34"/>
        <w:szCs w:val="34"/>
      </w:rPr>
      <w:t>Requisitos de imuniza</w:t>
    </w:r>
    <w:r w:rsidRPr="00B35BF1">
      <w:rPr>
        <w:rFonts w:ascii="Lao UI"/>
        <w:sz w:val="34"/>
        <w:szCs w:val="34"/>
      </w:rPr>
      <w:t>çã</w:t>
    </w:r>
    <w:r w:rsidRPr="00B35BF1">
      <w:rPr>
        <w:rFonts w:ascii="Lao UI"/>
        <w:sz w:val="34"/>
        <w:szCs w:val="34"/>
      </w:rPr>
      <w:t>o escolar de Massachusetts para 2025</w:t>
    </w:r>
    <w:r w:rsidRPr="00B35BF1">
      <w:rPr>
        <w:rFonts w:ascii="Lao UI"/>
        <w:sz w:val="34"/>
        <w:szCs w:val="34"/>
      </w:rPr>
      <w:t>–</w:t>
    </w:r>
    <w:r w:rsidRPr="00B35BF1">
      <w:rPr>
        <w:rFonts w:ascii="Lao UI"/>
        <w:sz w:val="34"/>
        <w:szCs w:val="34"/>
      </w:rPr>
      <w:t>2026</w:t>
    </w:r>
    <w:r w:rsidRPr="00B35BF1">
      <w:rPr>
        <w:rFonts w:ascii="Calibri" w:hAnsi="Calibri"/>
        <w:sz w:val="34"/>
        <w:szCs w:val="34"/>
        <w:vertAlign w:val="superscript"/>
      </w:rPr>
      <w:t>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5365"/>
    <w:multiLevelType w:val="hybridMultilevel"/>
    <w:tmpl w:val="D69CD1DE"/>
    <w:lvl w:ilvl="0" w:tplc="26141570">
      <w:start w:val="1"/>
      <w:numFmt w:val="bullet"/>
      <w:lvlText w:val="*"/>
      <w:lvlJc w:val="left"/>
      <w:pPr>
        <w:ind w:left="291" w:hanging="111"/>
      </w:pPr>
      <w:rPr>
        <w:rFonts w:ascii="Lao UI" w:eastAsia="Lao UI" w:hAnsi="Lao UI" w:hint="default"/>
        <w:sz w:val="16"/>
        <w:szCs w:val="16"/>
      </w:rPr>
    </w:lvl>
    <w:lvl w:ilvl="1" w:tplc="F2728DD4">
      <w:start w:val="1"/>
      <w:numFmt w:val="bullet"/>
      <w:lvlText w:val="•"/>
      <w:lvlJc w:val="left"/>
      <w:pPr>
        <w:ind w:left="1236" w:hanging="111"/>
      </w:pPr>
      <w:rPr>
        <w:rFonts w:hint="default"/>
      </w:rPr>
    </w:lvl>
    <w:lvl w:ilvl="2" w:tplc="9B5A4F9E">
      <w:start w:val="1"/>
      <w:numFmt w:val="bullet"/>
      <w:lvlText w:val="•"/>
      <w:lvlJc w:val="left"/>
      <w:pPr>
        <w:ind w:left="2281" w:hanging="111"/>
      </w:pPr>
      <w:rPr>
        <w:rFonts w:hint="default"/>
      </w:rPr>
    </w:lvl>
    <w:lvl w:ilvl="3" w:tplc="E7D2FABE">
      <w:start w:val="1"/>
      <w:numFmt w:val="bullet"/>
      <w:lvlText w:val="•"/>
      <w:lvlJc w:val="left"/>
      <w:pPr>
        <w:ind w:left="3326" w:hanging="111"/>
      </w:pPr>
      <w:rPr>
        <w:rFonts w:hint="default"/>
      </w:rPr>
    </w:lvl>
    <w:lvl w:ilvl="4" w:tplc="0A42F78C">
      <w:start w:val="1"/>
      <w:numFmt w:val="bullet"/>
      <w:lvlText w:val="•"/>
      <w:lvlJc w:val="left"/>
      <w:pPr>
        <w:ind w:left="4371" w:hanging="111"/>
      </w:pPr>
      <w:rPr>
        <w:rFonts w:hint="default"/>
      </w:rPr>
    </w:lvl>
    <w:lvl w:ilvl="5" w:tplc="7C262164">
      <w:start w:val="1"/>
      <w:numFmt w:val="bullet"/>
      <w:lvlText w:val="•"/>
      <w:lvlJc w:val="left"/>
      <w:pPr>
        <w:ind w:left="5416" w:hanging="111"/>
      </w:pPr>
      <w:rPr>
        <w:rFonts w:hint="default"/>
      </w:rPr>
    </w:lvl>
    <w:lvl w:ilvl="6" w:tplc="68A2718C">
      <w:start w:val="1"/>
      <w:numFmt w:val="bullet"/>
      <w:lvlText w:val="•"/>
      <w:lvlJc w:val="left"/>
      <w:pPr>
        <w:ind w:left="6460" w:hanging="111"/>
      </w:pPr>
      <w:rPr>
        <w:rFonts w:hint="default"/>
      </w:rPr>
    </w:lvl>
    <w:lvl w:ilvl="7" w:tplc="6416FE48">
      <w:start w:val="1"/>
      <w:numFmt w:val="bullet"/>
      <w:lvlText w:val="•"/>
      <w:lvlJc w:val="left"/>
      <w:pPr>
        <w:ind w:left="7505" w:hanging="111"/>
      </w:pPr>
      <w:rPr>
        <w:rFonts w:hint="default"/>
      </w:rPr>
    </w:lvl>
    <w:lvl w:ilvl="8" w:tplc="A45AB80A">
      <w:start w:val="1"/>
      <w:numFmt w:val="bullet"/>
      <w:lvlText w:val="•"/>
      <w:lvlJc w:val="left"/>
      <w:pPr>
        <w:ind w:left="8550" w:hanging="111"/>
      </w:pPr>
      <w:rPr>
        <w:rFonts w:hint="default"/>
      </w:rPr>
    </w:lvl>
  </w:abstractNum>
  <w:abstractNum w:abstractNumId="1" w15:restartNumberingAfterBreak="0">
    <w:nsid w:val="6CC9278D"/>
    <w:multiLevelType w:val="hybridMultilevel"/>
    <w:tmpl w:val="FF727AEE"/>
    <w:lvl w:ilvl="0" w:tplc="26141570">
      <w:start w:val="1"/>
      <w:numFmt w:val="bullet"/>
      <w:lvlText w:val="*"/>
      <w:lvlJc w:val="left"/>
      <w:pPr>
        <w:ind w:left="912" w:hanging="360"/>
      </w:pPr>
      <w:rPr>
        <w:rFonts w:ascii="Lao UI" w:eastAsia="Lao UI" w:hAnsi="Lao UI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 w16cid:durableId="1254162474">
    <w:abstractNumId w:val="0"/>
  </w:num>
  <w:num w:numId="2" w16cid:durableId="277224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biZ2jrw5wjM+NBF2QNpbCd+kKXqxd5etNbE2whW3LmPYrxcKUsMsOZdmf09B8RiRzEa/64bl3+wvYkMuvo24CQ==" w:salt="TrqYe6vzl7Be605t+nqkl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B0"/>
    <w:rsid w:val="00004A57"/>
    <w:rsid w:val="00013415"/>
    <w:rsid w:val="000176C1"/>
    <w:rsid w:val="00034366"/>
    <w:rsid w:val="00036D8E"/>
    <w:rsid w:val="000401CA"/>
    <w:rsid w:val="00045ECB"/>
    <w:rsid w:val="00046D84"/>
    <w:rsid w:val="000501D2"/>
    <w:rsid w:val="00051B8A"/>
    <w:rsid w:val="0007033D"/>
    <w:rsid w:val="00070836"/>
    <w:rsid w:val="000727A8"/>
    <w:rsid w:val="000740A6"/>
    <w:rsid w:val="000868D7"/>
    <w:rsid w:val="0009785B"/>
    <w:rsid w:val="000A1011"/>
    <w:rsid w:val="000A3A34"/>
    <w:rsid w:val="000A422E"/>
    <w:rsid w:val="000B2CBB"/>
    <w:rsid w:val="000B2D7E"/>
    <w:rsid w:val="000B533E"/>
    <w:rsid w:val="000B6FD3"/>
    <w:rsid w:val="000C34BC"/>
    <w:rsid w:val="000C5C32"/>
    <w:rsid w:val="000F1538"/>
    <w:rsid w:val="000F433A"/>
    <w:rsid w:val="001048C0"/>
    <w:rsid w:val="00106F95"/>
    <w:rsid w:val="00112CA5"/>
    <w:rsid w:val="001145E1"/>
    <w:rsid w:val="001256BD"/>
    <w:rsid w:val="0013023B"/>
    <w:rsid w:val="00140142"/>
    <w:rsid w:val="00147076"/>
    <w:rsid w:val="001509EC"/>
    <w:rsid w:val="001520DA"/>
    <w:rsid w:val="00156B2C"/>
    <w:rsid w:val="00165D9D"/>
    <w:rsid w:val="001672A5"/>
    <w:rsid w:val="00174CEA"/>
    <w:rsid w:val="00185A34"/>
    <w:rsid w:val="00186208"/>
    <w:rsid w:val="0018705B"/>
    <w:rsid w:val="00187E51"/>
    <w:rsid w:val="00191893"/>
    <w:rsid w:val="001A07A1"/>
    <w:rsid w:val="001A1F2E"/>
    <w:rsid w:val="001A495C"/>
    <w:rsid w:val="001A70DE"/>
    <w:rsid w:val="001B1DE4"/>
    <w:rsid w:val="001B217F"/>
    <w:rsid w:val="001B58AE"/>
    <w:rsid w:val="001B5FD3"/>
    <w:rsid w:val="001C23BA"/>
    <w:rsid w:val="001C3142"/>
    <w:rsid w:val="001C389E"/>
    <w:rsid w:val="001C4EAD"/>
    <w:rsid w:val="001C6933"/>
    <w:rsid w:val="001C71FE"/>
    <w:rsid w:val="001D7887"/>
    <w:rsid w:val="001D7BCC"/>
    <w:rsid w:val="001E20C8"/>
    <w:rsid w:val="001E3A66"/>
    <w:rsid w:val="001E4507"/>
    <w:rsid w:val="001E7CB7"/>
    <w:rsid w:val="001F0FB3"/>
    <w:rsid w:val="001F5942"/>
    <w:rsid w:val="00202310"/>
    <w:rsid w:val="00213E8B"/>
    <w:rsid w:val="002156F1"/>
    <w:rsid w:val="002158AD"/>
    <w:rsid w:val="0021720E"/>
    <w:rsid w:val="0022139E"/>
    <w:rsid w:val="00232D05"/>
    <w:rsid w:val="00232DBB"/>
    <w:rsid w:val="00236686"/>
    <w:rsid w:val="00237802"/>
    <w:rsid w:val="00241512"/>
    <w:rsid w:val="00242493"/>
    <w:rsid w:val="002514BB"/>
    <w:rsid w:val="00254A7B"/>
    <w:rsid w:val="00260FB3"/>
    <w:rsid w:val="00265EB3"/>
    <w:rsid w:val="00265ED8"/>
    <w:rsid w:val="002673A1"/>
    <w:rsid w:val="0027174C"/>
    <w:rsid w:val="002726C4"/>
    <w:rsid w:val="00284051"/>
    <w:rsid w:val="00286935"/>
    <w:rsid w:val="002874CE"/>
    <w:rsid w:val="00292C37"/>
    <w:rsid w:val="002A335E"/>
    <w:rsid w:val="002A3621"/>
    <w:rsid w:val="002A5004"/>
    <w:rsid w:val="002A77D8"/>
    <w:rsid w:val="002B3688"/>
    <w:rsid w:val="002D21F6"/>
    <w:rsid w:val="002D2CF8"/>
    <w:rsid w:val="002E40EC"/>
    <w:rsid w:val="002E4E72"/>
    <w:rsid w:val="002E66E2"/>
    <w:rsid w:val="002F0432"/>
    <w:rsid w:val="003041F1"/>
    <w:rsid w:val="003158EB"/>
    <w:rsid w:val="00315A85"/>
    <w:rsid w:val="003208E1"/>
    <w:rsid w:val="00320A73"/>
    <w:rsid w:val="00321BF6"/>
    <w:rsid w:val="003245B2"/>
    <w:rsid w:val="00327875"/>
    <w:rsid w:val="00327AD1"/>
    <w:rsid w:val="00334E70"/>
    <w:rsid w:val="00350605"/>
    <w:rsid w:val="00357169"/>
    <w:rsid w:val="003652B5"/>
    <w:rsid w:val="00365C20"/>
    <w:rsid w:val="003768EA"/>
    <w:rsid w:val="0039146D"/>
    <w:rsid w:val="003D4673"/>
    <w:rsid w:val="003D6612"/>
    <w:rsid w:val="003D7102"/>
    <w:rsid w:val="003D7FE9"/>
    <w:rsid w:val="003E021F"/>
    <w:rsid w:val="003E2FFF"/>
    <w:rsid w:val="003E5C06"/>
    <w:rsid w:val="003E6E56"/>
    <w:rsid w:val="003F068A"/>
    <w:rsid w:val="003F1515"/>
    <w:rsid w:val="004113C7"/>
    <w:rsid w:val="0041159A"/>
    <w:rsid w:val="004170F2"/>
    <w:rsid w:val="00426374"/>
    <w:rsid w:val="004318ED"/>
    <w:rsid w:val="00434084"/>
    <w:rsid w:val="00437E46"/>
    <w:rsid w:val="00442547"/>
    <w:rsid w:val="00447C00"/>
    <w:rsid w:val="00451418"/>
    <w:rsid w:val="0046747E"/>
    <w:rsid w:val="00470EBA"/>
    <w:rsid w:val="0047139C"/>
    <w:rsid w:val="0048308E"/>
    <w:rsid w:val="004831E0"/>
    <w:rsid w:val="00484071"/>
    <w:rsid w:val="004909B0"/>
    <w:rsid w:val="00490E43"/>
    <w:rsid w:val="004A7F90"/>
    <w:rsid w:val="004B6FC7"/>
    <w:rsid w:val="004B7BFB"/>
    <w:rsid w:val="004C6343"/>
    <w:rsid w:val="004D3432"/>
    <w:rsid w:val="004E06A3"/>
    <w:rsid w:val="004E1EA3"/>
    <w:rsid w:val="004E3DEF"/>
    <w:rsid w:val="004F2765"/>
    <w:rsid w:val="004F76AD"/>
    <w:rsid w:val="005014A9"/>
    <w:rsid w:val="005113CA"/>
    <w:rsid w:val="00511643"/>
    <w:rsid w:val="00515B57"/>
    <w:rsid w:val="00516B66"/>
    <w:rsid w:val="00517329"/>
    <w:rsid w:val="005261E1"/>
    <w:rsid w:val="005271F9"/>
    <w:rsid w:val="00527D6D"/>
    <w:rsid w:val="00530DC1"/>
    <w:rsid w:val="00532C4F"/>
    <w:rsid w:val="00545419"/>
    <w:rsid w:val="0054574F"/>
    <w:rsid w:val="00546B35"/>
    <w:rsid w:val="00554708"/>
    <w:rsid w:val="00555B33"/>
    <w:rsid w:val="00560B25"/>
    <w:rsid w:val="00561F1B"/>
    <w:rsid w:val="00563582"/>
    <w:rsid w:val="005708DC"/>
    <w:rsid w:val="005711D1"/>
    <w:rsid w:val="00572777"/>
    <w:rsid w:val="005739DB"/>
    <w:rsid w:val="00581C30"/>
    <w:rsid w:val="0058345B"/>
    <w:rsid w:val="00584883"/>
    <w:rsid w:val="00590917"/>
    <w:rsid w:val="00595339"/>
    <w:rsid w:val="00596C44"/>
    <w:rsid w:val="00597907"/>
    <w:rsid w:val="005A046E"/>
    <w:rsid w:val="005A60B5"/>
    <w:rsid w:val="005B259B"/>
    <w:rsid w:val="005B683A"/>
    <w:rsid w:val="005C0DEA"/>
    <w:rsid w:val="005C124A"/>
    <w:rsid w:val="005C6B56"/>
    <w:rsid w:val="005D5A90"/>
    <w:rsid w:val="005E36CD"/>
    <w:rsid w:val="005F56D0"/>
    <w:rsid w:val="00601797"/>
    <w:rsid w:val="006076CE"/>
    <w:rsid w:val="00612A0A"/>
    <w:rsid w:val="00615358"/>
    <w:rsid w:val="00615E30"/>
    <w:rsid w:val="00624767"/>
    <w:rsid w:val="00634A2D"/>
    <w:rsid w:val="00634AA7"/>
    <w:rsid w:val="00634B0F"/>
    <w:rsid w:val="00640BC6"/>
    <w:rsid w:val="00640F79"/>
    <w:rsid w:val="0064573E"/>
    <w:rsid w:val="006458EB"/>
    <w:rsid w:val="0065536D"/>
    <w:rsid w:val="00655D5D"/>
    <w:rsid w:val="00664B1F"/>
    <w:rsid w:val="00664B6A"/>
    <w:rsid w:val="00665AA0"/>
    <w:rsid w:val="00671082"/>
    <w:rsid w:val="006744C6"/>
    <w:rsid w:val="006760E6"/>
    <w:rsid w:val="00676E4F"/>
    <w:rsid w:val="006802D3"/>
    <w:rsid w:val="0068058A"/>
    <w:rsid w:val="006849A4"/>
    <w:rsid w:val="0068778D"/>
    <w:rsid w:val="006A5591"/>
    <w:rsid w:val="006A6ACC"/>
    <w:rsid w:val="006B0AA6"/>
    <w:rsid w:val="006B5CB8"/>
    <w:rsid w:val="006B79EC"/>
    <w:rsid w:val="006C0737"/>
    <w:rsid w:val="006D010D"/>
    <w:rsid w:val="006D46BE"/>
    <w:rsid w:val="006D5ACE"/>
    <w:rsid w:val="006D6597"/>
    <w:rsid w:val="006E3B3F"/>
    <w:rsid w:val="006E4EF0"/>
    <w:rsid w:val="006E5DDC"/>
    <w:rsid w:val="006E7843"/>
    <w:rsid w:val="0070226C"/>
    <w:rsid w:val="00710CBF"/>
    <w:rsid w:val="00717E1D"/>
    <w:rsid w:val="007244B1"/>
    <w:rsid w:val="007274BB"/>
    <w:rsid w:val="00744E29"/>
    <w:rsid w:val="0074523A"/>
    <w:rsid w:val="00750541"/>
    <w:rsid w:val="007609BE"/>
    <w:rsid w:val="0077216C"/>
    <w:rsid w:val="0078089E"/>
    <w:rsid w:val="00782813"/>
    <w:rsid w:val="007836CC"/>
    <w:rsid w:val="00785D46"/>
    <w:rsid w:val="0078666B"/>
    <w:rsid w:val="00792D40"/>
    <w:rsid w:val="007B10DB"/>
    <w:rsid w:val="007B18FB"/>
    <w:rsid w:val="007B5F0F"/>
    <w:rsid w:val="007C17F2"/>
    <w:rsid w:val="007C3C48"/>
    <w:rsid w:val="007C6D9B"/>
    <w:rsid w:val="007D0FF3"/>
    <w:rsid w:val="007D1350"/>
    <w:rsid w:val="007D7D88"/>
    <w:rsid w:val="007E704D"/>
    <w:rsid w:val="007F2CE3"/>
    <w:rsid w:val="00803C7A"/>
    <w:rsid w:val="00804A89"/>
    <w:rsid w:val="008078EB"/>
    <w:rsid w:val="00807F62"/>
    <w:rsid w:val="008119C4"/>
    <w:rsid w:val="008153FE"/>
    <w:rsid w:val="008210E7"/>
    <w:rsid w:val="00822695"/>
    <w:rsid w:val="00824264"/>
    <w:rsid w:val="00826E47"/>
    <w:rsid w:val="00827632"/>
    <w:rsid w:val="00830D0D"/>
    <w:rsid w:val="00845FBD"/>
    <w:rsid w:val="00856C8A"/>
    <w:rsid w:val="0085764B"/>
    <w:rsid w:val="00857E94"/>
    <w:rsid w:val="0086309E"/>
    <w:rsid w:val="00886CF7"/>
    <w:rsid w:val="00887B3A"/>
    <w:rsid w:val="00893F9B"/>
    <w:rsid w:val="00896E5C"/>
    <w:rsid w:val="00896F0D"/>
    <w:rsid w:val="008A653F"/>
    <w:rsid w:val="008B6241"/>
    <w:rsid w:val="008B6938"/>
    <w:rsid w:val="008B6E38"/>
    <w:rsid w:val="008B7FD7"/>
    <w:rsid w:val="008C20C2"/>
    <w:rsid w:val="008C2490"/>
    <w:rsid w:val="008C690A"/>
    <w:rsid w:val="008C7158"/>
    <w:rsid w:val="008D1A07"/>
    <w:rsid w:val="008D4735"/>
    <w:rsid w:val="008E515C"/>
    <w:rsid w:val="008F0B33"/>
    <w:rsid w:val="008F13F5"/>
    <w:rsid w:val="008F259F"/>
    <w:rsid w:val="008F7CD9"/>
    <w:rsid w:val="00900AE9"/>
    <w:rsid w:val="0090238F"/>
    <w:rsid w:val="00903450"/>
    <w:rsid w:val="00914EE5"/>
    <w:rsid w:val="00916DB2"/>
    <w:rsid w:val="009170A6"/>
    <w:rsid w:val="0092512D"/>
    <w:rsid w:val="0092536D"/>
    <w:rsid w:val="00932181"/>
    <w:rsid w:val="009325E2"/>
    <w:rsid w:val="0093320F"/>
    <w:rsid w:val="00934DC5"/>
    <w:rsid w:val="00944BF1"/>
    <w:rsid w:val="00945954"/>
    <w:rsid w:val="00946AD0"/>
    <w:rsid w:val="009547CA"/>
    <w:rsid w:val="00965D58"/>
    <w:rsid w:val="00970099"/>
    <w:rsid w:val="00975963"/>
    <w:rsid w:val="00977A3B"/>
    <w:rsid w:val="00977B22"/>
    <w:rsid w:val="00977F22"/>
    <w:rsid w:val="00981F48"/>
    <w:rsid w:val="00984B56"/>
    <w:rsid w:val="00991733"/>
    <w:rsid w:val="00991F34"/>
    <w:rsid w:val="00992BCC"/>
    <w:rsid w:val="00993492"/>
    <w:rsid w:val="00996A8B"/>
    <w:rsid w:val="009A12F1"/>
    <w:rsid w:val="009A3873"/>
    <w:rsid w:val="009B4497"/>
    <w:rsid w:val="009C10C3"/>
    <w:rsid w:val="009D290B"/>
    <w:rsid w:val="009D2D0C"/>
    <w:rsid w:val="009D43EF"/>
    <w:rsid w:val="009D7872"/>
    <w:rsid w:val="009D79B0"/>
    <w:rsid w:val="009E1D58"/>
    <w:rsid w:val="009F4A5F"/>
    <w:rsid w:val="009F53AD"/>
    <w:rsid w:val="009F7D4F"/>
    <w:rsid w:val="00A12A52"/>
    <w:rsid w:val="00A20B63"/>
    <w:rsid w:val="00A236BF"/>
    <w:rsid w:val="00A24D82"/>
    <w:rsid w:val="00A400CE"/>
    <w:rsid w:val="00A42B96"/>
    <w:rsid w:val="00A435D1"/>
    <w:rsid w:val="00A43E46"/>
    <w:rsid w:val="00A44040"/>
    <w:rsid w:val="00A507E4"/>
    <w:rsid w:val="00A53999"/>
    <w:rsid w:val="00A65DC2"/>
    <w:rsid w:val="00A6632D"/>
    <w:rsid w:val="00A80679"/>
    <w:rsid w:val="00A80E71"/>
    <w:rsid w:val="00A8161C"/>
    <w:rsid w:val="00A91522"/>
    <w:rsid w:val="00AA042C"/>
    <w:rsid w:val="00AA3F1C"/>
    <w:rsid w:val="00AB29AA"/>
    <w:rsid w:val="00AB7811"/>
    <w:rsid w:val="00AC2F16"/>
    <w:rsid w:val="00AC31D9"/>
    <w:rsid w:val="00AC43AB"/>
    <w:rsid w:val="00AC4FDE"/>
    <w:rsid w:val="00AC70B3"/>
    <w:rsid w:val="00AD20DC"/>
    <w:rsid w:val="00AD5278"/>
    <w:rsid w:val="00AE0B87"/>
    <w:rsid w:val="00AE107C"/>
    <w:rsid w:val="00AE1189"/>
    <w:rsid w:val="00AE1373"/>
    <w:rsid w:val="00AE4AAC"/>
    <w:rsid w:val="00AF01CD"/>
    <w:rsid w:val="00AF07E7"/>
    <w:rsid w:val="00B03B63"/>
    <w:rsid w:val="00B064C1"/>
    <w:rsid w:val="00B07B85"/>
    <w:rsid w:val="00B14CEA"/>
    <w:rsid w:val="00B1760F"/>
    <w:rsid w:val="00B22E88"/>
    <w:rsid w:val="00B30086"/>
    <w:rsid w:val="00B35BF1"/>
    <w:rsid w:val="00B36DA2"/>
    <w:rsid w:val="00B37143"/>
    <w:rsid w:val="00B44A8A"/>
    <w:rsid w:val="00B46F67"/>
    <w:rsid w:val="00B47216"/>
    <w:rsid w:val="00B54C5E"/>
    <w:rsid w:val="00B602E0"/>
    <w:rsid w:val="00B65EE0"/>
    <w:rsid w:val="00B70247"/>
    <w:rsid w:val="00B71CBC"/>
    <w:rsid w:val="00B84135"/>
    <w:rsid w:val="00BB2A5D"/>
    <w:rsid w:val="00BB616B"/>
    <w:rsid w:val="00BB7EDE"/>
    <w:rsid w:val="00BC00FD"/>
    <w:rsid w:val="00BC035D"/>
    <w:rsid w:val="00BD7047"/>
    <w:rsid w:val="00C113A9"/>
    <w:rsid w:val="00C1205F"/>
    <w:rsid w:val="00C1435F"/>
    <w:rsid w:val="00C15388"/>
    <w:rsid w:val="00C231B6"/>
    <w:rsid w:val="00C329C2"/>
    <w:rsid w:val="00C338B0"/>
    <w:rsid w:val="00C35FAE"/>
    <w:rsid w:val="00C3660E"/>
    <w:rsid w:val="00C43C94"/>
    <w:rsid w:val="00C613AC"/>
    <w:rsid w:val="00C65FF1"/>
    <w:rsid w:val="00C67D03"/>
    <w:rsid w:val="00C765EB"/>
    <w:rsid w:val="00C7678E"/>
    <w:rsid w:val="00C8033F"/>
    <w:rsid w:val="00C9059A"/>
    <w:rsid w:val="00C94436"/>
    <w:rsid w:val="00C95512"/>
    <w:rsid w:val="00C95D2E"/>
    <w:rsid w:val="00C95E45"/>
    <w:rsid w:val="00C96A7F"/>
    <w:rsid w:val="00C97492"/>
    <w:rsid w:val="00CA0773"/>
    <w:rsid w:val="00CA22E4"/>
    <w:rsid w:val="00CA706F"/>
    <w:rsid w:val="00CB03D9"/>
    <w:rsid w:val="00CB1F48"/>
    <w:rsid w:val="00CB45BA"/>
    <w:rsid w:val="00CB57A1"/>
    <w:rsid w:val="00CB6B53"/>
    <w:rsid w:val="00CD188D"/>
    <w:rsid w:val="00CD3010"/>
    <w:rsid w:val="00CD370C"/>
    <w:rsid w:val="00CD6A30"/>
    <w:rsid w:val="00CE0AED"/>
    <w:rsid w:val="00CE3316"/>
    <w:rsid w:val="00CE613B"/>
    <w:rsid w:val="00CE7E41"/>
    <w:rsid w:val="00CF0C6F"/>
    <w:rsid w:val="00CF20BD"/>
    <w:rsid w:val="00CF2DA3"/>
    <w:rsid w:val="00CF4B44"/>
    <w:rsid w:val="00CF53BB"/>
    <w:rsid w:val="00D17066"/>
    <w:rsid w:val="00D2228B"/>
    <w:rsid w:val="00D32DAB"/>
    <w:rsid w:val="00D44FF2"/>
    <w:rsid w:val="00D45F70"/>
    <w:rsid w:val="00D466AB"/>
    <w:rsid w:val="00D50981"/>
    <w:rsid w:val="00D50A08"/>
    <w:rsid w:val="00D559ED"/>
    <w:rsid w:val="00D71C1A"/>
    <w:rsid w:val="00D74993"/>
    <w:rsid w:val="00D751FD"/>
    <w:rsid w:val="00D77B0C"/>
    <w:rsid w:val="00D8144E"/>
    <w:rsid w:val="00D838D8"/>
    <w:rsid w:val="00D860F1"/>
    <w:rsid w:val="00D93DB0"/>
    <w:rsid w:val="00DA2FD7"/>
    <w:rsid w:val="00DA5A30"/>
    <w:rsid w:val="00DB19BE"/>
    <w:rsid w:val="00DB7351"/>
    <w:rsid w:val="00DC26A2"/>
    <w:rsid w:val="00DC53B0"/>
    <w:rsid w:val="00DC7293"/>
    <w:rsid w:val="00DC7341"/>
    <w:rsid w:val="00DC7CFF"/>
    <w:rsid w:val="00DD10E9"/>
    <w:rsid w:val="00DD7974"/>
    <w:rsid w:val="00DE0D7C"/>
    <w:rsid w:val="00DE2D37"/>
    <w:rsid w:val="00DE456B"/>
    <w:rsid w:val="00DE4621"/>
    <w:rsid w:val="00DE77CF"/>
    <w:rsid w:val="00DF6EEB"/>
    <w:rsid w:val="00E03D83"/>
    <w:rsid w:val="00E05FFF"/>
    <w:rsid w:val="00E06105"/>
    <w:rsid w:val="00E113C8"/>
    <w:rsid w:val="00E11987"/>
    <w:rsid w:val="00E14885"/>
    <w:rsid w:val="00E1710F"/>
    <w:rsid w:val="00E24CE0"/>
    <w:rsid w:val="00E355AF"/>
    <w:rsid w:val="00E50A79"/>
    <w:rsid w:val="00E538DD"/>
    <w:rsid w:val="00E55EC1"/>
    <w:rsid w:val="00E657F9"/>
    <w:rsid w:val="00E718C4"/>
    <w:rsid w:val="00E834B2"/>
    <w:rsid w:val="00E843D3"/>
    <w:rsid w:val="00E84BB6"/>
    <w:rsid w:val="00E90659"/>
    <w:rsid w:val="00E92B97"/>
    <w:rsid w:val="00EA041E"/>
    <w:rsid w:val="00EA330D"/>
    <w:rsid w:val="00EA61B5"/>
    <w:rsid w:val="00EB0ACD"/>
    <w:rsid w:val="00EB52E3"/>
    <w:rsid w:val="00EC1858"/>
    <w:rsid w:val="00EC4510"/>
    <w:rsid w:val="00EC5850"/>
    <w:rsid w:val="00ED6A75"/>
    <w:rsid w:val="00ED7041"/>
    <w:rsid w:val="00EE13A3"/>
    <w:rsid w:val="00EE27B8"/>
    <w:rsid w:val="00EE2DA3"/>
    <w:rsid w:val="00EE3B25"/>
    <w:rsid w:val="00EF4E46"/>
    <w:rsid w:val="00F00D88"/>
    <w:rsid w:val="00F01C4A"/>
    <w:rsid w:val="00F07095"/>
    <w:rsid w:val="00F0762D"/>
    <w:rsid w:val="00F12846"/>
    <w:rsid w:val="00F26CB0"/>
    <w:rsid w:val="00F27967"/>
    <w:rsid w:val="00F279D3"/>
    <w:rsid w:val="00F31A29"/>
    <w:rsid w:val="00F35487"/>
    <w:rsid w:val="00F416B7"/>
    <w:rsid w:val="00F46CBE"/>
    <w:rsid w:val="00F47424"/>
    <w:rsid w:val="00F720EB"/>
    <w:rsid w:val="00F80C93"/>
    <w:rsid w:val="00F8793B"/>
    <w:rsid w:val="00F87D75"/>
    <w:rsid w:val="00F9079E"/>
    <w:rsid w:val="00F922E0"/>
    <w:rsid w:val="00F9337B"/>
    <w:rsid w:val="00F94089"/>
    <w:rsid w:val="00FB6E49"/>
    <w:rsid w:val="00FC2A14"/>
    <w:rsid w:val="00FC3642"/>
    <w:rsid w:val="00FD151F"/>
    <w:rsid w:val="00FD16A9"/>
    <w:rsid w:val="00FE118C"/>
    <w:rsid w:val="00FE12E3"/>
    <w:rsid w:val="00FE435A"/>
    <w:rsid w:val="00FE548B"/>
    <w:rsid w:val="00FF04B2"/>
    <w:rsid w:val="00FF3692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A4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5004"/>
  </w:style>
  <w:style w:type="paragraph" w:styleId="Heading1">
    <w:name w:val="heading 1"/>
    <w:basedOn w:val="Normal"/>
    <w:uiPriority w:val="1"/>
    <w:qFormat/>
    <w:pPr>
      <w:spacing w:before="25"/>
      <w:ind w:left="100"/>
      <w:outlineLvl w:val="0"/>
    </w:pPr>
    <w:rPr>
      <w:rFonts w:ascii="Lao UI" w:eastAsia="Lao UI" w:hAnsi="Lao U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192"/>
    </w:pPr>
    <w:rPr>
      <w:rFonts w:ascii="Lao UI" w:eastAsia="Lao UI" w:hAnsi="Lao U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F5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6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6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6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6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1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A29"/>
  </w:style>
  <w:style w:type="paragraph" w:styleId="Footer">
    <w:name w:val="footer"/>
    <w:basedOn w:val="Normal"/>
    <w:link w:val="FooterChar"/>
    <w:unhideWhenUsed/>
    <w:rsid w:val="00F31A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1A29"/>
  </w:style>
  <w:style w:type="character" w:styleId="Hyperlink">
    <w:name w:val="Hyperlink"/>
    <w:basedOn w:val="DefaultParagraphFont"/>
    <w:uiPriority w:val="99"/>
    <w:unhideWhenUsed/>
    <w:rsid w:val="00A80E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0E7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64B1F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434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regulations/105-CMR-22000-immunization-of-students-before-admission-to-school" TargetMode="External"/><Relationship Id="rId13" Type="http://schemas.openxmlformats.org/officeDocument/2006/relationships/hyperlink" Target="https://www.mass.gov/doc/information-about-meningococcal-disease-meningococcal-vaccines-vaccination-requirements-and-th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regulations/105-CMR-22000-immunization-of-students-before-admission-to-school" TargetMode="External"/><Relationship Id="rId12" Type="http://schemas.openxmlformats.org/officeDocument/2006/relationships/hyperlink" Target="https://www.cdc.gov/acip/vaccine-recommendations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acip/vaccine-recommendations/index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dc.gov/vaccines/hcp/imz-schedules/child-adolescent-ag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acip/vaccine-recommendations/index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1733</Words>
  <Characters>9882</Characters>
  <Application>Microsoft Office Word</Application>
  <DocSecurity>8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2025-06-10T15:49:00Z</dcterms:created>
  <dcterms:modified xsi:type="dcterms:W3CDTF">2025-09-03T19:14:00Z</dcterms:modified>
</cp:coreProperties>
</file>