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Pr="00E970F6" w:rsidRDefault="000537DA" w:rsidP="00091EFD">
      <w:pPr>
        <w:framePr w:w="7888" w:hSpace="187" w:wrap="notBeside" w:vAnchor="page" w:hAnchor="page" w:x="2517" w:y="711"/>
        <w:jc w:val="center"/>
        <w:rPr>
          <w:rFonts w:ascii="Arial" w:hAnsi="Arial"/>
          <w:sz w:val="36"/>
        </w:rPr>
      </w:pPr>
      <w:r w:rsidRPr="00E970F6">
        <w:rPr>
          <w:rFonts w:ascii="Arial" w:hAnsi="Arial"/>
          <w:sz w:val="36"/>
        </w:rPr>
        <w:t>Estado de Massachusetts</w:t>
      </w:r>
    </w:p>
    <w:p w14:paraId="6D27BA80" w14:textId="77777777" w:rsidR="000537DA" w:rsidRPr="00E970F6" w:rsidRDefault="000537DA" w:rsidP="00091EFD">
      <w:pPr>
        <w:pStyle w:val="ExecOffice"/>
        <w:framePr w:w="7888" w:wrap="notBeside" w:vAnchor="page" w:x="2517" w:y="711"/>
      </w:pPr>
      <w:r w:rsidRPr="00E970F6">
        <w:t>Gabinete Executivo de Saúde e Serviços Humanos</w:t>
      </w:r>
    </w:p>
    <w:p w14:paraId="59A576D2" w14:textId="77777777" w:rsidR="00EB7588" w:rsidRPr="00E970F6" w:rsidRDefault="000537DA" w:rsidP="00091EFD">
      <w:pPr>
        <w:pStyle w:val="ExecOffice"/>
        <w:framePr w:w="7888" w:wrap="notBeside" w:vAnchor="page" w:x="2517" w:y="711"/>
      </w:pPr>
      <w:r w:rsidRPr="00E970F6">
        <w:t>Departamento de Saúde Pública</w:t>
      </w:r>
    </w:p>
    <w:p w14:paraId="2672D03A" w14:textId="17C3CE95" w:rsidR="00EB7588" w:rsidRPr="00E970F6" w:rsidRDefault="00EB7588" w:rsidP="00091EFD">
      <w:pPr>
        <w:pStyle w:val="ExecOffice"/>
        <w:framePr w:w="7888" w:wrap="notBeside" w:vAnchor="page" w:x="2517" w:y="711"/>
        <w:rPr>
          <w:spacing w:val="-5"/>
        </w:rPr>
      </w:pPr>
      <w:r w:rsidRPr="00E970F6">
        <w:rPr>
          <w:spacing w:val="-5"/>
        </w:rPr>
        <w:t>Coordenação de Doenças Infecciosas e Ciências de Laboratório</w:t>
      </w:r>
    </w:p>
    <w:p w14:paraId="0958205A" w14:textId="09648753" w:rsidR="006D06D9" w:rsidRPr="00D86FB2" w:rsidRDefault="00EB7588" w:rsidP="00091EFD">
      <w:pPr>
        <w:pStyle w:val="ExecOffice"/>
        <w:framePr w:w="7888" w:wrap="notBeside" w:vAnchor="page" w:x="2517" w:y="711"/>
        <w:rPr>
          <w:lang w:val="en-US"/>
        </w:rPr>
      </w:pPr>
      <w:r w:rsidRPr="00D86FB2">
        <w:rPr>
          <w:lang w:val="en-US"/>
        </w:rPr>
        <w:t>305 South Street, Jamaica Plain, MA 02130</w:t>
      </w:r>
    </w:p>
    <w:p w14:paraId="14DDC802" w14:textId="4A70C274" w:rsidR="00BA4055" w:rsidRPr="00E970F6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 w:rsidRPr="00E970F6"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63D3EB61" w:rsidR="009908FF" w:rsidRPr="00E970F6" w:rsidRDefault="000B7D96" w:rsidP="0072610D">
      <w:r w:rsidRPr="00E970F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5F7BC246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D86FB2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86FB2">
                              <w:rPr>
                                <w:sz w:val="16"/>
                                <w:lang w:val="en-US"/>
                              </w:rPr>
                              <w:t>KATHLEEN E. WALSH</w:t>
                            </w:r>
                          </w:p>
                          <w:p w14:paraId="66075756" w14:textId="77777777" w:rsidR="002D1C21" w:rsidRPr="00D86FB2" w:rsidRDefault="009D48CD" w:rsidP="0000218B">
                            <w:pPr>
                              <w:pStyle w:val="Governor"/>
                              <w:rPr>
                                <w:lang w:val="en-US"/>
                              </w:rPr>
                            </w:pPr>
                            <w:r w:rsidRPr="00D86FB2">
                              <w:rPr>
                                <w:lang w:val="en-US"/>
                              </w:rPr>
                              <w:t xml:space="preserve">Secretária </w:t>
                            </w:r>
                          </w:p>
                          <w:p w14:paraId="42AE7C46" w14:textId="4022EC75" w:rsidR="00FC6B42" w:rsidRPr="00D86FB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86FB2">
                              <w:rPr>
                                <w:rFonts w:ascii="Arial Rounded MT Bold" w:hAnsi="Arial Rounded MT Bold"/>
                                <w:sz w:val="16"/>
                                <w:lang w:val="en-US"/>
                              </w:rPr>
                              <w:t xml:space="preserve">ROBERT GOLDSTEIN, MD, PhD </w:t>
                            </w:r>
                            <w:r w:rsidRPr="00D86FB2">
                              <w:rPr>
                                <w:rFonts w:ascii="Arial Rounded MT Bold" w:hAnsi="Arial Rounded MT Bold"/>
                                <w:sz w:val="14"/>
                                <w:lang w:val="en-US"/>
                              </w:rPr>
                              <w:t>Diretor</w:t>
                            </w:r>
                          </w:p>
                          <w:p w14:paraId="3AE250D6" w14:textId="77777777" w:rsidR="004813AC" w:rsidRPr="00D86FB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Tel.: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" filled="f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D86FB2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D86FB2">
                        <w:rPr>
                          <w:sz w:val="16"/>
                          <w:lang w:val="en-US"/>
                        </w:rPr>
                        <w:t>KATHLEEN E. WALSH</w:t>
                      </w:r>
                    </w:p>
                    <w:p w14:paraId="66075756" w14:textId="77777777" w:rsidR="002D1C21" w:rsidRPr="00D86FB2" w:rsidRDefault="009D48CD" w:rsidP="0000218B">
                      <w:pPr>
                        <w:pStyle w:val="Governor"/>
                        <w:rPr>
                          <w:lang w:val="en-US"/>
                        </w:rPr>
                      </w:pPr>
                      <w:r w:rsidRPr="00D86FB2">
                        <w:rPr>
                          <w:lang w:val="en-US"/>
                        </w:rPr>
                        <w:t xml:space="preserve">Secretária </w:t>
                      </w:r>
                    </w:p>
                    <w:p w14:paraId="42AE7C46" w14:textId="4022EC75" w:rsidR="00FC6B42" w:rsidRPr="00D86FB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  <w:lang w:val="en-US"/>
                        </w:rPr>
                      </w:pPr>
                      <w:r w:rsidRPr="00D86FB2">
                        <w:rPr>
                          <w:rFonts w:ascii="Arial Rounded MT Bold" w:hAnsi="Arial Rounded MT Bold"/>
                          <w:sz w:val="16"/>
                          <w:lang w:val="en-US"/>
                        </w:rPr>
                        <w:t xml:space="preserve">ROBERT GOLDSTEIN, MD, PhD </w:t>
                      </w:r>
                      <w:r w:rsidRPr="00D86FB2">
                        <w:rPr>
                          <w:rFonts w:ascii="Arial Rounded MT Bold" w:hAnsi="Arial Rounded MT Bold"/>
                          <w:sz w:val="14"/>
                          <w:lang w:val="en-US"/>
                        </w:rPr>
                        <w:t>Diretor</w:t>
                      </w:r>
                    </w:p>
                    <w:p w14:paraId="3AE250D6" w14:textId="77777777" w:rsidR="004813AC" w:rsidRPr="00D86FB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  <w:lang w:val="en-US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Tel.: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70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1A6AE622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Governadora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Vice-Governadora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" filled="f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Governadora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Vice-Governadora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Pr="00E970F6" w:rsidRDefault="00FC6B42" w:rsidP="0072610D"/>
    <w:p w14:paraId="45EA865C" w14:textId="77777777" w:rsidR="00FC6B42" w:rsidRPr="00E970F6" w:rsidRDefault="00FC6B42" w:rsidP="0072610D"/>
    <w:p w14:paraId="51314366" w14:textId="77777777" w:rsidR="00033154" w:rsidRPr="00E970F6" w:rsidRDefault="00033154" w:rsidP="0072610D"/>
    <w:p w14:paraId="3DA64BB5" w14:textId="77777777" w:rsidR="00033154" w:rsidRPr="00E970F6" w:rsidRDefault="00033154" w:rsidP="0072610D"/>
    <w:p w14:paraId="71F230C4" w14:textId="77777777" w:rsidR="002D5A3E" w:rsidRPr="00E970F6" w:rsidRDefault="002D5A3E" w:rsidP="0072610D"/>
    <w:p w14:paraId="51D36658" w14:textId="77777777" w:rsidR="002D5A3E" w:rsidRPr="00E970F6" w:rsidRDefault="002D5A3E" w:rsidP="002D5A3E"/>
    <w:p w14:paraId="33235B2F" w14:textId="2AB901A9" w:rsidR="002D5A3E" w:rsidRPr="00E970F6" w:rsidRDefault="002D5A3E" w:rsidP="00530AA6">
      <w:pPr>
        <w:tabs>
          <w:tab w:val="left" w:pos="1440"/>
        </w:tabs>
        <w:rPr>
          <w:rFonts w:cs="Tahoma"/>
          <w:sz w:val="20"/>
        </w:rPr>
      </w:pPr>
      <w:r w:rsidRPr="00E970F6">
        <w:rPr>
          <w:sz w:val="20"/>
        </w:rPr>
        <w:t>Para:</w:t>
      </w:r>
      <w:r w:rsidRPr="00E970F6">
        <w:rPr>
          <w:sz w:val="20"/>
        </w:rPr>
        <w:tab/>
        <w:t>Diretores de Acampamento</w:t>
      </w:r>
    </w:p>
    <w:p w14:paraId="7FDAF169" w14:textId="77777777" w:rsidR="00530AA6" w:rsidRPr="00E970F6" w:rsidRDefault="00530AA6" w:rsidP="00530AA6">
      <w:pPr>
        <w:tabs>
          <w:tab w:val="left" w:pos="1440"/>
        </w:tabs>
        <w:rPr>
          <w:rFonts w:cs="Tahoma"/>
          <w:sz w:val="20"/>
        </w:rPr>
      </w:pPr>
    </w:p>
    <w:p w14:paraId="116DD662" w14:textId="432F4801" w:rsidR="002D5A3E" w:rsidRPr="00E970F6" w:rsidRDefault="002D5A3E" w:rsidP="00530AA6">
      <w:pPr>
        <w:tabs>
          <w:tab w:val="left" w:pos="1440"/>
        </w:tabs>
        <w:rPr>
          <w:rFonts w:cs="Tahoma"/>
          <w:sz w:val="20"/>
        </w:rPr>
      </w:pPr>
      <w:r w:rsidRPr="00E970F6">
        <w:rPr>
          <w:sz w:val="20"/>
        </w:rPr>
        <w:t>De:</w:t>
      </w:r>
      <w:r w:rsidRPr="00E970F6">
        <w:rPr>
          <w:sz w:val="20"/>
        </w:rPr>
        <w:tab/>
        <w:t>Pejman Talebian, MA, MPH, Diretor da Divisão de Imunização</w:t>
      </w:r>
    </w:p>
    <w:p w14:paraId="3DC62400" w14:textId="77777777" w:rsidR="002D5A3E" w:rsidRPr="00E970F6" w:rsidRDefault="002D5A3E" w:rsidP="00530AA6">
      <w:pPr>
        <w:tabs>
          <w:tab w:val="left" w:pos="1440"/>
        </w:tabs>
        <w:rPr>
          <w:rFonts w:cs="Tahoma"/>
          <w:sz w:val="20"/>
        </w:rPr>
      </w:pPr>
    </w:p>
    <w:p w14:paraId="755FE8E4" w14:textId="15E34289" w:rsidR="002D5A3E" w:rsidRPr="00E970F6" w:rsidRDefault="002D5A3E" w:rsidP="00530AA6">
      <w:pPr>
        <w:tabs>
          <w:tab w:val="left" w:pos="1440"/>
        </w:tabs>
        <w:rPr>
          <w:rFonts w:cs="Tahoma"/>
          <w:sz w:val="20"/>
        </w:rPr>
      </w:pPr>
      <w:r w:rsidRPr="00E970F6">
        <w:rPr>
          <w:sz w:val="20"/>
        </w:rPr>
        <w:t>Data:</w:t>
      </w:r>
      <w:r w:rsidRPr="00E970F6">
        <w:rPr>
          <w:sz w:val="20"/>
        </w:rPr>
        <w:tab/>
        <w:t>26 de março de 2025</w:t>
      </w:r>
    </w:p>
    <w:p w14:paraId="7B766B4F" w14:textId="77777777" w:rsidR="002D5A3E" w:rsidRPr="00E970F6" w:rsidRDefault="002D5A3E" w:rsidP="00530AA6">
      <w:pPr>
        <w:tabs>
          <w:tab w:val="left" w:pos="1440"/>
        </w:tabs>
        <w:rPr>
          <w:rFonts w:cs="Tahoma"/>
          <w:sz w:val="16"/>
          <w:szCs w:val="16"/>
        </w:rPr>
      </w:pPr>
    </w:p>
    <w:p w14:paraId="08FFB8E7" w14:textId="59A19EE7" w:rsidR="002D5A3E" w:rsidRPr="00E970F6" w:rsidRDefault="002D5A3E" w:rsidP="00530AA6">
      <w:pPr>
        <w:tabs>
          <w:tab w:val="left" w:pos="1440"/>
        </w:tabs>
        <w:ind w:left="1440" w:hanging="1440"/>
        <w:rPr>
          <w:rFonts w:cs="Tahoma"/>
          <w:sz w:val="20"/>
        </w:rPr>
      </w:pPr>
      <w:r w:rsidRPr="00E970F6">
        <w:rPr>
          <w:sz w:val="20"/>
        </w:rPr>
        <w:t>Assunto:</w:t>
      </w:r>
      <w:r w:rsidRPr="00E970F6">
        <w:rPr>
          <w:sz w:val="20"/>
        </w:rPr>
        <w:tab/>
        <w:t>Vacinação obrigatória para crianças e funcionários em acampamentos</w:t>
      </w:r>
    </w:p>
    <w:p w14:paraId="55652B7E" w14:textId="77777777" w:rsidR="002D5A3E" w:rsidRPr="00E970F6" w:rsidRDefault="002D5A3E" w:rsidP="002D5A3E">
      <w:pPr>
        <w:rPr>
          <w:rFonts w:cs="Tahoma"/>
          <w:sz w:val="20"/>
        </w:rPr>
      </w:pPr>
    </w:p>
    <w:p w14:paraId="3342C551" w14:textId="6902F8DC" w:rsidR="00502495" w:rsidRPr="00E970F6" w:rsidRDefault="00894B84" w:rsidP="00091EFD">
      <w:pPr>
        <w:autoSpaceDE w:val="0"/>
        <w:autoSpaceDN w:val="0"/>
        <w:adjustRightInd w:val="0"/>
        <w:ind w:right="-108"/>
        <w:rPr>
          <w:spacing w:val="-5"/>
          <w:sz w:val="20"/>
        </w:rPr>
      </w:pPr>
      <w:r w:rsidRPr="00E970F6">
        <w:rPr>
          <w:spacing w:val="-5"/>
          <w:sz w:val="20"/>
        </w:rPr>
        <w:t>De acordo com o </w:t>
      </w:r>
      <w:hyperlink r:id="rId8" w:history="1">
        <w:r w:rsidRPr="00E970F6">
          <w:rPr>
            <w:rStyle w:val="Hyperlink"/>
            <w:spacing w:val="-5"/>
            <w:sz w:val="20"/>
          </w:rPr>
          <w:t>Centro de Controle e Prevenção de Doenças dos Estados Unidos</w:t>
        </w:r>
      </w:hyperlink>
      <w:r w:rsidRPr="00E970F6">
        <w:rPr>
          <w:spacing w:val="-5"/>
          <w:sz w:val="20"/>
        </w:rPr>
        <w:t>, “quando mais de 95% da população de</w:t>
      </w:r>
      <w:r w:rsidR="00091EFD" w:rsidRPr="00E970F6">
        <w:rPr>
          <w:spacing w:val="-5"/>
          <w:sz w:val="20"/>
        </w:rPr>
        <w:t> </w:t>
      </w:r>
      <w:r w:rsidRPr="00E970F6">
        <w:rPr>
          <w:spacing w:val="-5"/>
          <w:sz w:val="20"/>
        </w:rPr>
        <w:t>uma comunidade está vacinada (cobertura superior a 95%), a maior parte das pessoas fica protegida pela imunidade comunitária (imunidade de rebanho).” </w:t>
      </w:r>
      <w:r w:rsidRPr="00E970F6">
        <w:rPr>
          <w:rFonts w:ascii="Tahoma" w:hAnsi="Tahoma"/>
          <w:spacing w:val="-5"/>
          <w:sz w:val="20"/>
        </w:rPr>
        <w:t>﻿</w:t>
      </w:r>
      <w:r w:rsidRPr="00E970F6">
        <w:rPr>
          <w:spacing w:val="-5"/>
          <w:sz w:val="20"/>
        </w:rPr>
        <w:t>Em 2024, foram registrados 285 casos de sarampo nos EUA, incluindo um em Massachusetts e vários nos estados vizinhos. A maior parte dos casos nos EUA foi em jovens (73% tinham menos de 20</w:t>
      </w:r>
      <w:r w:rsidR="00091EFD" w:rsidRPr="00E970F6">
        <w:rPr>
          <w:spacing w:val="-5"/>
          <w:sz w:val="20"/>
        </w:rPr>
        <w:t> </w:t>
      </w:r>
      <w:r w:rsidRPr="00E970F6">
        <w:rPr>
          <w:spacing w:val="-5"/>
          <w:sz w:val="20"/>
        </w:rPr>
        <w:t>anos) e pessoas não vacinadas ou com histórico de vacinação desconhecido (89%). Um único caso de sarampo pode expor dezenas ou centenas de pessoas, gerando risco de doença, visitas médicas para vacinação e testes, além de faltas no trabalho e</w:t>
      </w:r>
      <w:r w:rsidR="007358CB" w:rsidRPr="00E970F6">
        <w:rPr>
          <w:spacing w:val="-5"/>
          <w:sz w:val="20"/>
        </w:rPr>
        <w:t> </w:t>
      </w:r>
      <w:r w:rsidRPr="00E970F6">
        <w:rPr>
          <w:spacing w:val="-5"/>
          <w:sz w:val="20"/>
        </w:rPr>
        <w:t>na escola devido à quarentena de pessoas sem evidência de imunidade. A forma de evitar essa situação, que pode paralisar um acampamento de verão, é garantir que crianças e funcionários tenham comprovação de imunidade contra o sarampo.</w:t>
      </w:r>
    </w:p>
    <w:p w14:paraId="71FB2FDC" w14:textId="77777777" w:rsidR="00663010" w:rsidRPr="00E970F6" w:rsidRDefault="00663010" w:rsidP="00404738">
      <w:pPr>
        <w:autoSpaceDE w:val="0"/>
        <w:autoSpaceDN w:val="0"/>
        <w:adjustRightInd w:val="0"/>
        <w:rPr>
          <w:b/>
          <w:sz w:val="20"/>
        </w:rPr>
      </w:pPr>
    </w:p>
    <w:p w14:paraId="478C371E" w14:textId="0A5D6DB2" w:rsidR="009148F4" w:rsidRPr="00E970F6" w:rsidRDefault="009148F4" w:rsidP="00404738">
      <w:pPr>
        <w:rPr>
          <w:b/>
          <w:bCs/>
          <w:sz w:val="20"/>
          <w:szCs w:val="16"/>
        </w:rPr>
      </w:pPr>
      <w:r w:rsidRPr="00E970F6">
        <w:rPr>
          <w:b/>
          <w:sz w:val="20"/>
        </w:rPr>
        <w:t>Vacinas obrigatórias:</w:t>
      </w:r>
    </w:p>
    <w:p w14:paraId="692B4E57" w14:textId="5FFDB8C4" w:rsidR="009148F4" w:rsidRPr="00E970F6" w:rsidRDefault="009148F4" w:rsidP="009148F4">
      <w:pPr>
        <w:autoSpaceDE w:val="0"/>
        <w:autoSpaceDN w:val="0"/>
        <w:adjustRightInd w:val="0"/>
        <w:rPr>
          <w:spacing w:val="-5"/>
          <w:sz w:val="20"/>
        </w:rPr>
      </w:pPr>
      <w:r w:rsidRPr="00E970F6">
        <w:rPr>
          <w:spacing w:val="-5"/>
          <w:sz w:val="20"/>
        </w:rPr>
        <w:t xml:space="preserve">Os Padrões Mínimos para Acampamentos Recreativos Infantis (105 CMR 430.152) foram atualizados. As exigências de imunização para crianças que frequentam acampamento seguem as exigências escolares de Massachusetts, conforme a tabela de </w:t>
      </w:r>
      <w:hyperlink r:id="rId9" w:history="1">
        <w:r w:rsidRPr="00E970F6">
          <w:rPr>
            <w:rStyle w:val="Hyperlink"/>
            <w:spacing w:val="-5"/>
            <w:sz w:val="20"/>
          </w:rPr>
          <w:t>Exigências de Imunização Escolar de Massachusetts</w:t>
        </w:r>
      </w:hyperlink>
      <w:r w:rsidRPr="00E970F6">
        <w:rPr>
          <w:spacing w:val="-5"/>
          <w:sz w:val="20"/>
        </w:rPr>
        <w:t>, que inclui a mais recente exigência: vacina meningocócica (MenACWY) para estudantes que ingressam no 8º e no 3º ano do Ensino Médio (para este último, no dia do aniversário de 16 anos ou depois; para mais detalhes, consulte as tabelas a seguir). As crianças devem atender às exigências de imunização para o ano letivo que iniciarão após o acampamento. Crianças que ainda não têm idade escolar devem seguir as exigências de imunização para creche/pré-escola indicadas na tabela de Exigências de Imunização Escolar.</w:t>
      </w:r>
    </w:p>
    <w:p w14:paraId="3D6954A5" w14:textId="77777777" w:rsidR="009148F4" w:rsidRPr="00E970F6" w:rsidRDefault="009148F4" w:rsidP="009148F4">
      <w:pPr>
        <w:autoSpaceDE w:val="0"/>
        <w:autoSpaceDN w:val="0"/>
        <w:adjustRightInd w:val="0"/>
        <w:rPr>
          <w:sz w:val="20"/>
        </w:rPr>
      </w:pPr>
    </w:p>
    <w:p w14:paraId="0CE10D25" w14:textId="38FC792C" w:rsidR="009148F4" w:rsidRPr="00E970F6" w:rsidRDefault="009148F4" w:rsidP="009148F4">
      <w:pPr>
        <w:autoSpaceDE w:val="0"/>
        <w:autoSpaceDN w:val="0"/>
        <w:adjustRightInd w:val="0"/>
        <w:rPr>
          <w:sz w:val="20"/>
        </w:rPr>
      </w:pPr>
      <w:r w:rsidRPr="00E970F6">
        <w:rPr>
          <w:sz w:val="20"/>
        </w:rPr>
        <w:t xml:space="preserve">Crianças, funcionários e voluntários com 18 anos ou mais devem seguir as imunizações listadas no documento </w:t>
      </w:r>
      <w:hyperlink r:id="rId10" w:history="1">
        <w:r w:rsidRPr="00E970F6">
          <w:rPr>
            <w:rStyle w:val="Hyperlink"/>
            <w:sz w:val="20"/>
          </w:rPr>
          <w:t>Imunizações Ocupacionais para Adultos</w:t>
        </w:r>
      </w:hyperlink>
      <w:r w:rsidRPr="00E970F6">
        <w:rPr>
          <w:sz w:val="20"/>
        </w:rPr>
        <w:t>.</w:t>
      </w:r>
    </w:p>
    <w:p w14:paraId="30C1F7B2" w14:textId="77777777" w:rsidR="009148F4" w:rsidRPr="00E970F6" w:rsidRDefault="009148F4" w:rsidP="009148F4">
      <w:pPr>
        <w:autoSpaceDE w:val="0"/>
        <w:autoSpaceDN w:val="0"/>
        <w:adjustRightInd w:val="0"/>
        <w:rPr>
          <w:sz w:val="20"/>
        </w:rPr>
      </w:pPr>
    </w:p>
    <w:p w14:paraId="1C48246F" w14:textId="159A0829" w:rsidR="009148F4" w:rsidRPr="00E970F6" w:rsidRDefault="009148F4" w:rsidP="009148F4">
      <w:pPr>
        <w:autoSpaceDE w:val="0"/>
        <w:autoSpaceDN w:val="0"/>
        <w:adjustRightInd w:val="0"/>
        <w:rPr>
          <w:sz w:val="20"/>
        </w:rPr>
      </w:pPr>
      <w:r w:rsidRPr="00E970F6">
        <w:rPr>
          <w:sz w:val="20"/>
        </w:rPr>
        <w:t>As próximas páginas trazem partes das tabelas de Imunização Escolar de Massachusetts e Imunizações Ocupacionais para Adultos, aplicáveis a acampamentos.</w:t>
      </w:r>
    </w:p>
    <w:p w14:paraId="16AA75B7" w14:textId="77777777" w:rsidR="009148F4" w:rsidRPr="00E970F6" w:rsidRDefault="009148F4" w:rsidP="009148F4">
      <w:pPr>
        <w:autoSpaceDE w:val="0"/>
        <w:autoSpaceDN w:val="0"/>
        <w:adjustRightInd w:val="0"/>
        <w:rPr>
          <w:sz w:val="20"/>
        </w:rPr>
      </w:pPr>
    </w:p>
    <w:p w14:paraId="1055B107" w14:textId="4440B5CF" w:rsidR="00404738" w:rsidRPr="00E970F6" w:rsidRDefault="009148F4" w:rsidP="00530AA6">
      <w:pPr>
        <w:autoSpaceDE w:val="0"/>
        <w:autoSpaceDN w:val="0"/>
        <w:adjustRightInd w:val="0"/>
        <w:rPr>
          <w:sz w:val="20"/>
        </w:rPr>
      </w:pPr>
      <w:r w:rsidRPr="00E970F6">
        <w:rPr>
          <w:sz w:val="20"/>
        </w:rPr>
        <w:t>Se tiver dúvidas sobre vacinas, recomendações de imunização ou casos suspeitos/confirmados de doenças, entre em</w:t>
      </w:r>
      <w:r w:rsidR="007358CB" w:rsidRPr="00E970F6">
        <w:rPr>
          <w:sz w:val="20"/>
        </w:rPr>
        <w:t> </w:t>
      </w:r>
      <w:r w:rsidRPr="00E970F6">
        <w:rPr>
          <w:sz w:val="20"/>
        </w:rPr>
        <w:t xml:space="preserve">contato com a Divisão de Imunização do MDPH pelo e-mail </w:t>
      </w:r>
      <w:hyperlink r:id="rId11" w:history="1">
        <w:r w:rsidRPr="00E970F6">
          <w:rPr>
            <w:rStyle w:val="Hyperlink"/>
            <w:sz w:val="20"/>
          </w:rPr>
          <w:t>ImmAssessmentUnit@mass.gov</w:t>
        </w:r>
      </w:hyperlink>
      <w:r w:rsidRPr="00E970F6">
        <w:rPr>
          <w:sz w:val="20"/>
        </w:rPr>
        <w:t>. Dúvidas sobre fiscalização devem ser tratadas com seu assessor jurídico.</w:t>
      </w:r>
    </w:p>
    <w:p w14:paraId="0942ECFD" w14:textId="77777777" w:rsidR="00472194" w:rsidRPr="00E970F6" w:rsidRDefault="00472194">
      <w:pPr>
        <w:rPr>
          <w:rFonts w:eastAsia="Lao UI"/>
          <w:b/>
          <w:bCs/>
          <w:spacing w:val="-1"/>
          <w:sz w:val="20"/>
        </w:rPr>
      </w:pPr>
    </w:p>
    <w:p w14:paraId="48549967" w14:textId="63BB5A7C" w:rsidR="003C1234" w:rsidRPr="00E970F6" w:rsidRDefault="00472194">
      <w:pPr>
        <w:rPr>
          <w:rFonts w:eastAsia="Lao UI"/>
          <w:b/>
          <w:bCs/>
          <w:spacing w:val="-1"/>
          <w:sz w:val="20"/>
        </w:rPr>
        <w:sectPr w:rsidR="003C1234" w:rsidRPr="00E970F6">
          <w:pgSz w:w="12240" w:h="15840"/>
          <w:pgMar w:top="1440" w:right="1440" w:bottom="1440" w:left="1440" w:header="720" w:footer="720" w:gutter="0"/>
          <w:cols w:space="720"/>
        </w:sectPr>
      </w:pPr>
      <w:r w:rsidRPr="00E970F6">
        <w:rPr>
          <w:sz w:val="20"/>
        </w:rPr>
        <w:t>Consulte as páginas seguintes para informações sobre estudantes do Jardim até o 6º ano do Ensino Fundamental, do</w:t>
      </w:r>
      <w:r w:rsidR="007358CB" w:rsidRPr="00E970F6">
        <w:rPr>
          <w:sz w:val="20"/>
        </w:rPr>
        <w:t> </w:t>
      </w:r>
      <w:r w:rsidRPr="00E970F6">
        <w:rPr>
          <w:sz w:val="20"/>
        </w:rPr>
        <w:t>8º ao 3º ano do Ensino Médio, além de campistas, funcionários e voluntários com 18 anos ou mais</w:t>
      </w:r>
    </w:p>
    <w:p w14:paraId="7460BB4E" w14:textId="77777777" w:rsidR="00894B84" w:rsidRPr="00E970F6" w:rsidRDefault="00894B84" w:rsidP="00894B84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bookmarkStart w:id="0" w:name="_Hlk44023794"/>
      <w:r w:rsidRPr="00E970F6">
        <w:rPr>
          <w:rFonts w:asciiTheme="minorHAnsi" w:hAnsiTheme="minorHAnsi"/>
          <w:b/>
          <w:color w:val="0070C0"/>
          <w:sz w:val="22"/>
        </w:rPr>
        <w:lastRenderedPageBreak/>
        <w:t>Jardim de Infância até 6º ano do Ensino Fundamental</w:t>
      </w:r>
      <w:r w:rsidRPr="00E970F6">
        <w:rPr>
          <w:rFonts w:asciiTheme="minorHAnsi" w:hAnsiTheme="minorHAnsi"/>
          <w:b/>
          <w:color w:val="0070C0"/>
          <w:sz w:val="32"/>
          <w:vertAlign w:val="superscript"/>
        </w:rPr>
        <w:t>¶†</w:t>
      </w:r>
    </w:p>
    <w:p w14:paraId="3DFE9499" w14:textId="77777777" w:rsidR="00894B84" w:rsidRPr="00E970F6" w:rsidRDefault="00894B84" w:rsidP="00894B84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r w:rsidRPr="00E970F6">
        <w:rPr>
          <w:rFonts w:asciiTheme="minorHAnsi" w:hAnsiTheme="minorHAnsi"/>
          <w:sz w:val="22"/>
        </w:rPr>
        <w:t>Em turmas sem série definida (</w:t>
      </w:r>
      <w:r w:rsidRPr="00E970F6">
        <w:rPr>
          <w:rFonts w:asciiTheme="minorHAnsi" w:hAnsiTheme="minorHAnsi"/>
          <w:i/>
          <w:iCs/>
          <w:sz w:val="22"/>
        </w:rPr>
        <w:t>ungraded classrooms</w:t>
      </w:r>
      <w:r w:rsidRPr="00E970F6">
        <w:rPr>
          <w:rFonts w:asciiTheme="minorHAnsi" w:hAnsiTheme="minorHAnsi"/>
          <w:sz w:val="22"/>
        </w:rPr>
        <w:t>), os requisitos de Jardim de Infância se aplicam a todos os estudantes com 5 anos ou mais.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9217"/>
      </w:tblGrid>
      <w:tr w:rsidR="00A5118D" w:rsidRPr="00E970F6" w14:paraId="07CA5DBD" w14:textId="77777777" w:rsidTr="00CE51C3">
        <w:trPr>
          <w:trHeight w:val="144"/>
        </w:trPr>
        <w:tc>
          <w:tcPr>
            <w:tcW w:w="729" w:type="pct"/>
            <w:shd w:val="clear" w:color="auto" w:fill="C5DBFB"/>
            <w:vAlign w:val="center"/>
          </w:tcPr>
          <w:p w14:paraId="6F052BCD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DTaP/Tdap</w:t>
            </w:r>
          </w:p>
        </w:tc>
        <w:tc>
          <w:tcPr>
            <w:tcW w:w="4271" w:type="pct"/>
            <w:vAlign w:val="center"/>
          </w:tcPr>
          <w:p w14:paraId="346E5547" w14:textId="38B7A46B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 xml:space="preserve">5 doses; </w:t>
            </w:r>
            <w:r w:rsidRPr="00E970F6">
              <w:rPr>
                <w:rFonts w:asciiTheme="minorHAnsi" w:hAnsiTheme="minorHAnsi"/>
                <w:sz w:val="22"/>
              </w:rPr>
              <w:t xml:space="preserve">4 doses são aceitáveis se a quarta dose for dada no dia ou após o aniversário de 4 anos; </w:t>
            </w:r>
            <w:r w:rsidR="00997A71" w:rsidRPr="00E970F6">
              <w:rPr>
                <w:rFonts w:asciiTheme="minorHAnsi" w:hAnsiTheme="minorHAnsi"/>
                <w:sz w:val="22"/>
              </w:rPr>
              <w:br/>
            </w:r>
            <w:r w:rsidRPr="00E970F6">
              <w:rPr>
                <w:rFonts w:asciiTheme="minorHAnsi" w:hAnsiTheme="minorHAnsi"/>
                <w:sz w:val="22"/>
              </w:rPr>
              <w:t>a DT só é aceitável com uma carta declarando uma contraindicação médica à DTaP</w:t>
            </w:r>
          </w:p>
        </w:tc>
      </w:tr>
      <w:tr w:rsidR="00A5118D" w:rsidRPr="00E970F6" w14:paraId="0701E269" w14:textId="77777777" w:rsidTr="00CE51C3">
        <w:trPr>
          <w:trHeight w:val="144"/>
        </w:trPr>
        <w:tc>
          <w:tcPr>
            <w:tcW w:w="729" w:type="pct"/>
            <w:shd w:val="clear" w:color="auto" w:fill="C5DBFB"/>
            <w:vAlign w:val="center"/>
          </w:tcPr>
          <w:p w14:paraId="797AC012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Pólio</w:t>
            </w:r>
          </w:p>
        </w:tc>
        <w:tc>
          <w:tcPr>
            <w:tcW w:w="4271" w:type="pct"/>
            <w:vAlign w:val="center"/>
          </w:tcPr>
          <w:p w14:paraId="75277D61" w14:textId="05D57D6B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 xml:space="preserve">4 doses; </w:t>
            </w:r>
            <w:r w:rsidRPr="00E970F6">
              <w:rPr>
                <w:rFonts w:asciiTheme="minorHAnsi" w:hAnsiTheme="minorHAnsi"/>
                <w:sz w:val="22"/>
              </w:rPr>
              <w:t>a quarta dose deve ser administrada no dia ou após o aniversário de 4 anos e ≥6 meses após</w:t>
            </w:r>
            <w:r w:rsidR="00997A71" w:rsidRPr="00E970F6">
              <w:rPr>
                <w:rFonts w:asciiTheme="minorHAnsi" w:hAnsiTheme="minorHAnsi"/>
                <w:sz w:val="22"/>
              </w:rPr>
              <w:t> </w:t>
            </w:r>
            <w:r w:rsidRPr="00E970F6">
              <w:rPr>
                <w:rFonts w:asciiTheme="minorHAnsi" w:hAnsiTheme="minorHAnsi"/>
                <w:sz w:val="22"/>
              </w:rPr>
              <w:t>a dose anterior ou uma quinta dose é necessária; 3 doses são aceitáveis se a terceira dose for</w:t>
            </w:r>
            <w:r w:rsidR="00997A71" w:rsidRPr="00E970F6">
              <w:rPr>
                <w:rFonts w:asciiTheme="minorHAnsi" w:hAnsiTheme="minorHAnsi"/>
                <w:sz w:val="22"/>
              </w:rPr>
              <w:t> </w:t>
            </w:r>
            <w:r w:rsidRPr="00E970F6">
              <w:rPr>
                <w:rFonts w:asciiTheme="minorHAnsi" w:hAnsiTheme="minorHAnsi"/>
                <w:sz w:val="22"/>
              </w:rPr>
              <w:t>administrada no dia ou após o aniversário de 4 anos e ≥6 meses após a dose anterior</w:t>
            </w:r>
          </w:p>
        </w:tc>
      </w:tr>
      <w:tr w:rsidR="00A5118D" w:rsidRPr="00E970F6" w14:paraId="4A3D9E4E" w14:textId="77777777" w:rsidTr="00CE51C3">
        <w:trPr>
          <w:trHeight w:val="144"/>
        </w:trPr>
        <w:tc>
          <w:tcPr>
            <w:tcW w:w="729" w:type="pct"/>
            <w:shd w:val="clear" w:color="auto" w:fill="C5DBFB"/>
            <w:vAlign w:val="center"/>
          </w:tcPr>
          <w:p w14:paraId="6E578679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Hepatite B</w:t>
            </w:r>
          </w:p>
        </w:tc>
        <w:tc>
          <w:tcPr>
            <w:tcW w:w="4271" w:type="pct"/>
            <w:vAlign w:val="center"/>
          </w:tcPr>
          <w:p w14:paraId="2ECEAFDE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 xml:space="preserve">3 doses; </w:t>
            </w:r>
            <w:r w:rsidRPr="00E970F6">
              <w:rPr>
                <w:rFonts w:asciiTheme="minorHAnsi" w:hAnsiTheme="minorHAnsi"/>
                <w:sz w:val="22"/>
              </w:rPr>
              <w:t>evidência laboratorial de imunidade aceitável</w:t>
            </w:r>
          </w:p>
        </w:tc>
      </w:tr>
      <w:tr w:rsidR="00A5118D" w:rsidRPr="00E970F6" w14:paraId="55C22722" w14:textId="77777777" w:rsidTr="00CE51C3">
        <w:trPr>
          <w:trHeight w:val="144"/>
        </w:trPr>
        <w:tc>
          <w:tcPr>
            <w:tcW w:w="729" w:type="pct"/>
            <w:shd w:val="clear" w:color="auto" w:fill="C5DBFB"/>
            <w:vAlign w:val="center"/>
          </w:tcPr>
          <w:p w14:paraId="38EEFB31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MMR (Sarampo, Caxumba e Rubéola)</w:t>
            </w:r>
          </w:p>
        </w:tc>
        <w:tc>
          <w:tcPr>
            <w:tcW w:w="4271" w:type="pct"/>
            <w:vAlign w:val="center"/>
          </w:tcPr>
          <w:p w14:paraId="43274D02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pacing w:val="-4"/>
                <w:sz w:val="22"/>
              </w:rPr>
              <w:t xml:space="preserve">2 doses; </w:t>
            </w:r>
            <w:r w:rsidRPr="00E970F6">
              <w:rPr>
                <w:rFonts w:asciiTheme="minorHAnsi" w:hAnsiTheme="minorHAnsi"/>
                <w:spacing w:val="-4"/>
                <w:sz w:val="22"/>
              </w:rPr>
              <w:t>a primeira dose deve ser administrada no dia do aniversário de 1 ano ou depois, e a segunda dose deve ser administrada ≥28 dias após a primeira dose; evidência laboratorial de imunidade aceitável</w:t>
            </w:r>
          </w:p>
        </w:tc>
      </w:tr>
      <w:tr w:rsidR="00A5118D" w:rsidRPr="00E970F6" w14:paraId="493FC5E9" w14:textId="77777777" w:rsidTr="00CE51C3">
        <w:trPr>
          <w:trHeight w:val="144"/>
        </w:trPr>
        <w:tc>
          <w:tcPr>
            <w:tcW w:w="729" w:type="pct"/>
            <w:shd w:val="clear" w:color="auto" w:fill="C5DBFB"/>
            <w:vAlign w:val="center"/>
          </w:tcPr>
          <w:p w14:paraId="1464224A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Varicela</w:t>
            </w:r>
          </w:p>
        </w:tc>
        <w:tc>
          <w:tcPr>
            <w:tcW w:w="4271" w:type="pct"/>
            <w:vAlign w:val="center"/>
          </w:tcPr>
          <w:p w14:paraId="608429AD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 xml:space="preserve">2 doses; </w:t>
            </w:r>
            <w:r w:rsidRPr="00E970F6">
              <w:rPr>
                <w:rFonts w:asciiTheme="minorHAnsi" w:hAnsiTheme="minorHAnsi"/>
                <w:sz w:val="22"/>
              </w:rPr>
              <w:t>a primeira dose deve ser administrada no dia do aniversário de 1 ano ou depois, e a segunda dose deve ser administrada ≥28 dias após a primeira dose; um histórico confiável de catapora</w:t>
            </w:r>
            <w:r w:rsidRPr="00E970F6">
              <w:rPr>
                <w:rFonts w:asciiTheme="minorHAnsi" w:hAnsiTheme="minorHAnsi"/>
                <w:sz w:val="22"/>
                <w:vertAlign w:val="superscript"/>
              </w:rPr>
              <w:t>*</w:t>
            </w:r>
            <w:r w:rsidRPr="00E970F6">
              <w:rPr>
                <w:rFonts w:asciiTheme="minorHAnsi" w:hAnsiTheme="minorHAnsi"/>
                <w:sz w:val="22"/>
              </w:rPr>
              <w:t xml:space="preserve"> ou evidência laboratorial de imunidade aceitável</w:t>
            </w:r>
          </w:p>
        </w:tc>
      </w:tr>
    </w:tbl>
    <w:p w14:paraId="271DD90D" w14:textId="77777777" w:rsidR="00A5118D" w:rsidRPr="00E970F6" w:rsidRDefault="00A5118D" w:rsidP="003C1234">
      <w:pPr>
        <w:widowControl w:val="0"/>
        <w:rPr>
          <w:rFonts w:asciiTheme="minorHAnsi" w:eastAsia="Calibri" w:hAnsiTheme="minorHAnsi" w:cstheme="minorHAnsi"/>
          <w:b/>
          <w:bCs/>
          <w:sz w:val="18"/>
          <w:szCs w:val="18"/>
        </w:rPr>
      </w:pPr>
    </w:p>
    <w:p w14:paraId="5B5EE662" w14:textId="6486EC23" w:rsidR="003C1234" w:rsidRPr="00E970F6" w:rsidRDefault="003C1234" w:rsidP="003C1234">
      <w:pPr>
        <w:widowControl w:val="0"/>
        <w:rPr>
          <w:rFonts w:asciiTheme="minorHAnsi" w:eastAsia="Calibri" w:hAnsiTheme="minorHAnsi" w:cstheme="minorHAnsi"/>
          <w:sz w:val="18"/>
          <w:szCs w:val="18"/>
        </w:rPr>
      </w:pPr>
      <w:r w:rsidRPr="00E970F6">
        <w:rPr>
          <w:rFonts w:asciiTheme="minorHAnsi" w:hAnsiTheme="minorHAnsi"/>
          <w:b/>
          <w:sz w:val="18"/>
        </w:rPr>
        <w:t>§</w:t>
      </w:r>
      <w:r w:rsidRPr="00E970F6">
        <w:rPr>
          <w:rFonts w:asciiTheme="minorHAnsi" w:hAnsiTheme="minorHAnsi"/>
          <w:sz w:val="18"/>
        </w:rPr>
        <w:t xml:space="preserve"> Questões sobre a aplicação devem ser discutidas com o advogado local.</w:t>
      </w:r>
    </w:p>
    <w:p w14:paraId="7442605E" w14:textId="23EA34B4" w:rsidR="003C1234" w:rsidRPr="00E970F6" w:rsidRDefault="003C1234" w:rsidP="003C1234">
      <w:pPr>
        <w:widowControl w:val="0"/>
        <w:rPr>
          <w:rFonts w:asciiTheme="minorHAnsi" w:eastAsia="Calibri" w:hAnsiTheme="minorHAnsi" w:cstheme="minorHAnsi"/>
          <w:spacing w:val="-1"/>
          <w:sz w:val="18"/>
          <w:szCs w:val="18"/>
        </w:rPr>
      </w:pPr>
      <w:r w:rsidRPr="00E970F6">
        <w:rPr>
          <w:rFonts w:asciiTheme="minorHAnsi" w:hAnsiTheme="minorHAnsi"/>
          <w:b/>
          <w:sz w:val="18"/>
        </w:rPr>
        <w:t xml:space="preserve">* </w:t>
      </w:r>
      <w:r w:rsidRPr="00E970F6">
        <w:rPr>
          <w:rFonts w:asciiTheme="minorHAnsi" w:hAnsiTheme="minorHAnsi"/>
          <w:sz w:val="18"/>
        </w:rPr>
        <w:t>Um histórico confiável de catapora inclui o diagnóstico de catapora ou a interpretação da descrição de catapora feita pelos pais/responsáveis por</w:t>
      </w:r>
      <w:r w:rsidR="00997A71" w:rsidRPr="00E970F6">
        <w:rPr>
          <w:rFonts w:asciiTheme="minorHAnsi" w:hAnsiTheme="minorHAnsi"/>
          <w:sz w:val="18"/>
        </w:rPr>
        <w:t> </w:t>
      </w:r>
      <w:r w:rsidRPr="00E970F6">
        <w:rPr>
          <w:rFonts w:asciiTheme="minorHAnsi" w:hAnsiTheme="minorHAnsi"/>
          <w:sz w:val="18"/>
        </w:rPr>
        <w:t>um médico, enfermeiro, assistente médico ou pessoa designada.</w:t>
      </w:r>
    </w:p>
    <w:p w14:paraId="3177FB72" w14:textId="77777777" w:rsidR="003C1234" w:rsidRPr="00E970F6" w:rsidRDefault="003C1234" w:rsidP="003C1234">
      <w:pPr>
        <w:widowControl w:val="0"/>
        <w:rPr>
          <w:rFonts w:asciiTheme="minorHAnsi" w:eastAsia="Calibri" w:hAnsiTheme="minorHAnsi" w:cstheme="minorHAnsi"/>
          <w:spacing w:val="-1"/>
          <w:sz w:val="22"/>
          <w:szCs w:val="22"/>
        </w:rPr>
      </w:pPr>
    </w:p>
    <w:p w14:paraId="5423C82C" w14:textId="2703C6E4" w:rsidR="00293BDE" w:rsidRPr="00E970F6" w:rsidRDefault="003C1234" w:rsidP="00580852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r w:rsidRPr="00E970F6">
        <w:rPr>
          <w:rFonts w:asciiTheme="minorHAnsi" w:hAnsiTheme="minorHAnsi"/>
          <w:sz w:val="22"/>
        </w:rPr>
        <w:t xml:space="preserve">Nas próximas páginas estão os detalhes para estudantes do 8º ao 3º ano do Ensino Médio, </w:t>
      </w:r>
      <w:bookmarkStart w:id="1" w:name="_Hlk195183552"/>
      <w:r w:rsidRPr="00E970F6">
        <w:rPr>
          <w:rFonts w:asciiTheme="minorHAnsi" w:hAnsiTheme="minorHAnsi"/>
          <w:sz w:val="22"/>
        </w:rPr>
        <w:t>além de campistas, funcionários e voluntários com 18 anos ou mais</w:t>
      </w:r>
      <w:bookmarkEnd w:id="1"/>
    </w:p>
    <w:bookmarkEnd w:id="0"/>
    <w:p w14:paraId="71D46AA7" w14:textId="77777777" w:rsidR="003C1234" w:rsidRPr="00E970F6" w:rsidRDefault="003C1234">
      <w:pPr>
        <w:rPr>
          <w:rFonts w:asciiTheme="minorHAnsi" w:eastAsia="Calibri" w:hAnsiTheme="minorHAnsi" w:cstheme="minorHAnsi"/>
          <w:b/>
          <w:bCs/>
          <w:color w:val="0070C0"/>
          <w:spacing w:val="-1"/>
          <w:sz w:val="22"/>
          <w:szCs w:val="22"/>
        </w:rPr>
      </w:pPr>
      <w:r w:rsidRPr="00E970F6">
        <w:br w:type="page"/>
      </w:r>
    </w:p>
    <w:p w14:paraId="79601D05" w14:textId="7A46310B" w:rsidR="00894B84" w:rsidRPr="00E970F6" w:rsidRDefault="00894B84" w:rsidP="00894B84">
      <w:pPr>
        <w:widowControl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970F6">
        <w:rPr>
          <w:rFonts w:asciiTheme="minorHAnsi" w:hAnsiTheme="minorHAnsi"/>
          <w:b/>
          <w:color w:val="0070C0"/>
          <w:sz w:val="22"/>
        </w:rPr>
        <w:lastRenderedPageBreak/>
        <w:t>Para os estudantes do 8º ao 3º ano do Ensino Médio (Grades 7–12):</w:t>
      </w:r>
      <w:r w:rsidRPr="00E970F6">
        <w:rPr>
          <w:rFonts w:asciiTheme="minorHAnsi" w:hAnsiTheme="minorHAnsi"/>
          <w:b/>
          <w:color w:val="0070C0"/>
          <w:sz w:val="32"/>
          <w:vertAlign w:val="superscript"/>
        </w:rPr>
        <w:t>†</w:t>
      </w:r>
    </w:p>
    <w:p w14:paraId="45E83F47" w14:textId="0113D9D8" w:rsidR="00A5118D" w:rsidRPr="00E970F6" w:rsidRDefault="00894B84" w:rsidP="009148F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E970F6">
        <w:rPr>
          <w:rFonts w:asciiTheme="minorHAnsi" w:hAnsiTheme="minorHAnsi"/>
          <w:sz w:val="22"/>
        </w:rPr>
        <w:t>Em turmas não classificadas, os requisitos da 7ª série se aplicam a todos os estudantes com 12 anos ou mais.</w:t>
      </w:r>
      <w:r w:rsidRPr="00E970F6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"/>
        <w:gridCol w:w="9126"/>
      </w:tblGrid>
      <w:tr w:rsidR="00A5118D" w:rsidRPr="00E970F6" w14:paraId="6D842EE7" w14:textId="77777777" w:rsidTr="00CE51C3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79D05683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Tdap</w:t>
            </w:r>
          </w:p>
        </w:tc>
        <w:tc>
          <w:tcPr>
            <w:tcW w:w="4229" w:type="pct"/>
            <w:vAlign w:val="center"/>
          </w:tcPr>
          <w:p w14:paraId="4893E9FB" w14:textId="462F463F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pacing w:val="-4"/>
                <w:sz w:val="22"/>
              </w:rPr>
              <w:t xml:space="preserve">1 dose; </w:t>
            </w:r>
            <w:r w:rsidRPr="00E970F6">
              <w:rPr>
                <w:rFonts w:asciiTheme="minorHAnsi" w:hAnsiTheme="minorHAnsi"/>
                <w:spacing w:val="-4"/>
                <w:sz w:val="22"/>
              </w:rPr>
              <w:t>e histórico da série primária de DTaP ou vacinação de recuperação adequada para a idade; Tdap administrado a partir de 7 anos pode ser contado, mas é recomendada uma dose aos 11–12 anos caso tenha sido administrado anteriormente como parte de um cronograma de recuperação; Td</w:t>
            </w:r>
            <w:r w:rsidR="00CE51C3" w:rsidRPr="00E970F6">
              <w:rPr>
                <w:rFonts w:asciiTheme="minorHAnsi" w:hAnsiTheme="minorHAnsi"/>
                <w:spacing w:val="-4"/>
                <w:sz w:val="22"/>
              </w:rPr>
              <w:t> </w:t>
            </w:r>
            <w:r w:rsidRPr="00E970F6">
              <w:rPr>
                <w:rFonts w:asciiTheme="minorHAnsi" w:hAnsiTheme="minorHAnsi"/>
                <w:spacing w:val="-4"/>
                <w:sz w:val="22"/>
              </w:rPr>
              <w:t>ou Tdap deve</w:t>
            </w:r>
            <w:r w:rsidR="00997A71" w:rsidRPr="00E970F6">
              <w:rPr>
                <w:rFonts w:asciiTheme="minorHAnsi" w:hAnsiTheme="minorHAnsi"/>
                <w:spacing w:val="-4"/>
                <w:sz w:val="22"/>
              </w:rPr>
              <w:t> </w:t>
            </w:r>
            <w:r w:rsidRPr="00E970F6">
              <w:rPr>
                <w:rFonts w:asciiTheme="minorHAnsi" w:hAnsiTheme="minorHAnsi"/>
                <w:spacing w:val="-4"/>
                <w:sz w:val="22"/>
              </w:rPr>
              <w:t>ser administrado se já se passaram ≥10 anos desde a última dose de Tdap</w:t>
            </w:r>
          </w:p>
        </w:tc>
      </w:tr>
      <w:tr w:rsidR="00A5118D" w:rsidRPr="00E970F6" w14:paraId="4FBD2A8F" w14:textId="77777777" w:rsidTr="00CE51C3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03084344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Pólio</w:t>
            </w:r>
          </w:p>
        </w:tc>
        <w:tc>
          <w:tcPr>
            <w:tcW w:w="4229" w:type="pct"/>
            <w:vAlign w:val="center"/>
          </w:tcPr>
          <w:p w14:paraId="6F09382E" w14:textId="6BA16FBA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 xml:space="preserve">4 doses; </w:t>
            </w:r>
            <w:r w:rsidRPr="00E970F6">
              <w:rPr>
                <w:rFonts w:asciiTheme="minorHAnsi" w:hAnsiTheme="minorHAnsi"/>
                <w:sz w:val="22"/>
              </w:rPr>
              <w:t>a quarta dose deve ser administrada no dia ou após o aniversário de 4 anos e ≥6 meses após</w:t>
            </w:r>
            <w:r w:rsidR="00997A71" w:rsidRPr="00E970F6">
              <w:rPr>
                <w:rFonts w:asciiTheme="minorHAnsi" w:hAnsiTheme="minorHAnsi"/>
                <w:sz w:val="22"/>
              </w:rPr>
              <w:t> </w:t>
            </w:r>
            <w:r w:rsidRPr="00E970F6">
              <w:rPr>
                <w:rFonts w:asciiTheme="minorHAnsi" w:hAnsiTheme="minorHAnsi"/>
                <w:sz w:val="22"/>
              </w:rPr>
              <w:t>a dose anterior ou uma quinta dose é necessária; 3 doses são aceitáveis se a terceira dose for</w:t>
            </w:r>
            <w:r w:rsidR="0010017E" w:rsidRPr="00E970F6">
              <w:rPr>
                <w:rFonts w:asciiTheme="minorHAnsi" w:hAnsiTheme="minorHAnsi"/>
                <w:sz w:val="22"/>
              </w:rPr>
              <w:t> </w:t>
            </w:r>
            <w:r w:rsidRPr="00E970F6">
              <w:rPr>
                <w:rFonts w:asciiTheme="minorHAnsi" w:hAnsiTheme="minorHAnsi"/>
                <w:sz w:val="22"/>
              </w:rPr>
              <w:t>administrada no dia ou após o aniversário de 4 anos e ≥6 meses após a dose anterior</w:t>
            </w:r>
          </w:p>
        </w:tc>
      </w:tr>
      <w:tr w:rsidR="00A5118D" w:rsidRPr="00E970F6" w14:paraId="6E02E0D0" w14:textId="77777777" w:rsidTr="00CE51C3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27168572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Hepatite B</w:t>
            </w:r>
          </w:p>
        </w:tc>
        <w:tc>
          <w:tcPr>
            <w:tcW w:w="4229" w:type="pct"/>
            <w:vAlign w:val="center"/>
          </w:tcPr>
          <w:p w14:paraId="260A238F" w14:textId="55E44886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 xml:space="preserve">3 doses; </w:t>
            </w:r>
            <w:r w:rsidRPr="00E970F6">
              <w:rPr>
                <w:rFonts w:asciiTheme="minorHAnsi" w:hAnsiTheme="minorHAnsi"/>
                <w:sz w:val="22"/>
              </w:rPr>
              <w:t>evidência laboratorial de imunidade aceitável; 2 doses de Heplisav-B administradas aos 18</w:t>
            </w:r>
            <w:r w:rsidR="00CE51C3" w:rsidRPr="00E970F6">
              <w:rPr>
                <w:rFonts w:asciiTheme="minorHAnsi" w:hAnsiTheme="minorHAnsi"/>
                <w:sz w:val="22"/>
              </w:rPr>
              <w:t> </w:t>
            </w:r>
            <w:r w:rsidRPr="00E970F6">
              <w:rPr>
                <w:rFonts w:asciiTheme="minorHAnsi" w:hAnsiTheme="minorHAnsi"/>
                <w:sz w:val="22"/>
              </w:rPr>
              <w:t>anos de</w:t>
            </w:r>
            <w:r w:rsidRPr="00E970F6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E970F6">
              <w:rPr>
                <w:rFonts w:asciiTheme="minorHAnsi" w:hAnsiTheme="minorHAnsi"/>
                <w:sz w:val="22"/>
              </w:rPr>
              <w:t>idade ou após essa idade são aceitáveis</w:t>
            </w:r>
          </w:p>
        </w:tc>
      </w:tr>
      <w:tr w:rsidR="00A5118D" w:rsidRPr="00E970F6" w14:paraId="24907442" w14:textId="77777777" w:rsidTr="00CE51C3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7F7790C8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MMR (Sarampo, Caxumba e Rubéola)</w:t>
            </w:r>
          </w:p>
        </w:tc>
        <w:tc>
          <w:tcPr>
            <w:tcW w:w="4229" w:type="pct"/>
            <w:vAlign w:val="center"/>
          </w:tcPr>
          <w:p w14:paraId="28FA475D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pacing w:val="-4"/>
                <w:sz w:val="22"/>
              </w:rPr>
              <w:t xml:space="preserve">2 doses; </w:t>
            </w:r>
            <w:r w:rsidRPr="00E970F6">
              <w:rPr>
                <w:rFonts w:asciiTheme="minorHAnsi" w:hAnsiTheme="minorHAnsi"/>
                <w:spacing w:val="-4"/>
                <w:sz w:val="22"/>
              </w:rPr>
              <w:t>a primeira dose deve ser administrada no dia do aniversário de 1 ano ou depois, e a segunda dose deve ser administrada ≥28 dias após a primeira dose; evidência laboratorial de imunidade aceitável</w:t>
            </w:r>
          </w:p>
        </w:tc>
      </w:tr>
      <w:tr w:rsidR="00A5118D" w:rsidRPr="00E970F6" w14:paraId="7035CB21" w14:textId="77777777" w:rsidTr="00CE51C3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54C8C7AA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Varicela</w:t>
            </w:r>
          </w:p>
        </w:tc>
        <w:tc>
          <w:tcPr>
            <w:tcW w:w="4229" w:type="pct"/>
            <w:vAlign w:val="center"/>
          </w:tcPr>
          <w:p w14:paraId="35A0ADBC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 xml:space="preserve">2 doses; </w:t>
            </w:r>
            <w:r w:rsidRPr="00E970F6">
              <w:rPr>
                <w:rFonts w:asciiTheme="minorHAnsi" w:hAnsiTheme="minorHAnsi"/>
                <w:sz w:val="22"/>
              </w:rPr>
              <w:t>a primeira dose deve ser administrada no dia do aniversário de 1 ano ou depois, e a segunda dose deve ser administrada ≥28 dias após a primeira dose; um histórico confiável de catapora</w:t>
            </w:r>
            <w:r w:rsidRPr="00E970F6">
              <w:rPr>
                <w:rFonts w:asciiTheme="minorHAnsi" w:hAnsiTheme="minorHAnsi"/>
                <w:sz w:val="22"/>
                <w:vertAlign w:val="superscript"/>
              </w:rPr>
              <w:t>*</w:t>
            </w:r>
            <w:r w:rsidRPr="00E970F6">
              <w:rPr>
                <w:rFonts w:asciiTheme="minorHAnsi" w:hAnsiTheme="minorHAnsi"/>
                <w:sz w:val="22"/>
              </w:rPr>
              <w:t xml:space="preserve"> ou evidência laboratorial de imunidade aceitável</w:t>
            </w:r>
          </w:p>
        </w:tc>
      </w:tr>
      <w:tr w:rsidR="00A5118D" w:rsidRPr="00E970F6" w14:paraId="2B7C59A4" w14:textId="77777777" w:rsidTr="00CE51C3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5ABE95EA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Meningocócica</w:t>
            </w:r>
          </w:p>
          <w:p w14:paraId="5C8A259F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>Séries 7–10</w:t>
            </w:r>
          </w:p>
        </w:tc>
        <w:tc>
          <w:tcPr>
            <w:tcW w:w="4229" w:type="pct"/>
            <w:vAlign w:val="center"/>
          </w:tcPr>
          <w:p w14:paraId="3AD22904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>1 dose</w:t>
            </w:r>
            <w:r w:rsidRPr="00E970F6">
              <w:rPr>
                <w:rFonts w:asciiTheme="minorHAnsi" w:hAnsiTheme="minorHAnsi"/>
                <w:sz w:val="22"/>
              </w:rPr>
              <w:t>; essa dose deve ser administrada no dia ou após o 10</w:t>
            </w:r>
            <w:r w:rsidRPr="00E970F6">
              <w:rPr>
                <w:rFonts w:asciiTheme="minorHAnsi" w:hAnsiTheme="minorHAnsi"/>
                <w:sz w:val="22"/>
                <w:vertAlign w:val="superscript"/>
              </w:rPr>
              <w:t>º</w:t>
            </w:r>
            <w:r w:rsidRPr="00E970F6">
              <w:rPr>
                <w:rFonts w:asciiTheme="minorHAnsi" w:hAnsiTheme="minorHAnsi"/>
                <w:sz w:val="22"/>
              </w:rPr>
              <w:t xml:space="preserve"> aniversário. A vacina meningocócica conjugada, MenACWY (anteriormente MCV4) e MenABCWY, atende a esse requisito; a vacina meningocócica B (MenB) monovalente não é necessária e não atende a esse requisito</w:t>
            </w:r>
          </w:p>
        </w:tc>
      </w:tr>
      <w:tr w:rsidR="00A5118D" w:rsidRPr="00E970F6" w14:paraId="157B7AC2" w14:textId="77777777" w:rsidTr="00CE51C3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5C87C497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Meningocócica</w:t>
            </w:r>
          </w:p>
          <w:p w14:paraId="5F8DB0CA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>Séries 11–12</w:t>
            </w:r>
            <w:r w:rsidRPr="00E970F6">
              <w:rPr>
                <w:rFonts w:asciiTheme="minorHAnsi" w:hAnsiTheme="minorHAnsi"/>
                <w:b/>
                <w:sz w:val="22"/>
                <w:vertAlign w:val="superscript"/>
              </w:rPr>
              <w:t>‡</w:t>
            </w:r>
          </w:p>
          <w:p w14:paraId="59C430B7" w14:textId="77777777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4229" w:type="pct"/>
            <w:vAlign w:val="center"/>
          </w:tcPr>
          <w:p w14:paraId="568DB592" w14:textId="09AD6B0E" w:rsidR="00A5118D" w:rsidRPr="00E970F6" w:rsidRDefault="00A5118D" w:rsidP="00000038">
            <w:pPr>
              <w:ind w:left="43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pacing w:val="-4"/>
                <w:sz w:val="22"/>
              </w:rPr>
              <w:t>2 doses</w:t>
            </w:r>
            <w:r w:rsidRPr="00E970F6">
              <w:rPr>
                <w:rFonts w:asciiTheme="minorHAnsi" w:hAnsiTheme="minorHAnsi"/>
                <w:spacing w:val="-4"/>
                <w:sz w:val="22"/>
              </w:rPr>
              <w:t>; a segunda dose de MenACWY (antigo MCV4) deve ser administrada no dia ou após o aniversário de 16 anos e ≥ 8 semanas após a dose anterior; 1 dose é aceitável se tiver sido administrada no dia ou após o aniversário de 16 anos. A vacina meningocócica conjugada MenACWY (MCV4) e MenABCWY atende a esse requisito; a vacina meningocócica B monovalente (MenB) não é necessária e não atende a</w:t>
            </w:r>
            <w:r w:rsidR="00CE51C3" w:rsidRPr="00E970F6">
              <w:rPr>
                <w:rFonts w:asciiTheme="minorHAnsi" w:hAnsiTheme="minorHAnsi"/>
                <w:spacing w:val="-4"/>
                <w:sz w:val="22"/>
              </w:rPr>
              <w:t> </w:t>
            </w:r>
            <w:r w:rsidRPr="00E970F6">
              <w:rPr>
                <w:rFonts w:asciiTheme="minorHAnsi" w:hAnsiTheme="minorHAnsi"/>
                <w:spacing w:val="-4"/>
                <w:sz w:val="22"/>
              </w:rPr>
              <w:t>esse requisito</w:t>
            </w:r>
          </w:p>
        </w:tc>
      </w:tr>
    </w:tbl>
    <w:p w14:paraId="7E21F4F0" w14:textId="4FB74BEA" w:rsidR="00293BDE" w:rsidRPr="00E970F6" w:rsidRDefault="00293BDE" w:rsidP="009148F4">
      <w:pPr>
        <w:autoSpaceDE w:val="0"/>
        <w:autoSpaceDN w:val="0"/>
        <w:adjustRightInd w:val="0"/>
        <w:rPr>
          <w:rFonts w:asciiTheme="minorHAnsi" w:hAnsiTheme="minorHAnsi" w:cstheme="minorHAnsi"/>
          <w:b/>
          <w:sz w:val="18"/>
          <w:szCs w:val="18"/>
        </w:rPr>
      </w:pPr>
    </w:p>
    <w:p w14:paraId="7DF3BE37" w14:textId="1DBE206F" w:rsidR="003C1234" w:rsidRPr="00E970F6" w:rsidRDefault="003C1234" w:rsidP="003C1234">
      <w:pPr>
        <w:widowControl w:val="0"/>
        <w:rPr>
          <w:rFonts w:asciiTheme="minorHAnsi" w:eastAsia="Calibri" w:hAnsiTheme="minorHAnsi" w:cstheme="minorHAnsi"/>
          <w:sz w:val="18"/>
          <w:szCs w:val="18"/>
        </w:rPr>
      </w:pPr>
      <w:r w:rsidRPr="00E970F6">
        <w:rPr>
          <w:rFonts w:asciiTheme="minorHAnsi" w:hAnsiTheme="minorHAnsi"/>
          <w:b/>
          <w:sz w:val="18"/>
        </w:rPr>
        <w:t xml:space="preserve">§ </w:t>
      </w:r>
      <w:r w:rsidRPr="00E970F6">
        <w:rPr>
          <w:rFonts w:asciiTheme="minorHAnsi" w:hAnsiTheme="minorHAnsi"/>
          <w:sz w:val="18"/>
        </w:rPr>
        <w:t>Questões sobre a aplicação devem ser discutidas com o advogado local.</w:t>
      </w:r>
    </w:p>
    <w:p w14:paraId="301BEE0D" w14:textId="5B5F0BDD" w:rsidR="003C1234" w:rsidRPr="00E970F6" w:rsidRDefault="003C1234" w:rsidP="003C1234">
      <w:pPr>
        <w:widowControl w:val="0"/>
        <w:rPr>
          <w:rFonts w:asciiTheme="minorHAnsi" w:eastAsia="Calibri" w:hAnsiTheme="minorHAnsi" w:cstheme="minorHAnsi"/>
          <w:spacing w:val="-1"/>
          <w:sz w:val="18"/>
          <w:szCs w:val="18"/>
        </w:rPr>
      </w:pPr>
      <w:r w:rsidRPr="00E970F6">
        <w:rPr>
          <w:rFonts w:asciiTheme="minorHAnsi" w:hAnsiTheme="minorHAnsi"/>
          <w:b/>
          <w:sz w:val="18"/>
        </w:rPr>
        <w:t xml:space="preserve">* </w:t>
      </w:r>
      <w:r w:rsidRPr="00E970F6">
        <w:rPr>
          <w:rFonts w:asciiTheme="minorHAnsi" w:hAnsiTheme="minorHAnsi"/>
          <w:sz w:val="18"/>
        </w:rPr>
        <w:t xml:space="preserve"> Um histórico confiável de catapora inclui o diagnóstico de catapora ou a interpretação da descrição de catapora feita pelos pais/responsáveis por</w:t>
      </w:r>
      <w:r w:rsidR="00997A71" w:rsidRPr="00E970F6">
        <w:rPr>
          <w:rFonts w:asciiTheme="minorHAnsi" w:hAnsiTheme="minorHAnsi"/>
          <w:sz w:val="18"/>
        </w:rPr>
        <w:t> </w:t>
      </w:r>
      <w:r w:rsidRPr="00E970F6">
        <w:rPr>
          <w:rFonts w:asciiTheme="minorHAnsi" w:hAnsiTheme="minorHAnsi"/>
          <w:sz w:val="18"/>
        </w:rPr>
        <w:t>um médico, enfermeiro, assistente médico ou pessoa designada.</w:t>
      </w:r>
    </w:p>
    <w:p w14:paraId="3A882D5C" w14:textId="77777777" w:rsidR="003C1234" w:rsidRPr="00E970F6" w:rsidRDefault="003C1234" w:rsidP="003C1234">
      <w:pPr>
        <w:widowControl w:val="0"/>
        <w:rPr>
          <w:rFonts w:asciiTheme="minorHAnsi" w:eastAsia="Calibri" w:hAnsiTheme="minorHAnsi" w:cstheme="minorHAnsi"/>
          <w:sz w:val="18"/>
          <w:szCs w:val="18"/>
        </w:rPr>
      </w:pPr>
      <w:r w:rsidRPr="00E970F6">
        <w:rPr>
          <w:rFonts w:asciiTheme="minorHAnsi" w:hAnsiTheme="minorHAnsi"/>
          <w:b/>
          <w:sz w:val="18"/>
        </w:rPr>
        <w:t>‡</w:t>
      </w:r>
      <w:r w:rsidRPr="00E970F6">
        <w:rPr>
          <w:rFonts w:asciiTheme="minorHAnsi" w:hAnsiTheme="minorHAnsi"/>
          <w:sz w:val="18"/>
        </w:rPr>
        <w:t xml:space="preserve"> Os estudantes com 15 anos de idade na 11ª série estão em conformidade até completarem 16 anos de idade.</w:t>
      </w:r>
    </w:p>
    <w:p w14:paraId="12DC0627" w14:textId="77777777" w:rsidR="003C1234" w:rsidRPr="00E970F6" w:rsidRDefault="003C1234" w:rsidP="009148F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207ACA1" w14:textId="61B80057" w:rsidR="00530AA6" w:rsidRPr="00E970F6" w:rsidRDefault="00530AA6" w:rsidP="00530AA6">
      <w:pPr>
        <w:rPr>
          <w:rFonts w:asciiTheme="minorHAnsi" w:hAnsiTheme="minorHAnsi" w:cstheme="minorHAnsi"/>
          <w:spacing w:val="-1"/>
          <w:sz w:val="22"/>
          <w:szCs w:val="22"/>
        </w:rPr>
      </w:pPr>
      <w:r w:rsidRPr="00E970F6">
        <w:rPr>
          <w:rFonts w:asciiTheme="minorHAnsi" w:hAnsiTheme="minorHAnsi"/>
          <w:sz w:val="22"/>
        </w:rPr>
        <w:t>A próxima página traz informações para campistas, funcionários e voluntários com 18 anos ou mais</w:t>
      </w:r>
    </w:p>
    <w:p w14:paraId="5744E2E6" w14:textId="08C16541" w:rsidR="00DA2E26" w:rsidRPr="00E970F6" w:rsidRDefault="00DA2E26">
      <w:pPr>
        <w:rPr>
          <w:rFonts w:asciiTheme="minorHAnsi" w:hAnsiTheme="minorHAnsi" w:cstheme="minorHAnsi"/>
          <w:b/>
          <w:sz w:val="22"/>
          <w:szCs w:val="22"/>
        </w:rPr>
      </w:pPr>
      <w:r w:rsidRPr="00E970F6">
        <w:br w:type="page"/>
      </w:r>
    </w:p>
    <w:p w14:paraId="3DD64C6B" w14:textId="0A0E0790" w:rsidR="009148F4" w:rsidRPr="00E970F6" w:rsidRDefault="009148F4" w:rsidP="00A729DB">
      <w:pPr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E970F6">
        <w:rPr>
          <w:rFonts w:asciiTheme="minorHAnsi" w:hAnsiTheme="minorHAnsi"/>
          <w:b/>
          <w:color w:val="0070C0"/>
          <w:sz w:val="22"/>
        </w:rPr>
        <w:lastRenderedPageBreak/>
        <w:t>Campistas, funcionários e voluntários com 18 anos ou mais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9263"/>
      </w:tblGrid>
      <w:tr w:rsidR="00750FCE" w:rsidRPr="00E970F6" w14:paraId="6EAB2659" w14:textId="77777777" w:rsidTr="00CE51C3">
        <w:trPr>
          <w:trHeight w:val="14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17DD2AD4" w14:textId="6DD8E7E8" w:rsidR="00750FCE" w:rsidRPr="00E970F6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MMR (Sarampo, Caxumba e Rubéola)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18499" w14:textId="542CB942" w:rsidR="00A57773" w:rsidRPr="00E970F6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>2 doses;</w:t>
            </w:r>
            <w:r w:rsidRPr="00E970F6">
              <w:rPr>
                <w:rFonts w:asciiTheme="minorHAnsi" w:hAnsiTheme="minorHAnsi"/>
                <w:sz w:val="22"/>
              </w:rPr>
              <w:t xml:space="preserve"> para quem nasceu em 1957 ou depois;</w:t>
            </w:r>
          </w:p>
          <w:p w14:paraId="1AC0B9F8" w14:textId="4285BAB7" w:rsidR="00750FCE" w:rsidRPr="00E970F6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>1 dose;</w:t>
            </w:r>
            <w:r w:rsidRPr="00E970F6">
              <w:rPr>
                <w:rFonts w:asciiTheme="minorHAnsi" w:hAnsiTheme="minorHAnsi"/>
                <w:sz w:val="22"/>
              </w:rPr>
              <w:t xml:space="preserve"> para quem nasceu antes de 1957 fora dos EUA; quem nasceu nos EUA antes de 1957 é considerado imune; evidência laboratorial de imunidade contra sarampo, caxumba e rubéola é aceita</w:t>
            </w:r>
          </w:p>
        </w:tc>
      </w:tr>
      <w:tr w:rsidR="00750FCE" w:rsidRPr="00E970F6" w14:paraId="33151DB9" w14:textId="77777777" w:rsidTr="00CE51C3">
        <w:trPr>
          <w:trHeight w:val="14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36EB1A92" w14:textId="7EC2C568" w:rsidR="00750FCE" w:rsidRPr="00E970F6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Varicela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71ECA" w14:textId="179F6F21" w:rsidR="00750FCE" w:rsidRPr="00E970F6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>2 doses;</w:t>
            </w:r>
            <w:r w:rsidRPr="00E970F6">
              <w:rPr>
                <w:rFonts w:asciiTheme="minorHAnsi" w:hAnsiTheme="minorHAnsi"/>
                <w:sz w:val="22"/>
              </w:rPr>
              <w:t xml:space="preserve"> para quem nasceu em 1980 ou depois nos EUA, e para quem nasceu fora dos EUA; quem nasceu antes de 1980 nos EUA é considerado imune; histórico confiável de catapora* ou evidência laboratorial de imunidade são aceitos</w:t>
            </w:r>
          </w:p>
        </w:tc>
      </w:tr>
      <w:tr w:rsidR="00750FCE" w:rsidRPr="00E970F6" w14:paraId="4EAD23CC" w14:textId="77777777" w:rsidTr="00CE51C3">
        <w:trPr>
          <w:trHeight w:val="14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4C22233D" w14:textId="0A331C69" w:rsidR="00750FCE" w:rsidRPr="00E970F6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Tdap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EBD9D" w14:textId="19024F33" w:rsidR="00750FCE" w:rsidRPr="00E970F6" w:rsidRDefault="00750FCE" w:rsidP="00986146">
            <w:pPr>
              <w:ind w:left="43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pacing w:val="-4"/>
                <w:sz w:val="22"/>
              </w:rPr>
              <w:t xml:space="preserve">1 dose; </w:t>
            </w:r>
            <w:r w:rsidRPr="00E970F6">
              <w:rPr>
                <w:rFonts w:asciiTheme="minorHAnsi" w:hAnsiTheme="minorHAnsi"/>
                <w:spacing w:val="-4"/>
                <w:sz w:val="22"/>
              </w:rPr>
              <w:t>histórico da série primária DTaP ou esquema de recuperação; recomenda-se dose aos 11–12</w:t>
            </w:r>
            <w:r w:rsidR="00997A71" w:rsidRPr="00E970F6">
              <w:rPr>
                <w:rFonts w:asciiTheme="minorHAnsi" w:hAnsiTheme="minorHAnsi"/>
                <w:spacing w:val="-4"/>
                <w:sz w:val="22"/>
              </w:rPr>
              <w:t> </w:t>
            </w:r>
            <w:r w:rsidRPr="00E970F6">
              <w:rPr>
                <w:rFonts w:asciiTheme="minorHAnsi" w:hAnsiTheme="minorHAnsi"/>
                <w:spacing w:val="-4"/>
                <w:sz w:val="22"/>
              </w:rPr>
              <w:t xml:space="preserve">anos </w:t>
            </w:r>
            <w:r w:rsidRPr="00E970F6">
              <w:rPr>
                <w:rFonts w:asciiTheme="minorHAnsi" w:hAnsiTheme="minorHAnsi"/>
                <w:sz w:val="22"/>
              </w:rPr>
              <w:t>se Tdap anterior foi parte do esquema de recuperação; Td ou Tdap devem ser aplicados se</w:t>
            </w:r>
            <w:r w:rsidR="00997A71" w:rsidRPr="00E970F6">
              <w:rPr>
                <w:rFonts w:asciiTheme="minorHAnsi" w:hAnsiTheme="minorHAnsi"/>
                <w:sz w:val="22"/>
              </w:rPr>
              <w:t> </w:t>
            </w:r>
            <w:r w:rsidRPr="00E970F6">
              <w:rPr>
                <w:rFonts w:asciiTheme="minorHAnsi" w:hAnsiTheme="minorHAnsi"/>
                <w:sz w:val="22"/>
              </w:rPr>
              <w:t>houver intervalo de 10 anos desde a última dose</w:t>
            </w:r>
          </w:p>
        </w:tc>
      </w:tr>
      <w:tr w:rsidR="00750FCE" w:rsidRPr="00E970F6" w14:paraId="2809D322" w14:textId="77777777" w:rsidTr="00CE51C3">
        <w:trPr>
          <w:trHeight w:val="14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63433B4C" w14:textId="1D630C3F" w:rsidR="00750FCE" w:rsidRPr="00E970F6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sz w:val="22"/>
              </w:rPr>
              <w:t>Hepatite B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6CBEC" w14:textId="4CC23A9C" w:rsidR="00750FCE" w:rsidRPr="00E970F6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E970F6">
              <w:rPr>
                <w:rFonts w:asciiTheme="minorHAnsi" w:hAnsiTheme="minorHAnsi"/>
                <w:b/>
                <w:sz w:val="22"/>
              </w:rPr>
              <w:t>3 doses;</w:t>
            </w:r>
            <w:r w:rsidRPr="00E970F6">
              <w:rPr>
                <w:rFonts w:asciiTheme="minorHAnsi" w:hAnsiTheme="minorHAnsi"/>
                <w:sz w:val="22"/>
              </w:rPr>
              <w:t xml:space="preserve"> (ou 2 doses da Heplisav-B) para funcionários com responsabilidades que incluem primeiros socorros ou manipulação de sangue/fluidos corporais, incluindo crianças pequenas</w:t>
            </w:r>
          </w:p>
        </w:tc>
      </w:tr>
    </w:tbl>
    <w:p w14:paraId="5CFFC21D" w14:textId="77777777" w:rsidR="003911A7" w:rsidRPr="00E970F6" w:rsidRDefault="003911A7" w:rsidP="009148F4">
      <w:pPr>
        <w:rPr>
          <w:rFonts w:asciiTheme="minorHAnsi" w:hAnsiTheme="minorHAnsi" w:cstheme="minorHAnsi"/>
          <w:b/>
          <w:sz w:val="18"/>
          <w:szCs w:val="18"/>
        </w:rPr>
      </w:pPr>
    </w:p>
    <w:p w14:paraId="557A8B37" w14:textId="27254CCB" w:rsidR="00033154" w:rsidRPr="00BF0757" w:rsidRDefault="00750FCE" w:rsidP="009148F4">
      <w:pPr>
        <w:rPr>
          <w:rFonts w:asciiTheme="minorHAnsi" w:hAnsiTheme="minorHAnsi" w:cstheme="minorHAnsi"/>
          <w:bCs/>
          <w:spacing w:val="-2"/>
          <w:sz w:val="18"/>
          <w:szCs w:val="18"/>
        </w:rPr>
      </w:pPr>
      <w:r w:rsidRPr="00E970F6">
        <w:rPr>
          <w:rFonts w:asciiTheme="minorHAnsi" w:hAnsiTheme="minorHAnsi"/>
          <w:b/>
          <w:spacing w:val="-2"/>
          <w:sz w:val="18"/>
        </w:rPr>
        <w:t xml:space="preserve">* </w:t>
      </w:r>
      <w:r w:rsidRPr="00E970F6">
        <w:rPr>
          <w:rFonts w:asciiTheme="minorHAnsi" w:hAnsiTheme="minorHAnsi"/>
          <w:spacing w:val="-2"/>
          <w:sz w:val="18"/>
        </w:rPr>
        <w:t>Um histórico confiável de catapora inclui o diagnóstico da doença ou a interpretação da descrição feita pelos pais ou responsáveis por um médico, enfermeiro, assistente médico ou profissional designado.</w:t>
      </w:r>
    </w:p>
    <w:sectPr w:rsidR="00033154" w:rsidRPr="00BF0757" w:rsidSect="004F64CB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C400" w14:textId="77777777" w:rsidR="00E11437" w:rsidRDefault="00E11437" w:rsidP="009148F4">
      <w:r>
        <w:separator/>
      </w:r>
    </w:p>
  </w:endnote>
  <w:endnote w:type="continuationSeparator" w:id="0">
    <w:p w14:paraId="6A6955F9" w14:textId="77777777" w:rsidR="00E11437" w:rsidRDefault="00E11437" w:rsidP="009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A7C6" w14:textId="77777777" w:rsidR="00E11437" w:rsidRDefault="00E11437" w:rsidP="009148F4">
      <w:r>
        <w:separator/>
      </w:r>
    </w:p>
  </w:footnote>
  <w:footnote w:type="continuationSeparator" w:id="0">
    <w:p w14:paraId="50DEE970" w14:textId="77777777" w:rsidR="00E11437" w:rsidRDefault="00E11437" w:rsidP="0091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44DAC"/>
    <w:multiLevelType w:val="hybridMultilevel"/>
    <w:tmpl w:val="2C5C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2FwxedISFRvEg65O9QtOU7aT248wjpvrjD68qUbw4aX6Rct5jMbr/ypy7QLVxdV1hDFrJfdcUFBo8M6LqgOrg==" w:salt="kByELXi5AsmhXvOEnZNz3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91EFD"/>
    <w:rsid w:val="000A1DE1"/>
    <w:rsid w:val="000B0914"/>
    <w:rsid w:val="000B7D96"/>
    <w:rsid w:val="000C3C90"/>
    <w:rsid w:val="000F315B"/>
    <w:rsid w:val="0010017E"/>
    <w:rsid w:val="001125C0"/>
    <w:rsid w:val="0011549B"/>
    <w:rsid w:val="001331E7"/>
    <w:rsid w:val="0015268B"/>
    <w:rsid w:val="001773D0"/>
    <w:rsid w:val="00177C77"/>
    <w:rsid w:val="001978F9"/>
    <w:rsid w:val="001B0B5E"/>
    <w:rsid w:val="001B6693"/>
    <w:rsid w:val="001C48A3"/>
    <w:rsid w:val="00203350"/>
    <w:rsid w:val="0021698C"/>
    <w:rsid w:val="00226D7D"/>
    <w:rsid w:val="00260D54"/>
    <w:rsid w:val="00262C88"/>
    <w:rsid w:val="00272BA9"/>
    <w:rsid w:val="00276957"/>
    <w:rsid w:val="00276DCC"/>
    <w:rsid w:val="0028196F"/>
    <w:rsid w:val="00293BDE"/>
    <w:rsid w:val="002A132F"/>
    <w:rsid w:val="002A1B71"/>
    <w:rsid w:val="002B01BF"/>
    <w:rsid w:val="002C61CF"/>
    <w:rsid w:val="002D1C21"/>
    <w:rsid w:val="002D5A3E"/>
    <w:rsid w:val="00301022"/>
    <w:rsid w:val="00305F93"/>
    <w:rsid w:val="00343B3A"/>
    <w:rsid w:val="00365A63"/>
    <w:rsid w:val="00375EAD"/>
    <w:rsid w:val="00380222"/>
    <w:rsid w:val="003806C2"/>
    <w:rsid w:val="00385812"/>
    <w:rsid w:val="003911A7"/>
    <w:rsid w:val="00392D0B"/>
    <w:rsid w:val="003A7AFC"/>
    <w:rsid w:val="003C1234"/>
    <w:rsid w:val="003C60EF"/>
    <w:rsid w:val="003C6FD8"/>
    <w:rsid w:val="003F31E6"/>
    <w:rsid w:val="00404738"/>
    <w:rsid w:val="00410392"/>
    <w:rsid w:val="00422C75"/>
    <w:rsid w:val="00440503"/>
    <w:rsid w:val="00445D76"/>
    <w:rsid w:val="00446F2E"/>
    <w:rsid w:val="00472194"/>
    <w:rsid w:val="004813AC"/>
    <w:rsid w:val="004A12BB"/>
    <w:rsid w:val="004B37A0"/>
    <w:rsid w:val="004B5CFB"/>
    <w:rsid w:val="004D6B39"/>
    <w:rsid w:val="004D75E0"/>
    <w:rsid w:val="004E0C3F"/>
    <w:rsid w:val="004F64CB"/>
    <w:rsid w:val="005005FF"/>
    <w:rsid w:val="00502495"/>
    <w:rsid w:val="00510975"/>
    <w:rsid w:val="00512956"/>
    <w:rsid w:val="00530145"/>
    <w:rsid w:val="00530AA6"/>
    <w:rsid w:val="005448AA"/>
    <w:rsid w:val="00554CCD"/>
    <w:rsid w:val="00556CEE"/>
    <w:rsid w:val="00580852"/>
    <w:rsid w:val="0058778A"/>
    <w:rsid w:val="00596BAC"/>
    <w:rsid w:val="005D0B15"/>
    <w:rsid w:val="0063552C"/>
    <w:rsid w:val="006448D6"/>
    <w:rsid w:val="00663010"/>
    <w:rsid w:val="006637D6"/>
    <w:rsid w:val="00691948"/>
    <w:rsid w:val="006C27F6"/>
    <w:rsid w:val="006D06D9"/>
    <w:rsid w:val="006D18DD"/>
    <w:rsid w:val="006D249C"/>
    <w:rsid w:val="006D77A6"/>
    <w:rsid w:val="006E0461"/>
    <w:rsid w:val="006E1AF6"/>
    <w:rsid w:val="00702109"/>
    <w:rsid w:val="0071142C"/>
    <w:rsid w:val="0072610D"/>
    <w:rsid w:val="007358CB"/>
    <w:rsid w:val="00750FCE"/>
    <w:rsid w:val="00751E11"/>
    <w:rsid w:val="00757006"/>
    <w:rsid w:val="00766830"/>
    <w:rsid w:val="007A6FD7"/>
    <w:rsid w:val="007B3F4B"/>
    <w:rsid w:val="007B7347"/>
    <w:rsid w:val="007D10F3"/>
    <w:rsid w:val="007E362A"/>
    <w:rsid w:val="007E4100"/>
    <w:rsid w:val="007F3CDB"/>
    <w:rsid w:val="008142A2"/>
    <w:rsid w:val="00894B84"/>
    <w:rsid w:val="008D4ED5"/>
    <w:rsid w:val="009148F4"/>
    <w:rsid w:val="009174E7"/>
    <w:rsid w:val="00934363"/>
    <w:rsid w:val="009528AB"/>
    <w:rsid w:val="009730E5"/>
    <w:rsid w:val="00974F4E"/>
    <w:rsid w:val="00986146"/>
    <w:rsid w:val="009908FF"/>
    <w:rsid w:val="00995505"/>
    <w:rsid w:val="00997A71"/>
    <w:rsid w:val="009A5944"/>
    <w:rsid w:val="009C39DB"/>
    <w:rsid w:val="009C4428"/>
    <w:rsid w:val="009D48CD"/>
    <w:rsid w:val="009D6A0A"/>
    <w:rsid w:val="00A0183D"/>
    <w:rsid w:val="00A1173D"/>
    <w:rsid w:val="00A254BA"/>
    <w:rsid w:val="00A37FE9"/>
    <w:rsid w:val="00A50004"/>
    <w:rsid w:val="00A5118D"/>
    <w:rsid w:val="00A57773"/>
    <w:rsid w:val="00A65101"/>
    <w:rsid w:val="00A729DB"/>
    <w:rsid w:val="00A750B1"/>
    <w:rsid w:val="00A750F2"/>
    <w:rsid w:val="00B13E2B"/>
    <w:rsid w:val="00B20035"/>
    <w:rsid w:val="00B21269"/>
    <w:rsid w:val="00B23859"/>
    <w:rsid w:val="00B369F3"/>
    <w:rsid w:val="00B3761A"/>
    <w:rsid w:val="00B403BF"/>
    <w:rsid w:val="00B608D9"/>
    <w:rsid w:val="00B72132"/>
    <w:rsid w:val="00B7538D"/>
    <w:rsid w:val="00B81FBF"/>
    <w:rsid w:val="00BA4055"/>
    <w:rsid w:val="00BA7FB6"/>
    <w:rsid w:val="00BD09FA"/>
    <w:rsid w:val="00BD73AB"/>
    <w:rsid w:val="00BF0757"/>
    <w:rsid w:val="00C0394F"/>
    <w:rsid w:val="00C20BFE"/>
    <w:rsid w:val="00C32A46"/>
    <w:rsid w:val="00C46D29"/>
    <w:rsid w:val="00CC1778"/>
    <w:rsid w:val="00CC3059"/>
    <w:rsid w:val="00CE51C3"/>
    <w:rsid w:val="00CE575B"/>
    <w:rsid w:val="00CF3DE8"/>
    <w:rsid w:val="00CF497E"/>
    <w:rsid w:val="00D01243"/>
    <w:rsid w:val="00D03205"/>
    <w:rsid w:val="00D0493F"/>
    <w:rsid w:val="00D05ADD"/>
    <w:rsid w:val="00D16FBA"/>
    <w:rsid w:val="00D255FE"/>
    <w:rsid w:val="00D56F91"/>
    <w:rsid w:val="00D66901"/>
    <w:rsid w:val="00D85D3E"/>
    <w:rsid w:val="00D8671C"/>
    <w:rsid w:val="00D86FB2"/>
    <w:rsid w:val="00D91390"/>
    <w:rsid w:val="00DA19C4"/>
    <w:rsid w:val="00DA2E26"/>
    <w:rsid w:val="00DA57C3"/>
    <w:rsid w:val="00DC3855"/>
    <w:rsid w:val="00DC5472"/>
    <w:rsid w:val="00DF77CA"/>
    <w:rsid w:val="00E11437"/>
    <w:rsid w:val="00E16816"/>
    <w:rsid w:val="00E242A8"/>
    <w:rsid w:val="00E274B8"/>
    <w:rsid w:val="00E67B13"/>
    <w:rsid w:val="00E72707"/>
    <w:rsid w:val="00E83451"/>
    <w:rsid w:val="00E970F6"/>
    <w:rsid w:val="00E97F38"/>
    <w:rsid w:val="00EB7588"/>
    <w:rsid w:val="00EC5A1E"/>
    <w:rsid w:val="00ED6CDE"/>
    <w:rsid w:val="00F0586E"/>
    <w:rsid w:val="00F356AC"/>
    <w:rsid w:val="00F43932"/>
    <w:rsid w:val="00FA575E"/>
    <w:rsid w:val="00FC6B42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1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25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0320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914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48F4"/>
    <w:rPr>
      <w:sz w:val="24"/>
    </w:rPr>
  </w:style>
  <w:style w:type="paragraph" w:styleId="Footer">
    <w:name w:val="footer"/>
    <w:basedOn w:val="Normal"/>
    <w:link w:val="FooterChar"/>
    <w:rsid w:val="00914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48F4"/>
    <w:rPr>
      <w:sz w:val="24"/>
    </w:rPr>
  </w:style>
  <w:style w:type="table" w:styleId="TableGrid">
    <w:name w:val="Table Grid"/>
    <w:aliases w:val="Table Grid1"/>
    <w:basedOn w:val="TableNormal"/>
    <w:rsid w:val="009148F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70AD47" w:themeFill="accent6"/>
      </w:tcPr>
    </w:tblStylePr>
    <w:tblStylePr w:type="firstCol">
      <w:rPr>
        <w:color w:val="auto"/>
      </w:rPr>
      <w:tblPr/>
      <w:tcPr>
        <w:shd w:val="clear" w:color="auto" w:fill="ACB9CA" w:themeFill="text2" w:themeFillTint="66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1"/>
    <w:qFormat/>
    <w:rsid w:val="009148F4"/>
    <w:pPr>
      <w:widowControl w:val="0"/>
      <w:spacing w:before="58"/>
      <w:ind w:left="192"/>
    </w:pPr>
    <w:rPr>
      <w:rFonts w:ascii="Lao UI" w:eastAsia="Lao UI" w:hAnsi="Lao UI" w:cstheme="minorBid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48F4"/>
    <w:rPr>
      <w:rFonts w:ascii="Lao UI" w:eastAsia="Lao UI" w:hAnsi="Lao UI" w:cstheme="minorBidi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148F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0FCE"/>
    <w:pPr>
      <w:ind w:left="720"/>
      <w:contextualSpacing/>
    </w:pPr>
  </w:style>
  <w:style w:type="paragraph" w:styleId="Revision">
    <w:name w:val="Revision"/>
    <w:hidden/>
    <w:uiPriority w:val="99"/>
    <w:semiHidden/>
    <w:rsid w:val="00502495"/>
    <w:rPr>
      <w:sz w:val="24"/>
    </w:rPr>
  </w:style>
  <w:style w:type="character" w:styleId="CommentReference">
    <w:name w:val="annotation reference"/>
    <w:basedOn w:val="DefaultParagraphFont"/>
    <w:rsid w:val="00422C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C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2C75"/>
  </w:style>
  <w:style w:type="paragraph" w:styleId="CommentSubject">
    <w:name w:val="annotation subject"/>
    <w:basedOn w:val="CommentText"/>
    <w:next w:val="CommentText"/>
    <w:link w:val="CommentSubjectChar"/>
    <w:rsid w:val="00422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measles/data-research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mmAssessmentUnit@mass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doc/adult-occupational-immunizations-massachusetts-recommendations-and-requirements-0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immunization-requirements-for-school-entry-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7547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2025-06-10T15:50:00Z</dcterms:created>
  <dcterms:modified xsi:type="dcterms:W3CDTF">2025-09-03T19:19:00Z</dcterms:modified>
</cp:coreProperties>
</file>