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BD105" w14:textId="77777777" w:rsidR="00121B86" w:rsidRDefault="00121B86" w:rsidP="00121B86">
      <w:pPr>
        <w:pStyle w:val="Title"/>
      </w:pPr>
      <w:bookmarkStart w:id="0" w:name="_GoBack"/>
      <w:bookmarkEnd w:id="0"/>
      <w:r>
        <w:t>COMMONWEALTH OF MASSACHUSETTS</w:t>
      </w:r>
    </w:p>
    <w:p w14:paraId="5C4E8E4C" w14:textId="77777777" w:rsidR="00121B86" w:rsidRDefault="00121B86" w:rsidP="00121B86">
      <w:pPr>
        <w:jc w:val="center"/>
        <w:rPr>
          <w:rFonts w:ascii="Courier New" w:hAnsi="Courier New" w:cs="Courier New"/>
          <w:b/>
          <w:bCs/>
        </w:rPr>
      </w:pPr>
    </w:p>
    <w:p w14:paraId="4CB5DF83" w14:textId="77777777" w:rsidR="00121B86" w:rsidRDefault="00121B86" w:rsidP="00121B86">
      <w:pPr>
        <w:jc w:val="center"/>
        <w:rPr>
          <w:rFonts w:ascii="Courier New" w:hAnsi="Courier New" w:cs="Courier New"/>
          <w:b/>
          <w:bCs/>
        </w:rPr>
      </w:pPr>
      <w:r>
        <w:rPr>
          <w:rFonts w:ascii="Courier New" w:hAnsi="Courier New" w:cs="Courier New"/>
          <w:b/>
          <w:bCs/>
        </w:rPr>
        <w:t>APPELLATE TAX BOARD</w:t>
      </w:r>
    </w:p>
    <w:p w14:paraId="784C7FA0" w14:textId="77777777" w:rsidR="00121B86" w:rsidRDefault="00121B86" w:rsidP="00121B86">
      <w:pPr>
        <w:jc w:val="both"/>
        <w:rPr>
          <w:rFonts w:ascii="Courier New" w:hAnsi="Courier New" w:cs="Courier New"/>
          <w:b/>
          <w:bCs/>
        </w:rPr>
      </w:pPr>
    </w:p>
    <w:p w14:paraId="29C91191" w14:textId="77777777" w:rsidR="00121B86" w:rsidRDefault="00121B86" w:rsidP="00121B86">
      <w:pPr>
        <w:jc w:val="both"/>
        <w:rPr>
          <w:rFonts w:ascii="Courier New" w:hAnsi="Courier New" w:cs="Courier New"/>
          <w:b/>
          <w:bCs/>
        </w:rPr>
      </w:pPr>
    </w:p>
    <w:p w14:paraId="21B3A5A5" w14:textId="5302332E" w:rsidR="00121B86" w:rsidRDefault="00121B86" w:rsidP="00121B86">
      <w:pPr>
        <w:pStyle w:val="Heading1"/>
        <w:tabs>
          <w:tab w:val="left" w:pos="4320"/>
        </w:tabs>
      </w:pPr>
      <w:r>
        <w:t xml:space="preserve">BRE/ESA 2005 PORTFOLIO, LLC   </w:t>
      </w:r>
      <w:r w:rsidR="000204C7">
        <w:t> </w:t>
      </w:r>
      <w:r>
        <w:t>v.</w:t>
      </w:r>
      <w:r>
        <w:tab/>
        <w:t xml:space="preserve">   BOARD OF ASSESSORS OF  </w:t>
      </w:r>
    </w:p>
    <w:p w14:paraId="03E666BD" w14:textId="77777777" w:rsidR="00121B86" w:rsidRPr="00AE247F" w:rsidRDefault="00121B86" w:rsidP="00121B86">
      <w:pPr>
        <w:pStyle w:val="Heading1"/>
        <w:ind w:left="3600" w:hanging="3600"/>
      </w:pPr>
      <w:r>
        <w:tab/>
      </w:r>
      <w:r>
        <w:tab/>
      </w:r>
      <w:r>
        <w:tab/>
        <w:t>   THE CITY OF WOBURN</w:t>
      </w:r>
    </w:p>
    <w:p w14:paraId="39001230" w14:textId="77777777" w:rsidR="00121B86" w:rsidRDefault="00121B86" w:rsidP="00121B86">
      <w:pPr>
        <w:jc w:val="both"/>
        <w:rPr>
          <w:rFonts w:ascii="Courier New" w:hAnsi="Courier New" w:cs="Courier New"/>
        </w:rPr>
      </w:pPr>
    </w:p>
    <w:p w14:paraId="52C697C0" w14:textId="78EB199A" w:rsidR="00121B86" w:rsidRDefault="008739B0" w:rsidP="00121B86">
      <w:pPr>
        <w:jc w:val="both"/>
        <w:rPr>
          <w:rFonts w:ascii="Courier New" w:hAnsi="Courier New" w:cs="Courier New"/>
        </w:rPr>
      </w:pPr>
      <w:r>
        <w:rPr>
          <w:rFonts w:ascii="Courier New" w:hAnsi="Courier New" w:cs="Courier New"/>
        </w:rPr>
        <w:t>Docket Nos.</w:t>
      </w:r>
      <w:r w:rsidR="000204C7">
        <w:rPr>
          <w:rFonts w:ascii="Courier New" w:hAnsi="Courier New" w:cs="Courier New"/>
        </w:rPr>
        <w:t>:</w:t>
      </w:r>
      <w:r w:rsidR="00121B86">
        <w:rPr>
          <w:rFonts w:ascii="Courier New" w:hAnsi="Courier New" w:cs="Courier New"/>
        </w:rPr>
        <w:t xml:space="preserve"> F324405</w:t>
      </w:r>
      <w:r w:rsidR="00121B86">
        <w:rPr>
          <w:rFonts w:ascii="Courier New" w:hAnsi="Courier New" w:cs="Courier New"/>
        </w:rPr>
        <w:tab/>
      </w:r>
      <w:r w:rsidR="00121B86">
        <w:rPr>
          <w:rFonts w:ascii="Courier New" w:hAnsi="Courier New" w:cs="Courier New"/>
        </w:rPr>
        <w:tab/>
      </w:r>
      <w:r w:rsidR="00121B86">
        <w:rPr>
          <w:rFonts w:ascii="Courier New" w:hAnsi="Courier New" w:cs="Courier New"/>
        </w:rPr>
        <w:tab/>
        <w:t xml:space="preserve">  </w:t>
      </w:r>
      <w:r>
        <w:rPr>
          <w:rFonts w:ascii="Courier New" w:hAnsi="Courier New" w:cs="Courier New"/>
        </w:rPr>
        <w:tab/>
        <w:t xml:space="preserve">   </w:t>
      </w:r>
    </w:p>
    <w:p w14:paraId="27B87233" w14:textId="24182E8F" w:rsidR="00121B86" w:rsidRDefault="00121B86" w:rsidP="00121B86">
      <w:pPr>
        <w:jc w:val="both"/>
        <w:rPr>
          <w:rFonts w:ascii="Courier New" w:hAnsi="Courier New" w:cs="Courier New"/>
        </w:rPr>
      </w:pPr>
      <w:r>
        <w:rPr>
          <w:rFonts w:ascii="Courier New" w:hAnsi="Courier New" w:cs="Courier New"/>
        </w:rPr>
        <w:tab/>
      </w:r>
      <w:r>
        <w:rPr>
          <w:rFonts w:ascii="Courier New" w:hAnsi="Courier New" w:cs="Courier New"/>
        </w:rPr>
        <w:tab/>
        <w:t xml:space="preserve">  </w:t>
      </w:r>
      <w:r w:rsidR="000204C7">
        <w:rPr>
          <w:rFonts w:ascii="Courier New" w:hAnsi="Courier New" w:cs="Courier New"/>
        </w:rPr>
        <w:t xml:space="preserve"> </w:t>
      </w:r>
      <w:r>
        <w:rPr>
          <w:rFonts w:ascii="Courier New" w:hAnsi="Courier New" w:cs="Courier New"/>
        </w:rPr>
        <w:t>F327508</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14:paraId="6A01D302" w14:textId="1709A8D5" w:rsidR="00121B86" w:rsidRDefault="00121B86" w:rsidP="00121B86">
      <w:pPr>
        <w:jc w:val="both"/>
        <w:rPr>
          <w:rFonts w:ascii="Courier New" w:hAnsi="Courier New" w:cs="Courier New"/>
        </w:rPr>
      </w:pPr>
      <w:r>
        <w:rPr>
          <w:rFonts w:ascii="Courier New" w:hAnsi="Courier New" w:cs="Courier New"/>
        </w:rPr>
        <w:tab/>
      </w:r>
      <w:r>
        <w:rPr>
          <w:rFonts w:ascii="Courier New" w:hAnsi="Courier New" w:cs="Courier New"/>
        </w:rPr>
        <w:tab/>
        <w:t xml:space="preserve">  </w:t>
      </w:r>
      <w:r w:rsidR="000204C7">
        <w:rPr>
          <w:rFonts w:ascii="Courier New" w:hAnsi="Courier New" w:cs="Courier New"/>
        </w:rPr>
        <w:t xml:space="preserve"> </w:t>
      </w:r>
      <w:r>
        <w:rPr>
          <w:rFonts w:ascii="Courier New" w:hAnsi="Courier New" w:cs="Courier New"/>
        </w:rPr>
        <w:t>F331417</w:t>
      </w:r>
      <w:r w:rsidR="000204C7">
        <w:rPr>
          <w:rFonts w:ascii="Courier New" w:hAnsi="Courier New" w:cs="Courier New"/>
        </w:rPr>
        <w:tab/>
      </w:r>
      <w:r w:rsidR="000204C7">
        <w:rPr>
          <w:rFonts w:ascii="Courier New" w:hAnsi="Courier New" w:cs="Courier New"/>
        </w:rPr>
        <w:tab/>
      </w:r>
      <w:r w:rsidR="000204C7">
        <w:rPr>
          <w:rFonts w:ascii="Courier New" w:hAnsi="Courier New" w:cs="Courier New"/>
        </w:rPr>
        <w:tab/>
        <w:t xml:space="preserve">   Promulgated:</w:t>
      </w:r>
    </w:p>
    <w:p w14:paraId="61B1C102" w14:textId="2D33F832" w:rsidR="000204C7" w:rsidRDefault="000204C7" w:rsidP="00121B86">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8E55F0">
        <w:rPr>
          <w:rFonts w:ascii="Courier New" w:hAnsi="Courier New" w:cs="Courier New"/>
        </w:rPr>
        <w:t xml:space="preserve">May 22, 2018 </w:t>
      </w:r>
    </w:p>
    <w:p w14:paraId="159E7E62" w14:textId="77777777" w:rsidR="000204C7" w:rsidRDefault="000204C7" w:rsidP="00121B86">
      <w:pPr>
        <w:jc w:val="both"/>
        <w:rPr>
          <w:rFonts w:ascii="Courier New" w:hAnsi="Courier New" w:cs="Courier New"/>
        </w:rPr>
      </w:pPr>
    </w:p>
    <w:p w14:paraId="6308F4AD" w14:textId="77777777" w:rsidR="00121B86" w:rsidRDefault="00121B86" w:rsidP="00121B86">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699F81D6" w14:textId="76732ECA" w:rsidR="00121B86" w:rsidRDefault="00121B86" w:rsidP="00121B86">
      <w:pPr>
        <w:spacing w:line="480" w:lineRule="auto"/>
        <w:jc w:val="both"/>
        <w:rPr>
          <w:rFonts w:ascii="Courier New" w:hAnsi="Courier New" w:cs="Courier New"/>
        </w:rPr>
      </w:pPr>
      <w:r>
        <w:rPr>
          <w:rFonts w:ascii="Courier New" w:hAnsi="Courier New" w:cs="Courier New"/>
        </w:rPr>
        <w:tab/>
        <w:t xml:space="preserve">These are appeals under the </w:t>
      </w:r>
      <w:r w:rsidRPr="00676B87">
        <w:rPr>
          <w:rFonts w:ascii="Courier New" w:hAnsi="Courier New" w:cs="Courier New"/>
        </w:rPr>
        <w:t>formal</w:t>
      </w:r>
      <w:r>
        <w:rPr>
          <w:rFonts w:ascii="Courier New" w:hAnsi="Courier New" w:cs="Courier New"/>
        </w:rPr>
        <w:t xml:space="preserve"> procedure pursuant to G.L. c. 58A, </w:t>
      </w:r>
      <w:r w:rsidRPr="00676B87">
        <w:rPr>
          <w:rFonts w:ascii="Courier New" w:hAnsi="Courier New" w:cs="Courier New"/>
        </w:rPr>
        <w:t>§ 7</w:t>
      </w:r>
      <w:r>
        <w:rPr>
          <w:rFonts w:ascii="Courier New" w:hAnsi="Courier New" w:cs="Courier New"/>
        </w:rPr>
        <w:t xml:space="preserve"> and G.L. c. 59, §§ 64 and 65, from the refusal of the Board of Assessors of the City of Woburn (“appellee” or “assessors”) to abate taxes on certain real estate located in Woburn</w:t>
      </w:r>
      <w:r w:rsidR="00E5477C">
        <w:rPr>
          <w:rFonts w:ascii="Courier New" w:hAnsi="Courier New" w:cs="Courier New"/>
        </w:rPr>
        <w:t xml:space="preserve"> owned by and assessed to </w:t>
      </w:r>
      <w:r>
        <w:rPr>
          <w:rFonts w:ascii="Courier New" w:hAnsi="Courier New" w:cs="Courier New"/>
        </w:rPr>
        <w:t>BRE/ES</w:t>
      </w:r>
      <w:r w:rsidR="002070CE">
        <w:rPr>
          <w:rFonts w:ascii="Courier New" w:hAnsi="Courier New" w:cs="Courier New"/>
        </w:rPr>
        <w:t>A 2005 Portfolio, LLC (</w:t>
      </w:r>
      <w:r>
        <w:rPr>
          <w:rFonts w:ascii="Courier New" w:hAnsi="Courier New" w:cs="Courier New"/>
        </w:rPr>
        <w:t>“appellant”), under G.L. c. 59, §§ 11 and 38, for fiscal years 2014, 2015 and 2016 (“fiscal years at issue”).</w:t>
      </w:r>
    </w:p>
    <w:p w14:paraId="2744EBA6" w14:textId="3C9D7252" w:rsidR="00121B86" w:rsidRDefault="00121B86" w:rsidP="00121B86">
      <w:pPr>
        <w:pStyle w:val="BodyText2"/>
        <w:spacing w:after="0"/>
        <w:jc w:val="both"/>
        <w:rPr>
          <w:rFonts w:ascii="Courier New" w:hAnsi="Courier New" w:cs="Courier New"/>
        </w:rPr>
      </w:pPr>
      <w:r>
        <w:tab/>
      </w:r>
      <w:r>
        <w:rPr>
          <w:rFonts w:ascii="Courier New" w:hAnsi="Courier New" w:cs="Courier New"/>
        </w:rPr>
        <w:t>Commissioner Rose</w:t>
      </w:r>
      <w:r w:rsidRPr="00B86AF5">
        <w:rPr>
          <w:rFonts w:ascii="Courier New" w:hAnsi="Courier New" w:cs="Courier New"/>
        </w:rPr>
        <w:t xml:space="preserve"> heard</w:t>
      </w:r>
      <w:r>
        <w:rPr>
          <w:rFonts w:ascii="Courier New" w:hAnsi="Courier New" w:cs="Courier New"/>
        </w:rPr>
        <w:t xml:space="preserve"> these appeals.  </w:t>
      </w:r>
      <w:r w:rsidR="000204C7">
        <w:rPr>
          <w:rFonts w:ascii="Courier New" w:hAnsi="Courier New" w:cs="Courier New"/>
        </w:rPr>
        <w:t xml:space="preserve">Chairman Hammond </w:t>
      </w:r>
      <w:r w:rsidRPr="007731F6">
        <w:rPr>
          <w:rFonts w:ascii="Courier New" w:hAnsi="Courier New" w:cs="Courier New"/>
        </w:rPr>
        <w:t xml:space="preserve">and Commissioners Scharaffa, </w:t>
      </w:r>
      <w:r w:rsidR="000204C7">
        <w:rPr>
          <w:rFonts w:ascii="Courier New" w:hAnsi="Courier New" w:cs="Courier New"/>
        </w:rPr>
        <w:t xml:space="preserve">Chmielinski </w:t>
      </w:r>
      <w:r w:rsidRPr="007731F6">
        <w:rPr>
          <w:rFonts w:ascii="Courier New" w:hAnsi="Courier New" w:cs="Courier New"/>
        </w:rPr>
        <w:t>and Good</w:t>
      </w:r>
      <w:r>
        <w:rPr>
          <w:rFonts w:ascii="Courier New" w:hAnsi="Courier New" w:cs="Courier New"/>
        </w:rPr>
        <w:t xml:space="preserve"> </w:t>
      </w:r>
      <w:r w:rsidR="000204C7">
        <w:rPr>
          <w:rFonts w:ascii="Courier New" w:hAnsi="Courier New" w:cs="Courier New"/>
        </w:rPr>
        <w:t xml:space="preserve">joined him </w:t>
      </w:r>
      <w:r>
        <w:rPr>
          <w:rFonts w:ascii="Courier New" w:hAnsi="Courier New" w:cs="Courier New"/>
        </w:rPr>
        <w:t xml:space="preserve">in </w:t>
      </w:r>
      <w:r w:rsidR="000204C7">
        <w:rPr>
          <w:rFonts w:ascii="Courier New" w:hAnsi="Courier New" w:cs="Courier New"/>
        </w:rPr>
        <w:t xml:space="preserve">the </w:t>
      </w:r>
      <w:r>
        <w:rPr>
          <w:rFonts w:ascii="Courier New" w:hAnsi="Courier New" w:cs="Courier New"/>
        </w:rPr>
        <w:t xml:space="preserve">decisions for the appellee. </w:t>
      </w:r>
      <w:r w:rsidRPr="00B86AF5">
        <w:rPr>
          <w:rFonts w:ascii="Courier New" w:hAnsi="Courier New" w:cs="Courier New"/>
        </w:rPr>
        <w:t xml:space="preserve"> </w:t>
      </w:r>
    </w:p>
    <w:p w14:paraId="1A111147" w14:textId="77777777" w:rsidR="00121B86" w:rsidRPr="00B86AF5" w:rsidRDefault="00121B86" w:rsidP="00121B86">
      <w:pPr>
        <w:pStyle w:val="BodyText2"/>
        <w:spacing w:after="0"/>
        <w:ind w:firstLine="720"/>
        <w:jc w:val="both"/>
        <w:rPr>
          <w:rFonts w:ascii="Courier New" w:hAnsi="Courier New" w:cs="Courier New"/>
        </w:rPr>
      </w:pPr>
      <w:r w:rsidRPr="00B86AF5">
        <w:rPr>
          <w:rFonts w:ascii="Courier New" w:hAnsi="Courier New" w:cs="Courier New"/>
        </w:rPr>
        <w:t xml:space="preserve">These findings of fact and report are made pursuant to a </w:t>
      </w:r>
      <w:r w:rsidRPr="007731F6">
        <w:rPr>
          <w:rFonts w:ascii="Courier New" w:hAnsi="Courier New" w:cs="Courier New"/>
        </w:rPr>
        <w:t>request by the appellant</w:t>
      </w:r>
      <w:r w:rsidRPr="00B86AF5">
        <w:rPr>
          <w:rFonts w:ascii="Courier New" w:hAnsi="Courier New" w:cs="Courier New"/>
        </w:rPr>
        <w:t xml:space="preserve"> under G.L. c. 58A, § 13 and 831 CMR 1.32. </w:t>
      </w:r>
    </w:p>
    <w:p w14:paraId="1BD09FB2" w14:textId="77777777" w:rsidR="00121B86" w:rsidRDefault="00121B86" w:rsidP="00121B86">
      <w:pPr>
        <w:jc w:val="both"/>
        <w:rPr>
          <w:rFonts w:ascii="Courier New" w:hAnsi="Courier New" w:cs="Courier New"/>
        </w:rPr>
      </w:pPr>
    </w:p>
    <w:p w14:paraId="2D8B2D68" w14:textId="3F9B90F7" w:rsidR="00121B86" w:rsidRDefault="00121B86" w:rsidP="00121B86">
      <w:pPr>
        <w:jc w:val="both"/>
        <w:rPr>
          <w:rFonts w:ascii="Courier New" w:hAnsi="Courier New" w:cs="Courier New"/>
        </w:rPr>
      </w:pPr>
      <w:r>
        <w:rPr>
          <w:rFonts w:ascii="Courier New" w:hAnsi="Courier New" w:cs="Courier New"/>
        </w:rPr>
        <w:tab/>
      </w:r>
      <w:r>
        <w:rPr>
          <w:rFonts w:ascii="Courier New" w:hAnsi="Courier New" w:cs="Courier New"/>
          <w:i/>
        </w:rPr>
        <w:t>Leonard H. Freiman</w:t>
      </w:r>
      <w:r w:rsidRPr="004705D0">
        <w:rPr>
          <w:rFonts w:ascii="Courier New" w:hAnsi="Courier New" w:cs="Courier New"/>
          <w:i/>
        </w:rPr>
        <w:t>,</w:t>
      </w:r>
      <w:r>
        <w:rPr>
          <w:rFonts w:ascii="Courier New" w:hAnsi="Courier New" w:cs="Courier New"/>
          <w:i/>
        </w:rPr>
        <w:t xml:space="preserve"> </w:t>
      </w:r>
      <w:r w:rsidR="00E5477C">
        <w:rPr>
          <w:rFonts w:ascii="Courier New" w:hAnsi="Courier New" w:cs="Courier New"/>
        </w:rPr>
        <w:t>Esq.</w:t>
      </w:r>
      <w:r>
        <w:rPr>
          <w:rFonts w:ascii="Courier New" w:hAnsi="Courier New" w:cs="Courier New"/>
        </w:rPr>
        <w:t xml:space="preserve"> for the appellant.</w:t>
      </w:r>
    </w:p>
    <w:p w14:paraId="4F59BC08" w14:textId="77777777" w:rsidR="00121B86" w:rsidRDefault="00121B86" w:rsidP="00121B86">
      <w:pPr>
        <w:jc w:val="both"/>
        <w:rPr>
          <w:rFonts w:ascii="Courier New" w:hAnsi="Courier New" w:cs="Courier New"/>
        </w:rPr>
      </w:pPr>
    </w:p>
    <w:p w14:paraId="408F6329" w14:textId="3B4E32EF" w:rsidR="00121B86" w:rsidRDefault="00121B86" w:rsidP="00121B86">
      <w:pPr>
        <w:jc w:val="both"/>
        <w:rPr>
          <w:rFonts w:ascii="Courier New" w:hAnsi="Courier New" w:cs="Courier New"/>
        </w:rPr>
      </w:pPr>
      <w:r>
        <w:rPr>
          <w:rFonts w:ascii="Courier New" w:hAnsi="Courier New" w:cs="Courier New"/>
        </w:rPr>
        <w:tab/>
      </w:r>
      <w:r>
        <w:rPr>
          <w:rFonts w:ascii="Courier New" w:hAnsi="Courier New" w:cs="Courier New"/>
          <w:i/>
        </w:rPr>
        <w:t>Anthony M. Ambriano</w:t>
      </w:r>
      <w:r>
        <w:rPr>
          <w:rFonts w:ascii="Courier New" w:hAnsi="Courier New" w:cs="Courier New"/>
        </w:rPr>
        <w:t>, Esq.</w:t>
      </w:r>
      <w:r w:rsidR="007E3739">
        <w:rPr>
          <w:rFonts w:ascii="Courier New" w:hAnsi="Courier New" w:cs="Courier New"/>
        </w:rPr>
        <w:t>,</w:t>
      </w:r>
      <w:r>
        <w:rPr>
          <w:rFonts w:ascii="Courier New" w:hAnsi="Courier New" w:cs="Courier New"/>
        </w:rPr>
        <w:t xml:space="preserve"> for the appellee.  </w:t>
      </w:r>
    </w:p>
    <w:p w14:paraId="57DBF715" w14:textId="77777777" w:rsidR="00121B86" w:rsidRDefault="00121B86" w:rsidP="00121B86">
      <w:pPr>
        <w:spacing w:line="480" w:lineRule="auto"/>
        <w:jc w:val="both"/>
        <w:rPr>
          <w:rFonts w:ascii="Courier New" w:hAnsi="Courier New" w:cs="Courier New"/>
        </w:rPr>
      </w:pPr>
    </w:p>
    <w:p w14:paraId="2CA2BCA4" w14:textId="77777777" w:rsidR="00121B86" w:rsidRDefault="00121B86" w:rsidP="00121B86">
      <w:pPr>
        <w:pStyle w:val="Heading2"/>
        <w:spacing w:line="480" w:lineRule="auto"/>
      </w:pPr>
      <w:r>
        <w:lastRenderedPageBreak/>
        <w:t>FINDINGS OF FACT AND REPORT</w:t>
      </w:r>
    </w:p>
    <w:p w14:paraId="7A2BBB83" w14:textId="4EDD86C5" w:rsidR="00121B86" w:rsidRDefault="00CC419F" w:rsidP="00121B86">
      <w:pPr>
        <w:spacing w:line="480" w:lineRule="auto"/>
        <w:ind w:firstLine="720"/>
        <w:jc w:val="both"/>
        <w:rPr>
          <w:rFonts w:ascii="Courier New" w:hAnsi="Courier New" w:cs="Courier New"/>
        </w:rPr>
      </w:pPr>
      <w:r>
        <w:rPr>
          <w:rFonts w:ascii="Courier New" w:hAnsi="Courier New" w:cs="Courier New"/>
        </w:rPr>
        <w:t>On the basis of</w:t>
      </w:r>
      <w:r w:rsidR="00121B86">
        <w:rPr>
          <w:rFonts w:ascii="Courier New" w:hAnsi="Courier New" w:cs="Courier New"/>
        </w:rPr>
        <w:t xml:space="preserve"> testimony and exhibits offered into evidence at the hearing of these appeals, the Appellate Tax Board (“Board”) made the following findings of fact.</w:t>
      </w:r>
    </w:p>
    <w:p w14:paraId="7AC58BEB" w14:textId="04D5430E" w:rsidR="001A0127" w:rsidRDefault="00121B86" w:rsidP="00121B86">
      <w:pPr>
        <w:spacing w:line="480" w:lineRule="auto"/>
        <w:ind w:firstLine="720"/>
        <w:jc w:val="both"/>
        <w:rPr>
          <w:rFonts w:ascii="Courier New" w:hAnsi="Courier New" w:cs="Courier New"/>
        </w:rPr>
      </w:pPr>
      <w:r>
        <w:rPr>
          <w:rFonts w:ascii="Courier New" w:hAnsi="Courier New" w:cs="Courier New"/>
        </w:rPr>
        <w:t>On January 1, 2013</w:t>
      </w:r>
      <w:r w:rsidR="001A0127">
        <w:rPr>
          <w:rFonts w:ascii="Courier New" w:hAnsi="Courier New" w:cs="Courier New"/>
        </w:rPr>
        <w:t xml:space="preserve">, January 1, 2014, and January 1, 2015, the relevant </w:t>
      </w:r>
      <w:r w:rsidR="008F3D9D">
        <w:rPr>
          <w:rFonts w:ascii="Courier New" w:hAnsi="Courier New" w:cs="Courier New"/>
        </w:rPr>
        <w:t xml:space="preserve">valuation and </w:t>
      </w:r>
      <w:r w:rsidR="001A0127">
        <w:rPr>
          <w:rFonts w:ascii="Courier New" w:hAnsi="Courier New" w:cs="Courier New"/>
        </w:rPr>
        <w:t>assessme</w:t>
      </w:r>
      <w:r w:rsidR="00E17A01">
        <w:rPr>
          <w:rFonts w:ascii="Courier New" w:hAnsi="Courier New" w:cs="Courier New"/>
        </w:rPr>
        <w:t>nt dates for each fiscal year at</w:t>
      </w:r>
      <w:r w:rsidR="001A0127">
        <w:rPr>
          <w:rFonts w:ascii="Courier New" w:hAnsi="Courier New" w:cs="Courier New"/>
        </w:rPr>
        <w:t xml:space="preserve"> issue</w:t>
      </w:r>
      <w:r>
        <w:rPr>
          <w:rFonts w:ascii="Courier New" w:hAnsi="Courier New" w:cs="Courier New"/>
        </w:rPr>
        <w:t xml:space="preserve">, the appellant was the assessed owner of </w:t>
      </w:r>
      <w:r w:rsidR="007E3739">
        <w:rPr>
          <w:rFonts w:ascii="Courier New" w:hAnsi="Courier New" w:cs="Courier New"/>
        </w:rPr>
        <w:t xml:space="preserve">a </w:t>
      </w:r>
      <w:r>
        <w:rPr>
          <w:rFonts w:ascii="Courier New" w:hAnsi="Courier New" w:cs="Courier New"/>
        </w:rPr>
        <w:t xml:space="preserve">1.51-acre parcel of land improved with a commercial hotel </w:t>
      </w:r>
      <w:r w:rsidR="006A5C89">
        <w:rPr>
          <w:rFonts w:ascii="Courier New" w:hAnsi="Courier New" w:cs="Courier New"/>
        </w:rPr>
        <w:t xml:space="preserve">located at 831 Main Street in Woburn </w:t>
      </w:r>
      <w:r w:rsidRPr="00E12935">
        <w:rPr>
          <w:rFonts w:ascii="Courier New" w:hAnsi="Courier New" w:cs="Courier New"/>
        </w:rPr>
        <w:t>(</w:t>
      </w:r>
      <w:r>
        <w:rPr>
          <w:rFonts w:ascii="Courier New" w:hAnsi="Courier New" w:cs="Courier New"/>
        </w:rPr>
        <w:t>“subject property”)</w:t>
      </w:r>
      <w:r w:rsidRPr="00F2547C">
        <w:rPr>
          <w:rFonts w:ascii="Courier New" w:hAnsi="Courier New" w:cs="Courier New"/>
        </w:rPr>
        <w:t xml:space="preserve">. </w:t>
      </w:r>
      <w:r>
        <w:rPr>
          <w:rFonts w:ascii="Courier New" w:hAnsi="Courier New" w:cs="Courier New"/>
        </w:rPr>
        <w:t xml:space="preserve"> </w:t>
      </w:r>
    </w:p>
    <w:p w14:paraId="0795B5FA" w14:textId="1060F540" w:rsidR="00121B86" w:rsidRDefault="00121B86" w:rsidP="00121B86">
      <w:pPr>
        <w:spacing w:line="480" w:lineRule="auto"/>
        <w:ind w:firstLine="720"/>
        <w:jc w:val="both"/>
        <w:rPr>
          <w:rFonts w:ascii="Courier New" w:hAnsi="Courier New" w:cs="Courier New"/>
        </w:rPr>
      </w:pPr>
      <w:r>
        <w:rPr>
          <w:rFonts w:ascii="Courier New" w:hAnsi="Courier New" w:cs="Courier New"/>
        </w:rPr>
        <w:t>For fiscal year 2014, the assessors valued the subject property at $</w:t>
      </w:r>
      <w:r w:rsidR="007A10A2">
        <w:rPr>
          <w:rFonts w:ascii="Courier New" w:hAnsi="Courier New" w:cs="Courier New"/>
        </w:rPr>
        <w:t>4,700,900</w:t>
      </w:r>
      <w:r>
        <w:rPr>
          <w:rFonts w:ascii="Courier New" w:hAnsi="Courier New" w:cs="Courier New"/>
        </w:rPr>
        <w:t xml:space="preserve"> and assessed a </w:t>
      </w:r>
      <w:r w:rsidR="001A0127">
        <w:rPr>
          <w:rFonts w:ascii="Courier New" w:hAnsi="Courier New" w:cs="Courier New"/>
        </w:rPr>
        <w:t>tax thereon, at a rate of $27.41</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sidR="001A0127">
        <w:rPr>
          <w:rFonts w:ascii="Courier New" w:hAnsi="Courier New" w:cs="Courier New"/>
        </w:rPr>
        <w:t>$128,851.66. </w:t>
      </w:r>
      <w:r>
        <w:rPr>
          <w:rFonts w:ascii="Courier New" w:hAnsi="Courier New" w:cs="Courier New"/>
        </w:rPr>
        <w:t xml:space="preserve"> The appellant timely paid the tax due without incurring interest and, in accordance with G.L. c. 59, §</w:t>
      </w:r>
      <w:r w:rsidR="000204C7">
        <w:rPr>
          <w:rFonts w:ascii="Courier New" w:hAnsi="Courier New" w:cs="Courier New"/>
        </w:rPr>
        <w:t>  </w:t>
      </w:r>
      <w:r>
        <w:rPr>
          <w:rFonts w:ascii="Courier New" w:hAnsi="Courier New" w:cs="Courier New"/>
        </w:rPr>
        <w:t>59, timely filed an abatement appli</w:t>
      </w:r>
      <w:r w:rsidR="001A0127">
        <w:rPr>
          <w:rFonts w:ascii="Courier New" w:hAnsi="Courier New" w:cs="Courier New"/>
        </w:rPr>
        <w:t xml:space="preserve">cation on </w:t>
      </w:r>
      <w:r w:rsidR="00D033CE">
        <w:rPr>
          <w:rFonts w:ascii="Courier New" w:hAnsi="Courier New" w:cs="Courier New"/>
        </w:rPr>
        <w:t xml:space="preserve">Monday, </w:t>
      </w:r>
      <w:r w:rsidR="000B723C">
        <w:rPr>
          <w:rFonts w:ascii="Courier New" w:hAnsi="Courier New" w:cs="Courier New"/>
        </w:rPr>
        <w:t>Febr</w:t>
      </w:r>
      <w:r w:rsidR="00031CE8">
        <w:rPr>
          <w:rFonts w:ascii="Courier New" w:hAnsi="Courier New" w:cs="Courier New"/>
        </w:rPr>
        <w:t>uary 3, 2014</w:t>
      </w:r>
      <w:r>
        <w:rPr>
          <w:rFonts w:ascii="Courier New" w:hAnsi="Courier New" w:cs="Courier New"/>
        </w:rPr>
        <w:t xml:space="preserve">.  The assessors denied the abatement </w:t>
      </w:r>
      <w:r w:rsidR="001A0127">
        <w:rPr>
          <w:rFonts w:ascii="Courier New" w:hAnsi="Courier New" w:cs="Courier New"/>
        </w:rPr>
        <w:t xml:space="preserve">application </w:t>
      </w:r>
      <w:r w:rsidR="001A0127" w:rsidRPr="000B723C">
        <w:rPr>
          <w:rFonts w:ascii="Courier New" w:hAnsi="Courier New" w:cs="Courier New"/>
        </w:rPr>
        <w:t>on</w:t>
      </w:r>
      <w:r w:rsidR="001A0127">
        <w:rPr>
          <w:rFonts w:ascii="Courier New" w:hAnsi="Courier New" w:cs="Courier New"/>
        </w:rPr>
        <w:t xml:space="preserve"> </w:t>
      </w:r>
      <w:r w:rsidR="000B723C">
        <w:rPr>
          <w:rFonts w:ascii="Courier New" w:hAnsi="Courier New" w:cs="Courier New"/>
        </w:rPr>
        <w:t>April 10, 2014</w:t>
      </w:r>
      <w:r w:rsidR="001A0127">
        <w:rPr>
          <w:rFonts w:ascii="Courier New" w:hAnsi="Courier New" w:cs="Courier New"/>
        </w:rPr>
        <w:t>, and on</w:t>
      </w:r>
      <w:r w:rsidR="000B723C">
        <w:rPr>
          <w:rFonts w:ascii="Courier New" w:hAnsi="Courier New" w:cs="Courier New"/>
        </w:rPr>
        <w:t xml:space="preserve"> June 30, 2014</w:t>
      </w:r>
      <w:r>
        <w:rPr>
          <w:rFonts w:ascii="Courier New" w:hAnsi="Courier New" w:cs="Courier New"/>
        </w:rPr>
        <w:t>, the appellant seasonably filed an appeal under the formal procedure with the Board.  On the basis of these facts, the Board found and ruled that it had jurisdiction to hear and decide</w:t>
      </w:r>
      <w:r w:rsidR="001A0127">
        <w:rPr>
          <w:rFonts w:ascii="Courier New" w:hAnsi="Courier New" w:cs="Courier New"/>
        </w:rPr>
        <w:t xml:space="preserve"> the appeal for fiscal year 2014</w:t>
      </w:r>
      <w:r>
        <w:rPr>
          <w:rFonts w:ascii="Courier New" w:hAnsi="Courier New" w:cs="Courier New"/>
        </w:rPr>
        <w:t xml:space="preserve">. </w:t>
      </w:r>
    </w:p>
    <w:p w14:paraId="1572F830" w14:textId="7F5B57ED" w:rsidR="001A0127" w:rsidRDefault="001A0127" w:rsidP="001A0127">
      <w:pPr>
        <w:spacing w:line="480" w:lineRule="auto"/>
        <w:ind w:firstLine="720"/>
        <w:jc w:val="both"/>
        <w:rPr>
          <w:rFonts w:ascii="Courier New" w:hAnsi="Courier New" w:cs="Courier New"/>
        </w:rPr>
      </w:pPr>
      <w:r>
        <w:rPr>
          <w:rFonts w:ascii="Courier New" w:hAnsi="Courier New" w:cs="Courier New"/>
        </w:rPr>
        <w:t xml:space="preserve">For fiscal year 2015, the assessors valued the subject property at $5,008,000 and assessed a tax thereon, at a </w:t>
      </w:r>
      <w:r>
        <w:rPr>
          <w:rFonts w:ascii="Courier New" w:hAnsi="Courier New" w:cs="Courier New"/>
        </w:rPr>
        <w:lastRenderedPageBreak/>
        <w:t>rate of $26.30</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Pr>
          <w:rFonts w:ascii="Courier New" w:hAnsi="Courier New" w:cs="Courier New"/>
        </w:rPr>
        <w:t>$131,710.40.  The appellant timely paid the tax due without incurring interest and, in accordance with G.L. c. 59, §</w:t>
      </w:r>
      <w:r w:rsidR="000204C7">
        <w:rPr>
          <w:rFonts w:ascii="Courier New" w:hAnsi="Courier New" w:cs="Courier New"/>
        </w:rPr>
        <w:t> </w:t>
      </w:r>
      <w:r>
        <w:rPr>
          <w:rFonts w:ascii="Courier New" w:hAnsi="Courier New" w:cs="Courier New"/>
        </w:rPr>
        <w:t xml:space="preserve">59, timely filed an abatement application on </w:t>
      </w:r>
      <w:r w:rsidR="00E016EB">
        <w:rPr>
          <w:rFonts w:ascii="Courier New" w:hAnsi="Courier New" w:cs="Courier New"/>
        </w:rPr>
        <w:t xml:space="preserve">February </w:t>
      </w:r>
      <w:r w:rsidR="00E016EB" w:rsidRPr="001C3676">
        <w:rPr>
          <w:rFonts w:ascii="Courier New" w:hAnsi="Courier New" w:cs="Courier New"/>
        </w:rPr>
        <w:t>6</w:t>
      </w:r>
      <w:r w:rsidR="00E016EB">
        <w:rPr>
          <w:rFonts w:ascii="Courier New" w:hAnsi="Courier New" w:cs="Courier New"/>
        </w:rPr>
        <w:t>, 2015</w:t>
      </w:r>
      <w:r>
        <w:rPr>
          <w:rFonts w:ascii="Courier New" w:hAnsi="Courier New" w:cs="Courier New"/>
        </w:rPr>
        <w:t>.</w:t>
      </w:r>
      <w:r w:rsidR="007C6E1D">
        <w:rPr>
          <w:rStyle w:val="FootnoteReference"/>
          <w:rFonts w:ascii="Courier New" w:hAnsi="Courier New" w:cs="Courier New"/>
        </w:rPr>
        <w:footnoteReference w:id="1"/>
      </w:r>
      <w:r>
        <w:rPr>
          <w:rFonts w:ascii="Courier New" w:hAnsi="Courier New" w:cs="Courier New"/>
        </w:rPr>
        <w:t xml:space="preserve"> The assessors denied the abatement application on </w:t>
      </w:r>
      <w:r w:rsidR="00E016EB">
        <w:rPr>
          <w:rFonts w:ascii="Courier New" w:hAnsi="Courier New" w:cs="Courier New"/>
        </w:rPr>
        <w:t>March 26, 2015</w:t>
      </w:r>
      <w:r>
        <w:rPr>
          <w:rFonts w:ascii="Courier New" w:hAnsi="Courier New" w:cs="Courier New"/>
        </w:rPr>
        <w:t xml:space="preserve">, and </w:t>
      </w:r>
      <w:r w:rsidRPr="00E016EB">
        <w:rPr>
          <w:rFonts w:ascii="Courier New" w:hAnsi="Courier New" w:cs="Courier New"/>
        </w:rPr>
        <w:t>on</w:t>
      </w:r>
      <w:r>
        <w:rPr>
          <w:rFonts w:ascii="Courier New" w:hAnsi="Courier New" w:cs="Courier New"/>
        </w:rPr>
        <w:t xml:space="preserve"> </w:t>
      </w:r>
      <w:r w:rsidR="00E016EB">
        <w:rPr>
          <w:rFonts w:ascii="Courier New" w:hAnsi="Courier New" w:cs="Courier New"/>
        </w:rPr>
        <w:t>June 17, 2015</w:t>
      </w:r>
      <w:r>
        <w:rPr>
          <w:rFonts w:ascii="Courier New" w:hAnsi="Courier New" w:cs="Courier New"/>
        </w:rPr>
        <w:t xml:space="preserve">, the appellant seasonably filed an appeal under the formal procedure with the Board.  On the basis of these facts, the Board found and ruled that it had jurisdiction to hear and decide the appeal for fiscal year 2015. </w:t>
      </w:r>
    </w:p>
    <w:p w14:paraId="40291709" w14:textId="0511EC6F" w:rsidR="00121B86" w:rsidRDefault="001A0127" w:rsidP="00121B86">
      <w:pPr>
        <w:spacing w:line="480" w:lineRule="auto"/>
        <w:ind w:firstLine="720"/>
        <w:jc w:val="both"/>
        <w:rPr>
          <w:rFonts w:ascii="Courier New" w:hAnsi="Courier New" w:cs="Courier New"/>
        </w:rPr>
      </w:pPr>
      <w:r>
        <w:rPr>
          <w:rFonts w:ascii="Courier New" w:hAnsi="Courier New" w:cs="Courier New"/>
        </w:rPr>
        <w:t xml:space="preserve">For fiscal year 2016, the assessors valued the subject property at $5,508,800 and assessed a tax thereon, at a rate </w:t>
      </w:r>
      <w:r w:rsidR="00643D12">
        <w:rPr>
          <w:rFonts w:ascii="Courier New" w:hAnsi="Courier New" w:cs="Courier New"/>
        </w:rPr>
        <w:t>of $25.79</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sidR="00643D12">
        <w:rPr>
          <w:rFonts w:ascii="Courier New" w:hAnsi="Courier New" w:cs="Courier New"/>
        </w:rPr>
        <w:t>$142,071</w:t>
      </w:r>
      <w:r>
        <w:rPr>
          <w:rFonts w:ascii="Courier New" w:hAnsi="Courier New" w:cs="Courier New"/>
        </w:rPr>
        <w:t>.</w:t>
      </w:r>
      <w:r w:rsidR="00D033CE">
        <w:rPr>
          <w:rFonts w:ascii="Courier New" w:hAnsi="Courier New" w:cs="Courier New"/>
        </w:rPr>
        <w:t>95.</w:t>
      </w:r>
      <w:r>
        <w:rPr>
          <w:rFonts w:ascii="Courier New" w:hAnsi="Courier New" w:cs="Courier New"/>
        </w:rPr>
        <w:t>  The appellant timely paid the tax due without incurring interest and, in accordance with G.L. c. 59, §</w:t>
      </w:r>
      <w:r w:rsidR="000204C7">
        <w:rPr>
          <w:rFonts w:ascii="Courier New" w:hAnsi="Courier New" w:cs="Courier New"/>
        </w:rPr>
        <w:t> </w:t>
      </w:r>
      <w:r>
        <w:rPr>
          <w:rFonts w:ascii="Courier New" w:hAnsi="Courier New" w:cs="Courier New"/>
        </w:rPr>
        <w:t xml:space="preserve">59, timely filed an abatement application on </w:t>
      </w:r>
      <w:r w:rsidR="00FB2410">
        <w:rPr>
          <w:rFonts w:ascii="Courier New" w:hAnsi="Courier New" w:cs="Courier New"/>
        </w:rPr>
        <w:t>February 1, 2016</w:t>
      </w:r>
      <w:r>
        <w:rPr>
          <w:rFonts w:ascii="Courier New" w:hAnsi="Courier New" w:cs="Courier New"/>
        </w:rPr>
        <w:t xml:space="preserve">.  The assessors denied the abatement application on </w:t>
      </w:r>
      <w:r w:rsidR="00856154">
        <w:rPr>
          <w:rFonts w:ascii="Courier New" w:hAnsi="Courier New" w:cs="Courier New"/>
        </w:rPr>
        <w:t>April 21, 2016</w:t>
      </w:r>
      <w:r>
        <w:rPr>
          <w:rFonts w:ascii="Courier New" w:hAnsi="Courier New" w:cs="Courier New"/>
        </w:rPr>
        <w:t xml:space="preserve">, and </w:t>
      </w:r>
      <w:r w:rsidRPr="00E20D5C">
        <w:rPr>
          <w:rFonts w:ascii="Courier New" w:hAnsi="Courier New" w:cs="Courier New"/>
        </w:rPr>
        <w:t>on</w:t>
      </w:r>
      <w:r>
        <w:rPr>
          <w:rFonts w:ascii="Courier New" w:hAnsi="Courier New" w:cs="Courier New"/>
        </w:rPr>
        <w:t xml:space="preserve"> </w:t>
      </w:r>
      <w:r w:rsidR="00E20D5C">
        <w:rPr>
          <w:rFonts w:ascii="Courier New" w:hAnsi="Courier New" w:cs="Courier New"/>
        </w:rPr>
        <w:t>July 13, 2016</w:t>
      </w:r>
      <w:r>
        <w:rPr>
          <w:rFonts w:ascii="Courier New" w:hAnsi="Courier New" w:cs="Courier New"/>
        </w:rPr>
        <w:t xml:space="preserve">, the appellant seasonably filed an appeal under the formal procedure with the Board.  On the basis of these facts, the Board found </w:t>
      </w:r>
      <w:r>
        <w:rPr>
          <w:rFonts w:ascii="Courier New" w:hAnsi="Courier New" w:cs="Courier New"/>
        </w:rPr>
        <w:lastRenderedPageBreak/>
        <w:t>and ruled that it had jurisdiction to hear and decide</w:t>
      </w:r>
      <w:r w:rsidR="00643D12">
        <w:rPr>
          <w:rFonts w:ascii="Courier New" w:hAnsi="Courier New" w:cs="Courier New"/>
        </w:rPr>
        <w:t xml:space="preserve"> the appeal for fiscal year 2016</w:t>
      </w:r>
      <w:r>
        <w:rPr>
          <w:rFonts w:ascii="Courier New" w:hAnsi="Courier New" w:cs="Courier New"/>
        </w:rPr>
        <w:t xml:space="preserve">. </w:t>
      </w:r>
    </w:p>
    <w:p w14:paraId="2AB7E76E" w14:textId="31202312" w:rsidR="00F55843" w:rsidRDefault="00F55843" w:rsidP="00121B86">
      <w:pPr>
        <w:spacing w:line="480" w:lineRule="auto"/>
        <w:ind w:firstLine="720"/>
        <w:jc w:val="both"/>
        <w:rPr>
          <w:rFonts w:ascii="Courier New" w:hAnsi="Courier New" w:cs="Courier New"/>
        </w:rPr>
      </w:pPr>
      <w:r>
        <w:rPr>
          <w:rFonts w:ascii="Courier New" w:hAnsi="Courier New" w:cs="Courier New"/>
        </w:rPr>
        <w:t xml:space="preserve">The subject property has frontage along </w:t>
      </w:r>
      <w:r w:rsidR="0017630B">
        <w:rPr>
          <w:rFonts w:ascii="Courier New" w:hAnsi="Courier New" w:cs="Courier New"/>
        </w:rPr>
        <w:t>Main Street</w:t>
      </w:r>
      <w:r w:rsidR="00D15AAC">
        <w:rPr>
          <w:rFonts w:ascii="Courier New" w:hAnsi="Courier New" w:cs="Courier New"/>
        </w:rPr>
        <w:t xml:space="preserve"> in Woburn</w:t>
      </w:r>
      <w:r w:rsidR="0017630B">
        <w:rPr>
          <w:rFonts w:ascii="Courier New" w:hAnsi="Courier New" w:cs="Courier New"/>
        </w:rPr>
        <w:t>,</w:t>
      </w:r>
      <w:r w:rsidR="00D15AAC">
        <w:rPr>
          <w:rFonts w:ascii="Courier New" w:hAnsi="Courier New" w:cs="Courier New"/>
        </w:rPr>
        <w:t xml:space="preserve"> also known as</w:t>
      </w:r>
      <w:r w:rsidR="0017630B">
        <w:rPr>
          <w:rFonts w:ascii="Courier New" w:hAnsi="Courier New" w:cs="Courier New"/>
        </w:rPr>
        <w:t xml:space="preserve"> Route 38</w:t>
      </w:r>
      <w:r w:rsidR="00E9118B">
        <w:rPr>
          <w:rFonts w:ascii="Courier New" w:hAnsi="Courier New" w:cs="Courier New"/>
        </w:rPr>
        <w:t>,</w:t>
      </w:r>
      <w:r w:rsidR="0017630B">
        <w:rPr>
          <w:rFonts w:ascii="Courier New" w:hAnsi="Courier New" w:cs="Courier New"/>
        </w:rPr>
        <w:t xml:space="preserve"> and</w:t>
      </w:r>
      <w:r w:rsidR="000604D9">
        <w:rPr>
          <w:rFonts w:ascii="Courier New" w:hAnsi="Courier New" w:cs="Courier New"/>
        </w:rPr>
        <w:t xml:space="preserve"> is located less than a </w:t>
      </w:r>
      <w:r w:rsidR="00D53503">
        <w:rPr>
          <w:rFonts w:ascii="Courier New" w:hAnsi="Courier New" w:cs="Courier New"/>
        </w:rPr>
        <w:t xml:space="preserve">half </w:t>
      </w:r>
      <w:r>
        <w:rPr>
          <w:rFonts w:ascii="Courier New" w:hAnsi="Courier New" w:cs="Courier New"/>
        </w:rPr>
        <w:t>mi</w:t>
      </w:r>
      <w:r w:rsidR="0017630B">
        <w:rPr>
          <w:rFonts w:ascii="Courier New" w:hAnsi="Courier New" w:cs="Courier New"/>
        </w:rPr>
        <w:t xml:space="preserve">le </w:t>
      </w:r>
      <w:r w:rsidR="00D15AAC">
        <w:rPr>
          <w:rFonts w:ascii="Courier New" w:hAnsi="Courier New" w:cs="Courier New"/>
        </w:rPr>
        <w:t xml:space="preserve">from </w:t>
      </w:r>
      <w:r w:rsidR="0017630B">
        <w:rPr>
          <w:rFonts w:ascii="Courier New" w:hAnsi="Courier New" w:cs="Courier New"/>
        </w:rPr>
        <w:t>Route 128, a major highway</w:t>
      </w:r>
      <w:r>
        <w:rPr>
          <w:rFonts w:ascii="Courier New" w:hAnsi="Courier New" w:cs="Courier New"/>
        </w:rPr>
        <w:t xml:space="preserve">.  </w:t>
      </w:r>
      <w:r w:rsidR="00CE22C0">
        <w:rPr>
          <w:rFonts w:ascii="Courier New" w:hAnsi="Courier New" w:cs="Courier New"/>
        </w:rPr>
        <w:t xml:space="preserve">The subject property is </w:t>
      </w:r>
      <w:r w:rsidR="0017630B">
        <w:rPr>
          <w:rFonts w:ascii="Courier New" w:hAnsi="Courier New" w:cs="Courier New"/>
        </w:rPr>
        <w:t>also in close proximity to</w:t>
      </w:r>
      <w:r w:rsidR="00CE22C0">
        <w:rPr>
          <w:rFonts w:ascii="Courier New" w:hAnsi="Courier New" w:cs="Courier New"/>
        </w:rPr>
        <w:t xml:space="preserve"> municipal transportation, retail stores, </w:t>
      </w:r>
      <w:r w:rsidR="00D30172">
        <w:rPr>
          <w:rFonts w:ascii="Courier New" w:hAnsi="Courier New" w:cs="Courier New"/>
        </w:rPr>
        <w:t xml:space="preserve">grocery stores, pharmacies, </w:t>
      </w:r>
      <w:r w:rsidR="00CE22C0">
        <w:rPr>
          <w:rFonts w:ascii="Courier New" w:hAnsi="Courier New" w:cs="Courier New"/>
        </w:rPr>
        <w:t>restaurants, churches</w:t>
      </w:r>
      <w:r w:rsidR="001149ED">
        <w:rPr>
          <w:rFonts w:ascii="Courier New" w:hAnsi="Courier New" w:cs="Courier New"/>
        </w:rPr>
        <w:t>,</w:t>
      </w:r>
      <w:r w:rsidR="00CE22C0">
        <w:rPr>
          <w:rFonts w:ascii="Courier New" w:hAnsi="Courier New" w:cs="Courier New"/>
        </w:rPr>
        <w:t xml:space="preserve"> and recreational facilities and is therefore considered a good location for a hotel.</w:t>
      </w:r>
    </w:p>
    <w:p w14:paraId="4012566B" w14:textId="68A6ADD4" w:rsidR="00274EA5" w:rsidRDefault="00121B86" w:rsidP="00121B86">
      <w:pPr>
        <w:spacing w:line="480" w:lineRule="auto"/>
        <w:ind w:firstLine="720"/>
        <w:jc w:val="both"/>
        <w:rPr>
          <w:rFonts w:ascii="Courier New" w:hAnsi="Courier New" w:cs="Courier New"/>
        </w:rPr>
      </w:pPr>
      <w:r>
        <w:rPr>
          <w:rFonts w:ascii="Courier New" w:hAnsi="Courier New" w:cs="Courier New"/>
        </w:rPr>
        <w:t xml:space="preserve">The subject property </w:t>
      </w:r>
      <w:r w:rsidR="003631E6">
        <w:rPr>
          <w:rFonts w:ascii="Courier New" w:hAnsi="Courier New" w:cs="Courier New"/>
        </w:rPr>
        <w:t xml:space="preserve">is improved with a </w:t>
      </w:r>
      <w:r w:rsidR="00274EA5">
        <w:rPr>
          <w:rFonts w:ascii="Courier New" w:hAnsi="Courier New" w:cs="Courier New"/>
        </w:rPr>
        <w:t>3-floor, 100-room</w:t>
      </w:r>
      <w:r w:rsidR="004A6182">
        <w:rPr>
          <w:rFonts w:ascii="Courier New" w:hAnsi="Courier New" w:cs="Courier New"/>
        </w:rPr>
        <w:t>,</w:t>
      </w:r>
      <w:r w:rsidR="003631E6">
        <w:rPr>
          <w:rFonts w:ascii="Courier New" w:hAnsi="Courier New" w:cs="Courier New"/>
        </w:rPr>
        <w:t xml:space="preserve"> limited-service hotel, </w:t>
      </w:r>
      <w:r w:rsidR="009C0C0A">
        <w:rPr>
          <w:rFonts w:ascii="Courier New" w:hAnsi="Courier New" w:cs="Courier New"/>
        </w:rPr>
        <w:t xml:space="preserve">built in 1999 and </w:t>
      </w:r>
      <w:r w:rsidR="003631E6">
        <w:rPr>
          <w:rFonts w:ascii="Courier New" w:hAnsi="Courier New" w:cs="Courier New"/>
        </w:rPr>
        <w:t>containing a total area of approximately 44,808 square feet, with a brand name of Extended Stay America</w:t>
      </w:r>
      <w:r w:rsidR="00F55843">
        <w:rPr>
          <w:rFonts w:ascii="Courier New" w:hAnsi="Courier New" w:cs="Courier New"/>
        </w:rPr>
        <w:t xml:space="preserve"> (“subject hotel”)</w:t>
      </w:r>
      <w:r w:rsidR="003631E6">
        <w:rPr>
          <w:rFonts w:ascii="Courier New" w:hAnsi="Courier New" w:cs="Courier New"/>
        </w:rPr>
        <w:t xml:space="preserve">.  </w:t>
      </w:r>
      <w:r w:rsidR="00D15AAC">
        <w:rPr>
          <w:rFonts w:ascii="Courier New" w:hAnsi="Courier New" w:cs="Courier New"/>
        </w:rPr>
        <w:t>An</w:t>
      </w:r>
      <w:r w:rsidR="009C0C0A">
        <w:rPr>
          <w:rFonts w:ascii="Courier New" w:hAnsi="Courier New" w:cs="Courier New"/>
        </w:rPr>
        <w:t xml:space="preserve"> extended-stay hotel is typically defined as a limited-service hotel, which appeals to hotel guests requiring accommodations for 5 nights or longer.  </w:t>
      </w:r>
      <w:r w:rsidR="005404FA">
        <w:rPr>
          <w:rFonts w:ascii="Courier New" w:hAnsi="Courier New" w:cs="Courier New"/>
        </w:rPr>
        <w:t xml:space="preserve">The subject property has a fitness room, guest laundry room, </w:t>
      </w:r>
      <w:r w:rsidR="00274EA5">
        <w:rPr>
          <w:rFonts w:ascii="Courier New" w:hAnsi="Courier New" w:cs="Courier New"/>
        </w:rPr>
        <w:t xml:space="preserve">a small vending machine area and counter where a “Grab ‘n Go” continental breakfast is served, an </w:t>
      </w:r>
      <w:r w:rsidR="005404FA">
        <w:rPr>
          <w:rFonts w:ascii="Courier New" w:hAnsi="Courier New" w:cs="Courier New"/>
        </w:rPr>
        <w:t>outdoor pool</w:t>
      </w:r>
      <w:r w:rsidR="00274EA5">
        <w:rPr>
          <w:rFonts w:ascii="Courier New" w:hAnsi="Courier New" w:cs="Courier New"/>
        </w:rPr>
        <w:t>,</w:t>
      </w:r>
      <w:r w:rsidR="005404FA">
        <w:rPr>
          <w:rFonts w:ascii="Courier New" w:hAnsi="Courier New" w:cs="Courier New"/>
        </w:rPr>
        <w:t xml:space="preserve"> and a courtyard</w:t>
      </w:r>
      <w:r w:rsidR="005C6666">
        <w:rPr>
          <w:rFonts w:ascii="Courier New" w:hAnsi="Courier New" w:cs="Courier New"/>
        </w:rPr>
        <w:t xml:space="preserve"> area with grills.  </w:t>
      </w:r>
    </w:p>
    <w:p w14:paraId="03658F16" w14:textId="022D7071" w:rsidR="00121B86" w:rsidRDefault="00274EA5" w:rsidP="00121B86">
      <w:pPr>
        <w:spacing w:line="480" w:lineRule="auto"/>
        <w:ind w:firstLine="720"/>
        <w:jc w:val="both"/>
        <w:rPr>
          <w:rFonts w:ascii="Courier New" w:hAnsi="Courier New" w:cs="Courier New"/>
        </w:rPr>
      </w:pPr>
      <w:r>
        <w:rPr>
          <w:rFonts w:ascii="Courier New" w:hAnsi="Courier New" w:cs="Courier New"/>
        </w:rPr>
        <w:t>An extended-stay hotel offer</w:t>
      </w:r>
      <w:r w:rsidR="00E9118B">
        <w:rPr>
          <w:rFonts w:ascii="Courier New" w:hAnsi="Courier New" w:cs="Courier New"/>
        </w:rPr>
        <w:t>s</w:t>
      </w:r>
      <w:r w:rsidR="00415E04">
        <w:rPr>
          <w:rFonts w:ascii="Courier New" w:hAnsi="Courier New" w:cs="Courier New"/>
        </w:rPr>
        <w:t xml:space="preserve"> larger-than-</w:t>
      </w:r>
      <w:r>
        <w:rPr>
          <w:rFonts w:ascii="Courier New" w:hAnsi="Courier New" w:cs="Courier New"/>
        </w:rPr>
        <w:t>normal room sizes, with designated living and sleeping areas, kitchenette areas</w:t>
      </w:r>
      <w:r w:rsidR="00D15AAC">
        <w:rPr>
          <w:rFonts w:ascii="Courier New" w:hAnsi="Courier New" w:cs="Courier New"/>
        </w:rPr>
        <w:t xml:space="preserve">, </w:t>
      </w:r>
      <w:r>
        <w:rPr>
          <w:rFonts w:ascii="Courier New" w:hAnsi="Courier New" w:cs="Courier New"/>
        </w:rPr>
        <w:t>limited guest services</w:t>
      </w:r>
      <w:r w:rsidR="006B1C99">
        <w:rPr>
          <w:rFonts w:ascii="Courier New" w:hAnsi="Courier New" w:cs="Courier New"/>
        </w:rPr>
        <w:t>,</w:t>
      </w:r>
      <w:r w:rsidR="00415E04">
        <w:rPr>
          <w:rFonts w:ascii="Courier New" w:hAnsi="Courier New" w:cs="Courier New"/>
        </w:rPr>
        <w:t xml:space="preserve"> and little-to-</w:t>
      </w:r>
      <w:r>
        <w:rPr>
          <w:rFonts w:ascii="Courier New" w:hAnsi="Courier New" w:cs="Courier New"/>
        </w:rPr>
        <w:t xml:space="preserve">no public areas within the hotel.  </w:t>
      </w:r>
      <w:r w:rsidR="00D30172">
        <w:rPr>
          <w:rFonts w:ascii="Courier New" w:hAnsi="Courier New" w:cs="Courier New"/>
        </w:rPr>
        <w:t xml:space="preserve">Close proximity to grocery </w:t>
      </w:r>
      <w:r w:rsidR="00D30172">
        <w:rPr>
          <w:rFonts w:ascii="Courier New" w:hAnsi="Courier New" w:cs="Courier New"/>
        </w:rPr>
        <w:lastRenderedPageBreak/>
        <w:t xml:space="preserve">stores, pharmacies and recreational activities are major considerations for developers of extended-stay hotels.  </w:t>
      </w:r>
      <w:r w:rsidR="0065263E">
        <w:rPr>
          <w:rFonts w:ascii="Courier New" w:hAnsi="Courier New" w:cs="Courier New"/>
        </w:rPr>
        <w:t>The Extended Stay America hotel chain is considered a mid-price</w:t>
      </w:r>
      <w:r w:rsidR="004A3CF0">
        <w:rPr>
          <w:rFonts w:ascii="Courier New" w:hAnsi="Courier New" w:cs="Courier New"/>
        </w:rPr>
        <w:t xml:space="preserve"> or economy-scale</w:t>
      </w:r>
      <w:r w:rsidR="0065263E">
        <w:rPr>
          <w:rFonts w:ascii="Courier New" w:hAnsi="Courier New" w:cs="Courier New"/>
        </w:rPr>
        <w:t xml:space="preserve"> extended-stay hotel brand, with a daily rate between $40 and $90.</w:t>
      </w:r>
      <w:r w:rsidR="005404FA">
        <w:rPr>
          <w:rFonts w:ascii="Courier New" w:hAnsi="Courier New" w:cs="Courier New"/>
        </w:rPr>
        <w:t xml:space="preserve"> </w:t>
      </w:r>
    </w:p>
    <w:p w14:paraId="49466A36" w14:textId="574F51CA" w:rsidR="00D30172" w:rsidRDefault="006D4D34" w:rsidP="00121B86">
      <w:pPr>
        <w:spacing w:line="480" w:lineRule="auto"/>
        <w:ind w:firstLine="720"/>
        <w:jc w:val="both"/>
        <w:rPr>
          <w:rFonts w:ascii="Courier New" w:hAnsi="Courier New" w:cs="Courier New"/>
        </w:rPr>
      </w:pPr>
      <w:r>
        <w:rPr>
          <w:rFonts w:ascii="Courier New" w:hAnsi="Courier New" w:cs="Courier New"/>
        </w:rPr>
        <w:t>The subject property, like all Extended Stay America properties, is owned by a real estate investment trust (“REIT”)</w:t>
      </w:r>
      <w:r w:rsidR="00F459B2">
        <w:rPr>
          <w:rFonts w:ascii="Courier New" w:hAnsi="Courier New" w:cs="Courier New"/>
        </w:rPr>
        <w:t>, in this case, the appellant</w:t>
      </w:r>
      <w:r>
        <w:rPr>
          <w:rFonts w:ascii="Courier New" w:hAnsi="Courier New" w:cs="Courier New"/>
        </w:rPr>
        <w:t>.  The primary iss</w:t>
      </w:r>
      <w:r w:rsidR="00D15AAC">
        <w:rPr>
          <w:rFonts w:ascii="Courier New" w:hAnsi="Courier New" w:cs="Courier New"/>
        </w:rPr>
        <w:t>ue in these appeals</w:t>
      </w:r>
      <w:r>
        <w:rPr>
          <w:rFonts w:ascii="Courier New" w:hAnsi="Courier New" w:cs="Courier New"/>
        </w:rPr>
        <w:t xml:space="preserve"> is the </w:t>
      </w:r>
      <w:r w:rsidR="00854E62">
        <w:rPr>
          <w:rFonts w:ascii="Courier New" w:hAnsi="Courier New" w:cs="Courier New"/>
        </w:rPr>
        <w:t>appropriate calculation of the operating exp</w:t>
      </w:r>
      <w:r w:rsidR="00E9118B">
        <w:rPr>
          <w:rFonts w:ascii="Courier New" w:hAnsi="Courier New" w:cs="Courier New"/>
        </w:rPr>
        <w:t>enses for the subject property;</w:t>
      </w:r>
      <w:r w:rsidR="00854E62">
        <w:rPr>
          <w:rFonts w:ascii="Courier New" w:hAnsi="Courier New" w:cs="Courier New"/>
        </w:rPr>
        <w:t xml:space="preserve"> in particular, the </w:t>
      </w:r>
      <w:r>
        <w:rPr>
          <w:rFonts w:ascii="Courier New" w:hAnsi="Courier New" w:cs="Courier New"/>
        </w:rPr>
        <w:t>deductib</w:t>
      </w:r>
      <w:r w:rsidR="00E9118B">
        <w:rPr>
          <w:rFonts w:ascii="Courier New" w:hAnsi="Courier New" w:cs="Courier New"/>
        </w:rPr>
        <w:t>ility of certain</w:t>
      </w:r>
      <w:r w:rsidR="007B21B7">
        <w:rPr>
          <w:rFonts w:ascii="Courier New" w:hAnsi="Courier New" w:cs="Courier New"/>
        </w:rPr>
        <w:t xml:space="preserve"> </w:t>
      </w:r>
      <w:r w:rsidR="00E9118B">
        <w:rPr>
          <w:rFonts w:ascii="Courier New" w:hAnsi="Courier New" w:cs="Courier New"/>
        </w:rPr>
        <w:t>expenses that were paid</w:t>
      </w:r>
      <w:r w:rsidR="00C1648F">
        <w:rPr>
          <w:rFonts w:ascii="Courier New" w:hAnsi="Courier New" w:cs="Courier New"/>
        </w:rPr>
        <w:t xml:space="preserve"> by the </w:t>
      </w:r>
      <w:r w:rsidR="00C1648F" w:rsidRPr="001C3676">
        <w:rPr>
          <w:rFonts w:ascii="Courier New" w:hAnsi="Courier New" w:cs="Courier New"/>
        </w:rPr>
        <w:t>appellant</w:t>
      </w:r>
      <w:r w:rsidR="00E9118B">
        <w:rPr>
          <w:rFonts w:ascii="Courier New" w:hAnsi="Courier New" w:cs="Courier New"/>
        </w:rPr>
        <w:t xml:space="preserve"> that the appellee maintained were</w:t>
      </w:r>
      <w:r w:rsidR="001C3676">
        <w:rPr>
          <w:rFonts w:ascii="Courier New" w:hAnsi="Courier New" w:cs="Courier New"/>
        </w:rPr>
        <w:t xml:space="preserve"> not </w:t>
      </w:r>
      <w:r w:rsidR="00FB71A0">
        <w:rPr>
          <w:rFonts w:ascii="Courier New" w:hAnsi="Courier New" w:cs="Courier New"/>
        </w:rPr>
        <w:t xml:space="preserve">properly </w:t>
      </w:r>
      <w:r w:rsidR="001C3676">
        <w:rPr>
          <w:rFonts w:ascii="Courier New" w:hAnsi="Courier New" w:cs="Courier New"/>
        </w:rPr>
        <w:t>allocated to the subject property</w:t>
      </w:r>
      <w:r w:rsidR="00EC42FB">
        <w:rPr>
          <w:rFonts w:ascii="Courier New" w:hAnsi="Courier New" w:cs="Courier New"/>
        </w:rPr>
        <w:t xml:space="preserve"> </w:t>
      </w:r>
      <w:r w:rsidR="00F459B2">
        <w:rPr>
          <w:rFonts w:ascii="Courier New" w:hAnsi="Courier New" w:cs="Courier New"/>
        </w:rPr>
        <w:t>(</w:t>
      </w:r>
      <w:r w:rsidR="00E9118B">
        <w:rPr>
          <w:rFonts w:ascii="Courier New" w:hAnsi="Courier New" w:cs="Courier New"/>
        </w:rPr>
        <w:t>“REIT</w:t>
      </w:r>
      <w:r w:rsidR="00EC42FB" w:rsidRPr="001C3676">
        <w:rPr>
          <w:rFonts w:ascii="Courier New" w:hAnsi="Courier New" w:cs="Courier New"/>
        </w:rPr>
        <w:t xml:space="preserve"> expenses”)</w:t>
      </w:r>
      <w:r>
        <w:rPr>
          <w:rFonts w:ascii="Courier New" w:hAnsi="Courier New" w:cs="Courier New"/>
        </w:rPr>
        <w:t>.</w:t>
      </w:r>
      <w:r w:rsidR="00013356">
        <w:rPr>
          <w:rFonts w:ascii="Courier New" w:hAnsi="Courier New" w:cs="Courier New"/>
        </w:rPr>
        <w:t xml:space="preserve">  </w:t>
      </w:r>
    </w:p>
    <w:p w14:paraId="64459C66" w14:textId="3472E978" w:rsidR="006D4D34" w:rsidRDefault="00035B57" w:rsidP="00121B86">
      <w:pPr>
        <w:spacing w:line="480" w:lineRule="auto"/>
        <w:ind w:firstLine="720"/>
        <w:jc w:val="both"/>
        <w:rPr>
          <w:rFonts w:ascii="Courier New" w:hAnsi="Courier New" w:cs="Courier New"/>
        </w:rPr>
      </w:pPr>
      <w:r>
        <w:rPr>
          <w:rFonts w:ascii="Courier New" w:hAnsi="Courier New" w:cs="Courier New"/>
        </w:rPr>
        <w:t>The appellant presented i</w:t>
      </w:r>
      <w:r w:rsidR="003C5E7A">
        <w:rPr>
          <w:rFonts w:ascii="Courier New" w:hAnsi="Courier New" w:cs="Courier New"/>
        </w:rPr>
        <w:t>ts case-in-</w:t>
      </w:r>
      <w:r>
        <w:rPr>
          <w:rFonts w:ascii="Courier New" w:hAnsi="Courier New" w:cs="Courier New"/>
        </w:rPr>
        <w:t>chief through the te</w:t>
      </w:r>
      <w:r w:rsidR="00D52D3E">
        <w:rPr>
          <w:rFonts w:ascii="Courier New" w:hAnsi="Courier New" w:cs="Courier New"/>
        </w:rPr>
        <w:t>stimony of Mitchell Wilson, who is employed by Ad Valorem Tax, Inc., the tax represen</w:t>
      </w:r>
      <w:r w:rsidR="00F459B2">
        <w:rPr>
          <w:rFonts w:ascii="Courier New" w:hAnsi="Courier New" w:cs="Courier New"/>
        </w:rPr>
        <w:t>tative for the appellant, and through</w:t>
      </w:r>
      <w:r w:rsidR="00D52D3E">
        <w:rPr>
          <w:rFonts w:ascii="Courier New" w:hAnsi="Courier New" w:cs="Courier New"/>
        </w:rPr>
        <w:t xml:space="preserve"> the testimony and appraisal report of </w:t>
      </w:r>
      <w:r>
        <w:rPr>
          <w:rFonts w:ascii="Courier New" w:hAnsi="Courier New" w:cs="Courier New"/>
        </w:rPr>
        <w:t>Susan Balogh</w:t>
      </w:r>
      <w:r w:rsidR="00DA776D">
        <w:rPr>
          <w:rFonts w:ascii="Courier New" w:hAnsi="Courier New" w:cs="Courier New"/>
        </w:rPr>
        <w:t>.  Mr. Wilson is a licensed appraiser in the state of Colorado and other states but not in Massachusetts.  Ms. Balogh is a licensed appraiser in the state of Massachusetts, and</w:t>
      </w:r>
      <w:r w:rsidR="00B83A0C">
        <w:rPr>
          <w:rFonts w:ascii="Courier New" w:hAnsi="Courier New" w:cs="Courier New"/>
        </w:rPr>
        <w:t xml:space="preserve"> the Board qual</w:t>
      </w:r>
      <w:r>
        <w:rPr>
          <w:rFonts w:ascii="Courier New" w:hAnsi="Courier New" w:cs="Courier New"/>
        </w:rPr>
        <w:t xml:space="preserve">ified </w:t>
      </w:r>
      <w:r w:rsidR="00DA776D">
        <w:rPr>
          <w:rFonts w:ascii="Courier New" w:hAnsi="Courier New" w:cs="Courier New"/>
        </w:rPr>
        <w:t xml:space="preserve">her </w:t>
      </w:r>
      <w:r>
        <w:rPr>
          <w:rFonts w:ascii="Courier New" w:hAnsi="Courier New" w:cs="Courier New"/>
        </w:rPr>
        <w:t>as an expert</w:t>
      </w:r>
      <w:r w:rsidR="00CC419F">
        <w:rPr>
          <w:rFonts w:ascii="Courier New" w:hAnsi="Courier New" w:cs="Courier New"/>
        </w:rPr>
        <w:t xml:space="preserve"> in the area of c</w:t>
      </w:r>
      <w:r w:rsidR="00D52D3E">
        <w:rPr>
          <w:rFonts w:ascii="Courier New" w:hAnsi="Courier New" w:cs="Courier New"/>
        </w:rPr>
        <w:t>ommercial real estate valuation</w:t>
      </w:r>
      <w:r w:rsidR="00CC419F">
        <w:rPr>
          <w:rFonts w:ascii="Courier New" w:hAnsi="Courier New" w:cs="Courier New"/>
        </w:rPr>
        <w:t xml:space="preserve">. </w:t>
      </w:r>
      <w:r w:rsidR="007F3315">
        <w:rPr>
          <w:rFonts w:ascii="Courier New" w:hAnsi="Courier New" w:cs="Courier New"/>
        </w:rPr>
        <w:t xml:space="preserve"> </w:t>
      </w:r>
    </w:p>
    <w:p w14:paraId="04CDC8E8" w14:textId="17361460" w:rsidR="008E5F34" w:rsidRDefault="008E5F34" w:rsidP="008C1DF4">
      <w:pPr>
        <w:spacing w:line="480" w:lineRule="auto"/>
        <w:ind w:firstLine="720"/>
        <w:jc w:val="both"/>
        <w:rPr>
          <w:rFonts w:ascii="Courier New" w:hAnsi="Courier New" w:cs="Courier New"/>
        </w:rPr>
      </w:pPr>
      <w:r w:rsidRPr="008C1DF4">
        <w:rPr>
          <w:rFonts w:ascii="Courier New" w:hAnsi="Courier New" w:cs="Courier New"/>
        </w:rPr>
        <w:t>Mr. Wilson</w:t>
      </w:r>
      <w:r w:rsidR="002A34FC">
        <w:rPr>
          <w:rFonts w:ascii="Courier New" w:hAnsi="Courier New" w:cs="Courier New"/>
        </w:rPr>
        <w:t xml:space="preserve"> began his testimony by explaining</w:t>
      </w:r>
      <w:r w:rsidR="00B05AD7">
        <w:rPr>
          <w:rFonts w:ascii="Courier New" w:hAnsi="Courier New" w:cs="Courier New"/>
        </w:rPr>
        <w:t xml:space="preserve"> </w:t>
      </w:r>
      <w:r>
        <w:rPr>
          <w:rFonts w:ascii="Courier New" w:hAnsi="Courier New" w:cs="Courier New"/>
        </w:rPr>
        <w:t>the</w:t>
      </w:r>
      <w:r w:rsidR="00B87529">
        <w:rPr>
          <w:rFonts w:ascii="Courier New" w:hAnsi="Courier New" w:cs="Courier New"/>
        </w:rPr>
        <w:t xml:space="preserve"> appellant’s position that</w:t>
      </w:r>
      <w:r w:rsidR="00D53503">
        <w:rPr>
          <w:rFonts w:ascii="Courier New" w:hAnsi="Courier New" w:cs="Courier New"/>
        </w:rPr>
        <w:t xml:space="preserve"> the</w:t>
      </w:r>
      <w:r w:rsidR="00B05AD7">
        <w:rPr>
          <w:rFonts w:ascii="Courier New" w:hAnsi="Courier New" w:cs="Courier New"/>
        </w:rPr>
        <w:t xml:space="preserve"> REIT expenses</w:t>
      </w:r>
      <w:r w:rsidR="002A34FC">
        <w:rPr>
          <w:rFonts w:ascii="Courier New" w:hAnsi="Courier New" w:cs="Courier New"/>
        </w:rPr>
        <w:t xml:space="preserve"> should be </w:t>
      </w:r>
      <w:r w:rsidR="002A34FC">
        <w:rPr>
          <w:rFonts w:ascii="Courier New" w:hAnsi="Courier New" w:cs="Courier New"/>
        </w:rPr>
        <w:lastRenderedPageBreak/>
        <w:t>deducted from the subject property’s gross revenue</w:t>
      </w:r>
      <w:r>
        <w:rPr>
          <w:rFonts w:ascii="Courier New" w:hAnsi="Courier New" w:cs="Courier New"/>
        </w:rPr>
        <w:t xml:space="preserve">.  </w:t>
      </w:r>
      <w:r w:rsidR="0090446A">
        <w:rPr>
          <w:rFonts w:ascii="Courier New" w:hAnsi="Courier New" w:cs="Courier New"/>
        </w:rPr>
        <w:t>Mr.</w:t>
      </w:r>
      <w:r w:rsidR="000204C7">
        <w:rPr>
          <w:rFonts w:ascii="Courier New" w:hAnsi="Courier New" w:cs="Courier New"/>
        </w:rPr>
        <w:t> </w:t>
      </w:r>
      <w:r w:rsidR="0090446A">
        <w:rPr>
          <w:rFonts w:ascii="Courier New" w:hAnsi="Courier New" w:cs="Courier New"/>
        </w:rPr>
        <w:t xml:space="preserve">Wilson </w:t>
      </w:r>
      <w:r w:rsidR="008C1DF4">
        <w:rPr>
          <w:rFonts w:ascii="Courier New" w:hAnsi="Courier New" w:cs="Courier New"/>
        </w:rPr>
        <w:t xml:space="preserve">testified </w:t>
      </w:r>
      <w:r w:rsidR="006E5898">
        <w:rPr>
          <w:rFonts w:ascii="Courier New" w:hAnsi="Courier New" w:cs="Courier New"/>
        </w:rPr>
        <w:t>that</w:t>
      </w:r>
      <w:r w:rsidR="008C1DF4">
        <w:rPr>
          <w:rFonts w:ascii="Courier New" w:hAnsi="Courier New" w:cs="Courier New"/>
        </w:rPr>
        <w:t xml:space="preserve"> </w:t>
      </w:r>
      <w:r w:rsidR="008F6C89">
        <w:rPr>
          <w:rFonts w:ascii="Courier New" w:hAnsi="Courier New" w:cs="Courier New"/>
        </w:rPr>
        <w:t>a</w:t>
      </w:r>
      <w:r w:rsidR="00F61F91">
        <w:rPr>
          <w:rFonts w:ascii="Courier New" w:hAnsi="Courier New" w:cs="Courier New"/>
        </w:rPr>
        <w:t xml:space="preserve"> single</w:t>
      </w:r>
      <w:r w:rsidR="008F6C89">
        <w:rPr>
          <w:rFonts w:ascii="Courier New" w:hAnsi="Courier New" w:cs="Courier New"/>
        </w:rPr>
        <w:t xml:space="preserve"> REIT owns mu</w:t>
      </w:r>
      <w:r w:rsidR="00B220D7">
        <w:rPr>
          <w:rFonts w:ascii="Courier New" w:hAnsi="Courier New" w:cs="Courier New"/>
        </w:rPr>
        <w:t>ltiple properties and further</w:t>
      </w:r>
      <w:r w:rsidR="00300D0C" w:rsidRPr="00B220D7">
        <w:rPr>
          <w:rFonts w:ascii="Courier New" w:hAnsi="Courier New" w:cs="Courier New"/>
        </w:rPr>
        <w:t>,</w:t>
      </w:r>
      <w:r w:rsidR="00EE4FA5" w:rsidRPr="00B220D7">
        <w:rPr>
          <w:rFonts w:ascii="Courier New" w:hAnsi="Courier New" w:cs="Courier New"/>
        </w:rPr>
        <w:t xml:space="preserve"> a REIT must maintain a</w:t>
      </w:r>
      <w:r w:rsidR="00300D0C" w:rsidRPr="00B220D7">
        <w:rPr>
          <w:rFonts w:ascii="Courier New" w:hAnsi="Courier New" w:cs="Courier New"/>
        </w:rPr>
        <w:t xml:space="preserve"> management company</w:t>
      </w:r>
      <w:r w:rsidR="00EE4FA5" w:rsidRPr="00B220D7">
        <w:rPr>
          <w:rFonts w:ascii="Courier New" w:hAnsi="Courier New" w:cs="Courier New"/>
        </w:rPr>
        <w:t xml:space="preserve"> </w:t>
      </w:r>
      <w:r w:rsidR="00385F69" w:rsidRPr="00B220D7">
        <w:rPr>
          <w:rFonts w:ascii="Courier New" w:hAnsi="Courier New" w:cs="Courier New"/>
        </w:rPr>
        <w:t>that is separate from the entity that holds</w:t>
      </w:r>
      <w:r w:rsidR="00D53503">
        <w:rPr>
          <w:rFonts w:ascii="Courier New" w:hAnsi="Courier New" w:cs="Courier New"/>
        </w:rPr>
        <w:t xml:space="preserve"> title to</w:t>
      </w:r>
      <w:r w:rsidR="00300D0C" w:rsidRPr="00B220D7">
        <w:rPr>
          <w:rFonts w:ascii="Courier New" w:hAnsi="Courier New" w:cs="Courier New"/>
        </w:rPr>
        <w:t xml:space="preserve"> its real estate</w:t>
      </w:r>
      <w:r w:rsidR="00385F69" w:rsidRPr="00B220D7">
        <w:rPr>
          <w:rFonts w:ascii="Courier New" w:hAnsi="Courier New" w:cs="Courier New"/>
        </w:rPr>
        <w:t>.</w:t>
      </w:r>
      <w:r w:rsidR="00535173">
        <w:rPr>
          <w:rFonts w:ascii="Courier New" w:hAnsi="Courier New" w:cs="Courier New"/>
        </w:rPr>
        <w:t xml:space="preserve">  Therefore, he testified, </w:t>
      </w:r>
      <w:r w:rsidR="003E27FA">
        <w:rPr>
          <w:rFonts w:ascii="Courier New" w:hAnsi="Courier New" w:cs="Courier New"/>
        </w:rPr>
        <w:t xml:space="preserve">the hotel chain would have expenses </w:t>
      </w:r>
      <w:r w:rsidR="00E97A75">
        <w:rPr>
          <w:rFonts w:ascii="Courier New" w:hAnsi="Courier New" w:cs="Courier New"/>
        </w:rPr>
        <w:t xml:space="preserve">due to </w:t>
      </w:r>
      <w:r w:rsidR="00151C7C">
        <w:rPr>
          <w:rFonts w:ascii="Courier New" w:hAnsi="Courier New" w:cs="Courier New"/>
        </w:rPr>
        <w:t>the oversight of</w:t>
      </w:r>
      <w:r w:rsidR="003E27FA">
        <w:rPr>
          <w:rFonts w:ascii="Courier New" w:hAnsi="Courier New" w:cs="Courier New"/>
        </w:rPr>
        <w:t xml:space="preserve"> multiple properties.  These expenses, he testified, would not be allocated to the profit and loss statement of the individual property.</w:t>
      </w:r>
      <w:r w:rsidR="000B251F">
        <w:rPr>
          <w:rFonts w:ascii="Courier New" w:hAnsi="Courier New" w:cs="Courier New"/>
        </w:rPr>
        <w:t xml:space="preserve">  </w:t>
      </w:r>
      <w:r w:rsidR="002B7A6B">
        <w:rPr>
          <w:rFonts w:ascii="Courier New" w:hAnsi="Courier New" w:cs="Courier New"/>
        </w:rPr>
        <w:t xml:space="preserve">Mr. Wilson cited examples that included initial public offering (“IPO”) costs, compensation expenses of the corporate staff, and professional fees.  </w:t>
      </w:r>
      <w:r w:rsidR="00291A6C">
        <w:rPr>
          <w:rFonts w:ascii="Courier New" w:hAnsi="Courier New" w:cs="Courier New"/>
        </w:rPr>
        <w:t xml:space="preserve">The appellant referred to these expenses as “undistributed operating expenses,” and they include the </w:t>
      </w:r>
      <w:r w:rsidR="00711440">
        <w:rPr>
          <w:rFonts w:ascii="Courier New" w:hAnsi="Courier New" w:cs="Courier New"/>
        </w:rPr>
        <w:t>REIT</w:t>
      </w:r>
      <w:r w:rsidR="00291A6C" w:rsidRPr="001C3676">
        <w:rPr>
          <w:rFonts w:ascii="Courier New" w:hAnsi="Courier New" w:cs="Courier New"/>
        </w:rPr>
        <w:t xml:space="preserve"> expenses</w:t>
      </w:r>
      <w:r w:rsidR="004D3F8A">
        <w:rPr>
          <w:rFonts w:ascii="Courier New" w:hAnsi="Courier New" w:cs="Courier New"/>
        </w:rPr>
        <w:t xml:space="preserve"> at issue in these appeals</w:t>
      </w:r>
      <w:r w:rsidR="00291A6C">
        <w:rPr>
          <w:rFonts w:ascii="Courier New" w:hAnsi="Courier New" w:cs="Courier New"/>
        </w:rPr>
        <w:t>.</w:t>
      </w:r>
      <w:r w:rsidR="00671220">
        <w:rPr>
          <w:rFonts w:ascii="Courier New" w:hAnsi="Courier New" w:cs="Courier New"/>
        </w:rPr>
        <w:t xml:space="preserve"> </w:t>
      </w:r>
      <w:r w:rsidR="00291A6C">
        <w:rPr>
          <w:rFonts w:ascii="Courier New" w:hAnsi="Courier New" w:cs="Courier New"/>
        </w:rPr>
        <w:t xml:space="preserve">  </w:t>
      </w:r>
    </w:p>
    <w:p w14:paraId="12ACECD5" w14:textId="2C7258E3" w:rsidR="00560DCD" w:rsidRDefault="001E63DF" w:rsidP="00121B86">
      <w:pPr>
        <w:spacing w:line="480" w:lineRule="auto"/>
        <w:ind w:firstLine="720"/>
        <w:jc w:val="both"/>
        <w:rPr>
          <w:rFonts w:ascii="Courier New" w:hAnsi="Courier New" w:cs="Courier New"/>
        </w:rPr>
      </w:pPr>
      <w:r>
        <w:rPr>
          <w:rFonts w:ascii="Courier New" w:hAnsi="Courier New" w:cs="Courier New"/>
        </w:rPr>
        <w:t>Next</w:t>
      </w:r>
      <w:r w:rsidR="008C1DF4">
        <w:rPr>
          <w:rFonts w:ascii="Courier New" w:hAnsi="Courier New" w:cs="Courier New"/>
        </w:rPr>
        <w:t xml:space="preserve">, </w:t>
      </w:r>
      <w:r w:rsidR="00560DCD">
        <w:rPr>
          <w:rFonts w:ascii="Courier New" w:hAnsi="Courier New" w:cs="Courier New"/>
        </w:rPr>
        <w:t xml:space="preserve">Ms. Balogh </w:t>
      </w:r>
      <w:r w:rsidR="008C1DF4">
        <w:rPr>
          <w:rFonts w:ascii="Courier New" w:hAnsi="Courier New" w:cs="Courier New"/>
        </w:rPr>
        <w:t xml:space="preserve">testified and </w:t>
      </w:r>
      <w:r w:rsidR="00560DCD">
        <w:rPr>
          <w:rFonts w:ascii="Courier New" w:hAnsi="Courier New" w:cs="Courier New"/>
        </w:rPr>
        <w:t xml:space="preserve">presented her appraisal report.  Ms. Balogh first determined that the highest and best use of the subject property </w:t>
      </w:r>
      <w:r w:rsidR="00F459B2">
        <w:rPr>
          <w:rFonts w:ascii="Courier New" w:hAnsi="Courier New" w:cs="Courier New"/>
        </w:rPr>
        <w:t>was its continued use as an extended-stay</w:t>
      </w:r>
      <w:r w:rsidR="00560DCD">
        <w:rPr>
          <w:rFonts w:ascii="Courier New" w:hAnsi="Courier New" w:cs="Courier New"/>
        </w:rPr>
        <w:t xml:space="preserve"> hotel.  </w:t>
      </w:r>
      <w:r w:rsidR="0076288F">
        <w:rPr>
          <w:rFonts w:ascii="Courier New" w:hAnsi="Courier New" w:cs="Courier New"/>
        </w:rPr>
        <w:t>Ms. Balogh</w:t>
      </w:r>
      <w:r w:rsidR="000604D9">
        <w:rPr>
          <w:rFonts w:ascii="Courier New" w:hAnsi="Courier New" w:cs="Courier New"/>
        </w:rPr>
        <w:t xml:space="preserve"> next considered the 3</w:t>
      </w:r>
      <w:r w:rsidR="00560DCD">
        <w:rPr>
          <w:rFonts w:ascii="Courier New" w:hAnsi="Courier New" w:cs="Courier New"/>
        </w:rPr>
        <w:t xml:space="preserve"> approaches to value </w:t>
      </w:r>
      <w:r w:rsidR="00B355E4">
        <w:rPr>
          <w:rFonts w:ascii="Courier New" w:hAnsi="Courier New" w:cs="Courier New"/>
        </w:rPr>
        <w:t>-</w:t>
      </w:r>
      <w:r w:rsidR="00560DCD">
        <w:rPr>
          <w:rFonts w:ascii="Courier New" w:hAnsi="Courier New" w:cs="Courier New"/>
        </w:rPr>
        <w:t>– cost approach, sales-comparison approach, and income-capitalization approach –</w:t>
      </w:r>
      <w:r w:rsidR="00B355E4">
        <w:rPr>
          <w:rFonts w:ascii="Courier New" w:hAnsi="Courier New" w:cs="Courier New"/>
        </w:rPr>
        <w:t>-</w:t>
      </w:r>
      <w:r w:rsidR="00560DCD">
        <w:rPr>
          <w:rFonts w:ascii="Courier New" w:hAnsi="Courier New" w:cs="Courier New"/>
        </w:rPr>
        <w:t xml:space="preserve"> and determined that the income-capitalization approach was the most appropriate for the subject property, because she believed that it was the approach that potential investors would use to value the subject property.  </w:t>
      </w:r>
    </w:p>
    <w:p w14:paraId="0781A7A9" w14:textId="4AE68682" w:rsidR="00BB4DB2" w:rsidRDefault="00560DCD" w:rsidP="00121B86">
      <w:pPr>
        <w:spacing w:line="480" w:lineRule="auto"/>
        <w:ind w:firstLine="720"/>
        <w:jc w:val="both"/>
        <w:rPr>
          <w:rFonts w:ascii="Courier New" w:hAnsi="Courier New" w:cs="Courier New"/>
        </w:rPr>
      </w:pPr>
      <w:r>
        <w:rPr>
          <w:rFonts w:ascii="Courier New" w:hAnsi="Courier New" w:cs="Courier New"/>
        </w:rPr>
        <w:lastRenderedPageBreak/>
        <w:t>For her income-capitalization method, Ms. Balogh weighed the subject property’s operating history against published industry operating statistics as well as</w:t>
      </w:r>
      <w:r w:rsidR="001E63DF">
        <w:rPr>
          <w:rFonts w:ascii="Courier New" w:hAnsi="Courier New" w:cs="Courier New"/>
        </w:rPr>
        <w:t xml:space="preserve"> data from</w:t>
      </w:r>
      <w:r w:rsidR="000604D9">
        <w:rPr>
          <w:rFonts w:ascii="Courier New" w:hAnsi="Courier New" w:cs="Courier New"/>
        </w:rPr>
        <w:t xml:space="preserve"> 6</w:t>
      </w:r>
      <w:r>
        <w:rPr>
          <w:rFonts w:ascii="Courier New" w:hAnsi="Courier New" w:cs="Courier New"/>
        </w:rPr>
        <w:t xml:space="preserve"> properties that</w:t>
      </w:r>
      <w:r w:rsidR="001E63DF">
        <w:rPr>
          <w:rFonts w:ascii="Courier New" w:hAnsi="Courier New" w:cs="Courier New"/>
        </w:rPr>
        <w:t xml:space="preserve"> she identified as being comparable</w:t>
      </w:r>
      <w:r>
        <w:rPr>
          <w:rFonts w:ascii="Courier New" w:hAnsi="Courier New" w:cs="Courier New"/>
        </w:rPr>
        <w:t xml:space="preserve"> to the subject property</w:t>
      </w:r>
      <w:r w:rsidR="00C4424B">
        <w:rPr>
          <w:rFonts w:ascii="Courier New" w:hAnsi="Courier New" w:cs="Courier New"/>
        </w:rPr>
        <w:t xml:space="preserve">: La </w:t>
      </w:r>
      <w:r w:rsidR="001E63DF">
        <w:rPr>
          <w:rFonts w:ascii="Courier New" w:hAnsi="Courier New" w:cs="Courier New"/>
        </w:rPr>
        <w:t>Quinta Inns &amp; Suites in Andover;</w:t>
      </w:r>
      <w:r w:rsidR="00C4424B">
        <w:rPr>
          <w:rFonts w:ascii="Courier New" w:hAnsi="Courier New" w:cs="Courier New"/>
        </w:rPr>
        <w:t xml:space="preserve"> La</w:t>
      </w:r>
      <w:r w:rsidR="00F459B2">
        <w:rPr>
          <w:rFonts w:ascii="Courier New" w:hAnsi="Courier New" w:cs="Courier New"/>
        </w:rPr>
        <w:t xml:space="preserve"> </w:t>
      </w:r>
      <w:r w:rsidR="00C4424B">
        <w:rPr>
          <w:rFonts w:ascii="Courier New" w:hAnsi="Courier New" w:cs="Courier New"/>
        </w:rPr>
        <w:t>Quinta Inns &amp; Suites in Somerville</w:t>
      </w:r>
      <w:r w:rsidR="001E63DF">
        <w:rPr>
          <w:rFonts w:ascii="Courier New" w:hAnsi="Courier New" w:cs="Courier New"/>
        </w:rPr>
        <w:t>;</w:t>
      </w:r>
      <w:r w:rsidR="00C4424B">
        <w:rPr>
          <w:rFonts w:ascii="Courier New" w:hAnsi="Courier New" w:cs="Courier New"/>
        </w:rPr>
        <w:t xml:space="preserve"> Can</w:t>
      </w:r>
      <w:r w:rsidR="001E63DF">
        <w:rPr>
          <w:rFonts w:ascii="Courier New" w:hAnsi="Courier New" w:cs="Courier New"/>
        </w:rPr>
        <w:t xml:space="preserve">dlewood Suites </w:t>
      </w:r>
      <w:r w:rsidR="00F459B2">
        <w:rPr>
          <w:rFonts w:ascii="Courier New" w:hAnsi="Courier New" w:cs="Courier New"/>
        </w:rPr>
        <w:t xml:space="preserve">in </w:t>
      </w:r>
      <w:r w:rsidR="001E63DF">
        <w:rPr>
          <w:rFonts w:ascii="Courier New" w:hAnsi="Courier New" w:cs="Courier New"/>
        </w:rPr>
        <w:t>Boston/Braintree;</w:t>
      </w:r>
      <w:r w:rsidR="00C4424B">
        <w:rPr>
          <w:rFonts w:ascii="Courier New" w:hAnsi="Courier New" w:cs="Courier New"/>
        </w:rPr>
        <w:t xml:space="preserve"> </w:t>
      </w:r>
      <w:r w:rsidR="001E63DF">
        <w:rPr>
          <w:rFonts w:ascii="Courier New" w:hAnsi="Courier New" w:cs="Courier New"/>
        </w:rPr>
        <w:t>Candlewood Suites in Burlington;</w:t>
      </w:r>
      <w:r w:rsidR="00C4424B">
        <w:rPr>
          <w:rFonts w:ascii="Courier New" w:hAnsi="Courier New" w:cs="Courier New"/>
        </w:rPr>
        <w:t xml:space="preserve"> </w:t>
      </w:r>
      <w:r w:rsidR="001E63DF">
        <w:rPr>
          <w:rFonts w:ascii="Courier New" w:hAnsi="Courier New" w:cs="Courier New"/>
        </w:rPr>
        <w:t>Sonesta ES Suites in Burlington;</w:t>
      </w:r>
      <w:r w:rsidR="00C4424B">
        <w:rPr>
          <w:rFonts w:ascii="Courier New" w:hAnsi="Courier New" w:cs="Courier New"/>
        </w:rPr>
        <w:t xml:space="preserve"> and Sonesta Suites in Andover.  Based on her analysis, Ms. Balogh determined that the subject property’s average daily rate (“ADR”)</w:t>
      </w:r>
      <w:r w:rsidR="00DE43E4">
        <w:rPr>
          <w:rFonts w:ascii="Courier New" w:hAnsi="Courier New" w:cs="Courier New"/>
        </w:rPr>
        <w:t xml:space="preserve"> per room</w:t>
      </w:r>
      <w:r w:rsidR="00C4424B">
        <w:rPr>
          <w:rFonts w:ascii="Courier New" w:hAnsi="Courier New" w:cs="Courier New"/>
        </w:rPr>
        <w:t xml:space="preserve"> of $72.09 </w:t>
      </w:r>
      <w:r w:rsidR="002434FD">
        <w:rPr>
          <w:rFonts w:ascii="Courier New" w:hAnsi="Courier New" w:cs="Courier New"/>
        </w:rPr>
        <w:t>from fiscal</w:t>
      </w:r>
      <w:r w:rsidR="00003010">
        <w:rPr>
          <w:rFonts w:ascii="Courier New" w:hAnsi="Courier New" w:cs="Courier New"/>
        </w:rPr>
        <w:t xml:space="preserve"> year 201</w:t>
      </w:r>
      <w:r w:rsidR="00D85FAE">
        <w:rPr>
          <w:rFonts w:ascii="Courier New" w:hAnsi="Courier New" w:cs="Courier New"/>
        </w:rPr>
        <w:t>4</w:t>
      </w:r>
      <w:r w:rsidR="001E63DF">
        <w:rPr>
          <w:rFonts w:ascii="Courier New" w:hAnsi="Courier New" w:cs="Courier New"/>
        </w:rPr>
        <w:t xml:space="preserve"> reflected a</w:t>
      </w:r>
      <w:r w:rsidR="00453C8A">
        <w:rPr>
          <w:rFonts w:ascii="Courier New" w:hAnsi="Courier New" w:cs="Courier New"/>
        </w:rPr>
        <w:t xml:space="preserve"> market rate for a hotel of the subject property’s caliber.  Ms. Balogh rounded this figure to reach an ADR of $72.10.  </w:t>
      </w:r>
    </w:p>
    <w:p w14:paraId="3D7A60E8" w14:textId="14B474F1" w:rsidR="00BB4DB2" w:rsidRDefault="00BB4DB2" w:rsidP="00121B86">
      <w:pPr>
        <w:spacing w:line="480" w:lineRule="auto"/>
        <w:ind w:firstLine="720"/>
        <w:jc w:val="both"/>
        <w:rPr>
          <w:rFonts w:ascii="Courier New" w:hAnsi="Courier New" w:cs="Courier New"/>
        </w:rPr>
      </w:pPr>
      <w:r>
        <w:rPr>
          <w:rFonts w:ascii="Courier New" w:hAnsi="Courier New" w:cs="Courier New"/>
        </w:rPr>
        <w:t>Ms. Balogh next determined a vacancy rate by analyzing occupancy rates for the various hotel groups in the relevant suite market.  She arrived at an occupancy rate of 71.6% for fiscal year 2014</w:t>
      </w:r>
      <w:r w:rsidR="00EA4335">
        <w:rPr>
          <w:rFonts w:ascii="Courier New" w:hAnsi="Courier New" w:cs="Courier New"/>
        </w:rPr>
        <w:t xml:space="preserve"> and applied it to her ADR to arrive at</w:t>
      </w:r>
      <w:r w:rsidR="00F459B2">
        <w:rPr>
          <w:rFonts w:ascii="Courier New" w:hAnsi="Courier New" w:cs="Courier New"/>
        </w:rPr>
        <w:t xml:space="preserve"> a revenue-per-available-room</w:t>
      </w:r>
      <w:r>
        <w:rPr>
          <w:rFonts w:ascii="Courier New" w:hAnsi="Courier New" w:cs="Courier New"/>
        </w:rPr>
        <w:t xml:space="preserve"> of $51.63.  </w:t>
      </w:r>
      <w:r w:rsidR="00316066">
        <w:rPr>
          <w:rFonts w:ascii="Courier New" w:hAnsi="Courier New" w:cs="Courier New"/>
        </w:rPr>
        <w:t>Based on the subject hotel</w:t>
      </w:r>
      <w:r w:rsidR="00F459B2">
        <w:rPr>
          <w:rFonts w:ascii="Courier New" w:hAnsi="Courier New" w:cs="Courier New"/>
        </w:rPr>
        <w:t xml:space="preserve">’s days of operation during </w:t>
      </w:r>
      <w:r w:rsidR="00316066">
        <w:rPr>
          <w:rFonts w:ascii="Courier New" w:hAnsi="Courier New" w:cs="Courier New"/>
        </w:rPr>
        <w:t>fiscal year</w:t>
      </w:r>
      <w:r w:rsidR="00F459B2">
        <w:rPr>
          <w:rFonts w:ascii="Courier New" w:hAnsi="Courier New" w:cs="Courier New"/>
        </w:rPr>
        <w:t xml:space="preserve"> 2014</w:t>
      </w:r>
      <w:r w:rsidR="00316066">
        <w:rPr>
          <w:rFonts w:ascii="Courier New" w:hAnsi="Courier New" w:cs="Courier New"/>
        </w:rPr>
        <w:t>, and the rooms occupied</w:t>
      </w:r>
      <w:r w:rsidR="00EA4335">
        <w:rPr>
          <w:rFonts w:ascii="Courier New" w:hAnsi="Courier New" w:cs="Courier New"/>
        </w:rPr>
        <w:t xml:space="preserve">, Ms. Balogh arrived at a </w:t>
      </w:r>
      <w:r w:rsidR="009D7D9B">
        <w:rPr>
          <w:rFonts w:ascii="Courier New" w:hAnsi="Courier New" w:cs="Courier New"/>
        </w:rPr>
        <w:t xml:space="preserve">total </w:t>
      </w:r>
      <w:r w:rsidR="00C44539">
        <w:rPr>
          <w:rFonts w:ascii="Courier New" w:hAnsi="Courier New" w:cs="Courier New"/>
        </w:rPr>
        <w:t xml:space="preserve">annual </w:t>
      </w:r>
      <w:r w:rsidR="00EA4335">
        <w:rPr>
          <w:rFonts w:ascii="Courier New" w:hAnsi="Courier New" w:cs="Courier New"/>
        </w:rPr>
        <w:t xml:space="preserve">room revenue of </w:t>
      </w:r>
      <w:r w:rsidR="00316066">
        <w:rPr>
          <w:rFonts w:ascii="Courier New" w:hAnsi="Courier New" w:cs="Courier New"/>
        </w:rPr>
        <w:t>$1,889,616.</w:t>
      </w:r>
    </w:p>
    <w:p w14:paraId="1779A322" w14:textId="2115EAF0" w:rsidR="002B0AA9" w:rsidRDefault="007F2D7A" w:rsidP="00121B86">
      <w:pPr>
        <w:spacing w:line="480" w:lineRule="auto"/>
        <w:ind w:firstLine="720"/>
        <w:jc w:val="both"/>
        <w:rPr>
          <w:rFonts w:ascii="Courier New" w:hAnsi="Courier New" w:cs="Courier New"/>
        </w:rPr>
      </w:pPr>
      <w:r>
        <w:rPr>
          <w:rFonts w:ascii="Courier New" w:hAnsi="Courier New" w:cs="Courier New"/>
        </w:rPr>
        <w:t>Ms. Balogh</w:t>
      </w:r>
      <w:r w:rsidR="00BB4DB2">
        <w:rPr>
          <w:rFonts w:ascii="Courier New" w:hAnsi="Courier New" w:cs="Courier New"/>
        </w:rPr>
        <w:t xml:space="preserve"> then</w:t>
      </w:r>
      <w:r w:rsidR="00DE43E4">
        <w:rPr>
          <w:rFonts w:ascii="Courier New" w:hAnsi="Courier New" w:cs="Courier New"/>
        </w:rPr>
        <w:t xml:space="preserve"> added other miscellaneous sources of hotel income, including guest laundry, pet charges, vending </w:t>
      </w:r>
      <w:r w:rsidR="00DE43E4">
        <w:rPr>
          <w:rFonts w:ascii="Courier New" w:hAnsi="Courier New" w:cs="Courier New"/>
        </w:rPr>
        <w:lastRenderedPageBreak/>
        <w:t>machines, cancellation fees, damage charges and additional ho</w:t>
      </w:r>
      <w:r w:rsidR="00BB4DB2">
        <w:rPr>
          <w:rFonts w:ascii="Courier New" w:hAnsi="Courier New" w:cs="Courier New"/>
        </w:rPr>
        <w:t xml:space="preserve">usekeeping fees.  Ms. Balogh’s calculations yielded </w:t>
      </w:r>
      <w:r w:rsidR="000204C7">
        <w:rPr>
          <w:rFonts w:ascii="Courier New" w:hAnsi="Courier New" w:cs="Courier New"/>
        </w:rPr>
        <w:t>an operating</w:t>
      </w:r>
      <w:r w:rsidR="002B0AA9">
        <w:rPr>
          <w:rFonts w:ascii="Courier New" w:hAnsi="Courier New" w:cs="Courier New"/>
        </w:rPr>
        <w:t xml:space="preserve"> revenue of $1,910,312</w:t>
      </w:r>
      <w:r w:rsidR="00BB4DB2">
        <w:rPr>
          <w:rFonts w:ascii="Courier New" w:hAnsi="Courier New" w:cs="Courier New"/>
        </w:rPr>
        <w:t xml:space="preserve"> for fiscal year 2014</w:t>
      </w:r>
      <w:r w:rsidR="002B0AA9">
        <w:rPr>
          <w:rFonts w:ascii="Courier New" w:hAnsi="Courier New" w:cs="Courier New"/>
        </w:rPr>
        <w:t>.</w:t>
      </w:r>
    </w:p>
    <w:p w14:paraId="64788683" w14:textId="36DA672D" w:rsidR="00C44539" w:rsidRPr="007B1676" w:rsidRDefault="002B0AA9" w:rsidP="00121B86">
      <w:pPr>
        <w:spacing w:line="480" w:lineRule="auto"/>
        <w:ind w:firstLine="720"/>
        <w:jc w:val="both"/>
        <w:rPr>
          <w:rFonts w:ascii="Courier New" w:hAnsi="Courier New" w:cs="Courier New"/>
          <w:highlight w:val="yellow"/>
        </w:rPr>
      </w:pPr>
      <w:r w:rsidRPr="00BB1CC4">
        <w:rPr>
          <w:rFonts w:ascii="Courier New" w:hAnsi="Courier New" w:cs="Courier New"/>
        </w:rPr>
        <w:t>Ms. Balogh</w:t>
      </w:r>
      <w:r w:rsidR="00D85FAE" w:rsidRPr="00BB1CC4">
        <w:rPr>
          <w:rFonts w:ascii="Courier New" w:hAnsi="Courier New" w:cs="Courier New"/>
        </w:rPr>
        <w:t xml:space="preserve"> next determined</w:t>
      </w:r>
      <w:r w:rsidRPr="00BB1CC4">
        <w:rPr>
          <w:rFonts w:ascii="Courier New" w:hAnsi="Courier New" w:cs="Courier New"/>
        </w:rPr>
        <w:t xml:space="preserve"> expenses</w:t>
      </w:r>
      <w:r w:rsidR="00D85FAE" w:rsidRPr="00BB1CC4">
        <w:rPr>
          <w:rFonts w:ascii="Courier New" w:hAnsi="Courier New" w:cs="Courier New"/>
        </w:rPr>
        <w:t xml:space="preserve">, which she deducted from </w:t>
      </w:r>
      <w:r w:rsidRPr="00BB1CC4">
        <w:rPr>
          <w:rFonts w:ascii="Courier New" w:hAnsi="Courier New" w:cs="Courier New"/>
        </w:rPr>
        <w:t>total o</w:t>
      </w:r>
      <w:r w:rsidR="00914713" w:rsidRPr="00BB1CC4">
        <w:rPr>
          <w:rFonts w:ascii="Courier New" w:hAnsi="Courier New" w:cs="Courier New"/>
        </w:rPr>
        <w:t xml:space="preserve">perating revenue.  </w:t>
      </w:r>
      <w:r w:rsidR="00D85FAE" w:rsidRPr="00BB1CC4">
        <w:rPr>
          <w:rFonts w:ascii="Courier New" w:hAnsi="Courier New" w:cs="Courier New"/>
        </w:rPr>
        <w:t xml:space="preserve">Here, </w:t>
      </w:r>
      <w:r w:rsidR="00914713" w:rsidRPr="00BB1CC4">
        <w:rPr>
          <w:rFonts w:ascii="Courier New" w:hAnsi="Courier New" w:cs="Courier New"/>
        </w:rPr>
        <w:t>Ms. Balogh</w:t>
      </w:r>
      <w:r w:rsidR="00D20ECE" w:rsidRPr="00BB1CC4">
        <w:rPr>
          <w:rFonts w:ascii="Courier New" w:hAnsi="Courier New" w:cs="Courier New"/>
        </w:rPr>
        <w:t xml:space="preserve"> deducted</w:t>
      </w:r>
      <w:r w:rsidR="00567D87" w:rsidRPr="00BB1CC4">
        <w:rPr>
          <w:rFonts w:ascii="Courier New" w:hAnsi="Courier New" w:cs="Courier New"/>
        </w:rPr>
        <w:t xml:space="preserve"> “departmental expenses,” which are attributable to</w:t>
      </w:r>
      <w:r w:rsidR="000E182F" w:rsidRPr="00BB1CC4">
        <w:rPr>
          <w:rFonts w:ascii="Courier New" w:hAnsi="Courier New" w:cs="Courier New"/>
        </w:rPr>
        <w:t xml:space="preserve"> a certain </w:t>
      </w:r>
      <w:r w:rsidR="00BB1CC4">
        <w:rPr>
          <w:rFonts w:ascii="Courier New" w:hAnsi="Courier New" w:cs="Courier New"/>
        </w:rPr>
        <w:t>profit center</w:t>
      </w:r>
      <w:r w:rsidR="0060596E" w:rsidRPr="00BB1CC4">
        <w:rPr>
          <w:rFonts w:ascii="Courier New" w:hAnsi="Courier New" w:cs="Courier New"/>
        </w:rPr>
        <w:t>.  Her departmental expenses were:</w:t>
      </w:r>
      <w:r w:rsidR="00F459B2">
        <w:rPr>
          <w:rFonts w:ascii="Courier New" w:hAnsi="Courier New" w:cs="Courier New"/>
        </w:rPr>
        <w:t xml:space="preserve"> “rooms expenses”</w:t>
      </w:r>
      <w:r w:rsidR="0060596E" w:rsidRPr="00BB1CC4">
        <w:rPr>
          <w:rFonts w:ascii="Courier New" w:hAnsi="Courier New" w:cs="Courier New"/>
        </w:rPr>
        <w:t xml:space="preserve"> for</w:t>
      </w:r>
      <w:r w:rsidR="00567D87" w:rsidRPr="00BB1CC4">
        <w:rPr>
          <w:rFonts w:ascii="Courier New" w:hAnsi="Courier New" w:cs="Courier New"/>
        </w:rPr>
        <w:t xml:space="preserve"> items like linens, guest room supplies, equipment repair, cleaning supplies, commercial laundry, break</w:t>
      </w:r>
      <w:r w:rsidR="0060596E" w:rsidRPr="00BB1CC4">
        <w:rPr>
          <w:rFonts w:ascii="Courier New" w:hAnsi="Courier New" w:cs="Courier New"/>
        </w:rPr>
        <w:t>fast</w:t>
      </w:r>
      <w:r w:rsidR="00C44539" w:rsidRPr="00BB1CC4">
        <w:rPr>
          <w:rFonts w:ascii="Courier New" w:hAnsi="Courier New" w:cs="Courier New"/>
        </w:rPr>
        <w:t>,</w:t>
      </w:r>
      <w:r w:rsidR="0060596E" w:rsidRPr="00BB1CC4">
        <w:rPr>
          <w:rFonts w:ascii="Courier New" w:hAnsi="Courier New" w:cs="Courier New"/>
        </w:rPr>
        <w:t xml:space="preserve"> and payroll;</w:t>
      </w:r>
      <w:r w:rsidR="00567D87" w:rsidRPr="00BB1CC4">
        <w:rPr>
          <w:rFonts w:ascii="Courier New" w:hAnsi="Courier New" w:cs="Courier New"/>
        </w:rPr>
        <w:t xml:space="preserve"> “telephone expenses,”</w:t>
      </w:r>
      <w:r w:rsidR="0060596E" w:rsidRPr="00BB1CC4">
        <w:rPr>
          <w:rFonts w:ascii="Courier New" w:hAnsi="Courier New" w:cs="Courier New"/>
        </w:rPr>
        <w:t xml:space="preserve"> for </w:t>
      </w:r>
      <w:r w:rsidR="00567D87" w:rsidRPr="00BB1CC4">
        <w:rPr>
          <w:rFonts w:ascii="Courier New" w:hAnsi="Courier New" w:cs="Courier New"/>
        </w:rPr>
        <w:t>the cost of equipping the rooms with telephone and internet service</w:t>
      </w:r>
      <w:r w:rsidR="009C72B7">
        <w:rPr>
          <w:rFonts w:ascii="Courier New" w:hAnsi="Courier New" w:cs="Courier New"/>
        </w:rPr>
        <w:t>s</w:t>
      </w:r>
      <w:r w:rsidR="00567D87" w:rsidRPr="00BB1CC4">
        <w:rPr>
          <w:rFonts w:ascii="Courier New" w:hAnsi="Courier New" w:cs="Courier New"/>
        </w:rPr>
        <w:t>; and “</w:t>
      </w:r>
      <w:r w:rsidR="0060596E" w:rsidRPr="00BB1CC4">
        <w:rPr>
          <w:rFonts w:ascii="Courier New" w:hAnsi="Courier New" w:cs="Courier New"/>
        </w:rPr>
        <w:t>miscellaneous expenses” for cash and credit management services including chargebacks, discounts and write offs.</w:t>
      </w:r>
      <w:r w:rsidR="00D20ECE" w:rsidRPr="007B1676">
        <w:rPr>
          <w:rFonts w:ascii="Courier New" w:hAnsi="Courier New" w:cs="Courier New"/>
          <w:highlight w:val="yellow"/>
        </w:rPr>
        <w:t xml:space="preserve"> </w:t>
      </w:r>
      <w:r w:rsidR="0060596E" w:rsidRPr="007B1676">
        <w:rPr>
          <w:rFonts w:ascii="Courier New" w:hAnsi="Courier New" w:cs="Courier New"/>
          <w:highlight w:val="yellow"/>
        </w:rPr>
        <w:t xml:space="preserve"> </w:t>
      </w:r>
    </w:p>
    <w:p w14:paraId="2078EA19" w14:textId="50EC8201" w:rsidR="00C44539" w:rsidRDefault="0060596E" w:rsidP="00121B86">
      <w:pPr>
        <w:spacing w:line="480" w:lineRule="auto"/>
        <w:ind w:firstLine="720"/>
        <w:jc w:val="both"/>
        <w:rPr>
          <w:rFonts w:ascii="Courier New" w:hAnsi="Courier New" w:cs="Courier New"/>
        </w:rPr>
      </w:pPr>
      <w:r w:rsidRPr="00BB1CC4">
        <w:rPr>
          <w:rFonts w:ascii="Courier New" w:hAnsi="Courier New" w:cs="Courier New"/>
        </w:rPr>
        <w:t xml:space="preserve">Ms. Balogh </w:t>
      </w:r>
      <w:r w:rsidR="001149ED">
        <w:rPr>
          <w:rFonts w:ascii="Courier New" w:hAnsi="Courier New" w:cs="Courier New"/>
        </w:rPr>
        <w:t xml:space="preserve">also </w:t>
      </w:r>
      <w:r w:rsidR="00731C92" w:rsidRPr="00BB1CC4">
        <w:rPr>
          <w:rFonts w:ascii="Courier New" w:hAnsi="Courier New" w:cs="Courier New"/>
        </w:rPr>
        <w:t xml:space="preserve">determined </w:t>
      </w:r>
      <w:r w:rsidR="001149ED">
        <w:rPr>
          <w:rFonts w:ascii="Courier New" w:hAnsi="Courier New" w:cs="Courier New"/>
        </w:rPr>
        <w:t xml:space="preserve">the </w:t>
      </w:r>
      <w:r w:rsidR="00D20ECE" w:rsidRPr="00BB1CC4">
        <w:rPr>
          <w:rFonts w:ascii="Courier New" w:hAnsi="Courier New" w:cs="Courier New"/>
        </w:rPr>
        <w:t>“undistributed operating ex</w:t>
      </w:r>
      <w:r w:rsidR="002B7A6B" w:rsidRPr="00BB1CC4">
        <w:rPr>
          <w:rFonts w:ascii="Courier New" w:hAnsi="Courier New" w:cs="Courier New"/>
        </w:rPr>
        <w:t>penses,” the</w:t>
      </w:r>
      <w:r w:rsidR="00731C92" w:rsidRPr="00BB1CC4">
        <w:rPr>
          <w:rFonts w:ascii="Courier New" w:hAnsi="Courier New" w:cs="Courier New"/>
        </w:rPr>
        <w:t xml:space="preserve"> cos</w:t>
      </w:r>
      <w:r w:rsidR="00222390" w:rsidRPr="00BB1CC4">
        <w:rPr>
          <w:rFonts w:ascii="Courier New" w:hAnsi="Courier New" w:cs="Courier New"/>
        </w:rPr>
        <w:t>ts borne by the appellant REIT</w:t>
      </w:r>
      <w:r w:rsidR="002B7A6B" w:rsidRPr="00BB1CC4">
        <w:rPr>
          <w:rFonts w:ascii="Courier New" w:hAnsi="Courier New" w:cs="Courier New"/>
        </w:rPr>
        <w:t xml:space="preserve"> but</w:t>
      </w:r>
      <w:r w:rsidR="00731C92" w:rsidRPr="00BB1CC4">
        <w:rPr>
          <w:rFonts w:ascii="Courier New" w:hAnsi="Courier New" w:cs="Courier New"/>
        </w:rPr>
        <w:t xml:space="preserve"> not attributable to any</w:t>
      </w:r>
      <w:r w:rsidR="000604D9">
        <w:rPr>
          <w:rFonts w:ascii="Courier New" w:hAnsi="Courier New" w:cs="Courier New"/>
        </w:rPr>
        <w:t xml:space="preserve"> </w:t>
      </w:r>
      <w:r w:rsidR="00731C92">
        <w:rPr>
          <w:rFonts w:ascii="Courier New" w:hAnsi="Courier New" w:cs="Courier New"/>
        </w:rPr>
        <w:t>particular property</w:t>
      </w:r>
      <w:r w:rsidR="00222390">
        <w:rPr>
          <w:rFonts w:ascii="Courier New" w:hAnsi="Courier New" w:cs="Courier New"/>
        </w:rPr>
        <w:t xml:space="preserve"> that it owned</w:t>
      </w:r>
      <w:r w:rsidR="00731C92">
        <w:rPr>
          <w:rFonts w:ascii="Courier New" w:hAnsi="Courier New" w:cs="Courier New"/>
        </w:rPr>
        <w:t>.  The</w:t>
      </w:r>
      <w:r w:rsidR="00222390">
        <w:rPr>
          <w:rFonts w:ascii="Courier New" w:hAnsi="Courier New" w:cs="Courier New"/>
        </w:rPr>
        <w:t>se included</w:t>
      </w:r>
      <w:r w:rsidR="00731C92">
        <w:rPr>
          <w:rFonts w:ascii="Courier New" w:hAnsi="Courier New" w:cs="Courier New"/>
        </w:rPr>
        <w:t xml:space="preserve"> </w:t>
      </w:r>
      <w:r w:rsidR="001C3676">
        <w:rPr>
          <w:rFonts w:ascii="Courier New" w:hAnsi="Courier New" w:cs="Courier New"/>
        </w:rPr>
        <w:t xml:space="preserve">the </w:t>
      </w:r>
      <w:r w:rsidR="00711440">
        <w:rPr>
          <w:rFonts w:ascii="Courier New" w:hAnsi="Courier New" w:cs="Courier New"/>
        </w:rPr>
        <w:t>REIT</w:t>
      </w:r>
      <w:r w:rsidR="00914713" w:rsidRPr="001C3676">
        <w:rPr>
          <w:rFonts w:ascii="Courier New" w:hAnsi="Courier New" w:cs="Courier New"/>
        </w:rPr>
        <w:t xml:space="preserve"> expenses</w:t>
      </w:r>
      <w:r w:rsidR="002B7A6B">
        <w:rPr>
          <w:rFonts w:ascii="Courier New" w:hAnsi="Courier New" w:cs="Courier New"/>
        </w:rPr>
        <w:t xml:space="preserve"> </w:t>
      </w:r>
      <w:r w:rsidR="00222390">
        <w:rPr>
          <w:rFonts w:ascii="Courier New" w:hAnsi="Courier New" w:cs="Courier New"/>
        </w:rPr>
        <w:t xml:space="preserve">at issue in these appeals, </w:t>
      </w:r>
      <w:r w:rsidR="00251748">
        <w:rPr>
          <w:rFonts w:ascii="Courier New" w:hAnsi="Courier New" w:cs="Courier New"/>
        </w:rPr>
        <w:t>which had been reported to her by</w:t>
      </w:r>
      <w:r w:rsidR="00012453">
        <w:rPr>
          <w:rFonts w:ascii="Courier New" w:hAnsi="Courier New" w:cs="Courier New"/>
        </w:rPr>
        <w:t xml:space="preserve"> Mr. Wilson</w:t>
      </w:r>
      <w:r w:rsidR="00BB4DB2">
        <w:rPr>
          <w:rFonts w:ascii="Courier New" w:hAnsi="Courier New" w:cs="Courier New"/>
        </w:rPr>
        <w:t>.</w:t>
      </w:r>
      <w:r w:rsidR="00012453">
        <w:rPr>
          <w:rFonts w:ascii="Courier New" w:hAnsi="Courier New" w:cs="Courier New"/>
        </w:rPr>
        <w:t xml:space="preserve"> </w:t>
      </w:r>
      <w:r w:rsidR="00BB4DB2">
        <w:rPr>
          <w:rFonts w:ascii="Courier New" w:hAnsi="Courier New" w:cs="Courier New"/>
        </w:rPr>
        <w:t xml:space="preserve"> Ms. Balogh’s appra</w:t>
      </w:r>
      <w:r w:rsidR="001C3676">
        <w:rPr>
          <w:rFonts w:ascii="Courier New" w:hAnsi="Courier New" w:cs="Courier New"/>
        </w:rPr>
        <w:t>isal report indicated that the</w:t>
      </w:r>
      <w:r w:rsidR="00BB4DB2">
        <w:rPr>
          <w:rFonts w:ascii="Courier New" w:hAnsi="Courier New" w:cs="Courier New"/>
        </w:rPr>
        <w:t xml:space="preserve"> </w:t>
      </w:r>
      <w:r w:rsidR="00711440">
        <w:rPr>
          <w:rFonts w:ascii="Courier New" w:hAnsi="Courier New" w:cs="Courier New"/>
        </w:rPr>
        <w:t>REIT</w:t>
      </w:r>
      <w:r w:rsidR="00BB4DB2" w:rsidRPr="001C3676">
        <w:rPr>
          <w:rFonts w:ascii="Courier New" w:hAnsi="Courier New" w:cs="Courier New"/>
        </w:rPr>
        <w:t xml:space="preserve"> expenses</w:t>
      </w:r>
      <w:r w:rsidR="00BB4DB2">
        <w:rPr>
          <w:rFonts w:ascii="Courier New" w:hAnsi="Courier New" w:cs="Courier New"/>
        </w:rPr>
        <w:t xml:space="preserve"> totaled $500,076.  </w:t>
      </w:r>
    </w:p>
    <w:p w14:paraId="2E2910DE" w14:textId="535CDB93" w:rsidR="00BB1CC4" w:rsidRDefault="00BB1CC4" w:rsidP="00121B86">
      <w:pPr>
        <w:spacing w:line="480" w:lineRule="auto"/>
        <w:ind w:firstLine="720"/>
        <w:jc w:val="both"/>
        <w:rPr>
          <w:rFonts w:ascii="Courier New" w:hAnsi="Courier New" w:cs="Courier New"/>
        </w:rPr>
      </w:pPr>
      <w:r>
        <w:rPr>
          <w:rFonts w:ascii="Courier New" w:hAnsi="Courier New" w:cs="Courier New"/>
        </w:rPr>
        <w:t xml:space="preserve">Ms. Balogh </w:t>
      </w:r>
      <w:r w:rsidR="001149ED">
        <w:rPr>
          <w:rFonts w:ascii="Courier New" w:hAnsi="Courier New" w:cs="Courier New"/>
        </w:rPr>
        <w:t>then</w:t>
      </w:r>
      <w:r>
        <w:rPr>
          <w:rFonts w:ascii="Courier New" w:hAnsi="Courier New" w:cs="Courier New"/>
        </w:rPr>
        <w:t xml:space="preserve"> deducted so called “inn-level expenses,” those attributable to the subject property.  In </w:t>
      </w:r>
      <w:r>
        <w:rPr>
          <w:rFonts w:ascii="Courier New" w:hAnsi="Courier New" w:cs="Courier New"/>
        </w:rPr>
        <w:lastRenderedPageBreak/>
        <w:t>this category, Ms. Balogh deducted both marketing expenses</w:t>
      </w:r>
      <w:r w:rsidR="00E907F9">
        <w:rPr>
          <w:rFonts w:ascii="Courier New" w:hAnsi="Courier New" w:cs="Courier New"/>
        </w:rPr>
        <w:t xml:space="preserve"> as well as “chain service/marketing” fees</w:t>
      </w:r>
      <w:r>
        <w:rPr>
          <w:rFonts w:ascii="Courier New" w:hAnsi="Courier New" w:cs="Courier New"/>
        </w:rPr>
        <w:t>.</w:t>
      </w:r>
    </w:p>
    <w:p w14:paraId="5C6663A5" w14:textId="4E749276" w:rsidR="00690535" w:rsidRDefault="00731C92" w:rsidP="00121B86">
      <w:pPr>
        <w:spacing w:line="480" w:lineRule="auto"/>
        <w:ind w:firstLine="720"/>
        <w:jc w:val="both"/>
        <w:rPr>
          <w:rFonts w:ascii="Courier New" w:hAnsi="Courier New" w:cs="Courier New"/>
        </w:rPr>
      </w:pPr>
      <w:r>
        <w:rPr>
          <w:rFonts w:ascii="Courier New" w:hAnsi="Courier New" w:cs="Courier New"/>
        </w:rPr>
        <w:t>Next, Ms. Balogh dedu</w:t>
      </w:r>
      <w:r w:rsidR="00C63F12">
        <w:rPr>
          <w:rFonts w:ascii="Courier New" w:hAnsi="Courier New" w:cs="Courier New"/>
        </w:rPr>
        <w:t>cted a management fee equal to 4% of total revenue.  Finally, Ms</w:t>
      </w:r>
      <w:r w:rsidR="00A46811">
        <w:rPr>
          <w:rFonts w:ascii="Courier New" w:hAnsi="Courier New" w:cs="Courier New"/>
        </w:rPr>
        <w:t>. Balogh deducted other expenses, like insurance</w:t>
      </w:r>
      <w:r w:rsidR="00C63F12">
        <w:rPr>
          <w:rFonts w:ascii="Courier New" w:hAnsi="Courier New" w:cs="Courier New"/>
        </w:rPr>
        <w:t xml:space="preserve"> and reserves for replacement</w:t>
      </w:r>
      <w:r w:rsidR="008E43DF">
        <w:rPr>
          <w:rFonts w:ascii="Courier New" w:hAnsi="Courier New" w:cs="Courier New"/>
        </w:rPr>
        <w:t xml:space="preserve">. </w:t>
      </w:r>
      <w:r w:rsidR="0052220D">
        <w:rPr>
          <w:rFonts w:ascii="Courier New" w:hAnsi="Courier New" w:cs="Courier New"/>
        </w:rPr>
        <w:t xml:space="preserve"> </w:t>
      </w:r>
      <w:r w:rsidR="00D85FAE">
        <w:rPr>
          <w:rFonts w:ascii="Courier New" w:hAnsi="Courier New" w:cs="Courier New"/>
        </w:rPr>
        <w:t>After deducting all</w:t>
      </w:r>
      <w:r w:rsidR="00222390">
        <w:rPr>
          <w:rFonts w:ascii="Courier New" w:hAnsi="Courier New" w:cs="Courier New"/>
        </w:rPr>
        <w:t xml:space="preserve"> of her expenses</w:t>
      </w:r>
      <w:r w:rsidR="00D85FAE">
        <w:rPr>
          <w:rFonts w:ascii="Courier New" w:hAnsi="Courier New" w:cs="Courier New"/>
        </w:rPr>
        <w:t>, Ms. Balogh arrived at a net operating income of $500,293 for fiscal year 2014</w:t>
      </w:r>
      <w:r w:rsidR="00690535">
        <w:rPr>
          <w:rFonts w:ascii="Courier New" w:hAnsi="Courier New" w:cs="Courier New"/>
        </w:rPr>
        <w:t xml:space="preserve">.  </w:t>
      </w:r>
    </w:p>
    <w:p w14:paraId="1D7931C6" w14:textId="11B73495" w:rsidR="002434FD" w:rsidRDefault="001149ED" w:rsidP="00BA1AEB">
      <w:pPr>
        <w:spacing w:line="480" w:lineRule="auto"/>
        <w:ind w:firstLine="720"/>
        <w:jc w:val="both"/>
        <w:rPr>
          <w:rFonts w:ascii="Courier New" w:hAnsi="Courier New" w:cs="Courier New"/>
        </w:rPr>
      </w:pPr>
      <w:r>
        <w:rPr>
          <w:rFonts w:ascii="Courier New" w:hAnsi="Courier New" w:cs="Courier New"/>
        </w:rPr>
        <w:t xml:space="preserve">To derive her </w:t>
      </w:r>
      <w:r w:rsidR="005A6F06">
        <w:rPr>
          <w:rFonts w:ascii="Courier New" w:hAnsi="Courier New" w:cs="Courier New"/>
        </w:rPr>
        <w:t>capitalization rate</w:t>
      </w:r>
      <w:r>
        <w:rPr>
          <w:rFonts w:ascii="Courier New" w:hAnsi="Courier New" w:cs="Courier New"/>
        </w:rPr>
        <w:t>,</w:t>
      </w:r>
      <w:r w:rsidR="006E387B">
        <w:rPr>
          <w:rFonts w:ascii="Courier New" w:hAnsi="Courier New" w:cs="Courier New"/>
        </w:rPr>
        <w:t xml:space="preserve"> Ms.</w:t>
      </w:r>
      <w:r w:rsidR="000204C7">
        <w:rPr>
          <w:rFonts w:ascii="Courier New" w:hAnsi="Courier New" w:cs="Courier New"/>
        </w:rPr>
        <w:t> </w:t>
      </w:r>
      <w:r w:rsidR="006E387B">
        <w:rPr>
          <w:rFonts w:ascii="Courier New" w:hAnsi="Courier New" w:cs="Courier New"/>
        </w:rPr>
        <w:t>Balogh developed</w:t>
      </w:r>
      <w:r w:rsidR="00BA1AEB">
        <w:rPr>
          <w:rFonts w:ascii="Courier New" w:hAnsi="Courier New" w:cs="Courier New"/>
        </w:rPr>
        <w:t xml:space="preserve"> market extraction, market survey and band-of-investment analyses.  Based on these analyses, Ms.</w:t>
      </w:r>
      <w:r w:rsidR="000204C7">
        <w:rPr>
          <w:rFonts w:ascii="Courier New" w:hAnsi="Courier New" w:cs="Courier New"/>
        </w:rPr>
        <w:t> </w:t>
      </w:r>
      <w:r w:rsidR="00BA1AEB">
        <w:rPr>
          <w:rFonts w:ascii="Courier New" w:hAnsi="Courier New" w:cs="Courier New"/>
        </w:rPr>
        <w:t>Balogh settled on an appropriate overall capitalizati</w:t>
      </w:r>
      <w:r w:rsidR="009C72B7">
        <w:rPr>
          <w:rFonts w:ascii="Courier New" w:hAnsi="Courier New" w:cs="Courier New"/>
        </w:rPr>
        <w:t>on rate of 10%, which she then loaded</w:t>
      </w:r>
      <w:r w:rsidR="00BA1AEB">
        <w:rPr>
          <w:rFonts w:ascii="Courier New" w:hAnsi="Courier New" w:cs="Courier New"/>
        </w:rPr>
        <w:t xml:space="preserve"> with the appropriate tax rate to derive an adjusted overall capitalization rate of 12.741 for </w:t>
      </w:r>
      <w:r w:rsidR="009C72B7">
        <w:rPr>
          <w:rFonts w:ascii="Courier New" w:hAnsi="Courier New" w:cs="Courier New"/>
        </w:rPr>
        <w:t>fiscal year 2014.  Applying this</w:t>
      </w:r>
      <w:r w:rsidR="00BA1AEB">
        <w:rPr>
          <w:rFonts w:ascii="Courier New" w:hAnsi="Courier New" w:cs="Courier New"/>
        </w:rPr>
        <w:t xml:space="preserve"> capitalization rate to the subject property’s net operating income yielded an indicated value of $3,926,638, which Ms. Balogh rounded to $3,925,000 as her conclusion of fair market value for the subject property for fiscal year 2014.</w:t>
      </w:r>
    </w:p>
    <w:p w14:paraId="1379CF45" w14:textId="5A642D1C" w:rsidR="00DB642E" w:rsidRDefault="00F459B2" w:rsidP="00121B86">
      <w:pPr>
        <w:spacing w:line="480" w:lineRule="auto"/>
        <w:ind w:firstLine="720"/>
        <w:jc w:val="both"/>
        <w:rPr>
          <w:rFonts w:ascii="Courier New" w:hAnsi="Courier New" w:cs="Courier New"/>
        </w:rPr>
      </w:pPr>
      <w:r>
        <w:rPr>
          <w:rFonts w:ascii="Courier New" w:hAnsi="Courier New" w:cs="Courier New"/>
        </w:rPr>
        <w:t>Ms. Balogh’s analyse</w:t>
      </w:r>
      <w:r w:rsidR="002434FD">
        <w:rPr>
          <w:rFonts w:ascii="Courier New" w:hAnsi="Courier New" w:cs="Courier New"/>
        </w:rPr>
        <w:t>s for the</w:t>
      </w:r>
      <w:r>
        <w:rPr>
          <w:rFonts w:ascii="Courier New" w:hAnsi="Courier New" w:cs="Courier New"/>
        </w:rPr>
        <w:t xml:space="preserve"> other </w:t>
      </w:r>
      <w:r w:rsidR="000604D9">
        <w:rPr>
          <w:rFonts w:ascii="Courier New" w:hAnsi="Courier New" w:cs="Courier New"/>
        </w:rPr>
        <w:t>2</w:t>
      </w:r>
      <w:r>
        <w:rPr>
          <w:rFonts w:ascii="Courier New" w:hAnsi="Courier New" w:cs="Courier New"/>
        </w:rPr>
        <w:t xml:space="preserve"> fiscal years at issue were</w:t>
      </w:r>
      <w:r w:rsidR="00EC42FB">
        <w:rPr>
          <w:rFonts w:ascii="Courier New" w:hAnsi="Courier New" w:cs="Courier New"/>
        </w:rPr>
        <w:t xml:space="preserve"> similar to h</w:t>
      </w:r>
      <w:r w:rsidR="00003010">
        <w:rPr>
          <w:rFonts w:ascii="Courier New" w:hAnsi="Courier New" w:cs="Courier New"/>
        </w:rPr>
        <w:t>er analysis for fiscal year 201</w:t>
      </w:r>
      <w:r w:rsidR="00D85FAE">
        <w:rPr>
          <w:rFonts w:ascii="Courier New" w:hAnsi="Courier New" w:cs="Courier New"/>
        </w:rPr>
        <w:t>4</w:t>
      </w:r>
      <w:r w:rsidR="00EC42FB">
        <w:rPr>
          <w:rFonts w:ascii="Courier New" w:hAnsi="Courier New" w:cs="Courier New"/>
        </w:rPr>
        <w:t>.</w:t>
      </w:r>
    </w:p>
    <w:p w14:paraId="4D5D3718" w14:textId="17C23C33" w:rsidR="004602F6" w:rsidRDefault="00EC42FB" w:rsidP="00C65972">
      <w:pPr>
        <w:spacing w:line="480" w:lineRule="auto"/>
        <w:ind w:firstLine="720"/>
        <w:jc w:val="both"/>
        <w:rPr>
          <w:rFonts w:ascii="Courier New" w:hAnsi="Courier New" w:cs="Courier New"/>
        </w:rPr>
      </w:pPr>
      <w:r>
        <w:rPr>
          <w:rFonts w:ascii="Courier New" w:hAnsi="Courier New" w:cs="Courier New"/>
        </w:rPr>
        <w:t>Ms. Balogh’s income-capi</w:t>
      </w:r>
      <w:r w:rsidR="009C72B7">
        <w:rPr>
          <w:rFonts w:ascii="Courier New" w:hAnsi="Courier New" w:cs="Courier New"/>
        </w:rPr>
        <w:t>talization analyse</w:t>
      </w:r>
      <w:r>
        <w:rPr>
          <w:rFonts w:ascii="Courier New" w:hAnsi="Courier New" w:cs="Courier New"/>
        </w:rPr>
        <w:t>s</w:t>
      </w:r>
      <w:r w:rsidR="00F459B2">
        <w:rPr>
          <w:rFonts w:ascii="Courier New" w:hAnsi="Courier New" w:cs="Courier New"/>
        </w:rPr>
        <w:t xml:space="preserve"> for the </w:t>
      </w:r>
      <w:r w:rsidR="000604D9">
        <w:rPr>
          <w:rFonts w:ascii="Courier New" w:hAnsi="Courier New" w:cs="Courier New"/>
        </w:rPr>
        <w:t>3</w:t>
      </w:r>
      <w:r w:rsidR="00DB642E">
        <w:rPr>
          <w:rFonts w:ascii="Courier New" w:hAnsi="Courier New" w:cs="Courier New"/>
        </w:rPr>
        <w:t xml:space="preserve"> fiscal years at issue</w:t>
      </w:r>
      <w:r w:rsidR="009C72B7">
        <w:rPr>
          <w:rFonts w:ascii="Courier New" w:hAnsi="Courier New" w:cs="Courier New"/>
        </w:rPr>
        <w:t xml:space="preserve"> are</w:t>
      </w:r>
      <w:r>
        <w:rPr>
          <w:rFonts w:ascii="Courier New" w:hAnsi="Courier New" w:cs="Courier New"/>
        </w:rPr>
        <w:t xml:space="preserve"> summariz</w:t>
      </w:r>
      <w:r w:rsidR="00DB642E">
        <w:rPr>
          <w:rFonts w:ascii="Courier New" w:hAnsi="Courier New" w:cs="Courier New"/>
        </w:rPr>
        <w:t>ed in the following table</w:t>
      </w:r>
      <w:r>
        <w:rPr>
          <w:rFonts w:ascii="Courier New" w:hAnsi="Courier New" w:cs="Courier New"/>
        </w:rPr>
        <w:t>:</w:t>
      </w:r>
    </w:p>
    <w:p w14:paraId="3EDE7B67" w14:textId="77777777" w:rsidR="000204C7" w:rsidRDefault="000204C7" w:rsidP="00C65972">
      <w:pPr>
        <w:spacing w:line="480" w:lineRule="auto"/>
        <w:ind w:firstLine="720"/>
        <w:jc w:val="both"/>
        <w:rPr>
          <w:rFonts w:ascii="Courier New" w:hAnsi="Courier New" w:cs="Courier New"/>
        </w:rPr>
      </w:pPr>
    </w:p>
    <w:tbl>
      <w:tblPr>
        <w:tblStyle w:val="TableGrid"/>
        <w:tblW w:w="8928" w:type="dxa"/>
        <w:tblLook w:val="04A0" w:firstRow="1" w:lastRow="0" w:firstColumn="1" w:lastColumn="0" w:noHBand="0" w:noVBand="1"/>
      </w:tblPr>
      <w:tblGrid>
        <w:gridCol w:w="2718"/>
        <w:gridCol w:w="2070"/>
        <w:gridCol w:w="2070"/>
        <w:gridCol w:w="2070"/>
      </w:tblGrid>
      <w:tr w:rsidR="00BA1AEB" w14:paraId="7C807D00" w14:textId="77777777" w:rsidTr="00F4400C">
        <w:tc>
          <w:tcPr>
            <w:tcW w:w="2718" w:type="dxa"/>
          </w:tcPr>
          <w:p w14:paraId="4D9744FB" w14:textId="5ED89A16" w:rsidR="00BA1AEB" w:rsidRPr="00BA1AEB" w:rsidRDefault="0064372C" w:rsidP="00BA1AEB">
            <w:pPr>
              <w:rPr>
                <w:rFonts w:ascii="Courier New" w:hAnsi="Courier New" w:cs="Courier New"/>
                <w:b/>
                <w:sz w:val="20"/>
                <w:szCs w:val="20"/>
              </w:rPr>
            </w:pPr>
            <w:r>
              <w:rPr>
                <w:rFonts w:ascii="Courier New" w:hAnsi="Courier New" w:cs="Courier New"/>
                <w:b/>
                <w:sz w:val="20"/>
                <w:szCs w:val="20"/>
              </w:rPr>
              <w:lastRenderedPageBreak/>
              <w:t>F</w:t>
            </w:r>
            <w:r w:rsidR="00DB642E">
              <w:rPr>
                <w:rFonts w:ascii="Courier New" w:hAnsi="Courier New" w:cs="Courier New"/>
                <w:b/>
                <w:sz w:val="20"/>
                <w:szCs w:val="20"/>
              </w:rPr>
              <w:t xml:space="preserve">iscal </w:t>
            </w:r>
            <w:r>
              <w:rPr>
                <w:rFonts w:ascii="Courier New" w:hAnsi="Courier New" w:cs="Courier New"/>
                <w:b/>
                <w:sz w:val="20"/>
                <w:szCs w:val="20"/>
              </w:rPr>
              <w:t>y</w:t>
            </w:r>
            <w:r w:rsidR="00BA1AEB" w:rsidRPr="00BA1AEB">
              <w:rPr>
                <w:rFonts w:ascii="Courier New" w:hAnsi="Courier New" w:cs="Courier New"/>
                <w:b/>
                <w:sz w:val="20"/>
                <w:szCs w:val="20"/>
              </w:rPr>
              <w:t>ear</w:t>
            </w:r>
          </w:p>
        </w:tc>
        <w:tc>
          <w:tcPr>
            <w:tcW w:w="2070" w:type="dxa"/>
          </w:tcPr>
          <w:p w14:paraId="3F3E1D16" w14:textId="7C23053A" w:rsidR="00BA1AEB" w:rsidRPr="00BA1AEB" w:rsidRDefault="00DB642E" w:rsidP="00BA1AEB">
            <w:pPr>
              <w:rPr>
                <w:rFonts w:ascii="Courier New" w:hAnsi="Courier New" w:cs="Courier New"/>
                <w:b/>
                <w:sz w:val="20"/>
                <w:szCs w:val="20"/>
              </w:rPr>
            </w:pPr>
            <w:r>
              <w:rPr>
                <w:rFonts w:ascii="Courier New" w:hAnsi="Courier New" w:cs="Courier New"/>
                <w:b/>
                <w:sz w:val="20"/>
                <w:szCs w:val="20"/>
              </w:rPr>
              <w:t>FY</w:t>
            </w:r>
            <w:r w:rsidR="00BA1AEB" w:rsidRPr="00BA1AEB">
              <w:rPr>
                <w:rFonts w:ascii="Courier New" w:hAnsi="Courier New" w:cs="Courier New"/>
                <w:b/>
                <w:sz w:val="20"/>
                <w:szCs w:val="20"/>
              </w:rPr>
              <w:t xml:space="preserve"> 2014</w:t>
            </w:r>
          </w:p>
        </w:tc>
        <w:tc>
          <w:tcPr>
            <w:tcW w:w="2070" w:type="dxa"/>
          </w:tcPr>
          <w:p w14:paraId="4CEEAEE8" w14:textId="5E47BFAC" w:rsidR="00BA1AEB" w:rsidRPr="00BA1AEB" w:rsidRDefault="00DB642E" w:rsidP="00BA1AEB">
            <w:pPr>
              <w:rPr>
                <w:rFonts w:ascii="Courier New" w:hAnsi="Courier New" w:cs="Courier New"/>
                <w:b/>
                <w:sz w:val="20"/>
                <w:szCs w:val="20"/>
              </w:rPr>
            </w:pPr>
            <w:r>
              <w:rPr>
                <w:rFonts w:ascii="Courier New" w:hAnsi="Courier New" w:cs="Courier New"/>
                <w:b/>
                <w:sz w:val="20"/>
                <w:szCs w:val="20"/>
              </w:rPr>
              <w:t>FY</w:t>
            </w:r>
            <w:r w:rsidR="00BA1AEB" w:rsidRPr="00BA1AEB">
              <w:rPr>
                <w:rFonts w:ascii="Courier New" w:hAnsi="Courier New" w:cs="Courier New"/>
                <w:b/>
                <w:sz w:val="20"/>
                <w:szCs w:val="20"/>
              </w:rPr>
              <w:t xml:space="preserve"> 2015</w:t>
            </w:r>
          </w:p>
        </w:tc>
        <w:tc>
          <w:tcPr>
            <w:tcW w:w="2070" w:type="dxa"/>
          </w:tcPr>
          <w:p w14:paraId="7BB8D2EB" w14:textId="28D2BF39" w:rsidR="00BA1AEB" w:rsidRPr="00BA1AEB" w:rsidRDefault="00DB642E" w:rsidP="00BA1AEB">
            <w:pPr>
              <w:rPr>
                <w:rFonts w:ascii="Courier New" w:hAnsi="Courier New" w:cs="Courier New"/>
                <w:b/>
                <w:sz w:val="20"/>
                <w:szCs w:val="20"/>
              </w:rPr>
            </w:pPr>
            <w:r>
              <w:rPr>
                <w:rFonts w:ascii="Courier New" w:hAnsi="Courier New" w:cs="Courier New"/>
                <w:b/>
                <w:sz w:val="20"/>
                <w:szCs w:val="20"/>
              </w:rPr>
              <w:t>FY 2016</w:t>
            </w:r>
          </w:p>
        </w:tc>
      </w:tr>
      <w:tr w:rsidR="00BA1AEB" w14:paraId="27543D02" w14:textId="77777777" w:rsidTr="00F4400C">
        <w:tc>
          <w:tcPr>
            <w:tcW w:w="2718" w:type="dxa"/>
          </w:tcPr>
          <w:p w14:paraId="2B85AB93" w14:textId="448B0103" w:rsidR="00BA1AEB" w:rsidRDefault="00102C9F" w:rsidP="00BA1AEB">
            <w:pPr>
              <w:rPr>
                <w:rFonts w:ascii="Courier New" w:hAnsi="Courier New" w:cs="Courier New"/>
                <w:b/>
                <w:sz w:val="20"/>
                <w:szCs w:val="20"/>
              </w:rPr>
            </w:pPr>
            <w:r>
              <w:rPr>
                <w:rFonts w:ascii="Courier New" w:hAnsi="Courier New" w:cs="Courier New"/>
                <w:b/>
                <w:sz w:val="20"/>
                <w:szCs w:val="20"/>
              </w:rPr>
              <w:t>Gross r</w:t>
            </w:r>
            <w:r w:rsidR="00BA1AEB" w:rsidRPr="00BA1AEB">
              <w:rPr>
                <w:rFonts w:ascii="Courier New" w:hAnsi="Courier New" w:cs="Courier New"/>
                <w:b/>
                <w:sz w:val="20"/>
                <w:szCs w:val="20"/>
              </w:rPr>
              <w:t>evenue</w:t>
            </w:r>
          </w:p>
          <w:p w14:paraId="7B4846A7" w14:textId="77777777" w:rsidR="004E7041" w:rsidRDefault="004E7041" w:rsidP="00BA1AEB">
            <w:pPr>
              <w:rPr>
                <w:rFonts w:ascii="Courier New" w:hAnsi="Courier New" w:cs="Courier New"/>
                <w:b/>
                <w:sz w:val="20"/>
                <w:szCs w:val="20"/>
              </w:rPr>
            </w:pPr>
            <w:r>
              <w:rPr>
                <w:rFonts w:ascii="Courier New" w:hAnsi="Courier New" w:cs="Courier New"/>
                <w:b/>
                <w:sz w:val="20"/>
                <w:szCs w:val="20"/>
              </w:rPr>
              <w:t xml:space="preserve">  - ADR</w:t>
            </w:r>
          </w:p>
          <w:p w14:paraId="68485DF6" w14:textId="1A2B9C0D" w:rsidR="004E7041" w:rsidRPr="00BA1AEB" w:rsidRDefault="004E7041" w:rsidP="00BA1AEB">
            <w:pPr>
              <w:rPr>
                <w:rFonts w:ascii="Courier New" w:hAnsi="Courier New" w:cs="Courier New"/>
                <w:b/>
                <w:sz w:val="20"/>
                <w:szCs w:val="20"/>
              </w:rPr>
            </w:pPr>
            <w:r>
              <w:rPr>
                <w:rFonts w:ascii="Courier New" w:hAnsi="Courier New" w:cs="Courier New"/>
                <w:b/>
                <w:sz w:val="20"/>
                <w:szCs w:val="20"/>
              </w:rPr>
              <w:t xml:space="preserve">  - occupancy</w:t>
            </w:r>
          </w:p>
        </w:tc>
        <w:tc>
          <w:tcPr>
            <w:tcW w:w="2070" w:type="dxa"/>
          </w:tcPr>
          <w:p w14:paraId="315A392B" w14:textId="77777777" w:rsid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8571E2">
              <w:rPr>
                <w:rFonts w:ascii="Courier New" w:hAnsi="Courier New" w:cs="Courier New"/>
                <w:sz w:val="20"/>
                <w:szCs w:val="20"/>
              </w:rPr>
              <w:t>$1,905,264</w:t>
            </w:r>
          </w:p>
          <w:p w14:paraId="469C772F" w14:textId="77777777" w:rsidR="004E7041" w:rsidRDefault="004E7041" w:rsidP="00BA1AEB">
            <w:pPr>
              <w:rPr>
                <w:rFonts w:ascii="Courier New" w:hAnsi="Courier New" w:cs="Courier New"/>
                <w:sz w:val="20"/>
                <w:szCs w:val="20"/>
              </w:rPr>
            </w:pPr>
            <w:r>
              <w:rPr>
                <w:rFonts w:ascii="Courier New" w:hAnsi="Courier New" w:cs="Courier New"/>
                <w:sz w:val="20"/>
                <w:szCs w:val="20"/>
              </w:rPr>
              <w:t xml:space="preserve"> - ADR = $72.09</w:t>
            </w:r>
          </w:p>
          <w:p w14:paraId="3B499509" w14:textId="0774CDE8" w:rsidR="004E7041" w:rsidRPr="00BA1AEB" w:rsidRDefault="004E7041" w:rsidP="00BA1AEB">
            <w:pPr>
              <w:rPr>
                <w:rFonts w:ascii="Courier New" w:hAnsi="Courier New" w:cs="Courier New"/>
                <w:sz w:val="20"/>
                <w:szCs w:val="20"/>
              </w:rPr>
            </w:pPr>
            <w:r>
              <w:rPr>
                <w:rFonts w:ascii="Courier New" w:hAnsi="Courier New" w:cs="Courier New"/>
                <w:sz w:val="20"/>
                <w:szCs w:val="20"/>
              </w:rPr>
              <w:t xml:space="preserve"> - occ. = 71.6%</w:t>
            </w:r>
          </w:p>
        </w:tc>
        <w:tc>
          <w:tcPr>
            <w:tcW w:w="2070" w:type="dxa"/>
          </w:tcPr>
          <w:p w14:paraId="725185F3" w14:textId="77777777" w:rsid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8571E2">
              <w:rPr>
                <w:rFonts w:ascii="Courier New" w:hAnsi="Courier New" w:cs="Courier New"/>
                <w:sz w:val="20"/>
                <w:szCs w:val="20"/>
              </w:rPr>
              <w:t>$1,909,488</w:t>
            </w:r>
          </w:p>
          <w:p w14:paraId="3E1C67DD" w14:textId="77777777" w:rsidR="004E7041" w:rsidRDefault="004E7041" w:rsidP="00BA1AEB">
            <w:pPr>
              <w:rPr>
                <w:rFonts w:ascii="Courier New" w:hAnsi="Courier New" w:cs="Courier New"/>
                <w:sz w:val="20"/>
                <w:szCs w:val="20"/>
              </w:rPr>
            </w:pPr>
            <w:r>
              <w:rPr>
                <w:rFonts w:ascii="Courier New" w:hAnsi="Courier New" w:cs="Courier New"/>
                <w:sz w:val="20"/>
                <w:szCs w:val="20"/>
              </w:rPr>
              <w:t>- ADR = $80.79</w:t>
            </w:r>
          </w:p>
          <w:p w14:paraId="10E75EFA" w14:textId="62C95808" w:rsidR="0042655F" w:rsidRPr="00BA1AEB" w:rsidRDefault="0042655F" w:rsidP="00BA1AEB">
            <w:pPr>
              <w:rPr>
                <w:rFonts w:ascii="Courier New" w:hAnsi="Courier New" w:cs="Courier New"/>
                <w:sz w:val="20"/>
                <w:szCs w:val="20"/>
              </w:rPr>
            </w:pPr>
            <w:r>
              <w:rPr>
                <w:rFonts w:ascii="Courier New" w:hAnsi="Courier New" w:cs="Courier New"/>
                <w:sz w:val="20"/>
                <w:szCs w:val="20"/>
              </w:rPr>
              <w:t>- occ. = 63.3%</w:t>
            </w:r>
          </w:p>
        </w:tc>
        <w:tc>
          <w:tcPr>
            <w:tcW w:w="2070" w:type="dxa"/>
          </w:tcPr>
          <w:p w14:paraId="7A8902DA" w14:textId="77777777" w:rsid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$2,098,149</w:t>
            </w:r>
          </w:p>
          <w:p w14:paraId="64CECD37" w14:textId="3AC04179" w:rsidR="0042655F" w:rsidRDefault="0042655F" w:rsidP="00BA1AEB">
            <w:pPr>
              <w:rPr>
                <w:rFonts w:ascii="Courier New" w:hAnsi="Courier New" w:cs="Courier New"/>
                <w:sz w:val="20"/>
                <w:szCs w:val="20"/>
              </w:rPr>
            </w:pPr>
            <w:r>
              <w:rPr>
                <w:rFonts w:ascii="Courier New" w:hAnsi="Courier New" w:cs="Courier New"/>
                <w:sz w:val="20"/>
                <w:szCs w:val="20"/>
              </w:rPr>
              <w:t>- ADR =</w:t>
            </w:r>
            <w:r w:rsidR="004E7041">
              <w:rPr>
                <w:rFonts w:ascii="Courier New" w:hAnsi="Courier New" w:cs="Courier New"/>
                <w:sz w:val="20"/>
                <w:szCs w:val="20"/>
              </w:rPr>
              <w:t xml:space="preserve"> $86.09</w:t>
            </w:r>
          </w:p>
          <w:p w14:paraId="17335518" w14:textId="1BA4DE0E" w:rsidR="004E7041" w:rsidRPr="00BA1AEB" w:rsidRDefault="0042655F" w:rsidP="00BA1AEB">
            <w:pPr>
              <w:rPr>
                <w:rFonts w:ascii="Courier New" w:hAnsi="Courier New" w:cs="Courier New"/>
                <w:sz w:val="20"/>
                <w:szCs w:val="20"/>
              </w:rPr>
            </w:pPr>
            <w:r>
              <w:rPr>
                <w:rFonts w:ascii="Courier New" w:hAnsi="Courier New" w:cs="Courier New"/>
                <w:sz w:val="20"/>
                <w:szCs w:val="20"/>
              </w:rPr>
              <w:t>- occ. = 65.54%</w:t>
            </w:r>
          </w:p>
        </w:tc>
      </w:tr>
      <w:tr w:rsidR="00BA1AEB" w14:paraId="2DC2896D" w14:textId="77777777" w:rsidTr="00F4400C">
        <w:tc>
          <w:tcPr>
            <w:tcW w:w="2718" w:type="dxa"/>
          </w:tcPr>
          <w:p w14:paraId="65B52D8C" w14:textId="07B89C0E" w:rsidR="00BA1AEB" w:rsidRPr="00BA1AEB" w:rsidRDefault="00BA1AEB" w:rsidP="00BA1AEB">
            <w:pPr>
              <w:rPr>
                <w:rFonts w:ascii="Courier New" w:hAnsi="Courier New" w:cs="Courier New"/>
                <w:b/>
                <w:sz w:val="20"/>
                <w:szCs w:val="20"/>
              </w:rPr>
            </w:pPr>
            <w:r w:rsidRPr="00BA1AEB">
              <w:rPr>
                <w:rFonts w:ascii="Courier New" w:hAnsi="Courier New" w:cs="Courier New"/>
                <w:b/>
                <w:sz w:val="20"/>
                <w:szCs w:val="20"/>
              </w:rPr>
              <w:t>departmental expenses</w:t>
            </w:r>
          </w:p>
        </w:tc>
        <w:tc>
          <w:tcPr>
            <w:tcW w:w="2070" w:type="dxa"/>
          </w:tcPr>
          <w:p w14:paraId="72A13A0F" w14:textId="5A3936D3" w:rsidR="00BA1AEB" w:rsidRPr="00BA1AEB" w:rsidRDefault="009C72B7" w:rsidP="00BA1AEB">
            <w:pPr>
              <w:rPr>
                <w:rFonts w:ascii="Courier New" w:hAnsi="Courier New" w:cs="Courier New"/>
                <w:sz w:val="20"/>
                <w:szCs w:val="20"/>
              </w:rPr>
            </w:pPr>
            <w:r>
              <w:rPr>
                <w:rFonts w:ascii="Courier New" w:hAnsi="Courier New" w:cs="Courier New"/>
                <w:sz w:val="20"/>
                <w:szCs w:val="20"/>
              </w:rPr>
              <w:t>(</w:t>
            </w:r>
            <w:r w:rsidR="008571E2">
              <w:rPr>
                <w:rFonts w:ascii="Courier New" w:hAnsi="Courier New" w:cs="Courier New"/>
                <w:sz w:val="20"/>
                <w:szCs w:val="20"/>
              </w:rPr>
              <w:t>$  398,423</w:t>
            </w:r>
            <w:r>
              <w:rPr>
                <w:rFonts w:ascii="Courier New" w:hAnsi="Courier New" w:cs="Courier New"/>
                <w:sz w:val="20"/>
                <w:szCs w:val="20"/>
              </w:rPr>
              <w:t>)</w:t>
            </w:r>
          </w:p>
        </w:tc>
        <w:tc>
          <w:tcPr>
            <w:tcW w:w="2070" w:type="dxa"/>
          </w:tcPr>
          <w:p w14:paraId="2E3D485D" w14:textId="30A319B9" w:rsidR="00BA1AEB" w:rsidRPr="00BA1AEB" w:rsidRDefault="009C72B7" w:rsidP="00BA1AEB">
            <w:pPr>
              <w:rPr>
                <w:rFonts w:ascii="Courier New" w:hAnsi="Courier New" w:cs="Courier New"/>
                <w:sz w:val="20"/>
                <w:szCs w:val="20"/>
              </w:rPr>
            </w:pPr>
            <w:r>
              <w:rPr>
                <w:rFonts w:ascii="Courier New" w:hAnsi="Courier New" w:cs="Courier New"/>
                <w:sz w:val="20"/>
                <w:szCs w:val="20"/>
              </w:rPr>
              <w:t>(</w:t>
            </w:r>
            <w:r w:rsidR="008571E2">
              <w:rPr>
                <w:rFonts w:ascii="Courier New" w:hAnsi="Courier New" w:cs="Courier New"/>
                <w:sz w:val="20"/>
                <w:szCs w:val="20"/>
              </w:rPr>
              <w:t>$</w:t>
            </w:r>
            <w:r w:rsidR="00DB642E">
              <w:rPr>
                <w:rFonts w:ascii="Courier New" w:hAnsi="Courier New" w:cs="Courier New"/>
                <w:sz w:val="20"/>
                <w:szCs w:val="20"/>
              </w:rPr>
              <w:t xml:space="preserve">  380,398</w:t>
            </w:r>
            <w:r>
              <w:rPr>
                <w:rFonts w:ascii="Courier New" w:hAnsi="Courier New" w:cs="Courier New"/>
                <w:sz w:val="20"/>
                <w:szCs w:val="20"/>
              </w:rPr>
              <w:t>)</w:t>
            </w:r>
          </w:p>
        </w:tc>
        <w:tc>
          <w:tcPr>
            <w:tcW w:w="2070" w:type="dxa"/>
          </w:tcPr>
          <w:p w14:paraId="000DD575" w14:textId="50C67D29" w:rsidR="00BA1AEB" w:rsidRP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437,830</w:t>
            </w:r>
            <w:r>
              <w:rPr>
                <w:rFonts w:ascii="Courier New" w:hAnsi="Courier New" w:cs="Courier New"/>
                <w:sz w:val="20"/>
                <w:szCs w:val="20"/>
              </w:rPr>
              <w:t>)</w:t>
            </w:r>
          </w:p>
        </w:tc>
      </w:tr>
      <w:tr w:rsidR="00BA1AEB" w14:paraId="1B686BB3" w14:textId="77777777" w:rsidTr="00F4400C">
        <w:tc>
          <w:tcPr>
            <w:tcW w:w="2718" w:type="dxa"/>
          </w:tcPr>
          <w:p w14:paraId="1B1EDC9D" w14:textId="4D2FA876" w:rsidR="00BA1AEB" w:rsidRPr="00BA1AEB" w:rsidRDefault="00BA1AEB" w:rsidP="00BA1AEB">
            <w:pPr>
              <w:rPr>
                <w:rFonts w:ascii="Courier New" w:hAnsi="Courier New" w:cs="Courier New"/>
                <w:b/>
                <w:sz w:val="20"/>
                <w:szCs w:val="20"/>
              </w:rPr>
            </w:pPr>
            <w:r w:rsidRPr="00BA1AEB">
              <w:rPr>
                <w:rFonts w:ascii="Courier New" w:hAnsi="Courier New" w:cs="Courier New"/>
                <w:b/>
                <w:sz w:val="20"/>
                <w:szCs w:val="20"/>
              </w:rPr>
              <w:t>“undistributed operating expenses”</w:t>
            </w:r>
            <w:r w:rsidR="008571E2">
              <w:rPr>
                <w:rFonts w:ascii="Courier New" w:hAnsi="Courier New" w:cs="Courier New"/>
                <w:b/>
                <w:sz w:val="20"/>
                <w:szCs w:val="20"/>
              </w:rPr>
              <w:t xml:space="preserve"> including</w:t>
            </w:r>
            <w:r w:rsidRPr="00BA1AEB">
              <w:rPr>
                <w:rFonts w:ascii="Courier New" w:hAnsi="Courier New" w:cs="Courier New"/>
                <w:b/>
                <w:sz w:val="20"/>
                <w:szCs w:val="20"/>
              </w:rPr>
              <w:t xml:space="preserve"> </w:t>
            </w:r>
            <w:r w:rsidR="00711440">
              <w:rPr>
                <w:rFonts w:ascii="Courier New" w:hAnsi="Courier New" w:cs="Courier New"/>
                <w:b/>
                <w:sz w:val="20"/>
                <w:szCs w:val="20"/>
              </w:rPr>
              <w:t xml:space="preserve">REIT </w:t>
            </w:r>
            <w:r w:rsidRPr="001C3676">
              <w:rPr>
                <w:rFonts w:ascii="Courier New" w:hAnsi="Courier New" w:cs="Courier New"/>
                <w:b/>
                <w:sz w:val="20"/>
                <w:szCs w:val="20"/>
              </w:rPr>
              <w:t>expenses</w:t>
            </w:r>
          </w:p>
        </w:tc>
        <w:tc>
          <w:tcPr>
            <w:tcW w:w="2070" w:type="dxa"/>
          </w:tcPr>
          <w:p w14:paraId="5F14397B" w14:textId="593D390E" w:rsidR="00BA1AEB" w:rsidRDefault="009C72B7" w:rsidP="00BA1AEB">
            <w:pPr>
              <w:rPr>
                <w:rFonts w:ascii="Courier New" w:hAnsi="Courier New" w:cs="Courier New"/>
                <w:sz w:val="20"/>
                <w:szCs w:val="20"/>
              </w:rPr>
            </w:pPr>
            <w:r>
              <w:rPr>
                <w:rFonts w:ascii="Courier New" w:hAnsi="Courier New" w:cs="Courier New"/>
                <w:sz w:val="20"/>
                <w:szCs w:val="20"/>
              </w:rPr>
              <w:t>(</w:t>
            </w:r>
            <w:r w:rsidR="008571E2">
              <w:rPr>
                <w:rFonts w:ascii="Courier New" w:hAnsi="Courier New" w:cs="Courier New"/>
                <w:sz w:val="20"/>
                <w:szCs w:val="20"/>
              </w:rPr>
              <w:t>$  715,741</w:t>
            </w:r>
            <w:r>
              <w:rPr>
                <w:rFonts w:ascii="Courier New" w:hAnsi="Courier New" w:cs="Courier New"/>
                <w:sz w:val="20"/>
                <w:szCs w:val="20"/>
              </w:rPr>
              <w:t>)</w:t>
            </w:r>
          </w:p>
          <w:p w14:paraId="25EE10EE" w14:textId="77777777" w:rsidR="00F4400C" w:rsidRDefault="00F4400C" w:rsidP="00BA1AEB">
            <w:pPr>
              <w:rPr>
                <w:rFonts w:ascii="Courier New" w:hAnsi="Courier New" w:cs="Courier New"/>
                <w:sz w:val="20"/>
                <w:szCs w:val="20"/>
              </w:rPr>
            </w:pPr>
          </w:p>
          <w:p w14:paraId="0A023520" w14:textId="1D275D68" w:rsidR="00F4400C" w:rsidRPr="00BA1AEB" w:rsidRDefault="003A15CA" w:rsidP="00BA1AEB">
            <w:pPr>
              <w:rPr>
                <w:rFonts w:ascii="Courier New" w:hAnsi="Courier New" w:cs="Courier New"/>
                <w:sz w:val="20"/>
                <w:szCs w:val="20"/>
              </w:rPr>
            </w:pPr>
            <w:r>
              <w:rPr>
                <w:rFonts w:ascii="Courier New" w:hAnsi="Courier New" w:cs="Courier New"/>
                <w:sz w:val="20"/>
                <w:szCs w:val="20"/>
              </w:rPr>
              <w:t xml:space="preserve">*$500,076 of which </w:t>
            </w:r>
            <w:r w:rsidR="00711440">
              <w:rPr>
                <w:rFonts w:ascii="Courier New" w:hAnsi="Courier New" w:cs="Courier New"/>
                <w:sz w:val="20"/>
                <w:szCs w:val="20"/>
              </w:rPr>
              <w:t>is REIT expenses</w:t>
            </w:r>
          </w:p>
        </w:tc>
        <w:tc>
          <w:tcPr>
            <w:tcW w:w="2070" w:type="dxa"/>
          </w:tcPr>
          <w:p w14:paraId="2E003737" w14:textId="01E43297" w:rsid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702,499</w:t>
            </w:r>
            <w:r>
              <w:rPr>
                <w:rFonts w:ascii="Courier New" w:hAnsi="Courier New" w:cs="Courier New"/>
                <w:sz w:val="20"/>
                <w:szCs w:val="20"/>
              </w:rPr>
              <w:t>)</w:t>
            </w:r>
          </w:p>
          <w:p w14:paraId="59530927" w14:textId="77777777" w:rsidR="00F4400C" w:rsidRDefault="00F4400C" w:rsidP="00BA1AEB">
            <w:pPr>
              <w:rPr>
                <w:rFonts w:ascii="Courier New" w:hAnsi="Courier New" w:cs="Courier New"/>
                <w:sz w:val="20"/>
                <w:szCs w:val="20"/>
              </w:rPr>
            </w:pPr>
          </w:p>
          <w:p w14:paraId="11BCC80C" w14:textId="318E4697" w:rsidR="00F4400C" w:rsidRPr="00BA1AEB" w:rsidRDefault="003A15CA" w:rsidP="00BA1AEB">
            <w:pPr>
              <w:rPr>
                <w:rFonts w:ascii="Courier New" w:hAnsi="Courier New" w:cs="Courier New"/>
                <w:sz w:val="20"/>
                <w:szCs w:val="20"/>
              </w:rPr>
            </w:pPr>
            <w:r>
              <w:rPr>
                <w:rFonts w:ascii="Courier New" w:hAnsi="Courier New" w:cs="Courier New"/>
                <w:sz w:val="20"/>
                <w:szCs w:val="20"/>
              </w:rPr>
              <w:t>*</w:t>
            </w:r>
            <w:r w:rsidR="00F4400C">
              <w:rPr>
                <w:rFonts w:ascii="Courier New" w:hAnsi="Courier New" w:cs="Courier New"/>
                <w:sz w:val="20"/>
                <w:szCs w:val="20"/>
              </w:rPr>
              <w:t>$394,517 of</w:t>
            </w:r>
            <w:r w:rsidR="00711440">
              <w:rPr>
                <w:rFonts w:ascii="Courier New" w:hAnsi="Courier New" w:cs="Courier New"/>
                <w:sz w:val="20"/>
                <w:szCs w:val="20"/>
              </w:rPr>
              <w:t xml:space="preserve"> which is REIT expenses</w:t>
            </w:r>
          </w:p>
        </w:tc>
        <w:tc>
          <w:tcPr>
            <w:tcW w:w="2070" w:type="dxa"/>
          </w:tcPr>
          <w:p w14:paraId="5D475CF6" w14:textId="4263F73A" w:rsid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758,932</w:t>
            </w:r>
            <w:r>
              <w:rPr>
                <w:rFonts w:ascii="Courier New" w:hAnsi="Courier New" w:cs="Courier New"/>
                <w:sz w:val="20"/>
                <w:szCs w:val="20"/>
              </w:rPr>
              <w:t>)</w:t>
            </w:r>
          </w:p>
          <w:p w14:paraId="15C643E1" w14:textId="77777777" w:rsidR="00F4400C" w:rsidRDefault="00F4400C" w:rsidP="00BA1AEB">
            <w:pPr>
              <w:rPr>
                <w:rFonts w:ascii="Courier New" w:hAnsi="Courier New" w:cs="Courier New"/>
                <w:sz w:val="20"/>
                <w:szCs w:val="20"/>
              </w:rPr>
            </w:pPr>
          </w:p>
          <w:p w14:paraId="12532969" w14:textId="670C7DAB" w:rsidR="00F4400C" w:rsidRPr="00BA1AEB" w:rsidRDefault="003A15CA" w:rsidP="00BA1AEB">
            <w:pPr>
              <w:rPr>
                <w:rFonts w:ascii="Courier New" w:hAnsi="Courier New" w:cs="Courier New"/>
                <w:sz w:val="20"/>
                <w:szCs w:val="20"/>
              </w:rPr>
            </w:pPr>
            <w:r>
              <w:rPr>
                <w:rFonts w:ascii="Courier New" w:hAnsi="Courier New" w:cs="Courier New"/>
                <w:sz w:val="20"/>
                <w:szCs w:val="20"/>
              </w:rPr>
              <w:t>*</w:t>
            </w:r>
            <w:r w:rsidR="00F4400C">
              <w:rPr>
                <w:rFonts w:ascii="Courier New" w:hAnsi="Courier New" w:cs="Courier New"/>
                <w:sz w:val="20"/>
                <w:szCs w:val="20"/>
              </w:rPr>
              <w:t>$441,110 of</w:t>
            </w:r>
            <w:r w:rsidR="00711440">
              <w:rPr>
                <w:rFonts w:ascii="Courier New" w:hAnsi="Courier New" w:cs="Courier New"/>
                <w:sz w:val="20"/>
                <w:szCs w:val="20"/>
              </w:rPr>
              <w:t xml:space="preserve"> which is REIT expenses</w:t>
            </w:r>
          </w:p>
        </w:tc>
      </w:tr>
      <w:tr w:rsidR="008571E2" w14:paraId="50C71BF4" w14:textId="77777777" w:rsidTr="00F4400C">
        <w:tc>
          <w:tcPr>
            <w:tcW w:w="2718" w:type="dxa"/>
          </w:tcPr>
          <w:p w14:paraId="5115D383" w14:textId="0188385C" w:rsidR="008571E2" w:rsidRPr="00BA1AEB" w:rsidRDefault="008571E2" w:rsidP="00BA1AEB">
            <w:pPr>
              <w:rPr>
                <w:rFonts w:ascii="Courier New" w:hAnsi="Courier New" w:cs="Courier New"/>
                <w:b/>
                <w:sz w:val="20"/>
                <w:szCs w:val="20"/>
              </w:rPr>
            </w:pPr>
            <w:r>
              <w:rPr>
                <w:rFonts w:ascii="Courier New" w:hAnsi="Courier New" w:cs="Courier New"/>
                <w:b/>
                <w:sz w:val="20"/>
                <w:szCs w:val="20"/>
              </w:rPr>
              <w:t>management fee</w:t>
            </w:r>
          </w:p>
        </w:tc>
        <w:tc>
          <w:tcPr>
            <w:tcW w:w="2070" w:type="dxa"/>
          </w:tcPr>
          <w:p w14:paraId="4D603B9B" w14:textId="05363B12" w:rsidR="008571E2" w:rsidRDefault="009C72B7" w:rsidP="00BA1AEB">
            <w:pPr>
              <w:rPr>
                <w:rFonts w:ascii="Courier New" w:hAnsi="Courier New" w:cs="Courier New"/>
                <w:sz w:val="20"/>
                <w:szCs w:val="20"/>
              </w:rPr>
            </w:pPr>
            <w:r>
              <w:rPr>
                <w:rFonts w:ascii="Courier New" w:hAnsi="Courier New" w:cs="Courier New"/>
                <w:sz w:val="20"/>
                <w:szCs w:val="20"/>
              </w:rPr>
              <w:t>(</w:t>
            </w:r>
            <w:r w:rsidR="008571E2">
              <w:rPr>
                <w:rFonts w:ascii="Courier New" w:hAnsi="Courier New" w:cs="Courier New"/>
                <w:sz w:val="20"/>
                <w:szCs w:val="20"/>
              </w:rPr>
              <w:t>$   76,211</w:t>
            </w:r>
            <w:r>
              <w:rPr>
                <w:rFonts w:ascii="Courier New" w:hAnsi="Courier New" w:cs="Courier New"/>
                <w:sz w:val="20"/>
                <w:szCs w:val="20"/>
              </w:rPr>
              <w:t>)</w:t>
            </w:r>
          </w:p>
        </w:tc>
        <w:tc>
          <w:tcPr>
            <w:tcW w:w="2070" w:type="dxa"/>
          </w:tcPr>
          <w:p w14:paraId="7FDB7C2D" w14:textId="2A828CD4" w:rsidR="008571E2" w:rsidRP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76,380</w:t>
            </w:r>
            <w:r>
              <w:rPr>
                <w:rFonts w:ascii="Courier New" w:hAnsi="Courier New" w:cs="Courier New"/>
                <w:sz w:val="20"/>
                <w:szCs w:val="20"/>
              </w:rPr>
              <w:t>)</w:t>
            </w:r>
          </w:p>
        </w:tc>
        <w:tc>
          <w:tcPr>
            <w:tcW w:w="2070" w:type="dxa"/>
          </w:tcPr>
          <w:p w14:paraId="2237C682" w14:textId="12B1A183" w:rsidR="008571E2" w:rsidRP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83,926</w:t>
            </w:r>
            <w:r>
              <w:rPr>
                <w:rFonts w:ascii="Courier New" w:hAnsi="Courier New" w:cs="Courier New"/>
                <w:sz w:val="20"/>
                <w:szCs w:val="20"/>
              </w:rPr>
              <w:t>)</w:t>
            </w:r>
          </w:p>
        </w:tc>
      </w:tr>
      <w:tr w:rsidR="00BA1AEB" w14:paraId="59318F63" w14:textId="77777777" w:rsidTr="00F4400C">
        <w:tc>
          <w:tcPr>
            <w:tcW w:w="2718" w:type="dxa"/>
          </w:tcPr>
          <w:p w14:paraId="0FF8819B" w14:textId="5BEB4F42" w:rsidR="00BA1AEB" w:rsidRPr="00BA1AEB" w:rsidRDefault="00BA1AEB" w:rsidP="00BA1AEB">
            <w:pPr>
              <w:rPr>
                <w:rFonts w:ascii="Courier New" w:hAnsi="Courier New" w:cs="Courier New"/>
                <w:b/>
                <w:sz w:val="20"/>
                <w:szCs w:val="20"/>
              </w:rPr>
            </w:pPr>
            <w:r w:rsidRPr="00BA1AEB">
              <w:rPr>
                <w:rFonts w:ascii="Courier New" w:hAnsi="Courier New" w:cs="Courier New"/>
                <w:b/>
                <w:sz w:val="20"/>
                <w:szCs w:val="20"/>
              </w:rPr>
              <w:t>fixed charges</w:t>
            </w:r>
          </w:p>
        </w:tc>
        <w:tc>
          <w:tcPr>
            <w:tcW w:w="2070" w:type="dxa"/>
          </w:tcPr>
          <w:p w14:paraId="4B90C70A" w14:textId="65530DBF" w:rsidR="00BA1AEB" w:rsidRPr="00BA1AEB" w:rsidRDefault="009C72B7" w:rsidP="00BA1AEB">
            <w:pPr>
              <w:rPr>
                <w:rFonts w:ascii="Courier New" w:hAnsi="Courier New" w:cs="Courier New"/>
                <w:sz w:val="20"/>
                <w:szCs w:val="20"/>
              </w:rPr>
            </w:pPr>
            <w:r>
              <w:rPr>
                <w:rFonts w:ascii="Courier New" w:hAnsi="Courier New" w:cs="Courier New"/>
                <w:sz w:val="20"/>
                <w:szCs w:val="20"/>
              </w:rPr>
              <w:t>(</w:t>
            </w:r>
            <w:r w:rsidR="008571E2">
              <w:rPr>
                <w:rFonts w:ascii="Courier New" w:hAnsi="Courier New" w:cs="Courier New"/>
                <w:sz w:val="20"/>
                <w:szCs w:val="20"/>
              </w:rPr>
              <w:t>$  214,596</w:t>
            </w:r>
            <w:r>
              <w:rPr>
                <w:rFonts w:ascii="Courier New" w:hAnsi="Courier New" w:cs="Courier New"/>
                <w:sz w:val="20"/>
                <w:szCs w:val="20"/>
              </w:rPr>
              <w:t>)</w:t>
            </w:r>
          </w:p>
        </w:tc>
        <w:tc>
          <w:tcPr>
            <w:tcW w:w="2070" w:type="dxa"/>
          </w:tcPr>
          <w:p w14:paraId="0C309929" w14:textId="48AC57CD" w:rsidR="00BA1AEB" w:rsidRP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212,084</w:t>
            </w:r>
            <w:r>
              <w:rPr>
                <w:rFonts w:ascii="Courier New" w:hAnsi="Courier New" w:cs="Courier New"/>
                <w:sz w:val="20"/>
                <w:szCs w:val="20"/>
              </w:rPr>
              <w:t>)</w:t>
            </w:r>
          </w:p>
        </w:tc>
        <w:tc>
          <w:tcPr>
            <w:tcW w:w="2070" w:type="dxa"/>
          </w:tcPr>
          <w:p w14:paraId="3F707B28" w14:textId="0DC4A98F" w:rsidR="00BA1AEB" w:rsidRPr="00BA1AEB" w:rsidRDefault="009C72B7" w:rsidP="00BA1AEB">
            <w:pPr>
              <w:rPr>
                <w:rFonts w:ascii="Courier New" w:hAnsi="Courier New" w:cs="Courier New"/>
                <w:sz w:val="20"/>
                <w:szCs w:val="20"/>
              </w:rPr>
            </w:pPr>
            <w:r>
              <w:rPr>
                <w:rFonts w:ascii="Courier New" w:hAnsi="Courier New" w:cs="Courier New"/>
                <w:sz w:val="20"/>
                <w:szCs w:val="20"/>
              </w:rPr>
              <w:t>(</w:t>
            </w:r>
            <w:r w:rsidR="00DB642E">
              <w:rPr>
                <w:rFonts w:ascii="Courier New" w:hAnsi="Courier New" w:cs="Courier New"/>
                <w:sz w:val="20"/>
                <w:szCs w:val="20"/>
              </w:rPr>
              <w:t>$  229,863</w:t>
            </w:r>
            <w:r>
              <w:rPr>
                <w:rFonts w:ascii="Courier New" w:hAnsi="Courier New" w:cs="Courier New"/>
                <w:sz w:val="20"/>
                <w:szCs w:val="20"/>
              </w:rPr>
              <w:t>)</w:t>
            </w:r>
          </w:p>
        </w:tc>
      </w:tr>
      <w:tr w:rsidR="00BA1AEB" w14:paraId="33F002F2" w14:textId="77777777" w:rsidTr="00F4400C">
        <w:tc>
          <w:tcPr>
            <w:tcW w:w="2718" w:type="dxa"/>
          </w:tcPr>
          <w:p w14:paraId="5D56AB58" w14:textId="6D4C85B8" w:rsidR="00BA1AEB" w:rsidRPr="00BA1AEB" w:rsidRDefault="00BA1AEB" w:rsidP="00BA1AEB">
            <w:pPr>
              <w:rPr>
                <w:rFonts w:ascii="Courier New" w:hAnsi="Courier New" w:cs="Courier New"/>
                <w:b/>
                <w:sz w:val="20"/>
                <w:szCs w:val="20"/>
              </w:rPr>
            </w:pPr>
            <w:r w:rsidRPr="00BA1AEB">
              <w:rPr>
                <w:rFonts w:ascii="Courier New" w:hAnsi="Courier New" w:cs="Courier New"/>
                <w:b/>
                <w:sz w:val="20"/>
                <w:szCs w:val="20"/>
              </w:rPr>
              <w:t>net operating income</w:t>
            </w:r>
          </w:p>
        </w:tc>
        <w:tc>
          <w:tcPr>
            <w:tcW w:w="2070" w:type="dxa"/>
          </w:tcPr>
          <w:p w14:paraId="60F83BC3" w14:textId="4E4C124A"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8571E2">
              <w:rPr>
                <w:rFonts w:ascii="Courier New" w:hAnsi="Courier New" w:cs="Courier New"/>
                <w:sz w:val="20"/>
                <w:szCs w:val="20"/>
              </w:rPr>
              <w:t>$  500,293</w:t>
            </w:r>
          </w:p>
        </w:tc>
        <w:tc>
          <w:tcPr>
            <w:tcW w:w="2070" w:type="dxa"/>
          </w:tcPr>
          <w:p w14:paraId="2E199E27" w14:textId="0774ACCC"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  538,127</w:t>
            </w:r>
          </w:p>
        </w:tc>
        <w:tc>
          <w:tcPr>
            <w:tcW w:w="2070" w:type="dxa"/>
          </w:tcPr>
          <w:p w14:paraId="27D510BE" w14:textId="59353B87"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  587,598</w:t>
            </w:r>
          </w:p>
        </w:tc>
      </w:tr>
      <w:tr w:rsidR="00BA1AEB" w14:paraId="21513176" w14:textId="77777777" w:rsidTr="00F4400C">
        <w:tc>
          <w:tcPr>
            <w:tcW w:w="2718" w:type="dxa"/>
          </w:tcPr>
          <w:p w14:paraId="19ADC10D" w14:textId="05CFD58C" w:rsidR="00BA1AEB" w:rsidRPr="00BA1AEB" w:rsidRDefault="00BA1AEB" w:rsidP="00BA1AEB">
            <w:pPr>
              <w:rPr>
                <w:rFonts w:ascii="Courier New" w:hAnsi="Courier New" w:cs="Courier New"/>
                <w:b/>
                <w:sz w:val="20"/>
                <w:szCs w:val="20"/>
              </w:rPr>
            </w:pPr>
            <w:r w:rsidRPr="00BA1AEB">
              <w:rPr>
                <w:rFonts w:ascii="Courier New" w:hAnsi="Courier New" w:cs="Courier New"/>
                <w:b/>
                <w:sz w:val="20"/>
                <w:szCs w:val="20"/>
              </w:rPr>
              <w:t>overall capitalization rate</w:t>
            </w:r>
          </w:p>
        </w:tc>
        <w:tc>
          <w:tcPr>
            <w:tcW w:w="2070" w:type="dxa"/>
          </w:tcPr>
          <w:p w14:paraId="39D3DFF9" w14:textId="4960DD8D" w:rsidR="00BA1AEB" w:rsidRPr="00BA1AEB" w:rsidRDefault="008571E2" w:rsidP="00BA1AEB">
            <w:pPr>
              <w:rPr>
                <w:rFonts w:ascii="Courier New" w:hAnsi="Courier New" w:cs="Courier New"/>
                <w:sz w:val="20"/>
                <w:szCs w:val="20"/>
              </w:rPr>
            </w:pPr>
            <w:r>
              <w:rPr>
                <w:rFonts w:ascii="Courier New" w:hAnsi="Courier New" w:cs="Courier New"/>
                <w:sz w:val="20"/>
                <w:szCs w:val="20"/>
              </w:rPr>
              <w:t>/12.741%</w:t>
            </w:r>
          </w:p>
        </w:tc>
        <w:tc>
          <w:tcPr>
            <w:tcW w:w="2070" w:type="dxa"/>
          </w:tcPr>
          <w:p w14:paraId="10441B8B" w14:textId="5CCA4599" w:rsidR="00BA1AEB" w:rsidRPr="00BA1AEB" w:rsidRDefault="00DB642E" w:rsidP="00BA1AEB">
            <w:pPr>
              <w:rPr>
                <w:rFonts w:ascii="Courier New" w:hAnsi="Courier New" w:cs="Courier New"/>
                <w:sz w:val="20"/>
                <w:szCs w:val="20"/>
              </w:rPr>
            </w:pPr>
            <w:r>
              <w:rPr>
                <w:rFonts w:ascii="Courier New" w:hAnsi="Courier New" w:cs="Courier New"/>
                <w:sz w:val="20"/>
                <w:szCs w:val="20"/>
              </w:rPr>
              <w:t>/12.630%</w:t>
            </w:r>
          </w:p>
        </w:tc>
        <w:tc>
          <w:tcPr>
            <w:tcW w:w="2070" w:type="dxa"/>
          </w:tcPr>
          <w:p w14:paraId="1FE14CEF" w14:textId="70CDCCA2" w:rsidR="00BA1AEB" w:rsidRPr="00BA1AEB" w:rsidRDefault="00DB642E" w:rsidP="00BA1AEB">
            <w:pPr>
              <w:rPr>
                <w:rFonts w:ascii="Courier New" w:hAnsi="Courier New" w:cs="Courier New"/>
                <w:sz w:val="20"/>
                <w:szCs w:val="20"/>
              </w:rPr>
            </w:pPr>
            <w:r>
              <w:rPr>
                <w:rFonts w:ascii="Courier New" w:hAnsi="Courier New" w:cs="Courier New"/>
                <w:sz w:val="20"/>
                <w:szCs w:val="20"/>
              </w:rPr>
              <w:t>/12.179%</w:t>
            </w:r>
          </w:p>
        </w:tc>
      </w:tr>
      <w:tr w:rsidR="00BA1AEB" w14:paraId="0DFF41DE" w14:textId="77777777" w:rsidTr="00F4400C">
        <w:tc>
          <w:tcPr>
            <w:tcW w:w="2718" w:type="dxa"/>
          </w:tcPr>
          <w:p w14:paraId="42E33E07" w14:textId="11400021" w:rsidR="00BA1AEB" w:rsidRPr="00BA1AEB" w:rsidRDefault="00BA1AEB" w:rsidP="00BA1AEB">
            <w:pPr>
              <w:rPr>
                <w:rFonts w:ascii="Courier New" w:hAnsi="Courier New" w:cs="Courier New"/>
                <w:b/>
                <w:sz w:val="20"/>
                <w:szCs w:val="20"/>
              </w:rPr>
            </w:pPr>
            <w:r w:rsidRPr="00BA1AEB">
              <w:rPr>
                <w:rFonts w:ascii="Courier New" w:hAnsi="Courier New" w:cs="Courier New"/>
                <w:b/>
                <w:sz w:val="20"/>
                <w:szCs w:val="20"/>
              </w:rPr>
              <w:t>indicated value</w:t>
            </w:r>
          </w:p>
        </w:tc>
        <w:tc>
          <w:tcPr>
            <w:tcW w:w="2070" w:type="dxa"/>
          </w:tcPr>
          <w:p w14:paraId="22CF7B4B" w14:textId="576678FF"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8571E2">
              <w:rPr>
                <w:rFonts w:ascii="Courier New" w:hAnsi="Courier New" w:cs="Courier New"/>
                <w:sz w:val="20"/>
                <w:szCs w:val="20"/>
              </w:rPr>
              <w:t>$3,926,638</w:t>
            </w:r>
          </w:p>
        </w:tc>
        <w:tc>
          <w:tcPr>
            <w:tcW w:w="2070" w:type="dxa"/>
          </w:tcPr>
          <w:p w14:paraId="0CB9C38A" w14:textId="2215B5F9"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$4,260,704</w:t>
            </w:r>
          </w:p>
        </w:tc>
        <w:tc>
          <w:tcPr>
            <w:tcW w:w="2070" w:type="dxa"/>
          </w:tcPr>
          <w:p w14:paraId="4D8F5010" w14:textId="6A39A0CD"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$4,667,180</w:t>
            </w:r>
          </w:p>
        </w:tc>
      </w:tr>
      <w:tr w:rsidR="00BA1AEB" w14:paraId="52393FD3" w14:textId="77777777" w:rsidTr="00F4400C">
        <w:tc>
          <w:tcPr>
            <w:tcW w:w="2718" w:type="dxa"/>
          </w:tcPr>
          <w:p w14:paraId="148EA324" w14:textId="150739E0" w:rsidR="00BA1AEB" w:rsidRPr="00BA1AEB" w:rsidRDefault="0076288F" w:rsidP="00BA1AEB">
            <w:pPr>
              <w:rPr>
                <w:rFonts w:ascii="Courier New" w:hAnsi="Courier New" w:cs="Courier New"/>
                <w:b/>
                <w:sz w:val="20"/>
                <w:szCs w:val="20"/>
              </w:rPr>
            </w:pPr>
            <w:r w:rsidRPr="00BA1AEB">
              <w:rPr>
                <w:rFonts w:ascii="Courier New" w:hAnsi="Courier New" w:cs="Courier New"/>
                <w:b/>
                <w:sz w:val="20"/>
                <w:szCs w:val="20"/>
              </w:rPr>
              <w:t>R</w:t>
            </w:r>
            <w:r w:rsidR="00BA1AEB" w:rsidRPr="00BA1AEB">
              <w:rPr>
                <w:rFonts w:ascii="Courier New" w:hAnsi="Courier New" w:cs="Courier New"/>
                <w:b/>
                <w:sz w:val="20"/>
                <w:szCs w:val="20"/>
              </w:rPr>
              <w:t>ounded</w:t>
            </w:r>
          </w:p>
        </w:tc>
        <w:tc>
          <w:tcPr>
            <w:tcW w:w="2070" w:type="dxa"/>
          </w:tcPr>
          <w:p w14:paraId="3F15461D" w14:textId="113CBFDB"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8571E2">
              <w:rPr>
                <w:rFonts w:ascii="Courier New" w:hAnsi="Courier New" w:cs="Courier New"/>
                <w:sz w:val="20"/>
                <w:szCs w:val="20"/>
              </w:rPr>
              <w:t>$3,925,000</w:t>
            </w:r>
          </w:p>
        </w:tc>
        <w:tc>
          <w:tcPr>
            <w:tcW w:w="2070" w:type="dxa"/>
          </w:tcPr>
          <w:p w14:paraId="2E2F9C8E" w14:textId="35F2DD36"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$4,260,000</w:t>
            </w:r>
          </w:p>
        </w:tc>
        <w:tc>
          <w:tcPr>
            <w:tcW w:w="2070" w:type="dxa"/>
          </w:tcPr>
          <w:p w14:paraId="7395BB24" w14:textId="3FDAD4DB" w:rsidR="00BA1AEB" w:rsidRPr="00BA1AEB" w:rsidRDefault="00F4400C" w:rsidP="00BA1AEB">
            <w:pPr>
              <w:rPr>
                <w:rFonts w:ascii="Courier New" w:hAnsi="Courier New" w:cs="Courier New"/>
                <w:sz w:val="20"/>
                <w:szCs w:val="20"/>
              </w:rPr>
            </w:pPr>
            <w:r>
              <w:rPr>
                <w:rFonts w:ascii="Courier New" w:hAnsi="Courier New" w:cs="Courier New"/>
                <w:sz w:val="20"/>
                <w:szCs w:val="20"/>
              </w:rPr>
              <w:t xml:space="preserve"> </w:t>
            </w:r>
            <w:r w:rsidR="00DB642E">
              <w:rPr>
                <w:rFonts w:ascii="Courier New" w:hAnsi="Courier New" w:cs="Courier New"/>
                <w:sz w:val="20"/>
                <w:szCs w:val="20"/>
              </w:rPr>
              <w:t>$4,670,000</w:t>
            </w:r>
          </w:p>
        </w:tc>
      </w:tr>
    </w:tbl>
    <w:p w14:paraId="1A38850E" w14:textId="77777777" w:rsidR="00DB642E" w:rsidRDefault="00DB642E" w:rsidP="00DB642E">
      <w:pPr>
        <w:spacing w:line="480" w:lineRule="auto"/>
        <w:ind w:firstLine="720"/>
        <w:jc w:val="both"/>
        <w:rPr>
          <w:rFonts w:ascii="Courier New" w:hAnsi="Courier New" w:cs="Courier New"/>
        </w:rPr>
      </w:pPr>
    </w:p>
    <w:p w14:paraId="5FAB768E" w14:textId="691CF6BB" w:rsidR="00807F13" w:rsidRDefault="00935B07" w:rsidP="00121B86">
      <w:pPr>
        <w:spacing w:line="480" w:lineRule="auto"/>
        <w:ind w:firstLine="720"/>
        <w:jc w:val="both"/>
        <w:rPr>
          <w:rFonts w:ascii="Courier New" w:hAnsi="Courier New" w:cs="Courier New"/>
        </w:rPr>
      </w:pPr>
      <w:r>
        <w:rPr>
          <w:rFonts w:ascii="Courier New" w:hAnsi="Courier New" w:cs="Courier New"/>
        </w:rPr>
        <w:t>The appellee presented its case in chief through the testimony and appraisal report of John Conn</w:t>
      </w:r>
      <w:r w:rsidR="008E43DF">
        <w:rPr>
          <w:rFonts w:ascii="Courier New" w:hAnsi="Courier New" w:cs="Courier New"/>
        </w:rPr>
        <w:t>olly, whom the Board qual</w:t>
      </w:r>
      <w:r>
        <w:rPr>
          <w:rFonts w:ascii="Courier New" w:hAnsi="Courier New" w:cs="Courier New"/>
        </w:rPr>
        <w:t xml:space="preserve">ified as an expert in the area of commercial real estate valuation. </w:t>
      </w:r>
    </w:p>
    <w:p w14:paraId="1407F7EB" w14:textId="601E0787" w:rsidR="00D82904" w:rsidRDefault="00445CD2" w:rsidP="00C22223">
      <w:pPr>
        <w:spacing w:line="480" w:lineRule="auto"/>
        <w:ind w:firstLine="720"/>
        <w:jc w:val="both"/>
        <w:rPr>
          <w:rFonts w:ascii="Courier New" w:hAnsi="Courier New" w:cs="Courier New"/>
        </w:rPr>
      </w:pPr>
      <w:r w:rsidRPr="00B121D2">
        <w:rPr>
          <w:rFonts w:ascii="Courier New" w:hAnsi="Courier New" w:cs="Courier New"/>
        </w:rPr>
        <w:t>Mr.</w:t>
      </w:r>
      <w:r>
        <w:rPr>
          <w:rFonts w:ascii="Courier New" w:hAnsi="Courier New" w:cs="Courier New"/>
        </w:rPr>
        <w:t xml:space="preserve"> Connolly agreed that the subject property’s highest and best use was its continued use as a suite hotel.  Mr. Connolly also determined that the income-capitalization approach was the most appropriate</w:t>
      </w:r>
      <w:r w:rsidR="008E43DF">
        <w:rPr>
          <w:rFonts w:ascii="Courier New" w:hAnsi="Courier New" w:cs="Courier New"/>
        </w:rPr>
        <w:t xml:space="preserve"> method</w:t>
      </w:r>
      <w:r>
        <w:rPr>
          <w:rFonts w:ascii="Courier New" w:hAnsi="Courier New" w:cs="Courier New"/>
        </w:rPr>
        <w:t xml:space="preserve"> for determining the fair market value</w:t>
      </w:r>
      <w:r w:rsidR="00810144">
        <w:rPr>
          <w:rFonts w:ascii="Courier New" w:hAnsi="Courier New" w:cs="Courier New"/>
        </w:rPr>
        <w:t xml:space="preserve"> of</w:t>
      </w:r>
      <w:r>
        <w:rPr>
          <w:rFonts w:ascii="Courier New" w:hAnsi="Courier New" w:cs="Courier New"/>
        </w:rPr>
        <w:t xml:space="preserve"> the subject property.</w:t>
      </w:r>
      <w:r w:rsidR="00BD14AF">
        <w:rPr>
          <w:rFonts w:ascii="Courier New" w:hAnsi="Courier New" w:cs="Courier New"/>
        </w:rPr>
        <w:t xml:space="preserve">  </w:t>
      </w:r>
      <w:r w:rsidR="001709D5">
        <w:rPr>
          <w:rFonts w:ascii="Courier New" w:hAnsi="Courier New" w:cs="Courier New"/>
        </w:rPr>
        <w:t>Mr. Connolly’s tot</w:t>
      </w:r>
      <w:r w:rsidR="000604D9">
        <w:rPr>
          <w:rFonts w:ascii="Courier New" w:hAnsi="Courier New" w:cs="Courier New"/>
        </w:rPr>
        <w:t>al revenue figures for the 3</w:t>
      </w:r>
      <w:r w:rsidR="001709D5">
        <w:rPr>
          <w:rFonts w:ascii="Courier New" w:hAnsi="Courier New" w:cs="Courier New"/>
        </w:rPr>
        <w:t xml:space="preserve"> fiscal years at issue were ve</w:t>
      </w:r>
      <w:r w:rsidR="00102C9F">
        <w:rPr>
          <w:rFonts w:ascii="Courier New" w:hAnsi="Courier New" w:cs="Courier New"/>
        </w:rPr>
        <w:t>ry similar to Ms. Balogh’s gross</w:t>
      </w:r>
      <w:r w:rsidR="001709D5">
        <w:rPr>
          <w:rFonts w:ascii="Courier New" w:hAnsi="Courier New" w:cs="Courier New"/>
        </w:rPr>
        <w:t xml:space="preserve"> revenue figures; in fact, Mr. Connolly’s figures </w:t>
      </w:r>
      <w:r w:rsidR="000604D9">
        <w:rPr>
          <w:rFonts w:ascii="Courier New" w:hAnsi="Courier New" w:cs="Courier New"/>
        </w:rPr>
        <w:t>were slightly lower in all 3</w:t>
      </w:r>
      <w:r w:rsidR="001709D5">
        <w:rPr>
          <w:rFonts w:ascii="Courier New" w:hAnsi="Courier New" w:cs="Courier New"/>
        </w:rPr>
        <w:t xml:space="preserve"> fiscal years, as the table below indicates:</w:t>
      </w:r>
    </w:p>
    <w:p w14:paraId="7830ED2A" w14:textId="77777777" w:rsidR="000204C7" w:rsidRDefault="000204C7" w:rsidP="00C22223">
      <w:pPr>
        <w:spacing w:line="480" w:lineRule="auto"/>
        <w:ind w:firstLine="720"/>
        <w:jc w:val="both"/>
        <w:rPr>
          <w:rFonts w:ascii="Courier New" w:hAnsi="Courier New" w:cs="Courier New"/>
        </w:rPr>
      </w:pPr>
    </w:p>
    <w:p w14:paraId="080760CB" w14:textId="77777777" w:rsidR="000204C7" w:rsidRDefault="000204C7" w:rsidP="00C22223">
      <w:pPr>
        <w:spacing w:line="480" w:lineRule="auto"/>
        <w:ind w:firstLine="720"/>
        <w:jc w:val="both"/>
        <w:rPr>
          <w:rFonts w:ascii="Courier New" w:hAnsi="Courier New" w:cs="Courier New"/>
        </w:rPr>
      </w:pPr>
    </w:p>
    <w:p w14:paraId="2A095B13" w14:textId="1186A543" w:rsidR="002B7A6B" w:rsidRPr="00D82904" w:rsidRDefault="00D82904" w:rsidP="00D82904">
      <w:pPr>
        <w:spacing w:line="480" w:lineRule="auto"/>
        <w:jc w:val="center"/>
        <w:rPr>
          <w:rFonts w:ascii="Courier New" w:hAnsi="Courier New" w:cs="Courier New"/>
          <w:b/>
          <w:sz w:val="20"/>
          <w:szCs w:val="20"/>
        </w:rPr>
      </w:pPr>
      <w:r w:rsidRPr="00D82904">
        <w:rPr>
          <w:rFonts w:ascii="Courier New" w:hAnsi="Courier New" w:cs="Courier New"/>
          <w:b/>
          <w:sz w:val="20"/>
          <w:szCs w:val="20"/>
        </w:rPr>
        <w:lastRenderedPageBreak/>
        <w:t>Gross Revenue</w:t>
      </w:r>
    </w:p>
    <w:tbl>
      <w:tblPr>
        <w:tblStyle w:val="TableGrid"/>
        <w:tblW w:w="0" w:type="auto"/>
        <w:tblLook w:val="04A0" w:firstRow="1" w:lastRow="0" w:firstColumn="1" w:lastColumn="0" w:noHBand="0" w:noVBand="1"/>
      </w:tblPr>
      <w:tblGrid>
        <w:gridCol w:w="2214"/>
        <w:gridCol w:w="2214"/>
        <w:gridCol w:w="2214"/>
        <w:gridCol w:w="2214"/>
      </w:tblGrid>
      <w:tr w:rsidR="001709D5" w14:paraId="3A9944D7" w14:textId="77777777" w:rsidTr="001709D5">
        <w:tc>
          <w:tcPr>
            <w:tcW w:w="2214" w:type="dxa"/>
          </w:tcPr>
          <w:p w14:paraId="70ABA698" w14:textId="344DCC67" w:rsidR="001709D5" w:rsidRPr="001709D5" w:rsidRDefault="001709D5" w:rsidP="001709D5">
            <w:pPr>
              <w:jc w:val="both"/>
              <w:rPr>
                <w:rFonts w:ascii="Courier New" w:hAnsi="Courier New" w:cs="Courier New"/>
                <w:b/>
                <w:sz w:val="20"/>
                <w:szCs w:val="20"/>
              </w:rPr>
            </w:pPr>
            <w:r>
              <w:rPr>
                <w:rFonts w:ascii="Courier New" w:hAnsi="Courier New" w:cs="Courier New"/>
                <w:b/>
                <w:sz w:val="20"/>
                <w:szCs w:val="20"/>
              </w:rPr>
              <w:t>F</w:t>
            </w:r>
            <w:r w:rsidRPr="001709D5">
              <w:rPr>
                <w:rFonts w:ascii="Courier New" w:hAnsi="Courier New" w:cs="Courier New"/>
                <w:b/>
                <w:sz w:val="20"/>
                <w:szCs w:val="20"/>
              </w:rPr>
              <w:t>iscal year</w:t>
            </w:r>
          </w:p>
        </w:tc>
        <w:tc>
          <w:tcPr>
            <w:tcW w:w="2214" w:type="dxa"/>
          </w:tcPr>
          <w:p w14:paraId="04231114" w14:textId="0E827DF0" w:rsidR="001709D5" w:rsidRPr="001709D5" w:rsidRDefault="001709D5" w:rsidP="001709D5">
            <w:pPr>
              <w:jc w:val="both"/>
              <w:rPr>
                <w:rFonts w:ascii="Courier New" w:hAnsi="Courier New" w:cs="Courier New"/>
                <w:b/>
                <w:sz w:val="20"/>
                <w:szCs w:val="20"/>
              </w:rPr>
            </w:pPr>
            <w:r w:rsidRPr="001709D5">
              <w:rPr>
                <w:rFonts w:ascii="Courier New" w:hAnsi="Courier New" w:cs="Courier New"/>
                <w:b/>
                <w:sz w:val="20"/>
                <w:szCs w:val="20"/>
              </w:rPr>
              <w:t>FY</w:t>
            </w:r>
            <w:r w:rsidR="00ED7690">
              <w:rPr>
                <w:rFonts w:ascii="Courier New" w:hAnsi="Courier New" w:cs="Courier New"/>
                <w:b/>
                <w:sz w:val="20"/>
                <w:szCs w:val="20"/>
              </w:rPr>
              <w:t xml:space="preserve"> </w:t>
            </w:r>
            <w:r w:rsidRPr="001709D5">
              <w:rPr>
                <w:rFonts w:ascii="Courier New" w:hAnsi="Courier New" w:cs="Courier New"/>
                <w:b/>
                <w:sz w:val="20"/>
                <w:szCs w:val="20"/>
              </w:rPr>
              <w:t>2014</w:t>
            </w:r>
          </w:p>
        </w:tc>
        <w:tc>
          <w:tcPr>
            <w:tcW w:w="2214" w:type="dxa"/>
          </w:tcPr>
          <w:p w14:paraId="5052E97B" w14:textId="3F261B28" w:rsidR="001709D5" w:rsidRPr="001709D5" w:rsidRDefault="001709D5" w:rsidP="001709D5">
            <w:pPr>
              <w:jc w:val="both"/>
              <w:rPr>
                <w:rFonts w:ascii="Courier New" w:hAnsi="Courier New" w:cs="Courier New"/>
                <w:b/>
                <w:sz w:val="20"/>
                <w:szCs w:val="20"/>
              </w:rPr>
            </w:pPr>
            <w:r w:rsidRPr="001709D5">
              <w:rPr>
                <w:rFonts w:ascii="Courier New" w:hAnsi="Courier New" w:cs="Courier New"/>
                <w:b/>
                <w:sz w:val="20"/>
                <w:szCs w:val="20"/>
              </w:rPr>
              <w:t>FY</w:t>
            </w:r>
            <w:r w:rsidR="00ED7690">
              <w:rPr>
                <w:rFonts w:ascii="Courier New" w:hAnsi="Courier New" w:cs="Courier New"/>
                <w:b/>
                <w:sz w:val="20"/>
                <w:szCs w:val="20"/>
              </w:rPr>
              <w:t xml:space="preserve"> </w:t>
            </w:r>
            <w:r w:rsidRPr="001709D5">
              <w:rPr>
                <w:rFonts w:ascii="Courier New" w:hAnsi="Courier New" w:cs="Courier New"/>
                <w:b/>
                <w:sz w:val="20"/>
                <w:szCs w:val="20"/>
              </w:rPr>
              <w:t>2015</w:t>
            </w:r>
          </w:p>
        </w:tc>
        <w:tc>
          <w:tcPr>
            <w:tcW w:w="2214" w:type="dxa"/>
          </w:tcPr>
          <w:p w14:paraId="17D3FCE3" w14:textId="33ECA580" w:rsidR="001709D5" w:rsidRPr="001709D5" w:rsidRDefault="001709D5" w:rsidP="001709D5">
            <w:pPr>
              <w:jc w:val="both"/>
              <w:rPr>
                <w:rFonts w:ascii="Courier New" w:hAnsi="Courier New" w:cs="Courier New"/>
                <w:b/>
                <w:sz w:val="20"/>
                <w:szCs w:val="20"/>
              </w:rPr>
            </w:pPr>
            <w:r w:rsidRPr="001709D5">
              <w:rPr>
                <w:rFonts w:ascii="Courier New" w:hAnsi="Courier New" w:cs="Courier New"/>
                <w:b/>
                <w:sz w:val="20"/>
                <w:szCs w:val="20"/>
              </w:rPr>
              <w:t>FY</w:t>
            </w:r>
            <w:r w:rsidR="00ED7690">
              <w:rPr>
                <w:rFonts w:ascii="Courier New" w:hAnsi="Courier New" w:cs="Courier New"/>
                <w:b/>
                <w:sz w:val="20"/>
                <w:szCs w:val="20"/>
              </w:rPr>
              <w:t xml:space="preserve"> </w:t>
            </w:r>
            <w:r w:rsidRPr="001709D5">
              <w:rPr>
                <w:rFonts w:ascii="Courier New" w:hAnsi="Courier New" w:cs="Courier New"/>
                <w:b/>
                <w:sz w:val="20"/>
                <w:szCs w:val="20"/>
              </w:rPr>
              <w:t>2016</w:t>
            </w:r>
          </w:p>
        </w:tc>
      </w:tr>
      <w:tr w:rsidR="001709D5" w14:paraId="6EBDF9FE" w14:textId="77777777" w:rsidTr="001709D5">
        <w:tc>
          <w:tcPr>
            <w:tcW w:w="2214" w:type="dxa"/>
          </w:tcPr>
          <w:p w14:paraId="24F2C4AC" w14:textId="18526B4D" w:rsidR="001709D5" w:rsidRPr="001709D5" w:rsidRDefault="001709D5" w:rsidP="001709D5">
            <w:pPr>
              <w:jc w:val="both"/>
              <w:rPr>
                <w:rFonts w:ascii="Courier New" w:hAnsi="Courier New" w:cs="Courier New"/>
                <w:b/>
                <w:sz w:val="20"/>
                <w:szCs w:val="20"/>
              </w:rPr>
            </w:pPr>
            <w:r w:rsidRPr="001709D5">
              <w:rPr>
                <w:rFonts w:ascii="Courier New" w:hAnsi="Courier New" w:cs="Courier New"/>
                <w:b/>
                <w:sz w:val="20"/>
                <w:szCs w:val="20"/>
              </w:rPr>
              <w:t>Ms. Balogh</w:t>
            </w:r>
          </w:p>
        </w:tc>
        <w:tc>
          <w:tcPr>
            <w:tcW w:w="2214" w:type="dxa"/>
          </w:tcPr>
          <w:p w14:paraId="106FC8CA" w14:textId="27A74F4E" w:rsidR="001709D5" w:rsidRPr="001709D5" w:rsidRDefault="001709D5" w:rsidP="001709D5">
            <w:pPr>
              <w:jc w:val="both"/>
              <w:rPr>
                <w:rFonts w:ascii="Courier New" w:hAnsi="Courier New" w:cs="Courier New"/>
                <w:sz w:val="20"/>
                <w:szCs w:val="20"/>
              </w:rPr>
            </w:pPr>
            <w:r>
              <w:rPr>
                <w:rFonts w:ascii="Courier New" w:hAnsi="Courier New" w:cs="Courier New"/>
                <w:sz w:val="20"/>
                <w:szCs w:val="20"/>
              </w:rPr>
              <w:t>$1,905,264</w:t>
            </w:r>
          </w:p>
        </w:tc>
        <w:tc>
          <w:tcPr>
            <w:tcW w:w="2214" w:type="dxa"/>
          </w:tcPr>
          <w:p w14:paraId="2B7699BE" w14:textId="589A2C8A" w:rsidR="001709D5" w:rsidRPr="001709D5" w:rsidRDefault="001709D5" w:rsidP="001709D5">
            <w:pPr>
              <w:jc w:val="both"/>
              <w:rPr>
                <w:rFonts w:ascii="Courier New" w:hAnsi="Courier New" w:cs="Courier New"/>
                <w:sz w:val="20"/>
                <w:szCs w:val="20"/>
              </w:rPr>
            </w:pPr>
            <w:r>
              <w:rPr>
                <w:rFonts w:ascii="Courier New" w:hAnsi="Courier New" w:cs="Courier New"/>
                <w:sz w:val="20"/>
                <w:szCs w:val="20"/>
              </w:rPr>
              <w:t>$1,909,488</w:t>
            </w:r>
          </w:p>
        </w:tc>
        <w:tc>
          <w:tcPr>
            <w:tcW w:w="2214" w:type="dxa"/>
          </w:tcPr>
          <w:p w14:paraId="7FF4D5E0" w14:textId="2DAB95BB" w:rsidR="001709D5" w:rsidRPr="001709D5" w:rsidRDefault="001709D5" w:rsidP="001709D5">
            <w:pPr>
              <w:jc w:val="both"/>
              <w:rPr>
                <w:rFonts w:ascii="Courier New" w:hAnsi="Courier New" w:cs="Courier New"/>
                <w:sz w:val="20"/>
                <w:szCs w:val="20"/>
              </w:rPr>
            </w:pPr>
            <w:r>
              <w:rPr>
                <w:rFonts w:ascii="Courier New" w:hAnsi="Courier New" w:cs="Courier New"/>
                <w:sz w:val="20"/>
                <w:szCs w:val="20"/>
              </w:rPr>
              <w:t>$2,098,149</w:t>
            </w:r>
          </w:p>
        </w:tc>
      </w:tr>
      <w:tr w:rsidR="001709D5" w14:paraId="58CA67F6" w14:textId="77777777" w:rsidTr="001709D5">
        <w:tc>
          <w:tcPr>
            <w:tcW w:w="2214" w:type="dxa"/>
          </w:tcPr>
          <w:p w14:paraId="092C7CA3" w14:textId="2CEB3913" w:rsidR="001709D5" w:rsidRPr="001709D5" w:rsidRDefault="001709D5" w:rsidP="001709D5">
            <w:pPr>
              <w:jc w:val="both"/>
              <w:rPr>
                <w:rFonts w:ascii="Courier New" w:hAnsi="Courier New" w:cs="Courier New"/>
                <w:b/>
                <w:sz w:val="20"/>
                <w:szCs w:val="20"/>
              </w:rPr>
            </w:pPr>
            <w:r w:rsidRPr="001709D5">
              <w:rPr>
                <w:rFonts w:ascii="Courier New" w:hAnsi="Courier New" w:cs="Courier New"/>
                <w:b/>
                <w:sz w:val="20"/>
                <w:szCs w:val="20"/>
              </w:rPr>
              <w:t>Mr. Connolly</w:t>
            </w:r>
          </w:p>
        </w:tc>
        <w:tc>
          <w:tcPr>
            <w:tcW w:w="2214" w:type="dxa"/>
          </w:tcPr>
          <w:p w14:paraId="0AB63A55" w14:textId="0B07D649" w:rsidR="001709D5" w:rsidRPr="001709D5" w:rsidRDefault="001709D5" w:rsidP="001709D5">
            <w:pPr>
              <w:jc w:val="both"/>
              <w:rPr>
                <w:rFonts w:ascii="Courier New" w:hAnsi="Courier New" w:cs="Courier New"/>
                <w:sz w:val="20"/>
                <w:szCs w:val="20"/>
              </w:rPr>
            </w:pPr>
            <w:r>
              <w:rPr>
                <w:rFonts w:ascii="Courier New" w:hAnsi="Courier New" w:cs="Courier New"/>
                <w:sz w:val="20"/>
                <w:szCs w:val="20"/>
              </w:rPr>
              <w:t>$</w:t>
            </w:r>
            <w:r w:rsidR="005C19FC">
              <w:rPr>
                <w:rFonts w:ascii="Courier New" w:hAnsi="Courier New" w:cs="Courier New"/>
                <w:sz w:val="20"/>
                <w:szCs w:val="20"/>
              </w:rPr>
              <w:t>1,902,693</w:t>
            </w:r>
          </w:p>
        </w:tc>
        <w:tc>
          <w:tcPr>
            <w:tcW w:w="2214" w:type="dxa"/>
          </w:tcPr>
          <w:p w14:paraId="0BE87C70" w14:textId="46B465F7" w:rsidR="001709D5" w:rsidRPr="001709D5" w:rsidRDefault="005C19FC" w:rsidP="001709D5">
            <w:pPr>
              <w:jc w:val="both"/>
              <w:rPr>
                <w:rFonts w:ascii="Courier New" w:hAnsi="Courier New" w:cs="Courier New"/>
                <w:sz w:val="20"/>
                <w:szCs w:val="20"/>
              </w:rPr>
            </w:pPr>
            <w:r>
              <w:rPr>
                <w:rFonts w:ascii="Courier New" w:hAnsi="Courier New" w:cs="Courier New"/>
                <w:sz w:val="20"/>
                <w:szCs w:val="20"/>
              </w:rPr>
              <w:t>$1,806,255</w:t>
            </w:r>
          </w:p>
        </w:tc>
        <w:tc>
          <w:tcPr>
            <w:tcW w:w="2214" w:type="dxa"/>
          </w:tcPr>
          <w:p w14:paraId="70FA98F2" w14:textId="11B89E75" w:rsidR="001709D5" w:rsidRPr="001709D5" w:rsidRDefault="005C19FC" w:rsidP="001709D5">
            <w:pPr>
              <w:jc w:val="both"/>
              <w:rPr>
                <w:rFonts w:ascii="Courier New" w:hAnsi="Courier New" w:cs="Courier New"/>
                <w:sz w:val="20"/>
                <w:szCs w:val="20"/>
              </w:rPr>
            </w:pPr>
            <w:r>
              <w:rPr>
                <w:rFonts w:ascii="Courier New" w:hAnsi="Courier New" w:cs="Courier New"/>
                <w:sz w:val="20"/>
                <w:szCs w:val="20"/>
              </w:rPr>
              <w:t>$2,083,179</w:t>
            </w:r>
          </w:p>
        </w:tc>
      </w:tr>
    </w:tbl>
    <w:p w14:paraId="06FA7B41" w14:textId="77777777" w:rsidR="001709D5" w:rsidRDefault="001709D5" w:rsidP="001709D5">
      <w:pPr>
        <w:spacing w:line="480" w:lineRule="auto"/>
        <w:jc w:val="both"/>
        <w:rPr>
          <w:rFonts w:ascii="Courier New" w:hAnsi="Courier New" w:cs="Courier New"/>
        </w:rPr>
      </w:pPr>
    </w:p>
    <w:p w14:paraId="349B7705" w14:textId="7997C755" w:rsidR="00BD14AF" w:rsidRDefault="001709D5" w:rsidP="001709D5">
      <w:pPr>
        <w:spacing w:line="480" w:lineRule="auto"/>
        <w:jc w:val="both"/>
        <w:rPr>
          <w:rFonts w:ascii="Courier New" w:hAnsi="Courier New" w:cs="Courier New"/>
        </w:rPr>
      </w:pPr>
      <w:r>
        <w:rPr>
          <w:rFonts w:ascii="Courier New" w:hAnsi="Courier New" w:cs="Courier New"/>
        </w:rPr>
        <w:t xml:space="preserve">Moreover, Mr. Connolly’s overall capitalization rates were </w:t>
      </w:r>
      <w:r w:rsidR="00B121D2">
        <w:rPr>
          <w:rFonts w:ascii="Courier New" w:hAnsi="Courier New" w:cs="Courier New"/>
        </w:rPr>
        <w:t xml:space="preserve">actually slightly </w:t>
      </w:r>
      <w:r>
        <w:rPr>
          <w:rFonts w:ascii="Courier New" w:hAnsi="Courier New" w:cs="Courier New"/>
        </w:rPr>
        <w:t>higher than Ms. Balogh’s overall ca</w:t>
      </w:r>
      <w:r w:rsidR="000604D9">
        <w:rPr>
          <w:rFonts w:ascii="Courier New" w:hAnsi="Courier New" w:cs="Courier New"/>
        </w:rPr>
        <w:t>pitalization rates for all 3</w:t>
      </w:r>
      <w:r>
        <w:rPr>
          <w:rFonts w:ascii="Courier New" w:hAnsi="Courier New" w:cs="Courier New"/>
        </w:rPr>
        <w:t xml:space="preserve"> fiscal years at issue, as reflected in the table below:</w:t>
      </w:r>
    </w:p>
    <w:p w14:paraId="10BEAE04" w14:textId="60D126F0" w:rsidR="00D82904" w:rsidRPr="00D82904" w:rsidRDefault="00D82904" w:rsidP="00D82904">
      <w:pPr>
        <w:spacing w:line="480" w:lineRule="auto"/>
        <w:jc w:val="center"/>
        <w:rPr>
          <w:rFonts w:ascii="Courier New" w:hAnsi="Courier New" w:cs="Courier New"/>
          <w:b/>
          <w:sz w:val="20"/>
          <w:szCs w:val="20"/>
        </w:rPr>
      </w:pPr>
      <w:r>
        <w:rPr>
          <w:rFonts w:ascii="Courier New" w:hAnsi="Courier New" w:cs="Courier New"/>
          <w:b/>
          <w:sz w:val="20"/>
          <w:szCs w:val="20"/>
        </w:rPr>
        <w:t>Capitalization Rate</w:t>
      </w:r>
    </w:p>
    <w:tbl>
      <w:tblPr>
        <w:tblStyle w:val="TableGrid"/>
        <w:tblW w:w="0" w:type="auto"/>
        <w:tblLook w:val="04A0" w:firstRow="1" w:lastRow="0" w:firstColumn="1" w:lastColumn="0" w:noHBand="0" w:noVBand="1"/>
      </w:tblPr>
      <w:tblGrid>
        <w:gridCol w:w="2214"/>
        <w:gridCol w:w="2214"/>
        <w:gridCol w:w="2214"/>
        <w:gridCol w:w="2214"/>
      </w:tblGrid>
      <w:tr w:rsidR="001709D5" w14:paraId="44B39ECB" w14:textId="77777777" w:rsidTr="0017630B">
        <w:tc>
          <w:tcPr>
            <w:tcW w:w="2214" w:type="dxa"/>
          </w:tcPr>
          <w:p w14:paraId="7817A9AB" w14:textId="77777777" w:rsidR="001709D5" w:rsidRPr="001709D5" w:rsidRDefault="001709D5" w:rsidP="0017630B">
            <w:pPr>
              <w:jc w:val="both"/>
              <w:rPr>
                <w:rFonts w:ascii="Courier New" w:hAnsi="Courier New" w:cs="Courier New"/>
                <w:b/>
                <w:sz w:val="20"/>
                <w:szCs w:val="20"/>
              </w:rPr>
            </w:pPr>
            <w:r>
              <w:rPr>
                <w:rFonts w:ascii="Courier New" w:hAnsi="Courier New" w:cs="Courier New"/>
                <w:b/>
                <w:sz w:val="20"/>
                <w:szCs w:val="20"/>
              </w:rPr>
              <w:t>F</w:t>
            </w:r>
            <w:r w:rsidRPr="001709D5">
              <w:rPr>
                <w:rFonts w:ascii="Courier New" w:hAnsi="Courier New" w:cs="Courier New"/>
                <w:b/>
                <w:sz w:val="20"/>
                <w:szCs w:val="20"/>
              </w:rPr>
              <w:t>iscal year</w:t>
            </w:r>
          </w:p>
        </w:tc>
        <w:tc>
          <w:tcPr>
            <w:tcW w:w="2214" w:type="dxa"/>
          </w:tcPr>
          <w:p w14:paraId="3ED4F9B6" w14:textId="1895DC6B" w:rsidR="001709D5" w:rsidRPr="001709D5" w:rsidRDefault="001709D5" w:rsidP="0017630B">
            <w:pPr>
              <w:jc w:val="both"/>
              <w:rPr>
                <w:rFonts w:ascii="Courier New" w:hAnsi="Courier New" w:cs="Courier New"/>
                <w:b/>
                <w:sz w:val="20"/>
                <w:szCs w:val="20"/>
              </w:rPr>
            </w:pPr>
            <w:r w:rsidRPr="001709D5">
              <w:rPr>
                <w:rFonts w:ascii="Courier New" w:hAnsi="Courier New" w:cs="Courier New"/>
                <w:b/>
                <w:sz w:val="20"/>
                <w:szCs w:val="20"/>
              </w:rPr>
              <w:t>FY</w:t>
            </w:r>
            <w:r w:rsidR="00ED7690">
              <w:rPr>
                <w:rFonts w:ascii="Courier New" w:hAnsi="Courier New" w:cs="Courier New"/>
                <w:b/>
                <w:sz w:val="20"/>
                <w:szCs w:val="20"/>
              </w:rPr>
              <w:t xml:space="preserve"> </w:t>
            </w:r>
            <w:r w:rsidRPr="001709D5">
              <w:rPr>
                <w:rFonts w:ascii="Courier New" w:hAnsi="Courier New" w:cs="Courier New"/>
                <w:b/>
                <w:sz w:val="20"/>
                <w:szCs w:val="20"/>
              </w:rPr>
              <w:t>2014</w:t>
            </w:r>
          </w:p>
        </w:tc>
        <w:tc>
          <w:tcPr>
            <w:tcW w:w="2214" w:type="dxa"/>
          </w:tcPr>
          <w:p w14:paraId="0B7C86E0" w14:textId="4835C232" w:rsidR="001709D5" w:rsidRPr="001709D5" w:rsidRDefault="001709D5" w:rsidP="0017630B">
            <w:pPr>
              <w:jc w:val="both"/>
              <w:rPr>
                <w:rFonts w:ascii="Courier New" w:hAnsi="Courier New" w:cs="Courier New"/>
                <w:b/>
                <w:sz w:val="20"/>
                <w:szCs w:val="20"/>
              </w:rPr>
            </w:pPr>
            <w:r w:rsidRPr="001709D5">
              <w:rPr>
                <w:rFonts w:ascii="Courier New" w:hAnsi="Courier New" w:cs="Courier New"/>
                <w:b/>
                <w:sz w:val="20"/>
                <w:szCs w:val="20"/>
              </w:rPr>
              <w:t>FY</w:t>
            </w:r>
            <w:r w:rsidR="00ED7690">
              <w:rPr>
                <w:rFonts w:ascii="Courier New" w:hAnsi="Courier New" w:cs="Courier New"/>
                <w:b/>
                <w:sz w:val="20"/>
                <w:szCs w:val="20"/>
              </w:rPr>
              <w:t xml:space="preserve"> </w:t>
            </w:r>
            <w:r w:rsidRPr="001709D5">
              <w:rPr>
                <w:rFonts w:ascii="Courier New" w:hAnsi="Courier New" w:cs="Courier New"/>
                <w:b/>
                <w:sz w:val="20"/>
                <w:szCs w:val="20"/>
              </w:rPr>
              <w:t>2015</w:t>
            </w:r>
          </w:p>
        </w:tc>
        <w:tc>
          <w:tcPr>
            <w:tcW w:w="2214" w:type="dxa"/>
          </w:tcPr>
          <w:p w14:paraId="434EE4FD" w14:textId="5167E363" w:rsidR="001709D5" w:rsidRPr="001709D5" w:rsidRDefault="001709D5" w:rsidP="0017630B">
            <w:pPr>
              <w:jc w:val="both"/>
              <w:rPr>
                <w:rFonts w:ascii="Courier New" w:hAnsi="Courier New" w:cs="Courier New"/>
                <w:b/>
                <w:sz w:val="20"/>
                <w:szCs w:val="20"/>
              </w:rPr>
            </w:pPr>
            <w:r w:rsidRPr="001709D5">
              <w:rPr>
                <w:rFonts w:ascii="Courier New" w:hAnsi="Courier New" w:cs="Courier New"/>
                <w:b/>
                <w:sz w:val="20"/>
                <w:szCs w:val="20"/>
              </w:rPr>
              <w:t>FY</w:t>
            </w:r>
            <w:r w:rsidR="00ED7690">
              <w:rPr>
                <w:rFonts w:ascii="Courier New" w:hAnsi="Courier New" w:cs="Courier New"/>
                <w:b/>
                <w:sz w:val="20"/>
                <w:szCs w:val="20"/>
              </w:rPr>
              <w:t xml:space="preserve"> </w:t>
            </w:r>
            <w:r w:rsidRPr="001709D5">
              <w:rPr>
                <w:rFonts w:ascii="Courier New" w:hAnsi="Courier New" w:cs="Courier New"/>
                <w:b/>
                <w:sz w:val="20"/>
                <w:szCs w:val="20"/>
              </w:rPr>
              <w:t>2016</w:t>
            </w:r>
          </w:p>
        </w:tc>
      </w:tr>
      <w:tr w:rsidR="001709D5" w14:paraId="551D02F6" w14:textId="77777777" w:rsidTr="0017630B">
        <w:tc>
          <w:tcPr>
            <w:tcW w:w="2214" w:type="dxa"/>
          </w:tcPr>
          <w:p w14:paraId="39DFA644" w14:textId="77777777" w:rsidR="001709D5" w:rsidRPr="001709D5" w:rsidRDefault="001709D5" w:rsidP="0017630B">
            <w:pPr>
              <w:jc w:val="both"/>
              <w:rPr>
                <w:rFonts w:ascii="Courier New" w:hAnsi="Courier New" w:cs="Courier New"/>
                <w:b/>
                <w:sz w:val="20"/>
                <w:szCs w:val="20"/>
              </w:rPr>
            </w:pPr>
            <w:r w:rsidRPr="001709D5">
              <w:rPr>
                <w:rFonts w:ascii="Courier New" w:hAnsi="Courier New" w:cs="Courier New"/>
                <w:b/>
                <w:sz w:val="20"/>
                <w:szCs w:val="20"/>
              </w:rPr>
              <w:t>Ms. Balogh</w:t>
            </w:r>
          </w:p>
        </w:tc>
        <w:tc>
          <w:tcPr>
            <w:tcW w:w="2214" w:type="dxa"/>
          </w:tcPr>
          <w:p w14:paraId="53FA5458" w14:textId="6DAC017E" w:rsidR="001709D5" w:rsidRPr="001709D5" w:rsidRDefault="00B121D2" w:rsidP="0017630B">
            <w:pPr>
              <w:jc w:val="both"/>
              <w:rPr>
                <w:rFonts w:ascii="Courier New" w:hAnsi="Courier New" w:cs="Courier New"/>
                <w:sz w:val="20"/>
                <w:szCs w:val="20"/>
              </w:rPr>
            </w:pPr>
            <w:r>
              <w:rPr>
                <w:rFonts w:ascii="Courier New" w:hAnsi="Courier New" w:cs="Courier New"/>
                <w:sz w:val="20"/>
                <w:szCs w:val="20"/>
              </w:rPr>
              <w:t>12.741%</w:t>
            </w:r>
          </w:p>
        </w:tc>
        <w:tc>
          <w:tcPr>
            <w:tcW w:w="2214" w:type="dxa"/>
          </w:tcPr>
          <w:p w14:paraId="4582A569" w14:textId="7AC22D84" w:rsidR="001709D5" w:rsidRPr="001709D5" w:rsidRDefault="00B121D2" w:rsidP="0017630B">
            <w:pPr>
              <w:jc w:val="both"/>
              <w:rPr>
                <w:rFonts w:ascii="Courier New" w:hAnsi="Courier New" w:cs="Courier New"/>
                <w:sz w:val="20"/>
                <w:szCs w:val="20"/>
              </w:rPr>
            </w:pPr>
            <w:r>
              <w:rPr>
                <w:rFonts w:ascii="Courier New" w:hAnsi="Courier New" w:cs="Courier New"/>
                <w:sz w:val="20"/>
                <w:szCs w:val="20"/>
              </w:rPr>
              <w:t>12.630%</w:t>
            </w:r>
          </w:p>
        </w:tc>
        <w:tc>
          <w:tcPr>
            <w:tcW w:w="2214" w:type="dxa"/>
          </w:tcPr>
          <w:p w14:paraId="40108722" w14:textId="06590CA1" w:rsidR="001709D5" w:rsidRPr="001709D5" w:rsidRDefault="00B121D2" w:rsidP="0017630B">
            <w:pPr>
              <w:jc w:val="both"/>
              <w:rPr>
                <w:rFonts w:ascii="Courier New" w:hAnsi="Courier New" w:cs="Courier New"/>
                <w:sz w:val="20"/>
                <w:szCs w:val="20"/>
              </w:rPr>
            </w:pPr>
            <w:r>
              <w:rPr>
                <w:rFonts w:ascii="Courier New" w:hAnsi="Courier New" w:cs="Courier New"/>
                <w:sz w:val="20"/>
                <w:szCs w:val="20"/>
              </w:rPr>
              <w:t>12.179%</w:t>
            </w:r>
          </w:p>
        </w:tc>
      </w:tr>
      <w:tr w:rsidR="001709D5" w14:paraId="4232772A" w14:textId="77777777" w:rsidTr="0017630B">
        <w:tc>
          <w:tcPr>
            <w:tcW w:w="2214" w:type="dxa"/>
          </w:tcPr>
          <w:p w14:paraId="55076883" w14:textId="77777777" w:rsidR="001709D5" w:rsidRPr="001709D5" w:rsidRDefault="001709D5" w:rsidP="0017630B">
            <w:pPr>
              <w:jc w:val="both"/>
              <w:rPr>
                <w:rFonts w:ascii="Courier New" w:hAnsi="Courier New" w:cs="Courier New"/>
                <w:b/>
                <w:sz w:val="20"/>
                <w:szCs w:val="20"/>
              </w:rPr>
            </w:pPr>
            <w:r w:rsidRPr="001709D5">
              <w:rPr>
                <w:rFonts w:ascii="Courier New" w:hAnsi="Courier New" w:cs="Courier New"/>
                <w:b/>
                <w:sz w:val="20"/>
                <w:szCs w:val="20"/>
              </w:rPr>
              <w:t>Mr. Connolly</w:t>
            </w:r>
          </w:p>
        </w:tc>
        <w:tc>
          <w:tcPr>
            <w:tcW w:w="2214" w:type="dxa"/>
          </w:tcPr>
          <w:p w14:paraId="18415EEE" w14:textId="35050574" w:rsidR="001709D5" w:rsidRPr="001709D5" w:rsidRDefault="00B121D2" w:rsidP="0017630B">
            <w:pPr>
              <w:jc w:val="both"/>
              <w:rPr>
                <w:rFonts w:ascii="Courier New" w:hAnsi="Courier New" w:cs="Courier New"/>
                <w:sz w:val="20"/>
                <w:szCs w:val="20"/>
              </w:rPr>
            </w:pPr>
            <w:r>
              <w:rPr>
                <w:rFonts w:ascii="Courier New" w:hAnsi="Courier New" w:cs="Courier New"/>
                <w:sz w:val="20"/>
                <w:szCs w:val="20"/>
              </w:rPr>
              <w:t>13.5%</w:t>
            </w:r>
          </w:p>
        </w:tc>
        <w:tc>
          <w:tcPr>
            <w:tcW w:w="2214" w:type="dxa"/>
          </w:tcPr>
          <w:p w14:paraId="1EE3952C" w14:textId="67299920" w:rsidR="001709D5" w:rsidRPr="001709D5" w:rsidRDefault="00B121D2" w:rsidP="0017630B">
            <w:pPr>
              <w:jc w:val="both"/>
              <w:rPr>
                <w:rFonts w:ascii="Courier New" w:hAnsi="Courier New" w:cs="Courier New"/>
                <w:sz w:val="20"/>
                <w:szCs w:val="20"/>
              </w:rPr>
            </w:pPr>
            <w:r>
              <w:rPr>
                <w:rFonts w:ascii="Courier New" w:hAnsi="Courier New" w:cs="Courier New"/>
                <w:sz w:val="20"/>
                <w:szCs w:val="20"/>
              </w:rPr>
              <w:t>14.1%</w:t>
            </w:r>
          </w:p>
        </w:tc>
        <w:tc>
          <w:tcPr>
            <w:tcW w:w="2214" w:type="dxa"/>
          </w:tcPr>
          <w:p w14:paraId="1BDE821E" w14:textId="41E44807" w:rsidR="001709D5" w:rsidRPr="001709D5" w:rsidRDefault="00B121D2" w:rsidP="0017630B">
            <w:pPr>
              <w:jc w:val="both"/>
              <w:rPr>
                <w:rFonts w:ascii="Courier New" w:hAnsi="Courier New" w:cs="Courier New"/>
                <w:sz w:val="20"/>
                <w:szCs w:val="20"/>
              </w:rPr>
            </w:pPr>
            <w:r>
              <w:rPr>
                <w:rFonts w:ascii="Courier New" w:hAnsi="Courier New" w:cs="Courier New"/>
                <w:sz w:val="20"/>
                <w:szCs w:val="20"/>
              </w:rPr>
              <w:t>12.8%</w:t>
            </w:r>
          </w:p>
        </w:tc>
      </w:tr>
    </w:tbl>
    <w:p w14:paraId="72BB60EF" w14:textId="77777777" w:rsidR="001709D5" w:rsidRDefault="001709D5" w:rsidP="001709D5">
      <w:pPr>
        <w:spacing w:line="480" w:lineRule="auto"/>
        <w:jc w:val="both"/>
        <w:rPr>
          <w:rFonts w:ascii="Courier New" w:hAnsi="Courier New" w:cs="Courier New"/>
        </w:rPr>
      </w:pPr>
    </w:p>
    <w:p w14:paraId="6F5DEB88" w14:textId="3C68E0AA" w:rsidR="00CE5E6B" w:rsidRDefault="0064372C" w:rsidP="00E97A75">
      <w:pPr>
        <w:spacing w:line="480" w:lineRule="auto"/>
        <w:ind w:firstLine="720"/>
        <w:jc w:val="both"/>
        <w:rPr>
          <w:rFonts w:ascii="Courier New" w:hAnsi="Courier New" w:cs="Courier New"/>
        </w:rPr>
      </w:pPr>
      <w:r>
        <w:rPr>
          <w:rFonts w:ascii="Courier New" w:hAnsi="Courier New" w:cs="Courier New"/>
        </w:rPr>
        <w:t>The</w:t>
      </w:r>
      <w:r w:rsidR="00B121D2">
        <w:rPr>
          <w:rFonts w:ascii="Courier New" w:hAnsi="Courier New" w:cs="Courier New"/>
        </w:rPr>
        <w:t xml:space="preserve"> </w:t>
      </w:r>
      <w:r w:rsidR="001149ED">
        <w:rPr>
          <w:rFonts w:ascii="Courier New" w:hAnsi="Courier New" w:cs="Courier New"/>
        </w:rPr>
        <w:t xml:space="preserve">principal </w:t>
      </w:r>
      <w:r w:rsidR="00B121D2">
        <w:rPr>
          <w:rFonts w:ascii="Courier New" w:hAnsi="Courier New" w:cs="Courier New"/>
        </w:rPr>
        <w:t>difference between Ms. Balogh’s and Mr. Connolly’s appraisal reports</w:t>
      </w:r>
      <w:r>
        <w:rPr>
          <w:rFonts w:ascii="Courier New" w:hAnsi="Courier New" w:cs="Courier New"/>
        </w:rPr>
        <w:t>, which resulted in the appellant’s lower fair market value,</w:t>
      </w:r>
      <w:r w:rsidR="00B121D2">
        <w:rPr>
          <w:rFonts w:ascii="Courier New" w:hAnsi="Courier New" w:cs="Courier New"/>
        </w:rPr>
        <w:t xml:space="preserve"> is the calculation of operating expenses</w:t>
      </w:r>
      <w:r w:rsidR="00ED0EE2">
        <w:rPr>
          <w:rFonts w:ascii="Courier New" w:hAnsi="Courier New" w:cs="Courier New"/>
        </w:rPr>
        <w:t xml:space="preserve"> that</w:t>
      </w:r>
      <w:r w:rsidR="00102C9F">
        <w:rPr>
          <w:rFonts w:ascii="Courier New" w:hAnsi="Courier New" w:cs="Courier New"/>
        </w:rPr>
        <w:t xml:space="preserve"> were deducted from gross revenue</w:t>
      </w:r>
      <w:r w:rsidR="00B121D2">
        <w:rPr>
          <w:rFonts w:ascii="Courier New" w:hAnsi="Courier New" w:cs="Courier New"/>
        </w:rPr>
        <w:t xml:space="preserve">.  Ms. Balogh included </w:t>
      </w:r>
      <w:r w:rsidR="003A15CA">
        <w:rPr>
          <w:rFonts w:ascii="Courier New" w:hAnsi="Courier New" w:cs="Courier New"/>
        </w:rPr>
        <w:t xml:space="preserve">the </w:t>
      </w:r>
      <w:r w:rsidR="00711440">
        <w:rPr>
          <w:rFonts w:ascii="Courier New" w:hAnsi="Courier New" w:cs="Courier New"/>
        </w:rPr>
        <w:t>REIT</w:t>
      </w:r>
      <w:r w:rsidR="00B121D2" w:rsidRPr="003A15CA">
        <w:rPr>
          <w:rFonts w:ascii="Courier New" w:hAnsi="Courier New" w:cs="Courier New"/>
        </w:rPr>
        <w:t xml:space="preserve"> expenses</w:t>
      </w:r>
      <w:r w:rsidR="00E97A75">
        <w:rPr>
          <w:rFonts w:ascii="Courier New" w:hAnsi="Courier New" w:cs="Courier New"/>
        </w:rPr>
        <w:t xml:space="preserve"> as operating expenses</w:t>
      </w:r>
      <w:r w:rsidR="00ED0EE2">
        <w:rPr>
          <w:rFonts w:ascii="Courier New" w:hAnsi="Courier New" w:cs="Courier New"/>
        </w:rPr>
        <w:t>, but Mr. Connolly did not.</w:t>
      </w:r>
      <w:r w:rsidR="00E97A75">
        <w:rPr>
          <w:rFonts w:ascii="Courier New" w:hAnsi="Courier New" w:cs="Courier New"/>
        </w:rPr>
        <w:t xml:space="preserve">  </w:t>
      </w:r>
      <w:r w:rsidR="00ED0EE2" w:rsidRPr="00E97A75">
        <w:rPr>
          <w:rFonts w:ascii="Courier New" w:hAnsi="Courier New" w:cs="Courier New"/>
        </w:rPr>
        <w:t>T</w:t>
      </w:r>
      <w:r w:rsidR="008C3DDF" w:rsidRPr="00E97A75">
        <w:rPr>
          <w:rFonts w:ascii="Courier New" w:hAnsi="Courier New" w:cs="Courier New"/>
        </w:rPr>
        <w:t>he appellee contended that the</w:t>
      </w:r>
      <w:r w:rsidR="00ED0EE2" w:rsidRPr="00E97A75">
        <w:rPr>
          <w:rFonts w:ascii="Courier New" w:hAnsi="Courier New" w:cs="Courier New"/>
        </w:rPr>
        <w:t xml:space="preserve"> </w:t>
      </w:r>
      <w:r w:rsidR="00711440" w:rsidRPr="00E97A75">
        <w:rPr>
          <w:rFonts w:ascii="Courier New" w:hAnsi="Courier New" w:cs="Courier New"/>
        </w:rPr>
        <w:t>REIT</w:t>
      </w:r>
      <w:r w:rsidR="001C3676" w:rsidRPr="00E97A75">
        <w:rPr>
          <w:rFonts w:ascii="Courier New" w:hAnsi="Courier New" w:cs="Courier New"/>
        </w:rPr>
        <w:t xml:space="preserve"> </w:t>
      </w:r>
      <w:r w:rsidR="00EB3C4B" w:rsidRPr="00E97A75">
        <w:rPr>
          <w:rFonts w:ascii="Courier New" w:hAnsi="Courier New" w:cs="Courier New"/>
        </w:rPr>
        <w:t xml:space="preserve">expenses </w:t>
      </w:r>
      <w:r w:rsidR="00E97A75">
        <w:rPr>
          <w:rFonts w:ascii="Courier New" w:hAnsi="Courier New" w:cs="Courier New"/>
        </w:rPr>
        <w:t>–</w:t>
      </w:r>
      <w:r w:rsidR="00EB3C4B" w:rsidRPr="00E97A75">
        <w:rPr>
          <w:rFonts w:ascii="Courier New" w:hAnsi="Courier New" w:cs="Courier New"/>
        </w:rPr>
        <w:t xml:space="preserve"> </w:t>
      </w:r>
      <w:r w:rsidR="00E97A75" w:rsidRPr="00E97A75">
        <w:rPr>
          <w:rFonts w:ascii="Courier New" w:hAnsi="Courier New" w:cs="Courier New"/>
        </w:rPr>
        <w:t>including</w:t>
      </w:r>
      <w:r w:rsidR="00E97A75">
        <w:rPr>
          <w:rFonts w:ascii="Courier New" w:hAnsi="Courier New" w:cs="Courier New"/>
        </w:rPr>
        <w:t xml:space="preserve"> but not limited to IPO costs, compensation expenses of the corporate staff, and professional fees </w:t>
      </w:r>
      <w:r w:rsidR="00EB3C4B">
        <w:rPr>
          <w:rFonts w:ascii="Courier New" w:hAnsi="Courier New" w:cs="Courier New"/>
        </w:rPr>
        <w:t>--</w:t>
      </w:r>
      <w:r w:rsidR="008C3DDF">
        <w:rPr>
          <w:rFonts w:ascii="Courier New" w:hAnsi="Courier New" w:cs="Courier New"/>
        </w:rPr>
        <w:t xml:space="preserve"> were </w:t>
      </w:r>
      <w:r w:rsidR="00EB3C4B">
        <w:rPr>
          <w:rFonts w:ascii="Courier New" w:hAnsi="Courier New" w:cs="Courier New"/>
        </w:rPr>
        <w:t xml:space="preserve">related </w:t>
      </w:r>
      <w:r w:rsidR="00E97A75">
        <w:rPr>
          <w:rFonts w:ascii="Courier New" w:hAnsi="Courier New" w:cs="Courier New"/>
        </w:rPr>
        <w:t xml:space="preserve">only to the </w:t>
      </w:r>
      <w:r w:rsidR="00ED0EE2">
        <w:rPr>
          <w:rFonts w:ascii="Courier New" w:hAnsi="Courier New" w:cs="Courier New"/>
        </w:rPr>
        <w:t xml:space="preserve">operation </w:t>
      </w:r>
      <w:r w:rsidR="00EB3C4B">
        <w:rPr>
          <w:rFonts w:ascii="Courier New" w:hAnsi="Courier New" w:cs="Courier New"/>
        </w:rPr>
        <w:t>of the appellant but</w:t>
      </w:r>
      <w:r w:rsidR="00C93F45">
        <w:rPr>
          <w:rFonts w:ascii="Courier New" w:hAnsi="Courier New" w:cs="Courier New"/>
        </w:rPr>
        <w:t xml:space="preserve"> </w:t>
      </w:r>
      <w:r w:rsidR="00ED0EE2">
        <w:rPr>
          <w:rFonts w:ascii="Courier New" w:hAnsi="Courier New" w:cs="Courier New"/>
        </w:rPr>
        <w:t xml:space="preserve">were </w:t>
      </w:r>
      <w:r w:rsidR="00C93F45">
        <w:rPr>
          <w:rFonts w:ascii="Courier New" w:hAnsi="Courier New" w:cs="Courier New"/>
        </w:rPr>
        <w:t>not</w:t>
      </w:r>
      <w:r w:rsidR="008C3DDF">
        <w:rPr>
          <w:rFonts w:ascii="Courier New" w:hAnsi="Courier New" w:cs="Courier New"/>
        </w:rPr>
        <w:t xml:space="preserve"> </w:t>
      </w:r>
      <w:r w:rsidR="00EB3C4B">
        <w:rPr>
          <w:rFonts w:ascii="Courier New" w:hAnsi="Courier New" w:cs="Courier New"/>
        </w:rPr>
        <w:t xml:space="preserve">related </w:t>
      </w:r>
      <w:r w:rsidR="008C3DDF">
        <w:rPr>
          <w:rFonts w:ascii="Courier New" w:hAnsi="Courier New" w:cs="Courier New"/>
        </w:rPr>
        <w:t>to the net operating income of the subject prope</w:t>
      </w:r>
      <w:r w:rsidR="00ED0EE2">
        <w:rPr>
          <w:rFonts w:ascii="Courier New" w:hAnsi="Courier New" w:cs="Courier New"/>
        </w:rPr>
        <w:t>rty</w:t>
      </w:r>
      <w:r w:rsidR="00A47C8D">
        <w:rPr>
          <w:rFonts w:ascii="Courier New" w:hAnsi="Courier New" w:cs="Courier New"/>
        </w:rPr>
        <w:t>.</w:t>
      </w:r>
      <w:r w:rsidR="00FE2ED4">
        <w:rPr>
          <w:rFonts w:ascii="Courier New" w:hAnsi="Courier New" w:cs="Courier New"/>
        </w:rPr>
        <w:t xml:space="preserve"> </w:t>
      </w:r>
      <w:r w:rsidR="00E97A75">
        <w:rPr>
          <w:rFonts w:ascii="Courier New" w:hAnsi="Courier New" w:cs="Courier New"/>
        </w:rPr>
        <w:t xml:space="preserve"> </w:t>
      </w:r>
      <w:r w:rsidR="00FE2ED4">
        <w:rPr>
          <w:rFonts w:ascii="Courier New" w:hAnsi="Courier New" w:cs="Courier New"/>
        </w:rPr>
        <w:t xml:space="preserve"> </w:t>
      </w:r>
    </w:p>
    <w:p w14:paraId="26E441F5" w14:textId="14680377" w:rsidR="009A5539" w:rsidRDefault="009A5539" w:rsidP="00935B07">
      <w:pPr>
        <w:spacing w:line="480" w:lineRule="auto"/>
        <w:ind w:firstLine="720"/>
        <w:jc w:val="both"/>
        <w:rPr>
          <w:rFonts w:ascii="Courier New" w:hAnsi="Courier New" w:cs="Courier New"/>
        </w:rPr>
      </w:pPr>
      <w:r>
        <w:rPr>
          <w:rFonts w:ascii="Courier New" w:hAnsi="Courier New" w:cs="Courier New"/>
        </w:rPr>
        <w:t>Mr. Connolly’s income-capitalization method is summarized in the following table:</w:t>
      </w:r>
    </w:p>
    <w:p w14:paraId="1E18FAE1" w14:textId="77777777" w:rsidR="000204C7" w:rsidRDefault="000204C7" w:rsidP="00935B07">
      <w:pPr>
        <w:spacing w:line="480" w:lineRule="auto"/>
        <w:ind w:firstLine="720"/>
        <w:jc w:val="both"/>
        <w:rPr>
          <w:rFonts w:ascii="Courier New" w:hAnsi="Courier New" w:cs="Courier New"/>
        </w:rPr>
      </w:pPr>
    </w:p>
    <w:tbl>
      <w:tblPr>
        <w:tblStyle w:val="TableGrid"/>
        <w:tblW w:w="8928" w:type="dxa"/>
        <w:tblLook w:val="04A0" w:firstRow="1" w:lastRow="0" w:firstColumn="1" w:lastColumn="0" w:noHBand="0" w:noVBand="1"/>
      </w:tblPr>
      <w:tblGrid>
        <w:gridCol w:w="2718"/>
        <w:gridCol w:w="2070"/>
        <w:gridCol w:w="2070"/>
        <w:gridCol w:w="2070"/>
      </w:tblGrid>
      <w:tr w:rsidR="009A5539" w14:paraId="28E0C26F" w14:textId="77777777" w:rsidTr="009A5539">
        <w:tc>
          <w:tcPr>
            <w:tcW w:w="2718" w:type="dxa"/>
          </w:tcPr>
          <w:p w14:paraId="7559A9E5" w14:textId="21EB62C5" w:rsidR="009A5539" w:rsidRPr="00BA1AEB" w:rsidRDefault="0064372C" w:rsidP="009A5539">
            <w:pPr>
              <w:rPr>
                <w:rFonts w:ascii="Courier New" w:hAnsi="Courier New" w:cs="Courier New"/>
                <w:b/>
                <w:sz w:val="20"/>
                <w:szCs w:val="20"/>
              </w:rPr>
            </w:pPr>
            <w:r>
              <w:rPr>
                <w:rFonts w:ascii="Courier New" w:hAnsi="Courier New" w:cs="Courier New"/>
                <w:b/>
                <w:sz w:val="20"/>
                <w:szCs w:val="20"/>
              </w:rPr>
              <w:lastRenderedPageBreak/>
              <w:t>F</w:t>
            </w:r>
            <w:r w:rsidR="009A5539">
              <w:rPr>
                <w:rFonts w:ascii="Courier New" w:hAnsi="Courier New" w:cs="Courier New"/>
                <w:b/>
                <w:sz w:val="20"/>
                <w:szCs w:val="20"/>
              </w:rPr>
              <w:t xml:space="preserve">iscal </w:t>
            </w:r>
            <w:r w:rsidR="009A5539" w:rsidRPr="00BA1AEB">
              <w:rPr>
                <w:rFonts w:ascii="Courier New" w:hAnsi="Courier New" w:cs="Courier New"/>
                <w:b/>
                <w:sz w:val="20"/>
                <w:szCs w:val="20"/>
              </w:rPr>
              <w:t>year</w:t>
            </w:r>
          </w:p>
        </w:tc>
        <w:tc>
          <w:tcPr>
            <w:tcW w:w="2070" w:type="dxa"/>
          </w:tcPr>
          <w:p w14:paraId="0BD7A2D7" w14:textId="77777777" w:rsidR="009A5539" w:rsidRPr="00BA1AEB" w:rsidRDefault="009A5539" w:rsidP="009A5539">
            <w:pPr>
              <w:rPr>
                <w:rFonts w:ascii="Courier New" w:hAnsi="Courier New" w:cs="Courier New"/>
                <w:b/>
                <w:sz w:val="20"/>
                <w:szCs w:val="20"/>
              </w:rPr>
            </w:pPr>
            <w:r>
              <w:rPr>
                <w:rFonts w:ascii="Courier New" w:hAnsi="Courier New" w:cs="Courier New"/>
                <w:b/>
                <w:sz w:val="20"/>
                <w:szCs w:val="20"/>
              </w:rPr>
              <w:t>FY</w:t>
            </w:r>
            <w:r w:rsidRPr="00BA1AEB">
              <w:rPr>
                <w:rFonts w:ascii="Courier New" w:hAnsi="Courier New" w:cs="Courier New"/>
                <w:b/>
                <w:sz w:val="20"/>
                <w:szCs w:val="20"/>
              </w:rPr>
              <w:t xml:space="preserve"> 2014</w:t>
            </w:r>
          </w:p>
        </w:tc>
        <w:tc>
          <w:tcPr>
            <w:tcW w:w="2070" w:type="dxa"/>
          </w:tcPr>
          <w:p w14:paraId="6A8ED444" w14:textId="77777777" w:rsidR="009A5539" w:rsidRPr="00BA1AEB" w:rsidRDefault="009A5539" w:rsidP="009A5539">
            <w:pPr>
              <w:rPr>
                <w:rFonts w:ascii="Courier New" w:hAnsi="Courier New" w:cs="Courier New"/>
                <w:b/>
                <w:sz w:val="20"/>
                <w:szCs w:val="20"/>
              </w:rPr>
            </w:pPr>
            <w:r>
              <w:rPr>
                <w:rFonts w:ascii="Courier New" w:hAnsi="Courier New" w:cs="Courier New"/>
                <w:b/>
                <w:sz w:val="20"/>
                <w:szCs w:val="20"/>
              </w:rPr>
              <w:t>FY</w:t>
            </w:r>
            <w:r w:rsidRPr="00BA1AEB">
              <w:rPr>
                <w:rFonts w:ascii="Courier New" w:hAnsi="Courier New" w:cs="Courier New"/>
                <w:b/>
                <w:sz w:val="20"/>
                <w:szCs w:val="20"/>
              </w:rPr>
              <w:t xml:space="preserve"> 2015</w:t>
            </w:r>
          </w:p>
        </w:tc>
        <w:tc>
          <w:tcPr>
            <w:tcW w:w="2070" w:type="dxa"/>
          </w:tcPr>
          <w:p w14:paraId="04721D75" w14:textId="77777777" w:rsidR="009A5539" w:rsidRPr="00BA1AEB" w:rsidRDefault="009A5539" w:rsidP="009A5539">
            <w:pPr>
              <w:rPr>
                <w:rFonts w:ascii="Courier New" w:hAnsi="Courier New" w:cs="Courier New"/>
                <w:b/>
                <w:sz w:val="20"/>
                <w:szCs w:val="20"/>
              </w:rPr>
            </w:pPr>
            <w:r>
              <w:rPr>
                <w:rFonts w:ascii="Courier New" w:hAnsi="Courier New" w:cs="Courier New"/>
                <w:b/>
                <w:sz w:val="20"/>
                <w:szCs w:val="20"/>
              </w:rPr>
              <w:t>FY 2016</w:t>
            </w:r>
          </w:p>
        </w:tc>
      </w:tr>
      <w:tr w:rsidR="009A5539" w14:paraId="461FC2A2" w14:textId="77777777" w:rsidTr="009A5539">
        <w:tc>
          <w:tcPr>
            <w:tcW w:w="2718" w:type="dxa"/>
          </w:tcPr>
          <w:p w14:paraId="518FE740" w14:textId="77777777" w:rsidR="009A5539" w:rsidRPr="00BA1AEB" w:rsidRDefault="009A5539" w:rsidP="009A5539">
            <w:pPr>
              <w:rPr>
                <w:rFonts w:ascii="Courier New" w:hAnsi="Courier New" w:cs="Courier New"/>
                <w:b/>
                <w:sz w:val="20"/>
                <w:szCs w:val="20"/>
              </w:rPr>
            </w:pPr>
            <w:r>
              <w:rPr>
                <w:rFonts w:ascii="Courier New" w:hAnsi="Courier New" w:cs="Courier New"/>
                <w:b/>
                <w:sz w:val="20"/>
                <w:szCs w:val="20"/>
              </w:rPr>
              <w:t>Gross r</w:t>
            </w:r>
            <w:r w:rsidRPr="00BA1AEB">
              <w:rPr>
                <w:rFonts w:ascii="Courier New" w:hAnsi="Courier New" w:cs="Courier New"/>
                <w:b/>
                <w:sz w:val="20"/>
                <w:szCs w:val="20"/>
              </w:rPr>
              <w:t>evenue</w:t>
            </w:r>
          </w:p>
        </w:tc>
        <w:tc>
          <w:tcPr>
            <w:tcW w:w="2070" w:type="dxa"/>
          </w:tcPr>
          <w:p w14:paraId="18A774AB" w14:textId="5D01351E" w:rsidR="009A5539" w:rsidRPr="00BA1AEB" w:rsidRDefault="009A5539" w:rsidP="009A5539">
            <w:pPr>
              <w:rPr>
                <w:rFonts w:ascii="Courier New" w:hAnsi="Courier New" w:cs="Courier New"/>
                <w:sz w:val="20"/>
                <w:szCs w:val="20"/>
              </w:rPr>
            </w:pPr>
            <w:r>
              <w:rPr>
                <w:rFonts w:ascii="Courier New" w:hAnsi="Courier New" w:cs="Courier New"/>
                <w:sz w:val="20"/>
                <w:szCs w:val="20"/>
              </w:rPr>
              <w:t xml:space="preserve"> $1,902,693</w:t>
            </w:r>
          </w:p>
        </w:tc>
        <w:tc>
          <w:tcPr>
            <w:tcW w:w="2070" w:type="dxa"/>
          </w:tcPr>
          <w:p w14:paraId="6B33859B" w14:textId="730F2444" w:rsidR="009A5539" w:rsidRPr="00BA1AEB" w:rsidRDefault="008F3AB8" w:rsidP="009A5539">
            <w:pPr>
              <w:rPr>
                <w:rFonts w:ascii="Courier New" w:hAnsi="Courier New" w:cs="Courier New"/>
                <w:sz w:val="20"/>
                <w:szCs w:val="20"/>
              </w:rPr>
            </w:pPr>
            <w:r>
              <w:rPr>
                <w:rFonts w:ascii="Courier New" w:hAnsi="Courier New" w:cs="Courier New"/>
                <w:sz w:val="20"/>
                <w:szCs w:val="20"/>
              </w:rPr>
              <w:t xml:space="preserve"> $1,806,255</w:t>
            </w:r>
          </w:p>
        </w:tc>
        <w:tc>
          <w:tcPr>
            <w:tcW w:w="2070" w:type="dxa"/>
          </w:tcPr>
          <w:p w14:paraId="32998212" w14:textId="4893E6AD" w:rsidR="009A5539" w:rsidRPr="00BA1AEB" w:rsidRDefault="00132147" w:rsidP="009A5539">
            <w:pPr>
              <w:rPr>
                <w:rFonts w:ascii="Courier New" w:hAnsi="Courier New" w:cs="Courier New"/>
                <w:sz w:val="20"/>
                <w:szCs w:val="20"/>
              </w:rPr>
            </w:pPr>
            <w:r>
              <w:rPr>
                <w:rFonts w:ascii="Courier New" w:hAnsi="Courier New" w:cs="Courier New"/>
                <w:sz w:val="20"/>
                <w:szCs w:val="20"/>
              </w:rPr>
              <w:t xml:space="preserve"> $2,083,179</w:t>
            </w:r>
          </w:p>
        </w:tc>
      </w:tr>
      <w:tr w:rsidR="009A5539" w14:paraId="62C7D3EE" w14:textId="77777777" w:rsidTr="009A5539">
        <w:tc>
          <w:tcPr>
            <w:tcW w:w="2718" w:type="dxa"/>
          </w:tcPr>
          <w:p w14:paraId="28768FF1" w14:textId="00C3B13A" w:rsidR="009A5539" w:rsidRPr="00BA1AEB" w:rsidRDefault="009A5539" w:rsidP="009A5539">
            <w:pPr>
              <w:rPr>
                <w:rFonts w:ascii="Courier New" w:hAnsi="Courier New" w:cs="Courier New"/>
                <w:b/>
                <w:sz w:val="20"/>
                <w:szCs w:val="20"/>
              </w:rPr>
            </w:pPr>
            <w:r>
              <w:rPr>
                <w:rFonts w:ascii="Courier New" w:hAnsi="Courier New" w:cs="Courier New"/>
                <w:b/>
                <w:sz w:val="20"/>
                <w:szCs w:val="20"/>
              </w:rPr>
              <w:t>operating expenses, incl. management, franchise fee, replacement reserves</w:t>
            </w:r>
          </w:p>
        </w:tc>
        <w:tc>
          <w:tcPr>
            <w:tcW w:w="2070" w:type="dxa"/>
          </w:tcPr>
          <w:p w14:paraId="677CE60B" w14:textId="59001EF2" w:rsidR="009A5539" w:rsidRDefault="009C72B7" w:rsidP="009A5539">
            <w:pPr>
              <w:rPr>
                <w:rFonts w:ascii="Courier New" w:hAnsi="Courier New" w:cs="Courier New"/>
                <w:sz w:val="20"/>
                <w:szCs w:val="20"/>
              </w:rPr>
            </w:pPr>
            <w:r>
              <w:rPr>
                <w:rFonts w:ascii="Courier New" w:hAnsi="Courier New" w:cs="Courier New"/>
                <w:sz w:val="20"/>
                <w:szCs w:val="20"/>
              </w:rPr>
              <w:t>(</w:t>
            </w:r>
            <w:r w:rsidR="008F3AB8">
              <w:rPr>
                <w:rFonts w:ascii="Courier New" w:hAnsi="Courier New" w:cs="Courier New"/>
                <w:sz w:val="20"/>
                <w:szCs w:val="20"/>
              </w:rPr>
              <w:t>$1,046,481</w:t>
            </w:r>
            <w:r>
              <w:rPr>
                <w:rFonts w:ascii="Courier New" w:hAnsi="Courier New" w:cs="Courier New"/>
                <w:sz w:val="20"/>
                <w:szCs w:val="20"/>
              </w:rPr>
              <w:t>)</w:t>
            </w:r>
          </w:p>
          <w:p w14:paraId="3D921780" w14:textId="77777777" w:rsidR="009A5539" w:rsidRDefault="009A5539" w:rsidP="009A5539">
            <w:pPr>
              <w:rPr>
                <w:rFonts w:ascii="Courier New" w:hAnsi="Courier New" w:cs="Courier New"/>
                <w:sz w:val="20"/>
                <w:szCs w:val="20"/>
              </w:rPr>
            </w:pPr>
          </w:p>
          <w:p w14:paraId="289C6BBC" w14:textId="6E72BB83" w:rsidR="009A5539" w:rsidRPr="00BA1AEB" w:rsidRDefault="009A5539" w:rsidP="009A5539">
            <w:pPr>
              <w:rPr>
                <w:rFonts w:ascii="Courier New" w:hAnsi="Courier New" w:cs="Courier New"/>
                <w:sz w:val="20"/>
                <w:szCs w:val="20"/>
              </w:rPr>
            </w:pPr>
          </w:p>
        </w:tc>
        <w:tc>
          <w:tcPr>
            <w:tcW w:w="2070" w:type="dxa"/>
          </w:tcPr>
          <w:p w14:paraId="13DDC3CC" w14:textId="775B1918" w:rsidR="009A5539" w:rsidRDefault="009C72B7" w:rsidP="009A5539">
            <w:pPr>
              <w:rPr>
                <w:rFonts w:ascii="Courier New" w:hAnsi="Courier New" w:cs="Courier New"/>
                <w:sz w:val="20"/>
                <w:szCs w:val="20"/>
              </w:rPr>
            </w:pPr>
            <w:r>
              <w:rPr>
                <w:rFonts w:ascii="Courier New" w:hAnsi="Courier New" w:cs="Courier New"/>
                <w:sz w:val="20"/>
                <w:szCs w:val="20"/>
              </w:rPr>
              <w:t>(</w:t>
            </w:r>
            <w:r w:rsidR="008F3AB8">
              <w:rPr>
                <w:rFonts w:ascii="Courier New" w:hAnsi="Courier New" w:cs="Courier New"/>
                <w:sz w:val="20"/>
                <w:szCs w:val="20"/>
              </w:rPr>
              <w:t>$  993,440</w:t>
            </w:r>
            <w:r>
              <w:rPr>
                <w:rFonts w:ascii="Courier New" w:hAnsi="Courier New" w:cs="Courier New"/>
                <w:sz w:val="20"/>
                <w:szCs w:val="20"/>
              </w:rPr>
              <w:t>)</w:t>
            </w:r>
          </w:p>
          <w:p w14:paraId="3DAD1AF0" w14:textId="77777777" w:rsidR="009A5539" w:rsidRDefault="009A5539" w:rsidP="009A5539">
            <w:pPr>
              <w:rPr>
                <w:rFonts w:ascii="Courier New" w:hAnsi="Courier New" w:cs="Courier New"/>
                <w:sz w:val="20"/>
                <w:szCs w:val="20"/>
              </w:rPr>
            </w:pPr>
          </w:p>
          <w:p w14:paraId="34EF3B03" w14:textId="26EF2D88" w:rsidR="009A5539" w:rsidRPr="00BA1AEB" w:rsidRDefault="009A5539" w:rsidP="009A5539">
            <w:pPr>
              <w:rPr>
                <w:rFonts w:ascii="Courier New" w:hAnsi="Courier New" w:cs="Courier New"/>
                <w:sz w:val="20"/>
                <w:szCs w:val="20"/>
              </w:rPr>
            </w:pPr>
          </w:p>
        </w:tc>
        <w:tc>
          <w:tcPr>
            <w:tcW w:w="2070" w:type="dxa"/>
          </w:tcPr>
          <w:p w14:paraId="58B7A30D" w14:textId="026A69C2" w:rsidR="009A5539" w:rsidRDefault="009C72B7" w:rsidP="009A5539">
            <w:pPr>
              <w:rPr>
                <w:rFonts w:ascii="Courier New" w:hAnsi="Courier New" w:cs="Courier New"/>
                <w:sz w:val="20"/>
                <w:szCs w:val="20"/>
              </w:rPr>
            </w:pPr>
            <w:r>
              <w:rPr>
                <w:rFonts w:ascii="Courier New" w:hAnsi="Courier New" w:cs="Courier New"/>
                <w:sz w:val="20"/>
                <w:szCs w:val="20"/>
              </w:rPr>
              <w:t>(</w:t>
            </w:r>
            <w:r w:rsidR="00132147">
              <w:rPr>
                <w:rFonts w:ascii="Courier New" w:hAnsi="Courier New" w:cs="Courier New"/>
                <w:sz w:val="20"/>
                <w:szCs w:val="20"/>
              </w:rPr>
              <w:t>$1,145,748</w:t>
            </w:r>
            <w:r>
              <w:rPr>
                <w:rFonts w:ascii="Courier New" w:hAnsi="Courier New" w:cs="Courier New"/>
                <w:sz w:val="20"/>
                <w:szCs w:val="20"/>
              </w:rPr>
              <w:t>)</w:t>
            </w:r>
          </w:p>
          <w:p w14:paraId="17F71612" w14:textId="77777777" w:rsidR="009A5539" w:rsidRDefault="009A5539" w:rsidP="009A5539">
            <w:pPr>
              <w:rPr>
                <w:rFonts w:ascii="Courier New" w:hAnsi="Courier New" w:cs="Courier New"/>
                <w:sz w:val="20"/>
                <w:szCs w:val="20"/>
              </w:rPr>
            </w:pPr>
          </w:p>
          <w:p w14:paraId="7D167D0A" w14:textId="2D6AC9B5" w:rsidR="009A5539" w:rsidRPr="00BA1AEB" w:rsidRDefault="009A5539" w:rsidP="009A5539">
            <w:pPr>
              <w:rPr>
                <w:rFonts w:ascii="Courier New" w:hAnsi="Courier New" w:cs="Courier New"/>
                <w:sz w:val="20"/>
                <w:szCs w:val="20"/>
              </w:rPr>
            </w:pPr>
          </w:p>
        </w:tc>
      </w:tr>
      <w:tr w:rsidR="009A5539" w14:paraId="038C89A2" w14:textId="77777777" w:rsidTr="009A5539">
        <w:tc>
          <w:tcPr>
            <w:tcW w:w="2718" w:type="dxa"/>
          </w:tcPr>
          <w:p w14:paraId="116C9CC4" w14:textId="77777777" w:rsidR="009A5539" w:rsidRPr="00BA1AEB" w:rsidRDefault="009A5539" w:rsidP="009A5539">
            <w:pPr>
              <w:rPr>
                <w:rFonts w:ascii="Courier New" w:hAnsi="Courier New" w:cs="Courier New"/>
                <w:b/>
                <w:sz w:val="20"/>
                <w:szCs w:val="20"/>
              </w:rPr>
            </w:pPr>
            <w:r w:rsidRPr="00BA1AEB">
              <w:rPr>
                <w:rFonts w:ascii="Courier New" w:hAnsi="Courier New" w:cs="Courier New"/>
                <w:b/>
                <w:sz w:val="20"/>
                <w:szCs w:val="20"/>
              </w:rPr>
              <w:t>net operating income</w:t>
            </w:r>
          </w:p>
        </w:tc>
        <w:tc>
          <w:tcPr>
            <w:tcW w:w="2070" w:type="dxa"/>
          </w:tcPr>
          <w:p w14:paraId="0EC6C640" w14:textId="51E36A8E" w:rsidR="009A5539" w:rsidRPr="00BA1AEB" w:rsidRDefault="008F3AB8" w:rsidP="009A5539">
            <w:pPr>
              <w:rPr>
                <w:rFonts w:ascii="Courier New" w:hAnsi="Courier New" w:cs="Courier New"/>
                <w:sz w:val="20"/>
                <w:szCs w:val="20"/>
              </w:rPr>
            </w:pPr>
            <w:r>
              <w:rPr>
                <w:rFonts w:ascii="Courier New" w:hAnsi="Courier New" w:cs="Courier New"/>
                <w:sz w:val="20"/>
                <w:szCs w:val="20"/>
              </w:rPr>
              <w:t xml:space="preserve"> $  856</w:t>
            </w:r>
            <w:r w:rsidR="009A5539">
              <w:rPr>
                <w:rFonts w:ascii="Courier New" w:hAnsi="Courier New" w:cs="Courier New"/>
                <w:sz w:val="20"/>
                <w:szCs w:val="20"/>
              </w:rPr>
              <w:t>,2</w:t>
            </w:r>
            <w:r>
              <w:rPr>
                <w:rFonts w:ascii="Courier New" w:hAnsi="Courier New" w:cs="Courier New"/>
                <w:sz w:val="20"/>
                <w:szCs w:val="20"/>
              </w:rPr>
              <w:t>12</w:t>
            </w:r>
          </w:p>
        </w:tc>
        <w:tc>
          <w:tcPr>
            <w:tcW w:w="2070" w:type="dxa"/>
          </w:tcPr>
          <w:p w14:paraId="7AB03DD1" w14:textId="616EE038" w:rsidR="009A5539" w:rsidRPr="00BA1AEB" w:rsidRDefault="008F3AB8" w:rsidP="009A5539">
            <w:pPr>
              <w:rPr>
                <w:rFonts w:ascii="Courier New" w:hAnsi="Courier New" w:cs="Courier New"/>
                <w:sz w:val="20"/>
                <w:szCs w:val="20"/>
              </w:rPr>
            </w:pPr>
            <w:r>
              <w:rPr>
                <w:rFonts w:ascii="Courier New" w:hAnsi="Courier New" w:cs="Courier New"/>
                <w:sz w:val="20"/>
                <w:szCs w:val="20"/>
              </w:rPr>
              <w:t xml:space="preserve"> $  812,815</w:t>
            </w:r>
          </w:p>
        </w:tc>
        <w:tc>
          <w:tcPr>
            <w:tcW w:w="2070" w:type="dxa"/>
          </w:tcPr>
          <w:p w14:paraId="56408072" w14:textId="4CD432BD" w:rsidR="009A5539" w:rsidRPr="00BA1AEB" w:rsidRDefault="00132147" w:rsidP="009A5539">
            <w:pPr>
              <w:rPr>
                <w:rFonts w:ascii="Courier New" w:hAnsi="Courier New" w:cs="Courier New"/>
                <w:sz w:val="20"/>
                <w:szCs w:val="20"/>
              </w:rPr>
            </w:pPr>
            <w:r>
              <w:rPr>
                <w:rFonts w:ascii="Courier New" w:hAnsi="Courier New" w:cs="Courier New"/>
                <w:sz w:val="20"/>
                <w:szCs w:val="20"/>
              </w:rPr>
              <w:t xml:space="preserve"> $  937,430</w:t>
            </w:r>
          </w:p>
        </w:tc>
      </w:tr>
      <w:tr w:rsidR="009A5539" w14:paraId="73DCAF3F" w14:textId="77777777" w:rsidTr="009A5539">
        <w:tc>
          <w:tcPr>
            <w:tcW w:w="2718" w:type="dxa"/>
          </w:tcPr>
          <w:p w14:paraId="4188B4C3" w14:textId="77777777" w:rsidR="009A5539" w:rsidRPr="00BA1AEB" w:rsidRDefault="009A5539" w:rsidP="009A5539">
            <w:pPr>
              <w:rPr>
                <w:rFonts w:ascii="Courier New" w:hAnsi="Courier New" w:cs="Courier New"/>
                <w:b/>
                <w:sz w:val="20"/>
                <w:szCs w:val="20"/>
              </w:rPr>
            </w:pPr>
            <w:r w:rsidRPr="00BA1AEB">
              <w:rPr>
                <w:rFonts w:ascii="Courier New" w:hAnsi="Courier New" w:cs="Courier New"/>
                <w:b/>
                <w:sz w:val="20"/>
                <w:szCs w:val="20"/>
              </w:rPr>
              <w:t>overall capitalization rate</w:t>
            </w:r>
          </w:p>
        </w:tc>
        <w:tc>
          <w:tcPr>
            <w:tcW w:w="2070" w:type="dxa"/>
          </w:tcPr>
          <w:p w14:paraId="348B7D6C" w14:textId="4F6FD04D" w:rsidR="009A5539" w:rsidRPr="00BA1AEB" w:rsidRDefault="008F3AB8" w:rsidP="009A5539">
            <w:pPr>
              <w:rPr>
                <w:rFonts w:ascii="Courier New" w:hAnsi="Courier New" w:cs="Courier New"/>
                <w:sz w:val="20"/>
                <w:szCs w:val="20"/>
              </w:rPr>
            </w:pPr>
            <w:r>
              <w:rPr>
                <w:rFonts w:ascii="Courier New" w:hAnsi="Courier New" w:cs="Courier New"/>
                <w:sz w:val="20"/>
                <w:szCs w:val="20"/>
              </w:rPr>
              <w:t>/13.5</w:t>
            </w:r>
            <w:r w:rsidR="009A5539">
              <w:rPr>
                <w:rFonts w:ascii="Courier New" w:hAnsi="Courier New" w:cs="Courier New"/>
                <w:sz w:val="20"/>
                <w:szCs w:val="20"/>
              </w:rPr>
              <w:t>%</w:t>
            </w:r>
          </w:p>
        </w:tc>
        <w:tc>
          <w:tcPr>
            <w:tcW w:w="2070" w:type="dxa"/>
          </w:tcPr>
          <w:p w14:paraId="6657773E" w14:textId="26017A69" w:rsidR="009A5539" w:rsidRPr="00BA1AEB" w:rsidRDefault="008F3AB8" w:rsidP="009A5539">
            <w:pPr>
              <w:rPr>
                <w:rFonts w:ascii="Courier New" w:hAnsi="Courier New" w:cs="Courier New"/>
                <w:sz w:val="20"/>
                <w:szCs w:val="20"/>
              </w:rPr>
            </w:pPr>
            <w:r>
              <w:rPr>
                <w:rFonts w:ascii="Courier New" w:hAnsi="Courier New" w:cs="Courier New"/>
                <w:sz w:val="20"/>
                <w:szCs w:val="20"/>
              </w:rPr>
              <w:t>/14.1</w:t>
            </w:r>
            <w:r w:rsidR="009A5539">
              <w:rPr>
                <w:rFonts w:ascii="Courier New" w:hAnsi="Courier New" w:cs="Courier New"/>
                <w:sz w:val="20"/>
                <w:szCs w:val="20"/>
              </w:rPr>
              <w:t>%</w:t>
            </w:r>
          </w:p>
        </w:tc>
        <w:tc>
          <w:tcPr>
            <w:tcW w:w="2070" w:type="dxa"/>
          </w:tcPr>
          <w:p w14:paraId="44866BA7" w14:textId="6258592F" w:rsidR="009A5539" w:rsidRPr="00BA1AEB" w:rsidRDefault="00132147" w:rsidP="009A5539">
            <w:pPr>
              <w:rPr>
                <w:rFonts w:ascii="Courier New" w:hAnsi="Courier New" w:cs="Courier New"/>
                <w:sz w:val="20"/>
                <w:szCs w:val="20"/>
              </w:rPr>
            </w:pPr>
            <w:r>
              <w:rPr>
                <w:rFonts w:ascii="Courier New" w:hAnsi="Courier New" w:cs="Courier New"/>
                <w:sz w:val="20"/>
                <w:szCs w:val="20"/>
              </w:rPr>
              <w:t>/12.8</w:t>
            </w:r>
            <w:r w:rsidR="009A5539">
              <w:rPr>
                <w:rFonts w:ascii="Courier New" w:hAnsi="Courier New" w:cs="Courier New"/>
                <w:sz w:val="20"/>
                <w:szCs w:val="20"/>
              </w:rPr>
              <w:t>%</w:t>
            </w:r>
          </w:p>
        </w:tc>
      </w:tr>
      <w:tr w:rsidR="009A5539" w14:paraId="7C9CBBC0" w14:textId="77777777" w:rsidTr="009A5539">
        <w:tc>
          <w:tcPr>
            <w:tcW w:w="2718" w:type="dxa"/>
          </w:tcPr>
          <w:p w14:paraId="743BEBF6" w14:textId="77777777" w:rsidR="009A5539" w:rsidRPr="00BA1AEB" w:rsidRDefault="009A5539" w:rsidP="009A5539">
            <w:pPr>
              <w:rPr>
                <w:rFonts w:ascii="Courier New" w:hAnsi="Courier New" w:cs="Courier New"/>
                <w:b/>
                <w:sz w:val="20"/>
                <w:szCs w:val="20"/>
              </w:rPr>
            </w:pPr>
            <w:r w:rsidRPr="00BA1AEB">
              <w:rPr>
                <w:rFonts w:ascii="Courier New" w:hAnsi="Courier New" w:cs="Courier New"/>
                <w:b/>
                <w:sz w:val="20"/>
                <w:szCs w:val="20"/>
              </w:rPr>
              <w:t>indicated value</w:t>
            </w:r>
          </w:p>
        </w:tc>
        <w:tc>
          <w:tcPr>
            <w:tcW w:w="2070" w:type="dxa"/>
          </w:tcPr>
          <w:p w14:paraId="39D821BF" w14:textId="4D8CC72F" w:rsidR="009A5539" w:rsidRPr="00BA1AEB" w:rsidRDefault="009A5539" w:rsidP="009A5539">
            <w:pPr>
              <w:rPr>
                <w:rFonts w:ascii="Courier New" w:hAnsi="Courier New" w:cs="Courier New"/>
                <w:sz w:val="20"/>
                <w:szCs w:val="20"/>
              </w:rPr>
            </w:pPr>
            <w:r>
              <w:rPr>
                <w:rFonts w:ascii="Courier New" w:hAnsi="Courier New" w:cs="Courier New"/>
                <w:sz w:val="20"/>
                <w:szCs w:val="20"/>
              </w:rPr>
              <w:t xml:space="preserve"> $</w:t>
            </w:r>
            <w:r w:rsidR="008F3AB8">
              <w:rPr>
                <w:rFonts w:ascii="Courier New" w:hAnsi="Courier New" w:cs="Courier New"/>
                <w:sz w:val="20"/>
                <w:szCs w:val="20"/>
              </w:rPr>
              <w:t>6,342,310</w:t>
            </w:r>
          </w:p>
        </w:tc>
        <w:tc>
          <w:tcPr>
            <w:tcW w:w="2070" w:type="dxa"/>
          </w:tcPr>
          <w:p w14:paraId="33936D16" w14:textId="7D0DA7E2" w:rsidR="009A5539" w:rsidRPr="00BA1AEB" w:rsidRDefault="008F3AB8" w:rsidP="009A5539">
            <w:pPr>
              <w:rPr>
                <w:rFonts w:ascii="Courier New" w:hAnsi="Courier New" w:cs="Courier New"/>
                <w:sz w:val="20"/>
                <w:szCs w:val="20"/>
              </w:rPr>
            </w:pPr>
            <w:r>
              <w:rPr>
                <w:rFonts w:ascii="Courier New" w:hAnsi="Courier New" w:cs="Courier New"/>
                <w:sz w:val="20"/>
                <w:szCs w:val="20"/>
              </w:rPr>
              <w:t xml:space="preserve"> $5,764,644</w:t>
            </w:r>
          </w:p>
        </w:tc>
        <w:tc>
          <w:tcPr>
            <w:tcW w:w="2070" w:type="dxa"/>
          </w:tcPr>
          <w:p w14:paraId="39CCB085" w14:textId="255293D8" w:rsidR="009A5539" w:rsidRPr="00BA1AEB" w:rsidRDefault="00132147" w:rsidP="009A5539">
            <w:pPr>
              <w:rPr>
                <w:rFonts w:ascii="Courier New" w:hAnsi="Courier New" w:cs="Courier New"/>
                <w:sz w:val="20"/>
                <w:szCs w:val="20"/>
              </w:rPr>
            </w:pPr>
            <w:r>
              <w:rPr>
                <w:rFonts w:ascii="Courier New" w:hAnsi="Courier New" w:cs="Courier New"/>
                <w:sz w:val="20"/>
                <w:szCs w:val="20"/>
              </w:rPr>
              <w:t xml:space="preserve"> $7,323,675</w:t>
            </w:r>
          </w:p>
        </w:tc>
      </w:tr>
      <w:tr w:rsidR="009A5539" w14:paraId="3EA4FE07" w14:textId="77777777" w:rsidTr="009A5539">
        <w:tc>
          <w:tcPr>
            <w:tcW w:w="2718" w:type="dxa"/>
          </w:tcPr>
          <w:p w14:paraId="23DBA1FF" w14:textId="77777777" w:rsidR="009A5539" w:rsidRPr="00BA1AEB" w:rsidRDefault="009A5539" w:rsidP="009A5539">
            <w:pPr>
              <w:rPr>
                <w:rFonts w:ascii="Courier New" w:hAnsi="Courier New" w:cs="Courier New"/>
                <w:b/>
                <w:sz w:val="20"/>
                <w:szCs w:val="20"/>
              </w:rPr>
            </w:pPr>
            <w:r w:rsidRPr="00BA1AEB">
              <w:rPr>
                <w:rFonts w:ascii="Courier New" w:hAnsi="Courier New" w:cs="Courier New"/>
                <w:b/>
                <w:sz w:val="20"/>
                <w:szCs w:val="20"/>
              </w:rPr>
              <w:t>Rounded</w:t>
            </w:r>
          </w:p>
        </w:tc>
        <w:tc>
          <w:tcPr>
            <w:tcW w:w="2070" w:type="dxa"/>
          </w:tcPr>
          <w:p w14:paraId="3BE2872F" w14:textId="2E3566FD" w:rsidR="009A5539" w:rsidRPr="00BA1AEB" w:rsidRDefault="008F3AB8" w:rsidP="009A5539">
            <w:pPr>
              <w:rPr>
                <w:rFonts w:ascii="Courier New" w:hAnsi="Courier New" w:cs="Courier New"/>
                <w:sz w:val="20"/>
                <w:szCs w:val="20"/>
              </w:rPr>
            </w:pPr>
            <w:r>
              <w:rPr>
                <w:rFonts w:ascii="Courier New" w:hAnsi="Courier New" w:cs="Courier New"/>
                <w:sz w:val="20"/>
                <w:szCs w:val="20"/>
              </w:rPr>
              <w:t xml:space="preserve"> $6,300</w:t>
            </w:r>
            <w:r w:rsidR="009A5539">
              <w:rPr>
                <w:rFonts w:ascii="Courier New" w:hAnsi="Courier New" w:cs="Courier New"/>
                <w:sz w:val="20"/>
                <w:szCs w:val="20"/>
              </w:rPr>
              <w:t>,000</w:t>
            </w:r>
          </w:p>
        </w:tc>
        <w:tc>
          <w:tcPr>
            <w:tcW w:w="2070" w:type="dxa"/>
          </w:tcPr>
          <w:p w14:paraId="7C68DDDA" w14:textId="2B1BA8A2" w:rsidR="009A5539" w:rsidRPr="00BA1AEB" w:rsidRDefault="008F3AB8" w:rsidP="009A5539">
            <w:pPr>
              <w:rPr>
                <w:rFonts w:ascii="Courier New" w:hAnsi="Courier New" w:cs="Courier New"/>
                <w:sz w:val="20"/>
                <w:szCs w:val="20"/>
              </w:rPr>
            </w:pPr>
            <w:r>
              <w:rPr>
                <w:rFonts w:ascii="Courier New" w:hAnsi="Courier New" w:cs="Courier New"/>
                <w:sz w:val="20"/>
                <w:szCs w:val="20"/>
              </w:rPr>
              <w:t xml:space="preserve"> $5,800</w:t>
            </w:r>
            <w:r w:rsidR="009A5539">
              <w:rPr>
                <w:rFonts w:ascii="Courier New" w:hAnsi="Courier New" w:cs="Courier New"/>
                <w:sz w:val="20"/>
                <w:szCs w:val="20"/>
              </w:rPr>
              <w:t>,000</w:t>
            </w:r>
          </w:p>
        </w:tc>
        <w:tc>
          <w:tcPr>
            <w:tcW w:w="2070" w:type="dxa"/>
          </w:tcPr>
          <w:p w14:paraId="5E13F4D8" w14:textId="30DA1E1E" w:rsidR="009A5539" w:rsidRPr="00BA1AEB" w:rsidRDefault="00132147" w:rsidP="009A5539">
            <w:pPr>
              <w:rPr>
                <w:rFonts w:ascii="Courier New" w:hAnsi="Courier New" w:cs="Courier New"/>
                <w:sz w:val="20"/>
                <w:szCs w:val="20"/>
              </w:rPr>
            </w:pPr>
            <w:r>
              <w:rPr>
                <w:rFonts w:ascii="Courier New" w:hAnsi="Courier New" w:cs="Courier New"/>
                <w:sz w:val="20"/>
                <w:szCs w:val="20"/>
              </w:rPr>
              <w:t xml:space="preserve"> $7,300</w:t>
            </w:r>
            <w:r w:rsidR="009A5539">
              <w:rPr>
                <w:rFonts w:ascii="Courier New" w:hAnsi="Courier New" w:cs="Courier New"/>
                <w:sz w:val="20"/>
                <w:szCs w:val="20"/>
              </w:rPr>
              <w:t>,000</w:t>
            </w:r>
          </w:p>
        </w:tc>
      </w:tr>
      <w:tr w:rsidR="008F3AB8" w14:paraId="7BEF4CDE" w14:textId="77777777" w:rsidTr="009A5539">
        <w:tc>
          <w:tcPr>
            <w:tcW w:w="2718" w:type="dxa"/>
          </w:tcPr>
          <w:p w14:paraId="7DFF24F2" w14:textId="2664DC95" w:rsidR="008F3AB8" w:rsidRPr="00BA1AEB" w:rsidRDefault="008F3AB8" w:rsidP="009A5539">
            <w:pPr>
              <w:rPr>
                <w:rFonts w:ascii="Courier New" w:hAnsi="Courier New" w:cs="Courier New"/>
                <w:b/>
                <w:sz w:val="20"/>
                <w:szCs w:val="20"/>
              </w:rPr>
            </w:pPr>
            <w:r>
              <w:rPr>
                <w:rFonts w:ascii="Courier New" w:hAnsi="Courier New" w:cs="Courier New"/>
                <w:b/>
                <w:sz w:val="20"/>
                <w:szCs w:val="20"/>
              </w:rPr>
              <w:t>Assessed value</w:t>
            </w:r>
          </w:p>
        </w:tc>
        <w:tc>
          <w:tcPr>
            <w:tcW w:w="2070" w:type="dxa"/>
          </w:tcPr>
          <w:p w14:paraId="4039612F" w14:textId="120CE816" w:rsidR="008F3AB8" w:rsidRDefault="008F3AB8" w:rsidP="009A5539">
            <w:pPr>
              <w:rPr>
                <w:rFonts w:ascii="Courier New" w:hAnsi="Courier New" w:cs="Courier New"/>
                <w:sz w:val="20"/>
                <w:szCs w:val="20"/>
              </w:rPr>
            </w:pPr>
            <w:r>
              <w:rPr>
                <w:rFonts w:ascii="Courier New" w:hAnsi="Courier New" w:cs="Courier New"/>
                <w:sz w:val="20"/>
                <w:szCs w:val="20"/>
              </w:rPr>
              <w:t xml:space="preserve"> $4,700,900</w:t>
            </w:r>
          </w:p>
        </w:tc>
        <w:tc>
          <w:tcPr>
            <w:tcW w:w="2070" w:type="dxa"/>
          </w:tcPr>
          <w:p w14:paraId="745218EB" w14:textId="5F210D31" w:rsidR="008F3AB8" w:rsidRDefault="008F3AB8" w:rsidP="009A5539">
            <w:pPr>
              <w:rPr>
                <w:rFonts w:ascii="Courier New" w:hAnsi="Courier New" w:cs="Courier New"/>
                <w:sz w:val="20"/>
                <w:szCs w:val="20"/>
              </w:rPr>
            </w:pPr>
            <w:r>
              <w:rPr>
                <w:rFonts w:ascii="Courier New" w:hAnsi="Courier New" w:cs="Courier New"/>
                <w:sz w:val="20"/>
                <w:szCs w:val="20"/>
              </w:rPr>
              <w:t xml:space="preserve"> $5,008,000</w:t>
            </w:r>
          </w:p>
        </w:tc>
        <w:tc>
          <w:tcPr>
            <w:tcW w:w="2070" w:type="dxa"/>
          </w:tcPr>
          <w:p w14:paraId="0C92EF34" w14:textId="3AC22629" w:rsidR="008F3AB8" w:rsidRDefault="00132147" w:rsidP="009A5539">
            <w:pPr>
              <w:rPr>
                <w:rFonts w:ascii="Courier New" w:hAnsi="Courier New" w:cs="Courier New"/>
                <w:sz w:val="20"/>
                <w:szCs w:val="20"/>
              </w:rPr>
            </w:pPr>
            <w:r>
              <w:rPr>
                <w:rFonts w:ascii="Courier New" w:hAnsi="Courier New" w:cs="Courier New"/>
                <w:sz w:val="20"/>
                <w:szCs w:val="20"/>
              </w:rPr>
              <w:t xml:space="preserve"> $5,508,800</w:t>
            </w:r>
          </w:p>
        </w:tc>
      </w:tr>
    </w:tbl>
    <w:p w14:paraId="134F5A6B" w14:textId="77777777" w:rsidR="00511187" w:rsidRDefault="00511187" w:rsidP="00935B07">
      <w:pPr>
        <w:spacing w:line="480" w:lineRule="auto"/>
        <w:ind w:firstLine="720"/>
        <w:jc w:val="both"/>
        <w:rPr>
          <w:rFonts w:ascii="Courier New" w:hAnsi="Courier New" w:cs="Courier New"/>
        </w:rPr>
      </w:pPr>
    </w:p>
    <w:p w14:paraId="35E3C277" w14:textId="1E7FBDDD" w:rsidR="00EE72A3" w:rsidRDefault="009C72B7" w:rsidP="00EE72A3">
      <w:pPr>
        <w:spacing w:line="480" w:lineRule="auto"/>
        <w:ind w:firstLine="720"/>
        <w:jc w:val="both"/>
        <w:rPr>
          <w:rFonts w:ascii="Courier New" w:hAnsi="Courier New" w:cs="Courier New"/>
        </w:rPr>
      </w:pPr>
      <w:r>
        <w:rPr>
          <w:rFonts w:ascii="Courier New" w:hAnsi="Courier New" w:cs="Courier New"/>
        </w:rPr>
        <w:t>Based on the evidence presented</w:t>
      </w:r>
      <w:r w:rsidR="00FC3033">
        <w:rPr>
          <w:rFonts w:ascii="Courier New" w:hAnsi="Courier New" w:cs="Courier New"/>
        </w:rPr>
        <w:t>, the Board found</w:t>
      </w:r>
      <w:r w:rsidR="00ED0EE2">
        <w:rPr>
          <w:rFonts w:ascii="Courier New" w:hAnsi="Courier New" w:cs="Courier New"/>
        </w:rPr>
        <w:t xml:space="preserve"> and ruled</w:t>
      </w:r>
      <w:r w:rsidR="00FC3033">
        <w:rPr>
          <w:rFonts w:ascii="Courier New" w:hAnsi="Courier New" w:cs="Courier New"/>
        </w:rPr>
        <w:t xml:space="preserve"> that the </w:t>
      </w:r>
      <w:r w:rsidR="00711440">
        <w:rPr>
          <w:rFonts w:ascii="Courier New" w:hAnsi="Courier New" w:cs="Courier New"/>
        </w:rPr>
        <w:t>REIT</w:t>
      </w:r>
      <w:r w:rsidR="001C3676" w:rsidRPr="003A15CA">
        <w:rPr>
          <w:rFonts w:ascii="Courier New" w:hAnsi="Courier New" w:cs="Courier New"/>
        </w:rPr>
        <w:t xml:space="preserve"> </w:t>
      </w:r>
      <w:r w:rsidR="00FC3033" w:rsidRPr="003A15CA">
        <w:rPr>
          <w:rFonts w:ascii="Courier New" w:hAnsi="Courier New" w:cs="Courier New"/>
        </w:rPr>
        <w:t>expenses</w:t>
      </w:r>
      <w:r w:rsidR="00FC3033">
        <w:rPr>
          <w:rFonts w:ascii="Courier New" w:hAnsi="Courier New" w:cs="Courier New"/>
        </w:rPr>
        <w:t xml:space="preserve"> that Ms. Balog</w:t>
      </w:r>
      <w:r w:rsidR="009F1D31">
        <w:rPr>
          <w:rFonts w:ascii="Courier New" w:hAnsi="Courier New" w:cs="Courier New"/>
        </w:rPr>
        <w:t>h included</w:t>
      </w:r>
      <w:r>
        <w:rPr>
          <w:rFonts w:ascii="Courier New" w:hAnsi="Courier New" w:cs="Courier New"/>
        </w:rPr>
        <w:t xml:space="preserve"> in her income-capitalization analysis</w:t>
      </w:r>
      <w:r w:rsidR="00FC3033">
        <w:rPr>
          <w:rFonts w:ascii="Courier New" w:hAnsi="Courier New" w:cs="Courier New"/>
        </w:rPr>
        <w:t xml:space="preserve"> were not</w:t>
      </w:r>
      <w:r w:rsidR="00ED0EE2">
        <w:rPr>
          <w:rFonts w:ascii="Courier New" w:hAnsi="Courier New" w:cs="Courier New"/>
        </w:rPr>
        <w:t xml:space="preserve"> relevant to the valuation of the subject property in these appeals.</w:t>
      </w:r>
      <w:r w:rsidR="00FC3033">
        <w:rPr>
          <w:rFonts w:ascii="Courier New" w:hAnsi="Courier New" w:cs="Courier New"/>
        </w:rPr>
        <w:t xml:space="preserve">  </w:t>
      </w:r>
      <w:r w:rsidR="00F27CD3">
        <w:rPr>
          <w:rFonts w:ascii="Courier New" w:hAnsi="Courier New" w:cs="Courier New"/>
        </w:rPr>
        <w:t>Ms.</w:t>
      </w:r>
      <w:r w:rsidR="000204C7">
        <w:rPr>
          <w:rFonts w:ascii="Courier New" w:hAnsi="Courier New" w:cs="Courier New"/>
        </w:rPr>
        <w:t>  </w:t>
      </w:r>
      <w:r w:rsidR="00F27CD3">
        <w:rPr>
          <w:rFonts w:ascii="Courier New" w:hAnsi="Courier New" w:cs="Courier New"/>
        </w:rPr>
        <w:t xml:space="preserve">Balogh did not isolate those corporate-level </w:t>
      </w:r>
      <w:r w:rsidR="00EE72A3">
        <w:rPr>
          <w:rFonts w:ascii="Courier New" w:hAnsi="Courier New" w:cs="Courier New"/>
        </w:rPr>
        <w:t xml:space="preserve">expenses </w:t>
      </w:r>
      <w:r w:rsidR="00F27CD3">
        <w:rPr>
          <w:rFonts w:ascii="Courier New" w:hAnsi="Courier New" w:cs="Courier New"/>
        </w:rPr>
        <w:t xml:space="preserve">that </w:t>
      </w:r>
      <w:r w:rsidR="00EE72A3">
        <w:rPr>
          <w:rFonts w:ascii="Courier New" w:hAnsi="Courier New" w:cs="Courier New"/>
        </w:rPr>
        <w:t xml:space="preserve">were related to </w:t>
      </w:r>
      <w:r w:rsidR="00B0695A">
        <w:rPr>
          <w:rFonts w:ascii="Courier New" w:hAnsi="Courier New" w:cs="Courier New"/>
        </w:rPr>
        <w:t xml:space="preserve">the </w:t>
      </w:r>
      <w:r w:rsidR="00F27CD3">
        <w:rPr>
          <w:rFonts w:ascii="Courier New" w:hAnsi="Courier New" w:cs="Courier New"/>
        </w:rPr>
        <w:t xml:space="preserve">operation </w:t>
      </w:r>
      <w:r w:rsidR="00845A7C">
        <w:rPr>
          <w:rFonts w:ascii="Courier New" w:hAnsi="Courier New" w:cs="Courier New"/>
        </w:rPr>
        <w:t xml:space="preserve">of the </w:t>
      </w:r>
      <w:r w:rsidR="00F27CD3">
        <w:rPr>
          <w:rFonts w:ascii="Courier New" w:hAnsi="Courier New" w:cs="Courier New"/>
        </w:rPr>
        <w:t>subject</w:t>
      </w:r>
      <w:r w:rsidR="00B0695A">
        <w:rPr>
          <w:rFonts w:ascii="Courier New" w:hAnsi="Courier New" w:cs="Courier New"/>
        </w:rPr>
        <w:t xml:space="preserve"> property</w:t>
      </w:r>
      <w:r w:rsidR="00624344">
        <w:rPr>
          <w:rFonts w:ascii="Courier New" w:hAnsi="Courier New" w:cs="Courier New"/>
        </w:rPr>
        <w:t>.</w:t>
      </w:r>
      <w:r w:rsidR="00B0695A">
        <w:rPr>
          <w:rFonts w:ascii="Courier New" w:hAnsi="Courier New" w:cs="Courier New"/>
        </w:rPr>
        <w:t xml:space="preserve">  </w:t>
      </w:r>
      <w:r w:rsidR="00D53503">
        <w:rPr>
          <w:rFonts w:ascii="Courier New" w:hAnsi="Courier New" w:cs="Courier New"/>
        </w:rPr>
        <w:t>Expenses such as stock compensation, IPO</w:t>
      </w:r>
      <w:r w:rsidR="00ED7690">
        <w:rPr>
          <w:rFonts w:ascii="Courier New" w:hAnsi="Courier New" w:cs="Courier New"/>
        </w:rPr>
        <w:t xml:space="preserve"> costs</w:t>
      </w:r>
      <w:r w:rsidR="001149ED">
        <w:rPr>
          <w:rFonts w:ascii="Courier New" w:hAnsi="Courier New" w:cs="Courier New"/>
        </w:rPr>
        <w:t>,</w:t>
      </w:r>
      <w:r w:rsidR="00D53503">
        <w:rPr>
          <w:rFonts w:ascii="Courier New" w:hAnsi="Courier New" w:cs="Courier New"/>
        </w:rPr>
        <w:t xml:space="preserve"> and public company transition costs have nothing to do with the net </w:t>
      </w:r>
      <w:r w:rsidR="0064372C">
        <w:rPr>
          <w:rFonts w:ascii="Courier New" w:hAnsi="Courier New" w:cs="Courier New"/>
        </w:rPr>
        <w:t>operating</w:t>
      </w:r>
      <w:r w:rsidR="00D53503">
        <w:rPr>
          <w:rFonts w:ascii="Courier New" w:hAnsi="Courier New" w:cs="Courier New"/>
        </w:rPr>
        <w:t xml:space="preserve"> income of the subject property.  </w:t>
      </w:r>
      <w:r w:rsidR="00624344">
        <w:rPr>
          <w:rFonts w:ascii="Courier New" w:hAnsi="Courier New" w:cs="Courier New"/>
        </w:rPr>
        <w:t>Therefore</w:t>
      </w:r>
      <w:r w:rsidR="00C63514">
        <w:rPr>
          <w:rFonts w:ascii="Courier New" w:hAnsi="Courier New" w:cs="Courier New"/>
        </w:rPr>
        <w:t>,</w:t>
      </w:r>
      <w:r w:rsidR="0009751A">
        <w:rPr>
          <w:rFonts w:ascii="Courier New" w:hAnsi="Courier New" w:cs="Courier New"/>
        </w:rPr>
        <w:t xml:space="preserve"> </w:t>
      </w:r>
      <w:r w:rsidR="00E834EC">
        <w:rPr>
          <w:rFonts w:ascii="Courier New" w:hAnsi="Courier New" w:cs="Courier New"/>
        </w:rPr>
        <w:t>consideration of these expenses does not aid in determining the earning capacity of the subject property, the fundamental premise for application of the income-capitalization approach.</w:t>
      </w:r>
      <w:r w:rsidR="00EE72A3">
        <w:rPr>
          <w:rFonts w:ascii="Courier New" w:hAnsi="Courier New" w:cs="Courier New"/>
        </w:rPr>
        <w:t xml:space="preserve"> </w:t>
      </w:r>
      <w:r w:rsidR="00DA217F">
        <w:rPr>
          <w:rFonts w:ascii="Courier New" w:hAnsi="Courier New" w:cs="Courier New"/>
        </w:rPr>
        <w:t xml:space="preserve"> </w:t>
      </w:r>
    </w:p>
    <w:p w14:paraId="67CF1C96" w14:textId="1C9BCFD5" w:rsidR="00935B07" w:rsidRDefault="00FC3033" w:rsidP="00121B86">
      <w:pPr>
        <w:spacing w:line="480" w:lineRule="auto"/>
        <w:ind w:firstLine="720"/>
        <w:jc w:val="both"/>
        <w:rPr>
          <w:rFonts w:ascii="Courier New" w:hAnsi="Courier New" w:cs="Courier New"/>
        </w:rPr>
      </w:pPr>
      <w:r>
        <w:rPr>
          <w:rFonts w:ascii="Courier New" w:hAnsi="Courier New" w:cs="Courier New"/>
        </w:rPr>
        <w:t>Without</w:t>
      </w:r>
      <w:r w:rsidR="003A15CA">
        <w:rPr>
          <w:rFonts w:ascii="Courier New" w:hAnsi="Courier New" w:cs="Courier New"/>
        </w:rPr>
        <w:t xml:space="preserve"> including the </w:t>
      </w:r>
      <w:r w:rsidR="00845A7C">
        <w:rPr>
          <w:rFonts w:ascii="Courier New" w:hAnsi="Courier New" w:cs="Courier New"/>
        </w:rPr>
        <w:t xml:space="preserve">contested </w:t>
      </w:r>
      <w:r w:rsidR="00711440">
        <w:rPr>
          <w:rFonts w:ascii="Courier New" w:hAnsi="Courier New" w:cs="Courier New"/>
        </w:rPr>
        <w:t>REIT</w:t>
      </w:r>
      <w:r w:rsidR="001C3676" w:rsidRPr="003A15CA">
        <w:rPr>
          <w:rFonts w:ascii="Courier New" w:hAnsi="Courier New" w:cs="Courier New"/>
        </w:rPr>
        <w:t xml:space="preserve"> </w:t>
      </w:r>
      <w:r w:rsidRPr="003A15CA">
        <w:rPr>
          <w:rFonts w:ascii="Courier New" w:hAnsi="Courier New" w:cs="Courier New"/>
        </w:rPr>
        <w:t>expenses</w:t>
      </w:r>
      <w:r>
        <w:rPr>
          <w:rFonts w:ascii="Courier New" w:hAnsi="Courier New" w:cs="Courier New"/>
        </w:rPr>
        <w:t>, Ms.</w:t>
      </w:r>
      <w:r w:rsidR="000204C7">
        <w:rPr>
          <w:rFonts w:ascii="Courier New" w:hAnsi="Courier New" w:cs="Courier New"/>
        </w:rPr>
        <w:t> </w:t>
      </w:r>
      <w:r>
        <w:rPr>
          <w:rFonts w:ascii="Courier New" w:hAnsi="Courier New" w:cs="Courier New"/>
        </w:rPr>
        <w:t xml:space="preserve">Balogh’s income-capitalization </w:t>
      </w:r>
      <w:r w:rsidR="00D9117E">
        <w:rPr>
          <w:rFonts w:ascii="Courier New" w:hAnsi="Courier New" w:cs="Courier New"/>
        </w:rPr>
        <w:t xml:space="preserve">analysis would yield an indicated value </w:t>
      </w:r>
      <w:r w:rsidR="00EE72A3">
        <w:rPr>
          <w:rFonts w:ascii="Courier New" w:hAnsi="Courier New" w:cs="Courier New"/>
        </w:rPr>
        <w:t xml:space="preserve">that would be </w:t>
      </w:r>
      <w:r w:rsidR="00D9117E">
        <w:rPr>
          <w:rFonts w:ascii="Courier New" w:hAnsi="Courier New" w:cs="Courier New"/>
        </w:rPr>
        <w:t xml:space="preserve">higher than </w:t>
      </w:r>
      <w:r w:rsidR="000604D9">
        <w:rPr>
          <w:rFonts w:ascii="Courier New" w:hAnsi="Courier New" w:cs="Courier New"/>
        </w:rPr>
        <w:t>the assessed value for all 3</w:t>
      </w:r>
      <w:r w:rsidR="00D9117E">
        <w:rPr>
          <w:rFonts w:ascii="Courier New" w:hAnsi="Courier New" w:cs="Courier New"/>
        </w:rPr>
        <w:t xml:space="preserve"> fiscal years at issue, as reflected in the following table</w:t>
      </w:r>
      <w:r w:rsidR="00310D7C">
        <w:rPr>
          <w:rFonts w:ascii="Courier New" w:hAnsi="Courier New" w:cs="Courier New"/>
        </w:rPr>
        <w:t>:</w:t>
      </w:r>
      <w:r>
        <w:rPr>
          <w:rFonts w:ascii="Courier New" w:hAnsi="Courier New" w:cs="Courier New"/>
        </w:rPr>
        <w:t xml:space="preserve">  </w:t>
      </w:r>
    </w:p>
    <w:tbl>
      <w:tblPr>
        <w:tblStyle w:val="TableGrid"/>
        <w:tblW w:w="8928" w:type="dxa"/>
        <w:tblLook w:val="04A0" w:firstRow="1" w:lastRow="0" w:firstColumn="1" w:lastColumn="0" w:noHBand="0" w:noVBand="1"/>
      </w:tblPr>
      <w:tblGrid>
        <w:gridCol w:w="2718"/>
        <w:gridCol w:w="2070"/>
        <w:gridCol w:w="2070"/>
        <w:gridCol w:w="2070"/>
      </w:tblGrid>
      <w:tr w:rsidR="00310D7C" w14:paraId="6750ABBD" w14:textId="77777777" w:rsidTr="00734F66">
        <w:tc>
          <w:tcPr>
            <w:tcW w:w="2718" w:type="dxa"/>
          </w:tcPr>
          <w:p w14:paraId="6826324E" w14:textId="43E04E16" w:rsidR="00310D7C" w:rsidRPr="00BA1AEB" w:rsidRDefault="0064372C" w:rsidP="00734F66">
            <w:pPr>
              <w:rPr>
                <w:rFonts w:ascii="Courier New" w:hAnsi="Courier New" w:cs="Courier New"/>
                <w:b/>
                <w:sz w:val="20"/>
                <w:szCs w:val="20"/>
              </w:rPr>
            </w:pPr>
            <w:r>
              <w:rPr>
                <w:rFonts w:ascii="Courier New" w:hAnsi="Courier New" w:cs="Courier New"/>
                <w:b/>
                <w:sz w:val="20"/>
                <w:szCs w:val="20"/>
              </w:rPr>
              <w:lastRenderedPageBreak/>
              <w:t>F</w:t>
            </w:r>
            <w:r w:rsidR="00310D7C">
              <w:rPr>
                <w:rFonts w:ascii="Courier New" w:hAnsi="Courier New" w:cs="Courier New"/>
                <w:b/>
                <w:sz w:val="20"/>
                <w:szCs w:val="20"/>
              </w:rPr>
              <w:t xml:space="preserve">iscal </w:t>
            </w:r>
            <w:r w:rsidR="00310D7C" w:rsidRPr="00BA1AEB">
              <w:rPr>
                <w:rFonts w:ascii="Courier New" w:hAnsi="Courier New" w:cs="Courier New"/>
                <w:b/>
                <w:sz w:val="20"/>
                <w:szCs w:val="20"/>
              </w:rPr>
              <w:t>year</w:t>
            </w:r>
          </w:p>
        </w:tc>
        <w:tc>
          <w:tcPr>
            <w:tcW w:w="2070" w:type="dxa"/>
          </w:tcPr>
          <w:p w14:paraId="1C64BB4C" w14:textId="77777777" w:rsidR="00310D7C" w:rsidRPr="00BA1AEB" w:rsidRDefault="00310D7C" w:rsidP="00734F66">
            <w:pPr>
              <w:rPr>
                <w:rFonts w:ascii="Courier New" w:hAnsi="Courier New" w:cs="Courier New"/>
                <w:b/>
                <w:sz w:val="20"/>
                <w:szCs w:val="20"/>
              </w:rPr>
            </w:pPr>
            <w:r>
              <w:rPr>
                <w:rFonts w:ascii="Courier New" w:hAnsi="Courier New" w:cs="Courier New"/>
                <w:b/>
                <w:sz w:val="20"/>
                <w:szCs w:val="20"/>
              </w:rPr>
              <w:t>FY</w:t>
            </w:r>
            <w:r w:rsidRPr="00BA1AEB">
              <w:rPr>
                <w:rFonts w:ascii="Courier New" w:hAnsi="Courier New" w:cs="Courier New"/>
                <w:b/>
                <w:sz w:val="20"/>
                <w:szCs w:val="20"/>
              </w:rPr>
              <w:t xml:space="preserve"> 2014</w:t>
            </w:r>
          </w:p>
        </w:tc>
        <w:tc>
          <w:tcPr>
            <w:tcW w:w="2070" w:type="dxa"/>
          </w:tcPr>
          <w:p w14:paraId="5F7207BB" w14:textId="77777777" w:rsidR="00310D7C" w:rsidRPr="00BA1AEB" w:rsidRDefault="00310D7C" w:rsidP="00734F66">
            <w:pPr>
              <w:rPr>
                <w:rFonts w:ascii="Courier New" w:hAnsi="Courier New" w:cs="Courier New"/>
                <w:b/>
                <w:sz w:val="20"/>
                <w:szCs w:val="20"/>
              </w:rPr>
            </w:pPr>
            <w:r>
              <w:rPr>
                <w:rFonts w:ascii="Courier New" w:hAnsi="Courier New" w:cs="Courier New"/>
                <w:b/>
                <w:sz w:val="20"/>
                <w:szCs w:val="20"/>
              </w:rPr>
              <w:t>FY</w:t>
            </w:r>
            <w:r w:rsidRPr="00BA1AEB">
              <w:rPr>
                <w:rFonts w:ascii="Courier New" w:hAnsi="Courier New" w:cs="Courier New"/>
                <w:b/>
                <w:sz w:val="20"/>
                <w:szCs w:val="20"/>
              </w:rPr>
              <w:t xml:space="preserve"> 2015</w:t>
            </w:r>
          </w:p>
        </w:tc>
        <w:tc>
          <w:tcPr>
            <w:tcW w:w="2070" w:type="dxa"/>
          </w:tcPr>
          <w:p w14:paraId="349F88D2" w14:textId="77777777" w:rsidR="00310D7C" w:rsidRPr="00BA1AEB" w:rsidRDefault="00310D7C" w:rsidP="00734F66">
            <w:pPr>
              <w:rPr>
                <w:rFonts w:ascii="Courier New" w:hAnsi="Courier New" w:cs="Courier New"/>
                <w:b/>
                <w:sz w:val="20"/>
                <w:szCs w:val="20"/>
              </w:rPr>
            </w:pPr>
            <w:r>
              <w:rPr>
                <w:rFonts w:ascii="Courier New" w:hAnsi="Courier New" w:cs="Courier New"/>
                <w:b/>
                <w:sz w:val="20"/>
                <w:szCs w:val="20"/>
              </w:rPr>
              <w:t>FY 2016</w:t>
            </w:r>
          </w:p>
        </w:tc>
      </w:tr>
      <w:tr w:rsidR="00310D7C" w14:paraId="62845384" w14:textId="77777777" w:rsidTr="00734F66">
        <w:tc>
          <w:tcPr>
            <w:tcW w:w="2718" w:type="dxa"/>
          </w:tcPr>
          <w:p w14:paraId="1CD96E7E" w14:textId="77777777" w:rsidR="00310D7C" w:rsidRPr="00BA1AEB" w:rsidRDefault="00310D7C" w:rsidP="00734F66">
            <w:pPr>
              <w:rPr>
                <w:rFonts w:ascii="Courier New" w:hAnsi="Courier New" w:cs="Courier New"/>
                <w:b/>
                <w:sz w:val="20"/>
                <w:szCs w:val="20"/>
              </w:rPr>
            </w:pPr>
            <w:r>
              <w:rPr>
                <w:rFonts w:ascii="Courier New" w:hAnsi="Courier New" w:cs="Courier New"/>
                <w:b/>
                <w:sz w:val="20"/>
                <w:szCs w:val="20"/>
              </w:rPr>
              <w:t>Gross r</w:t>
            </w:r>
            <w:r w:rsidRPr="00BA1AEB">
              <w:rPr>
                <w:rFonts w:ascii="Courier New" w:hAnsi="Courier New" w:cs="Courier New"/>
                <w:b/>
                <w:sz w:val="20"/>
                <w:szCs w:val="20"/>
              </w:rPr>
              <w:t>evenue</w:t>
            </w:r>
          </w:p>
        </w:tc>
        <w:tc>
          <w:tcPr>
            <w:tcW w:w="2070" w:type="dxa"/>
          </w:tcPr>
          <w:p w14:paraId="5C70A2C6" w14:textId="77777777"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$1,905,264</w:t>
            </w:r>
          </w:p>
        </w:tc>
        <w:tc>
          <w:tcPr>
            <w:tcW w:w="2070" w:type="dxa"/>
          </w:tcPr>
          <w:p w14:paraId="68217F50" w14:textId="77777777"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$1,909,488</w:t>
            </w:r>
          </w:p>
        </w:tc>
        <w:tc>
          <w:tcPr>
            <w:tcW w:w="2070" w:type="dxa"/>
          </w:tcPr>
          <w:p w14:paraId="681E03CA" w14:textId="77777777"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$2,098,149</w:t>
            </w:r>
          </w:p>
        </w:tc>
      </w:tr>
      <w:tr w:rsidR="00310D7C" w14:paraId="11823458" w14:textId="77777777" w:rsidTr="00734F66">
        <w:tc>
          <w:tcPr>
            <w:tcW w:w="2718" w:type="dxa"/>
          </w:tcPr>
          <w:p w14:paraId="0984E7D1" w14:textId="77777777" w:rsidR="00310D7C" w:rsidRPr="00BA1AEB" w:rsidRDefault="00310D7C" w:rsidP="00734F66">
            <w:pPr>
              <w:rPr>
                <w:rFonts w:ascii="Courier New" w:hAnsi="Courier New" w:cs="Courier New"/>
                <w:b/>
                <w:sz w:val="20"/>
                <w:szCs w:val="20"/>
              </w:rPr>
            </w:pPr>
            <w:r w:rsidRPr="00BA1AEB">
              <w:rPr>
                <w:rFonts w:ascii="Courier New" w:hAnsi="Courier New" w:cs="Courier New"/>
                <w:b/>
                <w:sz w:val="20"/>
                <w:szCs w:val="20"/>
              </w:rPr>
              <w:t>departmental expenses</w:t>
            </w:r>
          </w:p>
        </w:tc>
        <w:tc>
          <w:tcPr>
            <w:tcW w:w="2070" w:type="dxa"/>
          </w:tcPr>
          <w:p w14:paraId="4ABDEFE0" w14:textId="56494C92" w:rsidR="00310D7C" w:rsidRPr="00BA1AEB" w:rsidRDefault="009C72B7" w:rsidP="00734F66">
            <w:pPr>
              <w:rPr>
                <w:rFonts w:ascii="Courier New" w:hAnsi="Courier New" w:cs="Courier New"/>
                <w:sz w:val="20"/>
                <w:szCs w:val="20"/>
              </w:rPr>
            </w:pPr>
            <w:r>
              <w:rPr>
                <w:rFonts w:ascii="Courier New" w:hAnsi="Courier New" w:cs="Courier New"/>
                <w:sz w:val="20"/>
                <w:szCs w:val="20"/>
              </w:rPr>
              <w:t>($  398,423)</w:t>
            </w:r>
          </w:p>
        </w:tc>
        <w:tc>
          <w:tcPr>
            <w:tcW w:w="2070" w:type="dxa"/>
          </w:tcPr>
          <w:p w14:paraId="73A851FE" w14:textId="106C7221" w:rsidR="00310D7C" w:rsidRPr="00BA1AEB" w:rsidRDefault="009C72B7" w:rsidP="00734F66">
            <w:pPr>
              <w:rPr>
                <w:rFonts w:ascii="Courier New" w:hAnsi="Courier New" w:cs="Courier New"/>
                <w:sz w:val="20"/>
                <w:szCs w:val="20"/>
              </w:rPr>
            </w:pPr>
            <w:r>
              <w:rPr>
                <w:rFonts w:ascii="Courier New" w:hAnsi="Courier New" w:cs="Courier New"/>
                <w:sz w:val="20"/>
                <w:szCs w:val="20"/>
              </w:rPr>
              <w:t>($  380,398)</w:t>
            </w:r>
          </w:p>
        </w:tc>
        <w:tc>
          <w:tcPr>
            <w:tcW w:w="2070" w:type="dxa"/>
          </w:tcPr>
          <w:p w14:paraId="1B5E7383" w14:textId="355FF17E" w:rsidR="00310D7C" w:rsidRPr="00BA1AEB" w:rsidRDefault="009C72B7" w:rsidP="00734F66">
            <w:pPr>
              <w:rPr>
                <w:rFonts w:ascii="Courier New" w:hAnsi="Courier New" w:cs="Courier New"/>
                <w:sz w:val="20"/>
                <w:szCs w:val="20"/>
              </w:rPr>
            </w:pPr>
            <w:r>
              <w:rPr>
                <w:rFonts w:ascii="Courier New" w:hAnsi="Courier New" w:cs="Courier New"/>
                <w:sz w:val="20"/>
                <w:szCs w:val="20"/>
              </w:rPr>
              <w:t>($  437,830)</w:t>
            </w:r>
          </w:p>
        </w:tc>
      </w:tr>
      <w:tr w:rsidR="00310D7C" w14:paraId="5E3C1009" w14:textId="77777777" w:rsidTr="00734F66">
        <w:tc>
          <w:tcPr>
            <w:tcW w:w="2718" w:type="dxa"/>
          </w:tcPr>
          <w:p w14:paraId="4B1EDFF2" w14:textId="052CBFCC" w:rsidR="00310D7C" w:rsidRPr="00BA1AEB" w:rsidRDefault="002B7A6B" w:rsidP="00734F66">
            <w:pPr>
              <w:rPr>
                <w:rFonts w:ascii="Courier New" w:hAnsi="Courier New" w:cs="Courier New"/>
                <w:b/>
                <w:sz w:val="20"/>
                <w:szCs w:val="20"/>
              </w:rPr>
            </w:pPr>
            <w:r>
              <w:rPr>
                <w:rFonts w:ascii="Courier New" w:hAnsi="Courier New" w:cs="Courier New"/>
                <w:b/>
                <w:sz w:val="20"/>
                <w:szCs w:val="20"/>
              </w:rPr>
              <w:t>operating expenses</w:t>
            </w:r>
            <w:r w:rsidR="00310D7C">
              <w:rPr>
                <w:rFonts w:ascii="Courier New" w:hAnsi="Courier New" w:cs="Courier New"/>
                <w:b/>
                <w:sz w:val="20"/>
                <w:szCs w:val="20"/>
              </w:rPr>
              <w:t xml:space="preserve"> not including</w:t>
            </w:r>
            <w:r w:rsidR="00310D7C" w:rsidRPr="00BA1AEB">
              <w:rPr>
                <w:rFonts w:ascii="Courier New" w:hAnsi="Courier New" w:cs="Courier New"/>
                <w:b/>
                <w:sz w:val="20"/>
                <w:szCs w:val="20"/>
              </w:rPr>
              <w:t xml:space="preserve"> </w:t>
            </w:r>
            <w:r w:rsidR="00711440">
              <w:rPr>
                <w:rFonts w:ascii="Courier New" w:hAnsi="Courier New" w:cs="Courier New"/>
                <w:b/>
                <w:sz w:val="20"/>
                <w:szCs w:val="20"/>
              </w:rPr>
              <w:t xml:space="preserve">REIT </w:t>
            </w:r>
            <w:r w:rsidR="00310D7C" w:rsidRPr="003A15CA">
              <w:rPr>
                <w:rFonts w:ascii="Courier New" w:hAnsi="Courier New" w:cs="Courier New"/>
                <w:b/>
                <w:sz w:val="20"/>
                <w:szCs w:val="20"/>
              </w:rPr>
              <w:t>expenses</w:t>
            </w:r>
          </w:p>
        </w:tc>
        <w:tc>
          <w:tcPr>
            <w:tcW w:w="2070" w:type="dxa"/>
          </w:tcPr>
          <w:p w14:paraId="7A8227CB" w14:textId="6C2A5F2D" w:rsidR="00310D7C" w:rsidRDefault="009C72B7" w:rsidP="00734F66">
            <w:pPr>
              <w:rPr>
                <w:rFonts w:ascii="Courier New" w:hAnsi="Courier New" w:cs="Courier New"/>
                <w:sz w:val="20"/>
                <w:szCs w:val="20"/>
              </w:rPr>
            </w:pPr>
            <w:r>
              <w:rPr>
                <w:rFonts w:ascii="Courier New" w:hAnsi="Courier New" w:cs="Courier New"/>
                <w:sz w:val="20"/>
                <w:szCs w:val="20"/>
              </w:rPr>
              <w:t>($  215,665)</w:t>
            </w:r>
          </w:p>
          <w:p w14:paraId="6E3D91A0" w14:textId="77777777" w:rsidR="00310D7C" w:rsidRDefault="00310D7C" w:rsidP="00734F66">
            <w:pPr>
              <w:rPr>
                <w:rFonts w:ascii="Courier New" w:hAnsi="Courier New" w:cs="Courier New"/>
                <w:sz w:val="20"/>
                <w:szCs w:val="20"/>
              </w:rPr>
            </w:pPr>
          </w:p>
          <w:p w14:paraId="4B08A322" w14:textId="33DB6949" w:rsidR="00310D7C" w:rsidRPr="00BA1AEB" w:rsidRDefault="00310D7C" w:rsidP="00734F66">
            <w:pPr>
              <w:rPr>
                <w:rFonts w:ascii="Courier New" w:hAnsi="Courier New" w:cs="Courier New"/>
                <w:sz w:val="20"/>
                <w:szCs w:val="20"/>
              </w:rPr>
            </w:pPr>
          </w:p>
        </w:tc>
        <w:tc>
          <w:tcPr>
            <w:tcW w:w="2070" w:type="dxa"/>
          </w:tcPr>
          <w:p w14:paraId="25671A82" w14:textId="7D38F932" w:rsidR="00310D7C" w:rsidRDefault="009C72B7" w:rsidP="00734F66">
            <w:pPr>
              <w:rPr>
                <w:rFonts w:ascii="Courier New" w:hAnsi="Courier New" w:cs="Courier New"/>
                <w:sz w:val="20"/>
                <w:szCs w:val="20"/>
              </w:rPr>
            </w:pPr>
            <w:r>
              <w:rPr>
                <w:rFonts w:ascii="Courier New" w:hAnsi="Courier New" w:cs="Courier New"/>
                <w:sz w:val="20"/>
                <w:szCs w:val="20"/>
              </w:rPr>
              <w:t>($  307,982)</w:t>
            </w:r>
          </w:p>
          <w:p w14:paraId="7F70A7D1" w14:textId="77777777" w:rsidR="00310D7C" w:rsidRDefault="00310D7C" w:rsidP="00734F66">
            <w:pPr>
              <w:rPr>
                <w:rFonts w:ascii="Courier New" w:hAnsi="Courier New" w:cs="Courier New"/>
                <w:sz w:val="20"/>
                <w:szCs w:val="20"/>
              </w:rPr>
            </w:pPr>
          </w:p>
          <w:p w14:paraId="1FE2FEC7" w14:textId="0DB7AFE5" w:rsidR="00310D7C" w:rsidRPr="00BA1AEB" w:rsidRDefault="00310D7C" w:rsidP="00734F66">
            <w:pPr>
              <w:rPr>
                <w:rFonts w:ascii="Courier New" w:hAnsi="Courier New" w:cs="Courier New"/>
                <w:sz w:val="20"/>
                <w:szCs w:val="20"/>
              </w:rPr>
            </w:pPr>
          </w:p>
        </w:tc>
        <w:tc>
          <w:tcPr>
            <w:tcW w:w="2070" w:type="dxa"/>
          </w:tcPr>
          <w:p w14:paraId="6254E9E3" w14:textId="1D751372" w:rsidR="00310D7C" w:rsidRDefault="009C72B7" w:rsidP="00734F66">
            <w:pPr>
              <w:rPr>
                <w:rFonts w:ascii="Courier New" w:hAnsi="Courier New" w:cs="Courier New"/>
                <w:sz w:val="20"/>
                <w:szCs w:val="20"/>
              </w:rPr>
            </w:pPr>
            <w:r>
              <w:rPr>
                <w:rFonts w:ascii="Courier New" w:hAnsi="Courier New" w:cs="Courier New"/>
                <w:sz w:val="20"/>
                <w:szCs w:val="20"/>
              </w:rPr>
              <w:t>($  317,822)</w:t>
            </w:r>
          </w:p>
          <w:p w14:paraId="6E9DA23F" w14:textId="77777777" w:rsidR="00310D7C" w:rsidRDefault="00310D7C" w:rsidP="00734F66">
            <w:pPr>
              <w:rPr>
                <w:rFonts w:ascii="Courier New" w:hAnsi="Courier New" w:cs="Courier New"/>
                <w:sz w:val="20"/>
                <w:szCs w:val="20"/>
              </w:rPr>
            </w:pPr>
          </w:p>
          <w:p w14:paraId="30664399" w14:textId="525DDE98" w:rsidR="00310D7C" w:rsidRPr="00BA1AEB" w:rsidRDefault="00310D7C" w:rsidP="00734F66">
            <w:pPr>
              <w:rPr>
                <w:rFonts w:ascii="Courier New" w:hAnsi="Courier New" w:cs="Courier New"/>
                <w:sz w:val="20"/>
                <w:szCs w:val="20"/>
              </w:rPr>
            </w:pPr>
          </w:p>
        </w:tc>
      </w:tr>
      <w:tr w:rsidR="00310D7C" w14:paraId="0E1140F5" w14:textId="77777777" w:rsidTr="00734F66">
        <w:tc>
          <w:tcPr>
            <w:tcW w:w="2718" w:type="dxa"/>
          </w:tcPr>
          <w:p w14:paraId="413FFFBD" w14:textId="77777777" w:rsidR="00310D7C" w:rsidRPr="00BA1AEB" w:rsidRDefault="00310D7C" w:rsidP="00734F66">
            <w:pPr>
              <w:rPr>
                <w:rFonts w:ascii="Courier New" w:hAnsi="Courier New" w:cs="Courier New"/>
                <w:b/>
                <w:sz w:val="20"/>
                <w:szCs w:val="20"/>
              </w:rPr>
            </w:pPr>
            <w:r>
              <w:rPr>
                <w:rFonts w:ascii="Courier New" w:hAnsi="Courier New" w:cs="Courier New"/>
                <w:b/>
                <w:sz w:val="20"/>
                <w:szCs w:val="20"/>
              </w:rPr>
              <w:t>management fee</w:t>
            </w:r>
          </w:p>
        </w:tc>
        <w:tc>
          <w:tcPr>
            <w:tcW w:w="2070" w:type="dxa"/>
          </w:tcPr>
          <w:p w14:paraId="4F42C0AA" w14:textId="7243CCB7" w:rsidR="00310D7C" w:rsidRDefault="009C72B7" w:rsidP="00734F66">
            <w:pPr>
              <w:rPr>
                <w:rFonts w:ascii="Courier New" w:hAnsi="Courier New" w:cs="Courier New"/>
                <w:sz w:val="20"/>
                <w:szCs w:val="20"/>
              </w:rPr>
            </w:pPr>
            <w:r>
              <w:rPr>
                <w:rFonts w:ascii="Courier New" w:hAnsi="Courier New" w:cs="Courier New"/>
                <w:sz w:val="20"/>
                <w:szCs w:val="20"/>
              </w:rPr>
              <w:t>($   76,211)</w:t>
            </w:r>
          </w:p>
        </w:tc>
        <w:tc>
          <w:tcPr>
            <w:tcW w:w="2070" w:type="dxa"/>
          </w:tcPr>
          <w:p w14:paraId="4EE60CC7" w14:textId="59061C7A" w:rsidR="00310D7C" w:rsidRPr="00BA1AEB" w:rsidRDefault="009C72B7" w:rsidP="00734F66">
            <w:pPr>
              <w:rPr>
                <w:rFonts w:ascii="Courier New" w:hAnsi="Courier New" w:cs="Courier New"/>
                <w:sz w:val="20"/>
                <w:szCs w:val="20"/>
              </w:rPr>
            </w:pPr>
            <w:r>
              <w:rPr>
                <w:rFonts w:ascii="Courier New" w:hAnsi="Courier New" w:cs="Courier New"/>
                <w:sz w:val="20"/>
                <w:szCs w:val="20"/>
              </w:rPr>
              <w:t>($   76,380)</w:t>
            </w:r>
          </w:p>
        </w:tc>
        <w:tc>
          <w:tcPr>
            <w:tcW w:w="2070" w:type="dxa"/>
          </w:tcPr>
          <w:p w14:paraId="6A851205" w14:textId="25381505" w:rsidR="00310D7C" w:rsidRPr="00BA1AEB" w:rsidRDefault="009C72B7" w:rsidP="00734F66">
            <w:pPr>
              <w:rPr>
                <w:rFonts w:ascii="Courier New" w:hAnsi="Courier New" w:cs="Courier New"/>
                <w:sz w:val="20"/>
                <w:szCs w:val="20"/>
              </w:rPr>
            </w:pPr>
            <w:r>
              <w:rPr>
                <w:rFonts w:ascii="Courier New" w:hAnsi="Courier New" w:cs="Courier New"/>
                <w:sz w:val="20"/>
                <w:szCs w:val="20"/>
              </w:rPr>
              <w:t>($   83,926</w:t>
            </w:r>
          </w:p>
        </w:tc>
      </w:tr>
      <w:tr w:rsidR="00310D7C" w14:paraId="71C987F4" w14:textId="77777777" w:rsidTr="00734F66">
        <w:tc>
          <w:tcPr>
            <w:tcW w:w="2718" w:type="dxa"/>
          </w:tcPr>
          <w:p w14:paraId="46F5A323" w14:textId="77777777" w:rsidR="00310D7C" w:rsidRPr="00BA1AEB" w:rsidRDefault="00310D7C" w:rsidP="00734F66">
            <w:pPr>
              <w:rPr>
                <w:rFonts w:ascii="Courier New" w:hAnsi="Courier New" w:cs="Courier New"/>
                <w:b/>
                <w:sz w:val="20"/>
                <w:szCs w:val="20"/>
              </w:rPr>
            </w:pPr>
            <w:r w:rsidRPr="00BA1AEB">
              <w:rPr>
                <w:rFonts w:ascii="Courier New" w:hAnsi="Courier New" w:cs="Courier New"/>
                <w:b/>
                <w:sz w:val="20"/>
                <w:szCs w:val="20"/>
              </w:rPr>
              <w:t>fixed charges</w:t>
            </w:r>
          </w:p>
        </w:tc>
        <w:tc>
          <w:tcPr>
            <w:tcW w:w="2070" w:type="dxa"/>
          </w:tcPr>
          <w:p w14:paraId="58804F07" w14:textId="4DA371F3" w:rsidR="00310D7C" w:rsidRPr="00BA1AEB" w:rsidRDefault="009C72B7" w:rsidP="00734F66">
            <w:pPr>
              <w:rPr>
                <w:rFonts w:ascii="Courier New" w:hAnsi="Courier New" w:cs="Courier New"/>
                <w:sz w:val="20"/>
                <w:szCs w:val="20"/>
              </w:rPr>
            </w:pPr>
            <w:r>
              <w:rPr>
                <w:rFonts w:ascii="Courier New" w:hAnsi="Courier New" w:cs="Courier New"/>
                <w:sz w:val="20"/>
                <w:szCs w:val="20"/>
              </w:rPr>
              <w:t>($  214,596)</w:t>
            </w:r>
          </w:p>
        </w:tc>
        <w:tc>
          <w:tcPr>
            <w:tcW w:w="2070" w:type="dxa"/>
          </w:tcPr>
          <w:p w14:paraId="4D64AD2A" w14:textId="0C5C4570" w:rsidR="00310D7C" w:rsidRPr="00BA1AEB" w:rsidRDefault="009C72B7" w:rsidP="00734F66">
            <w:pPr>
              <w:rPr>
                <w:rFonts w:ascii="Courier New" w:hAnsi="Courier New" w:cs="Courier New"/>
                <w:sz w:val="20"/>
                <w:szCs w:val="20"/>
              </w:rPr>
            </w:pPr>
            <w:r>
              <w:rPr>
                <w:rFonts w:ascii="Courier New" w:hAnsi="Courier New" w:cs="Courier New"/>
                <w:sz w:val="20"/>
                <w:szCs w:val="20"/>
              </w:rPr>
              <w:t>($  212,084)</w:t>
            </w:r>
          </w:p>
        </w:tc>
        <w:tc>
          <w:tcPr>
            <w:tcW w:w="2070" w:type="dxa"/>
          </w:tcPr>
          <w:p w14:paraId="2A53F422" w14:textId="12EB2A36" w:rsidR="00310D7C" w:rsidRPr="00BA1AEB" w:rsidRDefault="009C72B7" w:rsidP="00734F66">
            <w:pPr>
              <w:rPr>
                <w:rFonts w:ascii="Courier New" w:hAnsi="Courier New" w:cs="Courier New"/>
                <w:sz w:val="20"/>
                <w:szCs w:val="20"/>
              </w:rPr>
            </w:pPr>
            <w:r>
              <w:rPr>
                <w:rFonts w:ascii="Courier New" w:hAnsi="Courier New" w:cs="Courier New"/>
                <w:sz w:val="20"/>
                <w:szCs w:val="20"/>
              </w:rPr>
              <w:t>(</w:t>
            </w:r>
            <w:r w:rsidR="00310D7C">
              <w:rPr>
                <w:rFonts w:ascii="Courier New" w:hAnsi="Courier New" w:cs="Courier New"/>
                <w:sz w:val="20"/>
                <w:szCs w:val="20"/>
              </w:rPr>
              <w:t xml:space="preserve">$  </w:t>
            </w:r>
            <w:r>
              <w:rPr>
                <w:rFonts w:ascii="Courier New" w:hAnsi="Courier New" w:cs="Courier New"/>
                <w:sz w:val="20"/>
                <w:szCs w:val="20"/>
              </w:rPr>
              <w:t>229,863)</w:t>
            </w:r>
          </w:p>
        </w:tc>
      </w:tr>
      <w:tr w:rsidR="00310D7C" w14:paraId="09B05426" w14:textId="77777777" w:rsidTr="00734F66">
        <w:tc>
          <w:tcPr>
            <w:tcW w:w="2718" w:type="dxa"/>
          </w:tcPr>
          <w:p w14:paraId="5B71800B" w14:textId="77777777" w:rsidR="00310D7C" w:rsidRPr="00BA1AEB" w:rsidRDefault="00310D7C" w:rsidP="00734F66">
            <w:pPr>
              <w:rPr>
                <w:rFonts w:ascii="Courier New" w:hAnsi="Courier New" w:cs="Courier New"/>
                <w:b/>
                <w:sz w:val="20"/>
                <w:szCs w:val="20"/>
              </w:rPr>
            </w:pPr>
            <w:r w:rsidRPr="00BA1AEB">
              <w:rPr>
                <w:rFonts w:ascii="Courier New" w:hAnsi="Courier New" w:cs="Courier New"/>
                <w:b/>
                <w:sz w:val="20"/>
                <w:szCs w:val="20"/>
              </w:rPr>
              <w:t>net operating income</w:t>
            </w:r>
          </w:p>
        </w:tc>
        <w:tc>
          <w:tcPr>
            <w:tcW w:w="2070" w:type="dxa"/>
          </w:tcPr>
          <w:p w14:paraId="2C4A0F1F" w14:textId="27B8B321"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$1,000,369</w:t>
            </w:r>
          </w:p>
        </w:tc>
        <w:tc>
          <w:tcPr>
            <w:tcW w:w="2070" w:type="dxa"/>
          </w:tcPr>
          <w:p w14:paraId="3032EC08" w14:textId="697E94B7"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w:t>
            </w:r>
            <w:r w:rsidR="00734F66">
              <w:rPr>
                <w:rFonts w:ascii="Courier New" w:hAnsi="Courier New" w:cs="Courier New"/>
                <w:sz w:val="20"/>
                <w:szCs w:val="20"/>
              </w:rPr>
              <w:t>$  932</w:t>
            </w:r>
            <w:r>
              <w:rPr>
                <w:rFonts w:ascii="Courier New" w:hAnsi="Courier New" w:cs="Courier New"/>
                <w:sz w:val="20"/>
                <w:szCs w:val="20"/>
              </w:rPr>
              <w:t>,</w:t>
            </w:r>
            <w:r w:rsidR="00734F66">
              <w:rPr>
                <w:rFonts w:ascii="Courier New" w:hAnsi="Courier New" w:cs="Courier New"/>
                <w:sz w:val="20"/>
                <w:szCs w:val="20"/>
              </w:rPr>
              <w:t>644</w:t>
            </w:r>
          </w:p>
        </w:tc>
        <w:tc>
          <w:tcPr>
            <w:tcW w:w="2070" w:type="dxa"/>
          </w:tcPr>
          <w:p w14:paraId="2C95CB98" w14:textId="55BABFED"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w:t>
            </w:r>
            <w:r w:rsidR="00734F66">
              <w:rPr>
                <w:rFonts w:ascii="Courier New" w:hAnsi="Courier New" w:cs="Courier New"/>
                <w:sz w:val="20"/>
                <w:szCs w:val="20"/>
              </w:rPr>
              <w:t>$1,028,708</w:t>
            </w:r>
          </w:p>
        </w:tc>
      </w:tr>
      <w:tr w:rsidR="00310D7C" w14:paraId="7DDE58C4" w14:textId="77777777" w:rsidTr="00734F66">
        <w:tc>
          <w:tcPr>
            <w:tcW w:w="2718" w:type="dxa"/>
          </w:tcPr>
          <w:p w14:paraId="4C98E5AF" w14:textId="77777777" w:rsidR="00310D7C" w:rsidRPr="00BA1AEB" w:rsidRDefault="00310D7C" w:rsidP="00734F66">
            <w:pPr>
              <w:rPr>
                <w:rFonts w:ascii="Courier New" w:hAnsi="Courier New" w:cs="Courier New"/>
                <w:b/>
                <w:sz w:val="20"/>
                <w:szCs w:val="20"/>
              </w:rPr>
            </w:pPr>
            <w:r w:rsidRPr="00BA1AEB">
              <w:rPr>
                <w:rFonts w:ascii="Courier New" w:hAnsi="Courier New" w:cs="Courier New"/>
                <w:b/>
                <w:sz w:val="20"/>
                <w:szCs w:val="20"/>
              </w:rPr>
              <w:t>overall capitalization rate</w:t>
            </w:r>
          </w:p>
        </w:tc>
        <w:tc>
          <w:tcPr>
            <w:tcW w:w="2070" w:type="dxa"/>
          </w:tcPr>
          <w:p w14:paraId="20B0470A" w14:textId="77777777" w:rsidR="00310D7C" w:rsidRPr="00BA1AEB" w:rsidRDefault="00310D7C" w:rsidP="00734F66">
            <w:pPr>
              <w:rPr>
                <w:rFonts w:ascii="Courier New" w:hAnsi="Courier New" w:cs="Courier New"/>
                <w:sz w:val="20"/>
                <w:szCs w:val="20"/>
              </w:rPr>
            </w:pPr>
            <w:r>
              <w:rPr>
                <w:rFonts w:ascii="Courier New" w:hAnsi="Courier New" w:cs="Courier New"/>
                <w:sz w:val="20"/>
                <w:szCs w:val="20"/>
              </w:rPr>
              <w:t>/12.741%</w:t>
            </w:r>
          </w:p>
        </w:tc>
        <w:tc>
          <w:tcPr>
            <w:tcW w:w="2070" w:type="dxa"/>
          </w:tcPr>
          <w:p w14:paraId="25A203A8" w14:textId="77777777" w:rsidR="00310D7C" w:rsidRPr="00BA1AEB" w:rsidRDefault="00310D7C" w:rsidP="00734F66">
            <w:pPr>
              <w:rPr>
                <w:rFonts w:ascii="Courier New" w:hAnsi="Courier New" w:cs="Courier New"/>
                <w:sz w:val="20"/>
                <w:szCs w:val="20"/>
              </w:rPr>
            </w:pPr>
            <w:r>
              <w:rPr>
                <w:rFonts w:ascii="Courier New" w:hAnsi="Courier New" w:cs="Courier New"/>
                <w:sz w:val="20"/>
                <w:szCs w:val="20"/>
              </w:rPr>
              <w:t>/12.630%</w:t>
            </w:r>
          </w:p>
        </w:tc>
        <w:tc>
          <w:tcPr>
            <w:tcW w:w="2070" w:type="dxa"/>
          </w:tcPr>
          <w:p w14:paraId="53730046" w14:textId="77777777" w:rsidR="00310D7C" w:rsidRPr="00BA1AEB" w:rsidRDefault="00310D7C" w:rsidP="00734F66">
            <w:pPr>
              <w:rPr>
                <w:rFonts w:ascii="Courier New" w:hAnsi="Courier New" w:cs="Courier New"/>
                <w:sz w:val="20"/>
                <w:szCs w:val="20"/>
              </w:rPr>
            </w:pPr>
            <w:r>
              <w:rPr>
                <w:rFonts w:ascii="Courier New" w:hAnsi="Courier New" w:cs="Courier New"/>
                <w:sz w:val="20"/>
                <w:szCs w:val="20"/>
              </w:rPr>
              <w:t>/12.179%</w:t>
            </w:r>
          </w:p>
        </w:tc>
      </w:tr>
      <w:tr w:rsidR="00310D7C" w14:paraId="30C5467E" w14:textId="77777777" w:rsidTr="00734F66">
        <w:tc>
          <w:tcPr>
            <w:tcW w:w="2718" w:type="dxa"/>
          </w:tcPr>
          <w:p w14:paraId="56004127" w14:textId="77777777" w:rsidR="00310D7C" w:rsidRPr="00BA1AEB" w:rsidRDefault="00310D7C" w:rsidP="00734F66">
            <w:pPr>
              <w:rPr>
                <w:rFonts w:ascii="Courier New" w:hAnsi="Courier New" w:cs="Courier New"/>
                <w:b/>
                <w:sz w:val="20"/>
                <w:szCs w:val="20"/>
              </w:rPr>
            </w:pPr>
            <w:r w:rsidRPr="00BA1AEB">
              <w:rPr>
                <w:rFonts w:ascii="Courier New" w:hAnsi="Courier New" w:cs="Courier New"/>
                <w:b/>
                <w:sz w:val="20"/>
                <w:szCs w:val="20"/>
              </w:rPr>
              <w:t>indicated value</w:t>
            </w:r>
          </w:p>
        </w:tc>
        <w:tc>
          <w:tcPr>
            <w:tcW w:w="2070" w:type="dxa"/>
          </w:tcPr>
          <w:p w14:paraId="62D04903" w14:textId="73BCC1D1"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$7,851,573</w:t>
            </w:r>
          </w:p>
        </w:tc>
        <w:tc>
          <w:tcPr>
            <w:tcW w:w="2070" w:type="dxa"/>
          </w:tcPr>
          <w:p w14:paraId="6B8DDBBE" w14:textId="23275B1F"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w:t>
            </w:r>
            <w:r w:rsidR="00734F66">
              <w:rPr>
                <w:rFonts w:ascii="Courier New" w:hAnsi="Courier New" w:cs="Courier New"/>
                <w:sz w:val="20"/>
                <w:szCs w:val="20"/>
              </w:rPr>
              <w:t>$7,384,355</w:t>
            </w:r>
          </w:p>
        </w:tc>
        <w:tc>
          <w:tcPr>
            <w:tcW w:w="2070" w:type="dxa"/>
          </w:tcPr>
          <w:p w14:paraId="3C33F831" w14:textId="4A94C3C9" w:rsidR="00310D7C" w:rsidRPr="00BA1AEB" w:rsidRDefault="00310D7C" w:rsidP="00734F66">
            <w:pPr>
              <w:rPr>
                <w:rFonts w:ascii="Courier New" w:hAnsi="Courier New" w:cs="Courier New"/>
                <w:sz w:val="20"/>
                <w:szCs w:val="20"/>
              </w:rPr>
            </w:pPr>
            <w:r>
              <w:rPr>
                <w:rFonts w:ascii="Courier New" w:hAnsi="Courier New" w:cs="Courier New"/>
                <w:sz w:val="20"/>
                <w:szCs w:val="20"/>
              </w:rPr>
              <w:t xml:space="preserve"> </w:t>
            </w:r>
            <w:r w:rsidR="00734F66">
              <w:rPr>
                <w:rFonts w:ascii="Courier New" w:hAnsi="Courier New" w:cs="Courier New"/>
                <w:sz w:val="20"/>
                <w:szCs w:val="20"/>
              </w:rPr>
              <w:t>$8,446</w:t>
            </w:r>
            <w:r w:rsidR="00D9117E">
              <w:rPr>
                <w:rFonts w:ascii="Courier New" w:hAnsi="Courier New" w:cs="Courier New"/>
                <w:sz w:val="20"/>
                <w:szCs w:val="20"/>
              </w:rPr>
              <w:t>,572</w:t>
            </w:r>
          </w:p>
        </w:tc>
      </w:tr>
      <w:tr w:rsidR="00310D7C" w14:paraId="6A07255A" w14:textId="77777777" w:rsidTr="00734F66">
        <w:tc>
          <w:tcPr>
            <w:tcW w:w="2718" w:type="dxa"/>
          </w:tcPr>
          <w:p w14:paraId="40EEC5DF" w14:textId="2F30EBF3" w:rsidR="00310D7C" w:rsidRPr="00BA1AEB" w:rsidRDefault="00310D7C" w:rsidP="00734F66">
            <w:pPr>
              <w:rPr>
                <w:rFonts w:ascii="Courier New" w:hAnsi="Courier New" w:cs="Courier New"/>
                <w:b/>
                <w:sz w:val="20"/>
                <w:szCs w:val="20"/>
              </w:rPr>
            </w:pPr>
            <w:r>
              <w:rPr>
                <w:rFonts w:ascii="Courier New" w:hAnsi="Courier New" w:cs="Courier New"/>
                <w:b/>
                <w:sz w:val="20"/>
                <w:szCs w:val="20"/>
              </w:rPr>
              <w:t>Assessed value</w:t>
            </w:r>
          </w:p>
        </w:tc>
        <w:tc>
          <w:tcPr>
            <w:tcW w:w="2070" w:type="dxa"/>
          </w:tcPr>
          <w:p w14:paraId="2329C2D2" w14:textId="4F1C32CA" w:rsidR="00310D7C" w:rsidRDefault="00310D7C" w:rsidP="00734F66">
            <w:pPr>
              <w:rPr>
                <w:rFonts w:ascii="Courier New" w:hAnsi="Courier New" w:cs="Courier New"/>
                <w:sz w:val="20"/>
                <w:szCs w:val="20"/>
              </w:rPr>
            </w:pPr>
            <w:r>
              <w:rPr>
                <w:rFonts w:ascii="Courier New" w:hAnsi="Courier New" w:cs="Courier New"/>
                <w:sz w:val="20"/>
                <w:szCs w:val="20"/>
              </w:rPr>
              <w:t xml:space="preserve"> $4,700,900</w:t>
            </w:r>
          </w:p>
        </w:tc>
        <w:tc>
          <w:tcPr>
            <w:tcW w:w="2070" w:type="dxa"/>
          </w:tcPr>
          <w:p w14:paraId="1423BEB8" w14:textId="111449E7" w:rsidR="00310D7C" w:rsidRDefault="00734F66" w:rsidP="00734F66">
            <w:pPr>
              <w:rPr>
                <w:rFonts w:ascii="Courier New" w:hAnsi="Courier New" w:cs="Courier New"/>
                <w:sz w:val="20"/>
                <w:szCs w:val="20"/>
              </w:rPr>
            </w:pPr>
            <w:r>
              <w:rPr>
                <w:rFonts w:ascii="Courier New" w:hAnsi="Courier New" w:cs="Courier New"/>
                <w:sz w:val="20"/>
                <w:szCs w:val="20"/>
              </w:rPr>
              <w:t xml:space="preserve"> $5,008,000</w:t>
            </w:r>
          </w:p>
        </w:tc>
        <w:tc>
          <w:tcPr>
            <w:tcW w:w="2070" w:type="dxa"/>
          </w:tcPr>
          <w:p w14:paraId="3A5856CF" w14:textId="5DE212CE" w:rsidR="00310D7C" w:rsidRDefault="00734F66" w:rsidP="00734F66">
            <w:pPr>
              <w:rPr>
                <w:rFonts w:ascii="Courier New" w:hAnsi="Courier New" w:cs="Courier New"/>
                <w:sz w:val="20"/>
                <w:szCs w:val="20"/>
              </w:rPr>
            </w:pPr>
            <w:r>
              <w:rPr>
                <w:rFonts w:ascii="Courier New" w:hAnsi="Courier New" w:cs="Courier New"/>
                <w:sz w:val="20"/>
                <w:szCs w:val="20"/>
              </w:rPr>
              <w:t xml:space="preserve"> $5,508,800</w:t>
            </w:r>
          </w:p>
        </w:tc>
      </w:tr>
    </w:tbl>
    <w:p w14:paraId="04BD3ED8" w14:textId="31E17D1E" w:rsidR="004A3CF0" w:rsidRDefault="005367B9" w:rsidP="00D9117E">
      <w:pPr>
        <w:spacing w:line="480" w:lineRule="auto"/>
        <w:jc w:val="both"/>
        <w:rPr>
          <w:rFonts w:ascii="Courier New" w:hAnsi="Courier New" w:cs="Courier New"/>
        </w:rPr>
      </w:pPr>
      <w:r>
        <w:rPr>
          <w:rFonts w:ascii="Courier New" w:hAnsi="Courier New" w:cs="Courier New"/>
        </w:rPr>
        <w:t xml:space="preserve"> </w:t>
      </w:r>
    </w:p>
    <w:p w14:paraId="2A7F655C" w14:textId="140E0711" w:rsidR="00D53503" w:rsidRDefault="004A3CF0" w:rsidP="00D9117E">
      <w:pPr>
        <w:spacing w:line="480" w:lineRule="auto"/>
        <w:jc w:val="both"/>
        <w:rPr>
          <w:rFonts w:ascii="Courier New" w:hAnsi="Courier New" w:cs="Courier New"/>
        </w:rPr>
      </w:pPr>
      <w:r>
        <w:rPr>
          <w:rFonts w:ascii="Courier New" w:hAnsi="Courier New" w:cs="Courier New"/>
        </w:rPr>
        <w:tab/>
      </w:r>
      <w:r w:rsidR="00D53503">
        <w:rPr>
          <w:rFonts w:ascii="Courier New" w:hAnsi="Courier New" w:cs="Courier New"/>
        </w:rPr>
        <w:t xml:space="preserve">In addition, </w:t>
      </w:r>
      <w:r w:rsidR="009C72B7">
        <w:rPr>
          <w:rFonts w:ascii="Courier New" w:hAnsi="Courier New" w:cs="Courier New"/>
        </w:rPr>
        <w:t xml:space="preserve">the Board found that </w:t>
      </w:r>
      <w:r w:rsidR="00D53503">
        <w:rPr>
          <w:rFonts w:ascii="Courier New" w:hAnsi="Courier New" w:cs="Courier New"/>
        </w:rPr>
        <w:t xml:space="preserve">Ms. </w:t>
      </w:r>
      <w:r w:rsidR="009C72B7">
        <w:rPr>
          <w:rFonts w:ascii="Courier New" w:hAnsi="Courier New" w:cs="Courier New"/>
        </w:rPr>
        <w:t>Balogh overstated her</w:t>
      </w:r>
      <w:r w:rsidR="00E907F9">
        <w:rPr>
          <w:rFonts w:ascii="Courier New" w:hAnsi="Courier New" w:cs="Courier New"/>
        </w:rPr>
        <w:t xml:space="preserve"> inn-level</w:t>
      </w:r>
      <w:r w:rsidR="009C72B7">
        <w:rPr>
          <w:rFonts w:ascii="Courier New" w:hAnsi="Courier New" w:cs="Courier New"/>
        </w:rPr>
        <w:t xml:space="preserve"> expenses</w:t>
      </w:r>
      <w:r w:rsidR="00D53503">
        <w:rPr>
          <w:rFonts w:ascii="Courier New" w:hAnsi="Courier New" w:cs="Courier New"/>
        </w:rPr>
        <w:t xml:space="preserve"> by double-counting certain expenses.  For example, her franchise fees and chain service/marketing expenses resulted in deducti</w:t>
      </w:r>
      <w:r w:rsidR="000604D9">
        <w:rPr>
          <w:rFonts w:ascii="Courier New" w:hAnsi="Courier New" w:cs="Courier New"/>
        </w:rPr>
        <w:t>ons for the same expenses in 2</w:t>
      </w:r>
      <w:r w:rsidR="00D53503">
        <w:rPr>
          <w:rFonts w:ascii="Courier New" w:hAnsi="Courier New" w:cs="Courier New"/>
        </w:rPr>
        <w:t xml:space="preserve"> different categories.</w:t>
      </w:r>
    </w:p>
    <w:p w14:paraId="4B99598A" w14:textId="0B8BBF2A" w:rsidR="00D9117E" w:rsidRDefault="00ED7690" w:rsidP="00D53503">
      <w:pPr>
        <w:spacing w:line="480" w:lineRule="auto"/>
        <w:ind w:firstLine="720"/>
        <w:jc w:val="both"/>
        <w:rPr>
          <w:rFonts w:ascii="Courier New" w:hAnsi="Courier New" w:cs="Courier New"/>
        </w:rPr>
      </w:pPr>
      <w:r>
        <w:rPr>
          <w:rFonts w:ascii="Courier New" w:hAnsi="Courier New" w:cs="Courier New"/>
        </w:rPr>
        <w:t xml:space="preserve">The Board </w:t>
      </w:r>
      <w:r w:rsidR="001149ED">
        <w:rPr>
          <w:rFonts w:ascii="Courier New" w:hAnsi="Courier New" w:cs="Courier New"/>
        </w:rPr>
        <w:t xml:space="preserve">therefore </w:t>
      </w:r>
      <w:r>
        <w:rPr>
          <w:rFonts w:ascii="Courier New" w:hAnsi="Courier New" w:cs="Courier New"/>
        </w:rPr>
        <w:t xml:space="preserve">found that Ms. Balogh’s expenses were overstated, mainly because REIT expenses were not deductible under the income-capitalization approach and also because she incorrectly double-counted some expenses.  </w:t>
      </w:r>
      <w:r w:rsidR="001149ED">
        <w:rPr>
          <w:rFonts w:ascii="Courier New" w:hAnsi="Courier New" w:cs="Courier New"/>
        </w:rPr>
        <w:t>On these bases</w:t>
      </w:r>
      <w:r w:rsidR="00DA217F">
        <w:rPr>
          <w:rFonts w:ascii="Courier New" w:hAnsi="Courier New" w:cs="Courier New"/>
        </w:rPr>
        <w:t>,</w:t>
      </w:r>
      <w:r w:rsidR="00D9117E">
        <w:rPr>
          <w:rFonts w:ascii="Courier New" w:hAnsi="Courier New" w:cs="Courier New"/>
        </w:rPr>
        <w:t xml:space="preserve"> the Board found and ruled that the appellant failed to meet its burden of proving a fair market value for the subject property that was lower than </w:t>
      </w:r>
      <w:r w:rsidR="000604D9">
        <w:rPr>
          <w:rFonts w:ascii="Courier New" w:hAnsi="Courier New" w:cs="Courier New"/>
        </w:rPr>
        <w:t>its assessed value for all 3</w:t>
      </w:r>
      <w:r w:rsidR="00D9117E">
        <w:rPr>
          <w:rFonts w:ascii="Courier New" w:hAnsi="Courier New" w:cs="Courier New"/>
        </w:rPr>
        <w:t xml:space="preserve"> fiscal years at issue.  </w:t>
      </w:r>
    </w:p>
    <w:p w14:paraId="587FA3E4" w14:textId="0C27BE9F" w:rsidR="00D9117E" w:rsidRDefault="00D9117E" w:rsidP="00D9117E">
      <w:pPr>
        <w:spacing w:line="480" w:lineRule="auto"/>
        <w:jc w:val="both"/>
        <w:rPr>
          <w:rFonts w:ascii="Courier New" w:hAnsi="Courier New" w:cs="Courier New"/>
        </w:rPr>
      </w:pPr>
      <w:r>
        <w:rPr>
          <w:rFonts w:ascii="Courier New" w:hAnsi="Courier New" w:cs="Courier New"/>
        </w:rPr>
        <w:tab/>
        <w:t>Accordingly, the Board issued decisio</w:t>
      </w:r>
      <w:r w:rsidR="009C72B7">
        <w:rPr>
          <w:rFonts w:ascii="Courier New" w:hAnsi="Courier New" w:cs="Courier New"/>
        </w:rPr>
        <w:t>ns for the appellee in thes</w:t>
      </w:r>
      <w:r>
        <w:rPr>
          <w:rFonts w:ascii="Courier New" w:hAnsi="Courier New" w:cs="Courier New"/>
        </w:rPr>
        <w:t>e</w:t>
      </w:r>
      <w:r w:rsidR="009C72B7">
        <w:rPr>
          <w:rFonts w:ascii="Courier New" w:hAnsi="Courier New" w:cs="Courier New"/>
        </w:rPr>
        <w:t xml:space="preserve"> appeals</w:t>
      </w:r>
      <w:r>
        <w:rPr>
          <w:rFonts w:ascii="Courier New" w:hAnsi="Courier New" w:cs="Courier New"/>
        </w:rPr>
        <w:t>.</w:t>
      </w:r>
    </w:p>
    <w:p w14:paraId="39DFEB12" w14:textId="77777777" w:rsidR="0018599D" w:rsidRDefault="0018599D" w:rsidP="00D9117E">
      <w:pPr>
        <w:spacing w:line="480" w:lineRule="auto"/>
        <w:jc w:val="both"/>
        <w:rPr>
          <w:rFonts w:ascii="Courier New" w:hAnsi="Courier New" w:cs="Courier New"/>
        </w:rPr>
      </w:pPr>
    </w:p>
    <w:p w14:paraId="2080F034" w14:textId="77777777" w:rsidR="000204C7" w:rsidRPr="00D9117E" w:rsidRDefault="000204C7" w:rsidP="00D9117E">
      <w:pPr>
        <w:spacing w:line="480" w:lineRule="auto"/>
        <w:jc w:val="both"/>
        <w:rPr>
          <w:rFonts w:ascii="Courier New" w:hAnsi="Courier New" w:cs="Courier New"/>
        </w:rPr>
      </w:pPr>
    </w:p>
    <w:p w14:paraId="09788E49" w14:textId="77777777" w:rsidR="002C30B7" w:rsidRPr="000B493D" w:rsidRDefault="002C30B7" w:rsidP="002C30B7">
      <w:pPr>
        <w:spacing w:line="480" w:lineRule="auto"/>
        <w:jc w:val="center"/>
        <w:rPr>
          <w:rFonts w:ascii="Courier New" w:hAnsi="Courier New" w:cs="Courier New"/>
          <w:b/>
        </w:rPr>
      </w:pPr>
      <w:r>
        <w:rPr>
          <w:rFonts w:ascii="Courier New" w:hAnsi="Courier New" w:cs="Courier New"/>
          <w:b/>
        </w:rPr>
        <w:lastRenderedPageBreak/>
        <w:t>OPINION</w:t>
      </w:r>
    </w:p>
    <w:p w14:paraId="70F7307A" w14:textId="77777777" w:rsidR="002C30B7" w:rsidRPr="009F344E" w:rsidRDefault="002C30B7" w:rsidP="002C30B7">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G.L. c. 59, § 38.  Fair cash value is defined as the price on which a willing seller and a willing buyer in a free and open market will agree if both of them are fully informed and under no compulsion.  </w:t>
      </w:r>
      <w:r w:rsidRPr="009F344E">
        <w:rPr>
          <w:rFonts w:ascii="Courier New" w:hAnsi="Courier New" w:cs="Courier New"/>
          <w:b/>
          <w:bCs/>
          <w:i/>
          <w:iCs/>
        </w:rPr>
        <w:t>Boston Gas Co. v. Assessors of Boston</w:t>
      </w:r>
      <w:r w:rsidRPr="009F344E">
        <w:rPr>
          <w:rFonts w:ascii="Courier New" w:hAnsi="Courier New" w:cs="Courier New"/>
        </w:rPr>
        <w:t>, 334 Mass. 549, 566 (1956).</w:t>
      </w:r>
    </w:p>
    <w:p w14:paraId="560BADBB" w14:textId="060FB4CA" w:rsidR="002C30B7" w:rsidRDefault="002C30B7" w:rsidP="002C30B7">
      <w:pPr>
        <w:spacing w:line="480" w:lineRule="auto"/>
        <w:ind w:firstLine="720"/>
        <w:jc w:val="both"/>
        <w:rPr>
          <w:rFonts w:ascii="Courier New" w:hAnsi="Courier New" w:cs="Courier New"/>
        </w:rPr>
      </w:pPr>
      <w:r>
        <w:rPr>
          <w:rFonts w:ascii="Courier New" w:hAnsi="Courier New" w:cs="Courier New"/>
        </w:rPr>
        <w:t>The appellant</w:t>
      </w:r>
      <w:r w:rsidRPr="009F344E">
        <w:rPr>
          <w:rFonts w:ascii="Courier New" w:hAnsi="Courier New" w:cs="Courier New"/>
        </w:rPr>
        <w:t xml:space="preserve"> ha</w:t>
      </w:r>
      <w:r>
        <w:rPr>
          <w:rFonts w:ascii="Courier New" w:hAnsi="Courier New" w:cs="Courier New"/>
        </w:rPr>
        <w:t>s</w:t>
      </w:r>
      <w:r w:rsidRPr="009F344E">
        <w:rPr>
          <w:rFonts w:ascii="Courier New" w:hAnsi="Courier New" w:cs="Courier New"/>
        </w:rPr>
        <w:t xml:space="preserve"> the burden of proving that the property has a lower value than that assessed.</w:t>
      </w:r>
      <w:r>
        <w:rPr>
          <w:rFonts w:ascii="Courier New" w:hAnsi="Courier New" w:cs="Courier New"/>
        </w:rPr>
        <w:t xml:space="preserve"> </w:t>
      </w:r>
      <w:r w:rsidRPr="009F344E">
        <w:rPr>
          <w:rFonts w:ascii="Courier New" w:hAnsi="Courier New" w:cs="Courier New"/>
        </w:rPr>
        <w:t xml:space="preserve"> “‘The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w:t>
      </w:r>
      <w:r>
        <w:rPr>
          <w:rFonts w:ascii="Courier New" w:hAnsi="Courier New" w:cs="Courier New"/>
        </w:rPr>
        <w:t xml:space="preserve"> </w:t>
      </w:r>
      <w:r w:rsidRPr="009F344E">
        <w:rPr>
          <w:rFonts w:ascii="Courier New" w:hAnsi="Courier New" w:cs="Courier New"/>
        </w:rPr>
        <w:t xml:space="preserve"> </w:t>
      </w:r>
      <w:r w:rsidRPr="009F344E">
        <w:rPr>
          <w:rFonts w:ascii="Courier New" w:hAnsi="Courier New" w:cs="Courier New"/>
          <w:b/>
          <w:bCs/>
          <w:i/>
          <w:iCs/>
        </w:rPr>
        <w:t>Schlaiker v. Assessors of Great Barrington</w:t>
      </w:r>
      <w:r w:rsidRPr="009F344E">
        <w:rPr>
          <w:rFonts w:ascii="Courier New" w:hAnsi="Courier New" w:cs="Courier New"/>
        </w:rPr>
        <w:t xml:space="preserve">, 365 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sidRPr="009F344E">
        <w:rPr>
          <w:rFonts w:ascii="Courier New" w:hAnsi="Courier New" w:cs="Courier New"/>
        </w:rPr>
        <w:t xml:space="preserve"> </w:t>
      </w:r>
      <w:r>
        <w:rPr>
          <w:rFonts w:ascii="Courier New" w:hAnsi="Courier New"/>
        </w:rPr>
        <w:t>In appea</w:t>
      </w:r>
      <w:r w:rsidR="00082400">
        <w:rPr>
          <w:rFonts w:ascii="Courier New" w:hAnsi="Courier New"/>
        </w:rPr>
        <w:t>ls before this Board,</w:t>
      </w:r>
      <w:r>
        <w:rPr>
          <w:rFonts w:ascii="Courier New" w:hAnsi="Courier New"/>
        </w:rPr>
        <w:t xml:space="preserve"> a taxpayer “may present persuasive evidence of overvaluation either by exposing flaws or errors in the assessors’ method of valuation, or by introducing affirmative evidence of value which undermines the assessors’ valuation.”  </w:t>
      </w:r>
      <w:r>
        <w:rPr>
          <w:rFonts w:ascii="Courier New" w:hAnsi="Courier New"/>
          <w:b/>
          <w:i/>
        </w:rPr>
        <w:t>General Electric Co. v. Assessors of Lynn</w:t>
      </w:r>
      <w:r>
        <w:rPr>
          <w:rFonts w:ascii="Courier New" w:hAnsi="Courier New"/>
        </w:rPr>
        <w:t>, 393 Mass. 591, 600 (1984) (</w:t>
      </w:r>
      <w:r w:rsidRPr="00E63BD6">
        <w:rPr>
          <w:rFonts w:ascii="Courier New" w:hAnsi="Courier New"/>
        </w:rPr>
        <w:t>quoting</w:t>
      </w:r>
      <w:r>
        <w:rPr>
          <w:rFonts w:ascii="Courier New" w:hAnsi="Courier New"/>
          <w:i/>
        </w:rPr>
        <w:t xml:space="preserve"> </w:t>
      </w:r>
      <w:r>
        <w:rPr>
          <w:rFonts w:ascii="Courier New" w:hAnsi="Courier New"/>
          <w:b/>
          <w:i/>
        </w:rPr>
        <w:t>Donlon v. Assessors of Holliston</w:t>
      </w:r>
      <w:r>
        <w:rPr>
          <w:rFonts w:ascii="Courier New" w:hAnsi="Courier New"/>
        </w:rPr>
        <w:t>, 389 Mass. 848, 855</w:t>
      </w:r>
      <w:r w:rsidR="00ED7690">
        <w:rPr>
          <w:rFonts w:ascii="Courier New" w:hAnsi="Courier New"/>
        </w:rPr>
        <w:t xml:space="preserve"> (</w:t>
      </w:r>
      <w:r w:rsidR="00AC6335">
        <w:rPr>
          <w:rFonts w:ascii="Courier New" w:hAnsi="Courier New"/>
        </w:rPr>
        <w:t>1983</w:t>
      </w:r>
      <w:r>
        <w:rPr>
          <w:rFonts w:ascii="Courier New" w:hAnsi="Courier New"/>
        </w:rPr>
        <w:t xml:space="preserve">).  </w:t>
      </w:r>
      <w:r w:rsidRPr="009F344E">
        <w:rPr>
          <w:rFonts w:ascii="Courier New" w:hAnsi="Courier New" w:cs="Courier New"/>
        </w:rPr>
        <w:t xml:space="preserve">“[T]he board is entitled to ‘presume that the valuation made by the assessors [is] valid unless the taxpayers . . . prov[e] </w:t>
      </w:r>
      <w:r w:rsidRPr="009F344E">
        <w:rPr>
          <w:rFonts w:ascii="Courier New" w:hAnsi="Courier New" w:cs="Courier New"/>
        </w:rPr>
        <w:lastRenderedPageBreak/>
        <w:t xml:space="preserve">the contrary.’” </w:t>
      </w:r>
      <w:r w:rsidRPr="009F344E">
        <w:rPr>
          <w:rFonts w:ascii="Courier New" w:hAnsi="Courier New" w:cs="Courier New"/>
          <w:b/>
          <w:bCs/>
          <w:i/>
          <w:iCs/>
        </w:rPr>
        <w:t>General E</w:t>
      </w:r>
      <w:r>
        <w:rPr>
          <w:rFonts w:ascii="Courier New" w:hAnsi="Courier New" w:cs="Courier New"/>
          <w:b/>
          <w:bCs/>
          <w:i/>
          <w:iCs/>
        </w:rPr>
        <w:t>lectric Co.</w:t>
      </w:r>
      <w:r w:rsidRPr="009F344E">
        <w:rPr>
          <w:rFonts w:ascii="Courier New" w:hAnsi="Courier New" w:cs="Courier New"/>
        </w:rPr>
        <w:t>, 393</w:t>
      </w:r>
      <w:r>
        <w:rPr>
          <w:rFonts w:ascii="Courier New" w:hAnsi="Courier New" w:cs="Courier New"/>
        </w:rPr>
        <w:t> Mass. at 598</w:t>
      </w:r>
      <w:r w:rsidRPr="009F344E">
        <w:rPr>
          <w:rFonts w:ascii="Courier New" w:hAnsi="Courier New" w:cs="Courier New"/>
        </w:rPr>
        <w:t xml:space="preserve"> (quoting </w:t>
      </w:r>
      <w:r w:rsidRPr="009F344E">
        <w:rPr>
          <w:rFonts w:ascii="Courier New" w:hAnsi="Courier New" w:cs="Courier New"/>
          <w:b/>
          <w:bCs/>
          <w:i/>
          <w:iCs/>
        </w:rPr>
        <w:t>Schlaiker</w:t>
      </w:r>
      <w:r w:rsidRPr="009F344E">
        <w:rPr>
          <w:rFonts w:ascii="Courier New" w:hAnsi="Courier New" w:cs="Courier New"/>
        </w:rPr>
        <w:t xml:space="preserve">, 365 Mass. at 245). </w:t>
      </w:r>
    </w:p>
    <w:p w14:paraId="0F80B41C" w14:textId="70025126" w:rsidR="0031737F" w:rsidRDefault="002C30B7" w:rsidP="0018599D">
      <w:pPr>
        <w:spacing w:line="480" w:lineRule="auto"/>
        <w:ind w:firstLine="720"/>
        <w:jc w:val="both"/>
        <w:rPr>
          <w:rFonts w:ascii="Courier New" w:hAnsi="Courier New" w:cs="Courier New"/>
        </w:rPr>
      </w:pPr>
      <w:r w:rsidRPr="00BD4221">
        <w:rPr>
          <w:rFonts w:ascii="Courier New" w:hAnsi="Courier New" w:cs="Courier New"/>
        </w:rPr>
        <w:t>Generally, real estate valuation experts, the Massachusetts courts</w:t>
      </w:r>
      <w:r w:rsidR="000604D9">
        <w:rPr>
          <w:rFonts w:ascii="Courier New" w:hAnsi="Courier New" w:cs="Courier New"/>
        </w:rPr>
        <w:t>, and this Board rely upon 3</w:t>
      </w:r>
      <w:r w:rsidRPr="00BD4221">
        <w:rPr>
          <w:rFonts w:ascii="Courier New" w:hAnsi="Courier New" w:cs="Courier New"/>
        </w:rPr>
        <w:t xml:space="preserve"> approaches to determine the fair cash value of property: income capitalization, sales comparison, and cost reproduction.  </w:t>
      </w:r>
      <w:r w:rsidRPr="00BD4221">
        <w:rPr>
          <w:rFonts w:ascii="Courier New" w:hAnsi="Courier New" w:cs="Courier New"/>
          <w:b/>
          <w:bCs/>
          <w:i/>
          <w:iCs/>
        </w:rPr>
        <w:t>Correia v. New Bedford Redevelopment Authority,</w:t>
      </w:r>
      <w:r w:rsidRPr="00BD4221">
        <w:rPr>
          <w:rFonts w:ascii="Courier New" w:hAnsi="Courier New" w:cs="Courier New"/>
        </w:rPr>
        <w:t xml:space="preserve"> 375 Mass. 360, 362 (1978).  </w:t>
      </w:r>
      <w:r>
        <w:rPr>
          <w:rFonts w:ascii="Courier New" w:hAnsi="Courier New" w:cs="Courier New"/>
        </w:rPr>
        <w:t xml:space="preserve">“The board is not required to adopt any particular method of valuation,” </w:t>
      </w:r>
      <w:r>
        <w:rPr>
          <w:rFonts w:ascii="Courier New" w:hAnsi="Courier New" w:cs="Courier New"/>
          <w:b/>
          <w:bCs/>
          <w:i/>
          <w:iCs/>
        </w:rPr>
        <w:t>Pepsi-Cola Bottling Co. v. Assessors of Boston</w:t>
      </w:r>
      <w:r>
        <w:rPr>
          <w:rFonts w:ascii="Courier New" w:hAnsi="Courier New" w:cs="Courier New"/>
        </w:rPr>
        <w:t xml:space="preserve">, 397 Mass. </w:t>
      </w:r>
      <w:r w:rsidR="00184C6F">
        <w:rPr>
          <w:rFonts w:ascii="Courier New" w:hAnsi="Courier New" w:cs="Courier New"/>
        </w:rPr>
        <w:t>447, 449 (1986), but the income-</w:t>
      </w:r>
      <w:r>
        <w:rPr>
          <w:rFonts w:ascii="Courier New" w:hAnsi="Courier New" w:cs="Courier New"/>
        </w:rPr>
        <w:t>capitalization method “is frequently applied with</w:t>
      </w:r>
      <w:r w:rsidR="000204C7">
        <w:rPr>
          <w:rFonts w:ascii="Courier New" w:hAnsi="Courier New" w:cs="Courier New"/>
        </w:rPr>
        <w:t>  respect</w:t>
      </w:r>
      <w:r>
        <w:rPr>
          <w:rFonts w:ascii="Courier New" w:hAnsi="Courier New" w:cs="Courier New"/>
        </w:rPr>
        <w:t xml:space="preserve"> to income-producing property.” </w:t>
      </w:r>
      <w:r w:rsidR="0031737F" w:rsidRPr="006C7758">
        <w:rPr>
          <w:rFonts w:ascii="Courier New" w:hAnsi="Courier New" w:cs="Courier New"/>
          <w:b/>
          <w:bCs/>
          <w:i/>
          <w:iCs/>
        </w:rPr>
        <w:t xml:space="preserve">Taunton Redevelopment Associates v. Assessors of </w:t>
      </w:r>
      <w:smartTag w:uri="urn:schemas-microsoft-com:office:smarttags" w:element="City">
        <w:r w:rsidR="0031737F" w:rsidRPr="006C7758">
          <w:rPr>
            <w:rFonts w:ascii="Courier New" w:hAnsi="Courier New" w:cs="Courier New"/>
            <w:b/>
            <w:bCs/>
            <w:i/>
            <w:iCs/>
          </w:rPr>
          <w:t>Taunton</w:t>
        </w:r>
      </w:smartTag>
      <w:r w:rsidR="0031737F" w:rsidRPr="006C7758">
        <w:rPr>
          <w:rFonts w:ascii="Courier New" w:hAnsi="Courier New" w:cs="Courier New"/>
          <w:b/>
          <w:bCs/>
          <w:i/>
          <w:iCs/>
        </w:rPr>
        <w:t xml:space="preserve">, </w:t>
      </w:r>
      <w:r w:rsidR="0031737F" w:rsidRPr="006C7758">
        <w:rPr>
          <w:rFonts w:ascii="Courier New" w:hAnsi="Courier New" w:cs="Courier New"/>
        </w:rPr>
        <w:t xml:space="preserve">393 </w:t>
      </w:r>
      <w:smartTag w:uri="urn:schemas-microsoft-com:office:smarttags" w:element="place">
        <w:smartTag w:uri="urn:schemas-microsoft-com:office:smarttags" w:element="State">
          <w:r w:rsidR="0031737F" w:rsidRPr="006C7758">
            <w:rPr>
              <w:rFonts w:ascii="Courier New" w:hAnsi="Courier New" w:cs="Courier New"/>
            </w:rPr>
            <w:t>Mass.</w:t>
          </w:r>
        </w:smartTag>
      </w:smartTag>
      <w:r w:rsidR="0031737F" w:rsidRPr="006C7758">
        <w:rPr>
          <w:rFonts w:ascii="Courier New" w:hAnsi="Courier New" w:cs="Courier New"/>
        </w:rPr>
        <w:t xml:space="preserve"> 293, 295 (1984)</w:t>
      </w:r>
      <w:r w:rsidR="0031737F">
        <w:rPr>
          <w:rFonts w:ascii="Courier New" w:hAnsi="Courier New" w:cs="Courier New"/>
        </w:rPr>
        <w:t>.</w:t>
      </w:r>
      <w:r w:rsidR="0031737F">
        <w:rPr>
          <w:rFonts w:ascii="Courier New" w:hAnsi="Courier New" w:cs="Courier New"/>
          <w:b/>
          <w:bCs/>
          <w:i/>
          <w:iCs/>
        </w:rPr>
        <w:t xml:space="preserve"> </w:t>
      </w:r>
      <w:r>
        <w:rPr>
          <w:rFonts w:ascii="Courier New" w:hAnsi="Courier New" w:cs="Courier New"/>
          <w:b/>
          <w:bCs/>
          <w:i/>
          <w:iCs/>
        </w:rPr>
        <w:t xml:space="preserve"> </w:t>
      </w:r>
      <w:r w:rsidR="0031737F" w:rsidRPr="005451E8">
        <w:rPr>
          <w:rFonts w:ascii="Courier New" w:hAnsi="Courier New" w:cs="Courier New"/>
        </w:rPr>
        <w:t>In the</w:t>
      </w:r>
      <w:r w:rsidR="0031737F">
        <w:rPr>
          <w:rFonts w:ascii="Courier New" w:hAnsi="Courier New" w:cs="Courier New"/>
        </w:rPr>
        <w:t xml:space="preserve"> present appeals,</w:t>
      </w:r>
      <w:r w:rsidR="0031737F" w:rsidRPr="005451E8">
        <w:rPr>
          <w:rFonts w:ascii="Courier New" w:hAnsi="Courier New" w:cs="Courier New"/>
        </w:rPr>
        <w:t xml:space="preserve"> the Board </w:t>
      </w:r>
      <w:r w:rsidR="0031737F">
        <w:rPr>
          <w:rFonts w:ascii="Courier New" w:hAnsi="Courier New" w:cs="Courier New"/>
        </w:rPr>
        <w:t xml:space="preserve">agreed with both parties that </w:t>
      </w:r>
      <w:r w:rsidR="0031737F" w:rsidRPr="005451E8">
        <w:rPr>
          <w:rFonts w:ascii="Courier New" w:hAnsi="Courier New" w:cs="Courier New"/>
        </w:rPr>
        <w:t>the income-capitalization approach</w:t>
      </w:r>
      <w:r w:rsidR="0031737F">
        <w:rPr>
          <w:rFonts w:ascii="Courier New" w:hAnsi="Courier New" w:cs="Courier New"/>
        </w:rPr>
        <w:t xml:space="preserve"> was the most appropriate method to value the subject property for the fiscal years at issue</w:t>
      </w:r>
      <w:r w:rsidR="0031737F" w:rsidRPr="005451E8">
        <w:rPr>
          <w:rFonts w:ascii="Courier New" w:hAnsi="Courier New" w:cs="Courier New"/>
        </w:rPr>
        <w:t>.</w:t>
      </w:r>
    </w:p>
    <w:p w14:paraId="5E49F066" w14:textId="4B5B9E7F" w:rsidR="0018599D" w:rsidRDefault="00184C6F" w:rsidP="0031737F">
      <w:pPr>
        <w:spacing w:line="480" w:lineRule="auto"/>
        <w:ind w:firstLine="720"/>
        <w:jc w:val="both"/>
        <w:rPr>
          <w:rFonts w:ascii="Courier New" w:hAnsi="Courier New" w:cs="Courier New"/>
        </w:rPr>
      </w:pPr>
      <w:r>
        <w:rPr>
          <w:rFonts w:ascii="Courier New" w:hAnsi="Courier New" w:cs="Courier New"/>
        </w:rPr>
        <w:t>Under the income-</w:t>
      </w:r>
      <w:r w:rsidR="0018599D">
        <w:rPr>
          <w:rFonts w:ascii="Courier New" w:hAnsi="Courier New" w:cs="Courier New"/>
        </w:rPr>
        <w:t xml:space="preserve">capitalization method, it is the earning capacity of property that is the relevant inquiry. </w:t>
      </w:r>
      <w:r w:rsidR="0031737F">
        <w:rPr>
          <w:rFonts w:ascii="Courier New" w:hAnsi="Courier New" w:cs="Courier New"/>
        </w:rPr>
        <w:t xml:space="preserve">“The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r w:rsidR="0031737F" w:rsidRPr="005E0B08">
        <w:rPr>
          <w:rFonts w:ascii="Courier New" w:hAnsi="Courier New" w:cs="Courier New"/>
          <w:b/>
          <w:i/>
        </w:rPr>
        <w:lastRenderedPageBreak/>
        <w:t>Oly</w:t>
      </w:r>
      <w:r w:rsidR="0031737F">
        <w:rPr>
          <w:rFonts w:ascii="Courier New" w:hAnsi="Courier New" w:cs="Courier New"/>
          <w:b/>
          <w:i/>
        </w:rPr>
        <w:t>mpia &amp; York State</w:t>
      </w:r>
      <w:r w:rsidR="0031737F" w:rsidRPr="005E0B08">
        <w:rPr>
          <w:rFonts w:ascii="Courier New" w:hAnsi="Courier New" w:cs="Courier New"/>
          <w:b/>
          <w:i/>
        </w:rPr>
        <w:t xml:space="preserve"> Street Co.</w:t>
      </w:r>
      <w:r w:rsidR="0031737F">
        <w:rPr>
          <w:rFonts w:ascii="Courier New" w:hAnsi="Courier New" w:cs="Courier New"/>
          <w:b/>
          <w:i/>
        </w:rPr>
        <w:t xml:space="preserve"> v. Assessors of Boston</w:t>
      </w:r>
      <w:r w:rsidR="0031737F">
        <w:rPr>
          <w:rFonts w:ascii="Courier New" w:hAnsi="Courier New" w:cs="Courier New"/>
        </w:rPr>
        <w:t>, 428</w:t>
      </w:r>
      <w:r w:rsidR="000204C7">
        <w:rPr>
          <w:rFonts w:ascii="Courier New" w:hAnsi="Courier New" w:cs="Courier New"/>
        </w:rPr>
        <w:t> </w:t>
      </w:r>
      <w:r w:rsidR="0031737F">
        <w:rPr>
          <w:rFonts w:ascii="Courier New" w:hAnsi="Courier New" w:cs="Courier New"/>
        </w:rPr>
        <w:t xml:space="preserve">Mass. 236, 239 (1998).  “It is the net income that a property </w:t>
      </w:r>
      <w:r w:rsidR="0031737F" w:rsidRPr="0055776A">
        <w:rPr>
          <w:rFonts w:ascii="Courier New" w:hAnsi="Courier New" w:cs="Courier New"/>
          <w:i/>
        </w:rPr>
        <w:t>should</w:t>
      </w:r>
      <w:r w:rsidR="0031737F">
        <w:rPr>
          <w:rFonts w:ascii="Courier New" w:hAnsi="Courier New" w:cs="Courier New"/>
        </w:rPr>
        <w:t xml:space="preserve"> be earning, not necessarily what it actually earns, that is the figure that should be capitalized.”  </w:t>
      </w:r>
      <w:r w:rsidR="0031737F" w:rsidRPr="0055776A">
        <w:rPr>
          <w:rFonts w:ascii="Courier New" w:hAnsi="Courier New" w:cs="Courier New"/>
          <w:b/>
          <w:i/>
        </w:rPr>
        <w:t>Peterson</w:t>
      </w:r>
      <w:r w:rsidR="0031737F">
        <w:rPr>
          <w:rFonts w:ascii="Courier New" w:hAnsi="Courier New" w:cs="Courier New"/>
          <w:b/>
          <w:i/>
        </w:rPr>
        <w:t xml:space="preserve"> v. Assessors of Boston</w:t>
      </w:r>
      <w:r w:rsidR="0031737F">
        <w:rPr>
          <w:rFonts w:ascii="Courier New" w:hAnsi="Courier New" w:cs="Courier New"/>
        </w:rPr>
        <w:t>, 62 Mass. App. Ct. 428, 436 (2004) (emphasis in original).  Accordingly, t</w:t>
      </w:r>
      <w:r w:rsidR="0031737F" w:rsidRPr="005451E8">
        <w:rPr>
          <w:rFonts w:ascii="Courier New" w:hAnsi="Courier New" w:cs="Courier New"/>
        </w:rPr>
        <w:t xml:space="preserve">he income stream used in the income-capitalization method must reflect the property’s earning capacity or economic rental value.  </w:t>
      </w:r>
      <w:r w:rsidR="0031737F" w:rsidRPr="005451E8">
        <w:rPr>
          <w:rFonts w:ascii="Courier New" w:hAnsi="Courier New" w:cs="Courier New"/>
          <w:b/>
          <w:bCs/>
          <w:i/>
          <w:iCs/>
        </w:rPr>
        <w:t>Pepsi-Cola Bot</w:t>
      </w:r>
      <w:r>
        <w:rPr>
          <w:rFonts w:ascii="Courier New" w:hAnsi="Courier New" w:cs="Courier New"/>
          <w:b/>
          <w:bCs/>
          <w:i/>
          <w:iCs/>
        </w:rPr>
        <w:t>tling Co.</w:t>
      </w:r>
      <w:r w:rsidR="0031737F" w:rsidRPr="005451E8">
        <w:rPr>
          <w:rFonts w:ascii="Courier New" w:hAnsi="Courier New" w:cs="Courier New"/>
          <w:b/>
          <w:bCs/>
          <w:i/>
          <w:iCs/>
        </w:rPr>
        <w:t xml:space="preserve">, </w:t>
      </w:r>
      <w:r w:rsidR="0031737F" w:rsidRPr="005451E8">
        <w:rPr>
          <w:rFonts w:ascii="Courier New" w:hAnsi="Courier New" w:cs="Courier New"/>
        </w:rPr>
        <w:t>397</w:t>
      </w:r>
      <w:r w:rsidR="0031737F">
        <w:rPr>
          <w:rFonts w:ascii="Courier New" w:hAnsi="Courier New" w:cs="Courier New"/>
        </w:rPr>
        <w:t> </w:t>
      </w:r>
      <w:r w:rsidR="0031737F" w:rsidRPr="005451E8">
        <w:rPr>
          <w:rFonts w:ascii="Courier New" w:hAnsi="Courier New" w:cs="Courier New"/>
        </w:rPr>
        <w:t xml:space="preserve">Mass. </w:t>
      </w:r>
      <w:r>
        <w:rPr>
          <w:rFonts w:ascii="Courier New" w:hAnsi="Courier New" w:cs="Courier New"/>
        </w:rPr>
        <w:t>at</w:t>
      </w:r>
      <w:r w:rsidR="0031737F">
        <w:rPr>
          <w:rFonts w:ascii="Courier New" w:hAnsi="Courier New" w:cs="Courier New"/>
        </w:rPr>
        <w:t xml:space="preserve"> </w:t>
      </w:r>
      <w:r w:rsidR="0031737F" w:rsidRPr="005451E8">
        <w:rPr>
          <w:rFonts w:ascii="Courier New" w:hAnsi="Courier New" w:cs="Courier New"/>
        </w:rPr>
        <w:t xml:space="preserve">451.  Imputing rental income to the subject property based on fair market rentals from comparable properties is evidence of value if, once adjusted, they are indicative of the subject property’s earning capacity.  </w:t>
      </w:r>
      <w:r w:rsidR="0031737F" w:rsidRPr="005451E8">
        <w:rPr>
          <w:rFonts w:ascii="Courier New" w:hAnsi="Courier New" w:cs="Courier New"/>
          <w:i/>
          <w:iCs/>
        </w:rPr>
        <w:t xml:space="preserve">See </w:t>
      </w:r>
      <w:r w:rsidR="0031737F" w:rsidRPr="005451E8">
        <w:rPr>
          <w:rFonts w:ascii="Courier New" w:hAnsi="Courier New" w:cs="Courier New"/>
          <w:b/>
          <w:bCs/>
          <w:i/>
          <w:iCs/>
        </w:rPr>
        <w:t>Correia v. New Bedford Redevelopment Auth.</w:t>
      </w:r>
      <w:r w:rsidR="0031737F" w:rsidRPr="005451E8">
        <w:rPr>
          <w:rFonts w:ascii="Courier New" w:hAnsi="Courier New" w:cs="Courier New"/>
        </w:rPr>
        <w:t xml:space="preserve">, 5 Mass. App. Ct. 289, 293-94 (1977), </w:t>
      </w:r>
      <w:r w:rsidR="0031737F" w:rsidRPr="005451E8">
        <w:rPr>
          <w:rFonts w:ascii="Courier New" w:hAnsi="Courier New" w:cs="Courier New"/>
          <w:i/>
          <w:iCs/>
        </w:rPr>
        <w:t>rev’d on other grounds,</w:t>
      </w:r>
      <w:r w:rsidR="0031737F" w:rsidRPr="005451E8">
        <w:rPr>
          <w:rFonts w:ascii="Courier New" w:hAnsi="Courier New" w:cs="Courier New"/>
        </w:rPr>
        <w:t xml:space="preserve"> 375 Mass. 360 (1978); </w:t>
      </w:r>
      <w:r w:rsidR="0031737F" w:rsidRPr="005451E8">
        <w:rPr>
          <w:rFonts w:ascii="Courier New" w:hAnsi="Courier New" w:cs="Courier New"/>
          <w:b/>
          <w:bCs/>
          <w:i/>
          <w:iCs/>
        </w:rPr>
        <w:t>Library Services, Inc. v. Malden Redevelopment Auth.</w:t>
      </w:r>
      <w:r w:rsidR="0031737F" w:rsidRPr="005451E8">
        <w:rPr>
          <w:rFonts w:ascii="Courier New" w:hAnsi="Courier New" w:cs="Courier New"/>
        </w:rPr>
        <w:t>, 9</w:t>
      </w:r>
      <w:r w:rsidR="0031737F">
        <w:rPr>
          <w:rFonts w:ascii="Courier New" w:hAnsi="Courier New" w:cs="Courier New"/>
        </w:rPr>
        <w:t> </w:t>
      </w:r>
      <w:r w:rsidR="0031737F" w:rsidRPr="005451E8">
        <w:rPr>
          <w:rFonts w:ascii="Courier New" w:hAnsi="Courier New" w:cs="Courier New"/>
        </w:rPr>
        <w:t xml:space="preserve">Mass. App. Ct. 877, 878 (1980)(rescript). </w:t>
      </w:r>
      <w:r w:rsidR="0018599D">
        <w:rPr>
          <w:rFonts w:ascii="Courier New" w:hAnsi="Courier New" w:cs="Courier New"/>
        </w:rPr>
        <w:t xml:space="preserve">  </w:t>
      </w:r>
    </w:p>
    <w:p w14:paraId="0BF01D67" w14:textId="3E8AC48D" w:rsidR="003257C6" w:rsidRPr="000D2334" w:rsidRDefault="002C30B7" w:rsidP="000D2334">
      <w:pPr>
        <w:spacing w:line="480" w:lineRule="auto"/>
        <w:ind w:firstLine="720"/>
        <w:jc w:val="both"/>
        <w:rPr>
          <w:rFonts w:ascii="Courier New" w:hAnsi="Courier New"/>
          <w:szCs w:val="20"/>
        </w:rPr>
      </w:pPr>
      <w:r>
        <w:rPr>
          <w:rFonts w:ascii="Courier New" w:hAnsi="Courier New" w:cs="Courier New"/>
        </w:rPr>
        <w:t xml:space="preserve">Under the income-capitalization approach, valuation is determined by </w:t>
      </w:r>
      <w:r w:rsidR="00BE0FBA">
        <w:rPr>
          <w:rFonts w:ascii="Courier New" w:hAnsi="Courier New" w:cs="Courier New"/>
        </w:rPr>
        <w:t>calculating a net operating income and dividing it</w:t>
      </w:r>
      <w:r>
        <w:rPr>
          <w:rFonts w:ascii="Courier New" w:hAnsi="Courier New" w:cs="Courier New"/>
        </w:rPr>
        <w:t xml:space="preserve"> by a capitalization rate.  </w:t>
      </w:r>
      <w:r>
        <w:rPr>
          <w:rFonts w:ascii="Courier New" w:hAnsi="Courier New" w:cs="Courier New"/>
          <w:i/>
          <w:iCs/>
        </w:rPr>
        <w:t xml:space="preserve">See </w:t>
      </w:r>
      <w:r>
        <w:rPr>
          <w:rFonts w:ascii="Courier New" w:hAnsi="Courier New" w:cs="Courier New"/>
          <w:b/>
          <w:bCs/>
          <w:i/>
          <w:iCs/>
        </w:rPr>
        <w:t xml:space="preserve">Assessors of Brookline v. Buehler, </w:t>
      </w:r>
      <w:r>
        <w:rPr>
          <w:rFonts w:ascii="Courier New" w:hAnsi="Courier New" w:cs="Courier New"/>
        </w:rPr>
        <w:t xml:space="preserve">396 Mass. 520, 522-23 (1986).  </w:t>
      </w:r>
      <w:r w:rsidR="00BE0FBA">
        <w:rPr>
          <w:rFonts w:ascii="Courier New" w:hAnsi="Courier New" w:cs="Courier New"/>
        </w:rPr>
        <w:t>The net operating income is obtained by</w:t>
      </w:r>
      <w:r>
        <w:rPr>
          <w:rFonts w:ascii="Courier New" w:hAnsi="Courier New" w:cs="Courier New"/>
        </w:rPr>
        <w:t xml:space="preserve"> accounting for vacancy </w:t>
      </w:r>
      <w:r w:rsidR="00BE0FBA">
        <w:rPr>
          <w:rFonts w:ascii="Courier New" w:hAnsi="Courier New" w:cs="Courier New"/>
        </w:rPr>
        <w:t>and rent losses and then</w:t>
      </w:r>
      <w:r>
        <w:rPr>
          <w:rFonts w:ascii="Courier New" w:hAnsi="Courier New" w:cs="Courier New"/>
        </w:rPr>
        <w:t xml:space="preserve"> deducting the appropriate </w:t>
      </w:r>
      <w:r>
        <w:rPr>
          <w:rFonts w:ascii="Courier New" w:hAnsi="Courier New" w:cs="Courier New"/>
        </w:rPr>
        <w:lastRenderedPageBreak/>
        <w:t xml:space="preserve">expenses.  </w:t>
      </w:r>
      <w:r w:rsidR="00BE0FBA" w:rsidRPr="005451E8">
        <w:rPr>
          <w:rFonts w:ascii="Courier New" w:hAnsi="Courier New" w:cs="Courier New"/>
          <w:b/>
          <w:bCs/>
          <w:i/>
          <w:iCs/>
        </w:rPr>
        <w:t>General E</w:t>
      </w:r>
      <w:r w:rsidR="00BE0FBA">
        <w:rPr>
          <w:rFonts w:ascii="Courier New" w:hAnsi="Courier New" w:cs="Courier New"/>
          <w:b/>
          <w:bCs/>
          <w:i/>
          <w:iCs/>
        </w:rPr>
        <w:t>lectric Co.</w:t>
      </w:r>
      <w:r w:rsidR="00BE0FBA" w:rsidRPr="005451E8">
        <w:rPr>
          <w:rFonts w:ascii="Courier New" w:hAnsi="Courier New" w:cs="Courier New"/>
          <w:b/>
          <w:bCs/>
          <w:i/>
          <w:iCs/>
        </w:rPr>
        <w:t>,</w:t>
      </w:r>
      <w:r w:rsidR="00BE0FBA">
        <w:rPr>
          <w:rFonts w:ascii="Courier New" w:hAnsi="Courier New" w:cs="Courier New"/>
        </w:rPr>
        <w:t xml:space="preserve"> 393 Mass. at 610;</w:t>
      </w:r>
      <w:r w:rsidR="00BE0FBA" w:rsidRPr="005451E8">
        <w:rPr>
          <w:rFonts w:ascii="Courier New" w:hAnsi="Courier New" w:cs="Courier New"/>
        </w:rPr>
        <w:t xml:space="preserve"> </w:t>
      </w:r>
      <w:r>
        <w:rPr>
          <w:rFonts w:ascii="Courier New" w:hAnsi="Courier New" w:cs="Courier New"/>
          <w:b/>
          <w:bCs/>
          <w:i/>
          <w:iCs/>
        </w:rPr>
        <w:t xml:space="preserve">Pepsi-Cola Bottling Co., </w:t>
      </w:r>
      <w:r>
        <w:rPr>
          <w:rFonts w:ascii="Courier New" w:hAnsi="Courier New" w:cs="Courier New"/>
        </w:rPr>
        <w:t xml:space="preserve">397 Mass. at 452-53.  </w:t>
      </w:r>
      <w:r w:rsidR="000D2334" w:rsidRPr="00F13471">
        <w:rPr>
          <w:rFonts w:ascii="Courier New" w:hAnsi="Courier New"/>
          <w:szCs w:val="20"/>
        </w:rPr>
        <w:t xml:space="preserve">“The issue of what expenses may be considered in any particular piece of property is for the board.”  </w:t>
      </w:r>
      <w:r w:rsidR="000D2334" w:rsidRPr="00F13471">
        <w:rPr>
          <w:rFonts w:ascii="Courier New" w:hAnsi="Courier New"/>
          <w:b/>
          <w:i/>
          <w:szCs w:val="20"/>
        </w:rPr>
        <w:t>Alstores Realty Corp. v. Assessors of Peabody</w:t>
      </w:r>
      <w:r w:rsidR="000D2334" w:rsidRPr="00F13471">
        <w:rPr>
          <w:rFonts w:ascii="Courier New" w:hAnsi="Courier New"/>
          <w:szCs w:val="20"/>
        </w:rPr>
        <w:t>, 391</w:t>
      </w:r>
      <w:r w:rsidR="000D2334">
        <w:rPr>
          <w:rFonts w:ascii="Courier New" w:hAnsi="Courier New"/>
          <w:szCs w:val="20"/>
        </w:rPr>
        <w:t xml:space="preserve"> Mass. 60, 65 (1984). </w:t>
      </w:r>
    </w:p>
    <w:p w14:paraId="4EA4ABB3" w14:textId="3E275757" w:rsidR="002C30B7" w:rsidRPr="003257C6" w:rsidRDefault="0082302A" w:rsidP="003257C6">
      <w:pPr>
        <w:spacing w:line="480" w:lineRule="auto"/>
        <w:ind w:firstLine="720"/>
        <w:jc w:val="both"/>
        <w:rPr>
          <w:rFonts w:ascii="Courier New" w:hAnsi="Courier New"/>
          <w:szCs w:val="20"/>
        </w:rPr>
      </w:pPr>
      <w:r>
        <w:rPr>
          <w:rFonts w:ascii="Courier New" w:hAnsi="Courier New" w:cs="Courier New"/>
        </w:rPr>
        <w:t xml:space="preserve">In the instant appeals, the appellant contended that </w:t>
      </w:r>
      <w:r w:rsidR="003A15CA">
        <w:rPr>
          <w:rFonts w:ascii="Courier New" w:hAnsi="Courier New" w:cs="Courier New"/>
        </w:rPr>
        <w:t xml:space="preserve">the </w:t>
      </w:r>
      <w:r w:rsidR="00711440">
        <w:rPr>
          <w:rFonts w:ascii="Courier New" w:hAnsi="Courier New" w:cs="Courier New"/>
        </w:rPr>
        <w:t>REIT</w:t>
      </w:r>
      <w:r w:rsidR="001C3676" w:rsidRPr="003A15CA">
        <w:rPr>
          <w:rFonts w:ascii="Courier New" w:hAnsi="Courier New" w:cs="Courier New"/>
        </w:rPr>
        <w:t xml:space="preserve"> </w:t>
      </w:r>
      <w:r w:rsidRPr="003A15CA">
        <w:rPr>
          <w:rFonts w:ascii="Courier New" w:hAnsi="Courier New" w:cs="Courier New"/>
        </w:rPr>
        <w:t>expenses</w:t>
      </w:r>
      <w:r>
        <w:rPr>
          <w:rFonts w:ascii="Courier New" w:hAnsi="Courier New" w:cs="Courier New"/>
        </w:rPr>
        <w:t xml:space="preserve"> were deductible operating expenses</w:t>
      </w:r>
      <w:r w:rsidR="00D33037">
        <w:rPr>
          <w:rFonts w:ascii="Courier New" w:hAnsi="Courier New" w:cs="Courier New"/>
        </w:rPr>
        <w:t>, because as a R</w:t>
      </w:r>
      <w:r w:rsidR="00AC5491">
        <w:rPr>
          <w:rFonts w:ascii="Courier New" w:hAnsi="Courier New" w:cs="Courier New"/>
        </w:rPr>
        <w:t xml:space="preserve">EIT, the appellant </w:t>
      </w:r>
      <w:r w:rsidR="00DB14DA">
        <w:rPr>
          <w:rFonts w:ascii="Courier New" w:hAnsi="Courier New" w:cs="Courier New"/>
        </w:rPr>
        <w:t>incurred expenses that were not allowed to be allocated to and deducted by the individual properties that it owned and operated.</w:t>
      </w:r>
      <w:r>
        <w:rPr>
          <w:rFonts w:ascii="Courier New" w:hAnsi="Courier New" w:cs="Courier New"/>
        </w:rPr>
        <w:t xml:space="preserve">  </w:t>
      </w:r>
      <w:r w:rsidR="00E97A75" w:rsidRPr="00E97A75">
        <w:rPr>
          <w:rFonts w:ascii="Courier New" w:hAnsi="Courier New" w:cs="Courier New"/>
        </w:rPr>
        <w:t xml:space="preserve">However, </w:t>
      </w:r>
      <w:r w:rsidR="00F27CD3">
        <w:rPr>
          <w:rFonts w:ascii="Courier New" w:hAnsi="Courier New" w:cs="Courier New"/>
        </w:rPr>
        <w:t xml:space="preserve">the appellant failed to meet its burden of proving that </w:t>
      </w:r>
      <w:r w:rsidR="00E97A75" w:rsidRPr="00E97A75">
        <w:rPr>
          <w:rFonts w:ascii="Courier New" w:hAnsi="Courier New" w:cs="Courier New"/>
        </w:rPr>
        <w:t>these</w:t>
      </w:r>
      <w:r w:rsidR="00E97A75">
        <w:rPr>
          <w:rFonts w:ascii="Courier New" w:hAnsi="Courier New" w:cs="Courier New"/>
        </w:rPr>
        <w:t xml:space="preserve"> REIT</w:t>
      </w:r>
      <w:r w:rsidR="00E97A75" w:rsidRPr="00E97A75">
        <w:rPr>
          <w:rFonts w:ascii="Courier New" w:hAnsi="Courier New" w:cs="Courier New"/>
        </w:rPr>
        <w:t xml:space="preserve"> expenses </w:t>
      </w:r>
      <w:r w:rsidR="00D82904">
        <w:rPr>
          <w:rFonts w:ascii="Courier New" w:hAnsi="Courier New" w:cs="Courier New"/>
        </w:rPr>
        <w:t xml:space="preserve">were </w:t>
      </w:r>
      <w:r w:rsidR="00F27CD3">
        <w:rPr>
          <w:rFonts w:ascii="Courier New" w:hAnsi="Courier New" w:cs="Courier New"/>
        </w:rPr>
        <w:t xml:space="preserve">specifically related </w:t>
      </w:r>
      <w:r w:rsidR="00E97A75">
        <w:rPr>
          <w:rFonts w:ascii="Courier New" w:hAnsi="Courier New" w:cs="Courier New"/>
        </w:rPr>
        <w:t>to the operati</w:t>
      </w:r>
      <w:r w:rsidR="00532D5C">
        <w:rPr>
          <w:rFonts w:ascii="Courier New" w:hAnsi="Courier New" w:cs="Courier New"/>
        </w:rPr>
        <w:t xml:space="preserve">on of the </w:t>
      </w:r>
      <w:r w:rsidR="00F27CD3">
        <w:rPr>
          <w:rFonts w:ascii="Courier New" w:hAnsi="Courier New" w:cs="Courier New"/>
        </w:rPr>
        <w:t xml:space="preserve">subject </w:t>
      </w:r>
      <w:r w:rsidR="00532D5C">
        <w:rPr>
          <w:rFonts w:ascii="Courier New" w:hAnsi="Courier New" w:cs="Courier New"/>
        </w:rPr>
        <w:t>property</w:t>
      </w:r>
      <w:r w:rsidR="00F27CD3">
        <w:rPr>
          <w:rFonts w:ascii="Courier New" w:hAnsi="Courier New" w:cs="Courier New"/>
        </w:rPr>
        <w:t>, as opposed to the overall operation of the corporation</w:t>
      </w:r>
      <w:r w:rsidR="00532D5C">
        <w:rPr>
          <w:rFonts w:ascii="Courier New" w:hAnsi="Courier New" w:cs="Courier New"/>
        </w:rPr>
        <w:t>.</w:t>
      </w:r>
      <w:r w:rsidR="000F699C">
        <w:rPr>
          <w:rFonts w:ascii="Courier New" w:hAnsi="Courier New" w:cs="Courier New"/>
        </w:rPr>
        <w:t xml:space="preserve">  For example, IPO costs and compensation for corporate-level employees </w:t>
      </w:r>
      <w:r w:rsidR="001F5AF9">
        <w:rPr>
          <w:rFonts w:ascii="Courier New" w:hAnsi="Courier New" w:cs="Courier New"/>
        </w:rPr>
        <w:t xml:space="preserve">who were not </w:t>
      </w:r>
      <w:r w:rsidR="000F699C">
        <w:rPr>
          <w:rFonts w:ascii="Courier New" w:hAnsi="Courier New" w:cs="Courier New"/>
        </w:rPr>
        <w:t xml:space="preserve">shown to be managers of the subject property are related to the global operations of the corporation; they are not specifically tied to the income and expenses of the subject property.  </w:t>
      </w:r>
      <w:r w:rsidR="00532D5C">
        <w:rPr>
          <w:rFonts w:ascii="Courier New" w:hAnsi="Courier New" w:cs="Courier New"/>
        </w:rPr>
        <w:t>Therefore, consideration of these expenses does not aid in determining the earning capacity of the subject property</w:t>
      </w:r>
      <w:r w:rsidR="000D2334">
        <w:rPr>
          <w:rFonts w:ascii="Courier New" w:hAnsi="Courier New" w:cs="Courier New"/>
        </w:rPr>
        <w:t>.</w:t>
      </w:r>
      <w:r w:rsidR="00692DDD">
        <w:rPr>
          <w:rFonts w:ascii="Courier New" w:hAnsi="Courier New" w:cs="Courier New"/>
        </w:rPr>
        <w:t xml:space="preserve"> </w:t>
      </w:r>
      <w:r w:rsidR="00FC3F8B">
        <w:rPr>
          <w:rFonts w:ascii="Courier New" w:hAnsi="Courier New" w:cs="Courier New"/>
        </w:rPr>
        <w:t xml:space="preserve"> The Board</w:t>
      </w:r>
      <w:r w:rsidR="00692DDD">
        <w:rPr>
          <w:rFonts w:ascii="Courier New" w:hAnsi="Courier New" w:cs="Courier New"/>
        </w:rPr>
        <w:t xml:space="preserve"> </w:t>
      </w:r>
      <w:r w:rsidR="00FC3F8B">
        <w:rPr>
          <w:rFonts w:ascii="Courier New" w:hAnsi="Courier New" w:cs="Courier New"/>
        </w:rPr>
        <w:t xml:space="preserve">thus </w:t>
      </w:r>
      <w:r w:rsidR="00E129B7">
        <w:rPr>
          <w:rFonts w:ascii="Courier New" w:hAnsi="Courier New" w:cs="Courier New"/>
        </w:rPr>
        <w:t>foun</w:t>
      </w:r>
      <w:r w:rsidR="003A15CA">
        <w:rPr>
          <w:rFonts w:ascii="Courier New" w:hAnsi="Courier New" w:cs="Courier New"/>
        </w:rPr>
        <w:t>d and ruled that the</w:t>
      </w:r>
      <w:r w:rsidR="00AC5491">
        <w:rPr>
          <w:rFonts w:ascii="Courier New" w:hAnsi="Courier New" w:cs="Courier New"/>
        </w:rPr>
        <w:t xml:space="preserve"> </w:t>
      </w:r>
      <w:r w:rsidR="00711440">
        <w:rPr>
          <w:rFonts w:ascii="Courier New" w:hAnsi="Courier New" w:cs="Courier New"/>
        </w:rPr>
        <w:t>REIT</w:t>
      </w:r>
      <w:r w:rsidR="001C3676" w:rsidRPr="003A15CA">
        <w:rPr>
          <w:rFonts w:ascii="Courier New" w:hAnsi="Courier New" w:cs="Courier New"/>
        </w:rPr>
        <w:t xml:space="preserve"> </w:t>
      </w:r>
      <w:r w:rsidR="00E129B7" w:rsidRPr="003A15CA">
        <w:rPr>
          <w:rFonts w:ascii="Courier New" w:hAnsi="Courier New" w:cs="Courier New"/>
        </w:rPr>
        <w:t>expenses</w:t>
      </w:r>
      <w:r w:rsidR="00692DDD">
        <w:rPr>
          <w:rFonts w:ascii="Courier New" w:hAnsi="Courier New" w:cs="Courier New"/>
        </w:rPr>
        <w:t xml:space="preserve"> were not appropriate expenses to deduct in arriving at net operating income in an income-capitalization analysis</w:t>
      </w:r>
      <w:r w:rsidR="00C54FBA">
        <w:rPr>
          <w:rFonts w:ascii="Courier New" w:hAnsi="Courier New" w:cs="Courier New"/>
        </w:rPr>
        <w:t xml:space="preserve">. </w:t>
      </w:r>
      <w:r w:rsidR="003257C6">
        <w:rPr>
          <w:rFonts w:ascii="Courier New" w:hAnsi="Courier New" w:cs="Courier New"/>
        </w:rPr>
        <w:t xml:space="preserve"> </w:t>
      </w:r>
    </w:p>
    <w:p w14:paraId="04BA4B9E" w14:textId="1FF2AD9F" w:rsidR="00105560" w:rsidRDefault="00DF3452" w:rsidP="00E129B7">
      <w:pPr>
        <w:spacing w:line="480" w:lineRule="auto"/>
        <w:ind w:firstLine="720"/>
        <w:jc w:val="both"/>
        <w:rPr>
          <w:rFonts w:ascii="Courier New" w:hAnsi="Courier New" w:cs="Courier New"/>
        </w:rPr>
      </w:pPr>
      <w:r>
        <w:rPr>
          <w:rFonts w:ascii="Courier New" w:hAnsi="Courier New" w:cs="Courier New"/>
        </w:rPr>
        <w:lastRenderedPageBreak/>
        <w:t xml:space="preserve">Without </w:t>
      </w:r>
      <w:r w:rsidR="001A672B">
        <w:rPr>
          <w:rFonts w:ascii="Courier New" w:hAnsi="Courier New" w:cs="Courier New"/>
        </w:rPr>
        <w:t xml:space="preserve">inclusion of the </w:t>
      </w:r>
      <w:r w:rsidR="00711440">
        <w:rPr>
          <w:rFonts w:ascii="Courier New" w:hAnsi="Courier New" w:cs="Courier New"/>
        </w:rPr>
        <w:t>REIT</w:t>
      </w:r>
      <w:r w:rsidR="001A672B" w:rsidRPr="003A15CA">
        <w:rPr>
          <w:rFonts w:ascii="Courier New" w:hAnsi="Courier New" w:cs="Courier New"/>
        </w:rPr>
        <w:t xml:space="preserve"> expenses</w:t>
      </w:r>
      <w:r w:rsidR="001A672B">
        <w:rPr>
          <w:rFonts w:ascii="Courier New" w:hAnsi="Courier New" w:cs="Courier New"/>
        </w:rPr>
        <w:t xml:space="preserve"> at issue, t</w:t>
      </w:r>
      <w:r w:rsidR="00082400">
        <w:rPr>
          <w:rFonts w:ascii="Courier New" w:hAnsi="Courier New" w:cs="Courier New"/>
        </w:rPr>
        <w:t>he income-capitalization analyse</w:t>
      </w:r>
      <w:r w:rsidR="001A672B">
        <w:rPr>
          <w:rFonts w:ascii="Courier New" w:hAnsi="Courier New" w:cs="Courier New"/>
        </w:rPr>
        <w:t xml:space="preserve">s of the appellant’s expert </w:t>
      </w:r>
      <w:r w:rsidR="00082400">
        <w:rPr>
          <w:rFonts w:ascii="Courier New" w:hAnsi="Courier New" w:cs="Courier New"/>
        </w:rPr>
        <w:t xml:space="preserve">would yield </w:t>
      </w:r>
      <w:r w:rsidR="001A672B">
        <w:rPr>
          <w:rFonts w:ascii="Courier New" w:hAnsi="Courier New" w:cs="Courier New"/>
        </w:rPr>
        <w:t>indicated value</w:t>
      </w:r>
      <w:r w:rsidR="00082400">
        <w:rPr>
          <w:rFonts w:ascii="Courier New" w:hAnsi="Courier New" w:cs="Courier New"/>
        </w:rPr>
        <w:t>s</w:t>
      </w:r>
      <w:r w:rsidR="001A672B">
        <w:rPr>
          <w:rFonts w:ascii="Courier New" w:hAnsi="Courier New" w:cs="Courier New"/>
        </w:rPr>
        <w:t xml:space="preserve"> that would be higher than </w:t>
      </w:r>
      <w:r w:rsidR="000604D9">
        <w:rPr>
          <w:rFonts w:ascii="Courier New" w:hAnsi="Courier New" w:cs="Courier New"/>
        </w:rPr>
        <w:t>the assessed value</w:t>
      </w:r>
      <w:r w:rsidR="00082400">
        <w:rPr>
          <w:rFonts w:ascii="Courier New" w:hAnsi="Courier New" w:cs="Courier New"/>
        </w:rPr>
        <w:t>s</w:t>
      </w:r>
      <w:r w:rsidR="000604D9">
        <w:rPr>
          <w:rFonts w:ascii="Courier New" w:hAnsi="Courier New" w:cs="Courier New"/>
        </w:rPr>
        <w:t xml:space="preserve"> for all 3</w:t>
      </w:r>
      <w:r w:rsidR="001A672B">
        <w:rPr>
          <w:rFonts w:ascii="Courier New" w:hAnsi="Courier New" w:cs="Courier New"/>
        </w:rPr>
        <w:t xml:space="preserve"> fiscal years at issue.  </w:t>
      </w:r>
    </w:p>
    <w:p w14:paraId="0D8F3708" w14:textId="5D945728" w:rsidR="001A672B" w:rsidRDefault="00105560" w:rsidP="00E129B7">
      <w:pPr>
        <w:spacing w:line="480" w:lineRule="auto"/>
        <w:ind w:firstLine="720"/>
        <w:jc w:val="both"/>
        <w:rPr>
          <w:rFonts w:ascii="Courier New" w:hAnsi="Courier New" w:cs="Courier New"/>
        </w:rPr>
      </w:pPr>
      <w:r>
        <w:rPr>
          <w:rFonts w:ascii="Courier New" w:hAnsi="Courier New" w:cs="Courier New"/>
        </w:rPr>
        <w:t xml:space="preserve">Therefore, for all of the foregoing reasons, the Board </w:t>
      </w:r>
      <w:r w:rsidR="001A672B">
        <w:rPr>
          <w:rFonts w:ascii="Courier New" w:hAnsi="Courier New" w:cs="Courier New"/>
        </w:rPr>
        <w:t xml:space="preserve">found and ruled that the appellant failed to meet its burden of proving a fair market value for the subject property that was lower than </w:t>
      </w:r>
      <w:r w:rsidR="000604D9">
        <w:rPr>
          <w:rFonts w:ascii="Courier New" w:hAnsi="Courier New" w:cs="Courier New"/>
        </w:rPr>
        <w:t>its assessed value for all 3</w:t>
      </w:r>
      <w:r w:rsidR="001A672B">
        <w:rPr>
          <w:rFonts w:ascii="Courier New" w:hAnsi="Courier New" w:cs="Courier New"/>
        </w:rPr>
        <w:t xml:space="preserve"> fiscal years at issue.</w:t>
      </w:r>
    </w:p>
    <w:p w14:paraId="454B5EE0" w14:textId="7210E788" w:rsidR="001A672B" w:rsidRDefault="001A672B" w:rsidP="001A672B">
      <w:pPr>
        <w:spacing w:line="480" w:lineRule="auto"/>
        <w:ind w:firstLine="720"/>
        <w:jc w:val="both"/>
        <w:rPr>
          <w:rFonts w:ascii="Courier New" w:hAnsi="Courier New" w:cs="Courier New"/>
        </w:rPr>
      </w:pPr>
      <w:r>
        <w:rPr>
          <w:rFonts w:ascii="Courier New" w:hAnsi="Courier New" w:cs="Courier New"/>
        </w:rPr>
        <w:t xml:space="preserve">Accordingly, the Board issued decisions for the appellee. </w:t>
      </w:r>
    </w:p>
    <w:p w14:paraId="14DC4E0C" w14:textId="77777777" w:rsidR="000204C7" w:rsidRDefault="000204C7" w:rsidP="001A672B">
      <w:pPr>
        <w:spacing w:line="480" w:lineRule="auto"/>
        <w:ind w:firstLine="720"/>
        <w:jc w:val="both"/>
        <w:rPr>
          <w:rFonts w:ascii="Courier New" w:hAnsi="Courier New" w:cs="Courier New"/>
        </w:rPr>
      </w:pPr>
    </w:p>
    <w:p w14:paraId="2631A993" w14:textId="3E43FC2C" w:rsidR="00E84970" w:rsidRDefault="000204C7" w:rsidP="000204C7">
      <w:pPr>
        <w:spacing w:line="480" w:lineRule="auto"/>
        <w:jc w:val="both"/>
        <w:rPr>
          <w:rFonts w:ascii="Courier New" w:hAnsi="Courier New" w:cs="Courier New"/>
          <w:b/>
          <w:bCs/>
        </w:rPr>
      </w:pPr>
      <w:r>
        <w:rPr>
          <w:rFonts w:ascii="Courier New" w:hAnsi="Courier New" w:cs="Courier New"/>
          <w:b/>
          <w:bCs/>
        </w:rPr>
        <w:t>                            </w:t>
      </w:r>
      <w:r w:rsidR="00E84970" w:rsidRPr="00294A90">
        <w:rPr>
          <w:rFonts w:ascii="Courier New" w:hAnsi="Courier New" w:cs="Courier New"/>
          <w:b/>
          <w:bCs/>
        </w:rPr>
        <w:t>THE APPELLATE TAX BOARD</w:t>
      </w:r>
    </w:p>
    <w:p w14:paraId="512DF1AF" w14:textId="77777777" w:rsidR="000204C7" w:rsidRDefault="000204C7" w:rsidP="000204C7">
      <w:pPr>
        <w:spacing w:line="480" w:lineRule="auto"/>
        <w:jc w:val="both"/>
        <w:rPr>
          <w:rFonts w:ascii="Courier New" w:hAnsi="Courier New" w:cs="Courier New"/>
          <w:b/>
          <w:bCs/>
        </w:rPr>
      </w:pPr>
    </w:p>
    <w:p w14:paraId="5A433FCC" w14:textId="77777777" w:rsidR="00E84970" w:rsidRDefault="00E84970" w:rsidP="00E84970">
      <w:pPr>
        <w:spacing w:line="480" w:lineRule="auto"/>
        <w:ind w:left="3600" w:firstLine="720"/>
        <w:jc w:val="both"/>
        <w:rPr>
          <w:rFonts w:ascii="Courier New" w:hAnsi="Courier New" w:cs="Courier New"/>
          <w:b/>
          <w:bCs/>
        </w:rPr>
      </w:pPr>
    </w:p>
    <w:p w14:paraId="60F35551" w14:textId="406D5ADF" w:rsidR="00E84970" w:rsidRPr="007D6EE3" w:rsidRDefault="000204C7" w:rsidP="000204C7">
      <w:pPr>
        <w:keepNext/>
        <w:ind w:left="2880"/>
        <w:outlineLvl w:val="2"/>
        <w:rPr>
          <w:rFonts w:ascii="Courier New" w:hAnsi="Courier New" w:cs="Courier New"/>
          <w:bCs/>
          <w:u w:val="single"/>
        </w:rPr>
      </w:pPr>
      <w:r>
        <w:rPr>
          <w:rFonts w:ascii="Courier New" w:hAnsi="Courier New" w:cs="Courier New"/>
          <w:b/>
          <w:bCs/>
        </w:rPr>
        <w:t>    </w:t>
      </w:r>
      <w:r w:rsidR="00E84970" w:rsidRPr="00294A90">
        <w:rPr>
          <w:rFonts w:ascii="Courier New" w:hAnsi="Courier New" w:cs="Courier New"/>
          <w:b/>
          <w:bCs/>
        </w:rPr>
        <w:t>By</w:t>
      </w:r>
      <w:r w:rsidRPr="00294A90">
        <w:rPr>
          <w:rFonts w:ascii="Courier New" w:hAnsi="Courier New" w:cs="Courier New"/>
          <w:b/>
          <w:bCs/>
        </w:rPr>
        <w:t>:</w:t>
      </w:r>
      <w:r w:rsidRPr="00DD4D7D">
        <w:rPr>
          <w:rFonts w:ascii="Courier New" w:hAnsi="Courier New" w:cs="Courier New"/>
          <w:b/>
          <w:bCs/>
        </w:rPr>
        <w:t xml:space="preserve"> _</w:t>
      </w:r>
      <w:r w:rsidR="00E84970" w:rsidRPr="00DD4D7D">
        <w:rPr>
          <w:rFonts w:ascii="Courier New" w:hAnsi="Courier New" w:cs="Courier New"/>
          <w:b/>
          <w:bCs/>
        </w:rPr>
        <w:t>______________________________</w:t>
      </w:r>
    </w:p>
    <w:p w14:paraId="721CE6F4" w14:textId="77777777" w:rsidR="00E84970" w:rsidRPr="00294A90" w:rsidRDefault="00E84970" w:rsidP="00E84970">
      <w:pPr>
        <w:ind w:left="3600"/>
        <w:jc w:val="both"/>
        <w:rPr>
          <w:rFonts w:ascii="Courier New" w:hAnsi="Courier New" w:cs="Courier New"/>
          <w:b/>
          <w:bCs/>
        </w:rPr>
      </w:pPr>
      <w:r w:rsidRPr="00294A90">
        <w:rPr>
          <w:rFonts w:ascii="Courier New" w:hAnsi="Courier New" w:cs="Courier New"/>
          <w:b/>
          <w:bCs/>
        </w:rPr>
        <w:t xml:space="preserve">   Thomas W. Hammond, Jr. Chairman</w:t>
      </w:r>
    </w:p>
    <w:p w14:paraId="59D5195F" w14:textId="77777777" w:rsidR="00E84970" w:rsidRPr="00294A90" w:rsidRDefault="00E84970" w:rsidP="00E84970">
      <w:pPr>
        <w:jc w:val="both"/>
        <w:rPr>
          <w:rFonts w:ascii="Courier New" w:hAnsi="Courier New" w:cs="Courier New"/>
          <w:b/>
          <w:bCs/>
        </w:rPr>
      </w:pPr>
    </w:p>
    <w:p w14:paraId="5F3B3F94" w14:textId="77777777" w:rsidR="00E84970" w:rsidRDefault="00E84970" w:rsidP="00E84970">
      <w:pPr>
        <w:jc w:val="both"/>
        <w:rPr>
          <w:rFonts w:ascii="Courier New" w:hAnsi="Courier New" w:cs="Courier New"/>
          <w:b/>
          <w:bCs/>
        </w:rPr>
      </w:pPr>
    </w:p>
    <w:p w14:paraId="164629F5" w14:textId="77777777" w:rsidR="00E84970" w:rsidRDefault="00E84970" w:rsidP="00E84970">
      <w:pPr>
        <w:jc w:val="both"/>
        <w:rPr>
          <w:rFonts w:ascii="Courier New" w:hAnsi="Courier New" w:cs="Courier New"/>
          <w:b/>
          <w:bCs/>
        </w:rPr>
      </w:pPr>
    </w:p>
    <w:p w14:paraId="6A9DAE46" w14:textId="77777777" w:rsidR="000204C7" w:rsidRDefault="000204C7" w:rsidP="00E84970">
      <w:pPr>
        <w:jc w:val="both"/>
        <w:rPr>
          <w:rFonts w:ascii="Courier New" w:hAnsi="Courier New" w:cs="Courier New"/>
          <w:b/>
          <w:bCs/>
        </w:rPr>
      </w:pPr>
    </w:p>
    <w:p w14:paraId="3E339C41" w14:textId="77777777" w:rsidR="000204C7" w:rsidRDefault="000204C7" w:rsidP="00E84970">
      <w:pPr>
        <w:jc w:val="both"/>
        <w:rPr>
          <w:rFonts w:ascii="Courier New" w:hAnsi="Courier New" w:cs="Courier New"/>
          <w:b/>
          <w:bCs/>
        </w:rPr>
      </w:pPr>
    </w:p>
    <w:p w14:paraId="165C5D0B" w14:textId="77777777" w:rsidR="004E656B" w:rsidRDefault="004E656B" w:rsidP="004E656B">
      <w:pPr>
        <w:jc w:val="both"/>
        <w:rPr>
          <w:rFonts w:ascii="Courier New" w:hAnsi="Courier New" w:cs="Courier New"/>
          <w:b/>
          <w:bCs/>
        </w:rPr>
      </w:pPr>
      <w:r w:rsidRPr="00294A90">
        <w:rPr>
          <w:rFonts w:ascii="Courier New" w:hAnsi="Courier New" w:cs="Courier New"/>
          <w:b/>
          <w:bCs/>
        </w:rPr>
        <w:t>A true copy,</w:t>
      </w:r>
    </w:p>
    <w:p w14:paraId="706A240B" w14:textId="77777777" w:rsidR="004E656B" w:rsidRDefault="004E656B" w:rsidP="004E656B">
      <w:pPr>
        <w:jc w:val="both"/>
        <w:rPr>
          <w:rFonts w:ascii="Courier New" w:hAnsi="Courier New" w:cs="Courier New"/>
          <w:b/>
          <w:bCs/>
        </w:rPr>
      </w:pPr>
    </w:p>
    <w:p w14:paraId="32F5AAEA" w14:textId="77777777" w:rsidR="004E656B" w:rsidRDefault="004E656B" w:rsidP="004E656B">
      <w:pPr>
        <w:jc w:val="both"/>
        <w:rPr>
          <w:rFonts w:ascii="Courier New" w:hAnsi="Courier New" w:cs="Courier New"/>
          <w:b/>
          <w:bCs/>
        </w:rPr>
      </w:pPr>
    </w:p>
    <w:p w14:paraId="15AAA2A9" w14:textId="77777777" w:rsidR="004E656B" w:rsidRDefault="004E656B" w:rsidP="004E656B">
      <w:pPr>
        <w:jc w:val="both"/>
        <w:rPr>
          <w:rFonts w:ascii="Courier New" w:hAnsi="Courier New" w:cs="Courier New"/>
          <w:b/>
          <w:bCs/>
        </w:rPr>
      </w:pPr>
      <w:r w:rsidRPr="00294A90">
        <w:rPr>
          <w:rFonts w:ascii="Courier New" w:hAnsi="Courier New" w:cs="Courier New"/>
          <w:b/>
          <w:bCs/>
        </w:rPr>
        <w:t>Attest: ___________</w:t>
      </w:r>
      <w:r>
        <w:rPr>
          <w:rFonts w:ascii="Courier New" w:hAnsi="Courier New" w:cs="Courier New"/>
          <w:b/>
          <w:bCs/>
        </w:rPr>
        <w:t>__</w:t>
      </w:r>
      <w:r w:rsidRPr="00294A90">
        <w:rPr>
          <w:rFonts w:ascii="Courier New" w:hAnsi="Courier New" w:cs="Courier New"/>
          <w:b/>
          <w:bCs/>
        </w:rPr>
        <w:t>________</w:t>
      </w:r>
    </w:p>
    <w:p w14:paraId="4E2EE417" w14:textId="77777777" w:rsidR="004E656B" w:rsidRPr="00F61F91" w:rsidRDefault="004E656B" w:rsidP="004E656B">
      <w:pPr>
        <w:jc w:val="both"/>
        <w:rPr>
          <w:rFonts w:ascii="Courier New" w:hAnsi="Courier New" w:cs="Courier New"/>
          <w:b/>
          <w:bCs/>
        </w:rPr>
      </w:pPr>
      <w:r>
        <w:rPr>
          <w:rFonts w:ascii="Courier New" w:hAnsi="Courier New" w:cs="Courier New"/>
          <w:b/>
          <w:bCs/>
        </w:rPr>
        <w:t xml:space="preserve">     </w:t>
      </w:r>
      <w:r w:rsidRPr="00294A90">
        <w:rPr>
          <w:rFonts w:ascii="Courier New" w:hAnsi="Courier New" w:cs="Courier New"/>
          <w:b/>
          <w:bCs/>
        </w:rPr>
        <w:t xml:space="preserve">   </w:t>
      </w:r>
      <w:r>
        <w:rPr>
          <w:rFonts w:ascii="Courier New" w:hAnsi="Courier New" w:cs="Courier New"/>
          <w:b/>
          <w:bCs/>
        </w:rPr>
        <w:t> </w:t>
      </w:r>
      <w:r w:rsidRPr="00294A90">
        <w:rPr>
          <w:rFonts w:ascii="Courier New" w:hAnsi="Courier New" w:cs="Courier New"/>
          <w:b/>
          <w:bCs/>
        </w:rPr>
        <w:t>Clerk of the Board</w:t>
      </w:r>
    </w:p>
    <w:p w14:paraId="5CFE47DF" w14:textId="77777777" w:rsidR="000204C7" w:rsidRDefault="000204C7" w:rsidP="00E84970">
      <w:pPr>
        <w:jc w:val="both"/>
        <w:rPr>
          <w:rFonts w:ascii="Courier New" w:hAnsi="Courier New" w:cs="Courier New"/>
          <w:b/>
          <w:bCs/>
        </w:rPr>
      </w:pPr>
    </w:p>
    <w:sectPr w:rsidR="000204C7" w:rsidSect="004E656B">
      <w:footerReference w:type="default" r:id="rId9"/>
      <w:pgSz w:w="12240" w:h="15840"/>
      <w:pgMar w:top="1440" w:right="1800" w:bottom="1440" w:left="1800" w:header="720" w:footer="720" w:gutter="0"/>
      <w:pgNumType w:start="1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46B27" w14:textId="77777777" w:rsidR="006231F4" w:rsidRDefault="006231F4" w:rsidP="00121B86">
      <w:r>
        <w:separator/>
      </w:r>
    </w:p>
  </w:endnote>
  <w:endnote w:type="continuationSeparator" w:id="0">
    <w:p w14:paraId="077B2EBA" w14:textId="77777777" w:rsidR="006231F4" w:rsidRDefault="006231F4" w:rsidP="001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003937225"/>
      <w:docPartObj>
        <w:docPartGallery w:val="Page Numbers (Bottom of Page)"/>
        <w:docPartUnique/>
      </w:docPartObj>
    </w:sdtPr>
    <w:sdtEndPr>
      <w:rPr>
        <w:noProof/>
      </w:rPr>
    </w:sdtEndPr>
    <w:sdtContent>
      <w:p w14:paraId="59740C5D" w14:textId="66FE3E75" w:rsidR="00AC5491" w:rsidRPr="004E656B" w:rsidRDefault="004E656B" w:rsidP="004E656B">
        <w:pPr>
          <w:pStyle w:val="Footer"/>
          <w:jc w:val="center"/>
          <w:rPr>
            <w:rFonts w:ascii="Courier New" w:hAnsi="Courier New" w:cs="Courier New"/>
            <w:b/>
          </w:rPr>
        </w:pPr>
        <w:r w:rsidRPr="004E656B">
          <w:rPr>
            <w:rFonts w:ascii="Courier New" w:hAnsi="Courier New" w:cs="Courier New"/>
            <w:b/>
          </w:rPr>
          <w:t>ATB 2018-</w:t>
        </w:r>
        <w:r w:rsidR="00AC5491" w:rsidRPr="004E656B">
          <w:rPr>
            <w:rFonts w:ascii="Courier New" w:hAnsi="Courier New" w:cs="Courier New"/>
            <w:b/>
          </w:rPr>
          <w:fldChar w:fldCharType="begin"/>
        </w:r>
        <w:r w:rsidR="00AC5491" w:rsidRPr="004E656B">
          <w:rPr>
            <w:rFonts w:ascii="Courier New" w:hAnsi="Courier New" w:cs="Courier New"/>
            <w:b/>
          </w:rPr>
          <w:instrText xml:space="preserve"> PAGE   \* MERGEFORMAT </w:instrText>
        </w:r>
        <w:r w:rsidR="00AC5491" w:rsidRPr="004E656B">
          <w:rPr>
            <w:rFonts w:ascii="Courier New" w:hAnsi="Courier New" w:cs="Courier New"/>
            <w:b/>
          </w:rPr>
          <w:fldChar w:fldCharType="separate"/>
        </w:r>
        <w:r w:rsidR="00547C52">
          <w:rPr>
            <w:rFonts w:ascii="Courier New" w:hAnsi="Courier New" w:cs="Courier New"/>
            <w:b/>
            <w:noProof/>
          </w:rPr>
          <w:t>161</w:t>
        </w:r>
        <w:r w:rsidR="00AC5491" w:rsidRPr="004E656B">
          <w:rPr>
            <w:rFonts w:ascii="Courier New" w:hAnsi="Courier New" w:cs="Courier New"/>
            <w:b/>
            <w:noProof/>
          </w:rPr>
          <w:fldChar w:fldCharType="end"/>
        </w:r>
      </w:p>
    </w:sdtContent>
  </w:sdt>
  <w:p w14:paraId="1584DEF7" w14:textId="77777777" w:rsidR="00AC5491" w:rsidRDefault="00AC5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ADF41" w14:textId="77777777" w:rsidR="006231F4" w:rsidRDefault="006231F4" w:rsidP="00121B86">
      <w:r>
        <w:separator/>
      </w:r>
    </w:p>
  </w:footnote>
  <w:footnote w:type="continuationSeparator" w:id="0">
    <w:p w14:paraId="0EBDC771" w14:textId="77777777" w:rsidR="006231F4" w:rsidRDefault="006231F4" w:rsidP="00121B86">
      <w:r>
        <w:continuationSeparator/>
      </w:r>
    </w:p>
  </w:footnote>
  <w:footnote w:id="1">
    <w:p w14:paraId="23AD365E" w14:textId="646540A9" w:rsidR="007C6E1D" w:rsidRPr="007C6E1D" w:rsidRDefault="007C6E1D" w:rsidP="007C6E1D">
      <w:pPr>
        <w:pStyle w:val="FootnoteText"/>
        <w:jc w:val="both"/>
        <w:rPr>
          <w:rFonts w:ascii="Courier New" w:hAnsi="Courier New" w:cs="Courier New"/>
        </w:rPr>
      </w:pPr>
      <w:r w:rsidRPr="007C6E1D">
        <w:rPr>
          <w:rStyle w:val="FootnoteReference"/>
          <w:rFonts w:ascii="Courier New" w:hAnsi="Courier New" w:cs="Courier New"/>
        </w:rPr>
        <w:footnoteRef/>
      </w:r>
      <w:r w:rsidRPr="007C6E1D">
        <w:rPr>
          <w:rFonts w:ascii="Courier New" w:hAnsi="Courier New" w:cs="Courier New"/>
        </w:rPr>
        <w:t xml:space="preserve"> </w:t>
      </w:r>
      <w:r w:rsidR="00E9118B">
        <w:rPr>
          <w:rFonts w:ascii="Courier New" w:hAnsi="Courier New" w:cs="Courier New"/>
        </w:rPr>
        <w:t>For fiscal year 2015</w:t>
      </w:r>
      <w:r w:rsidR="005C6219">
        <w:rPr>
          <w:rFonts w:ascii="Courier New" w:hAnsi="Courier New" w:cs="Courier New"/>
        </w:rPr>
        <w:t xml:space="preserve">, the due date for payment of the first installment of the actual tax bill without incurring interest, and therefore, the due date of abatement applications, was February 6, 2015.  </w:t>
      </w:r>
      <w:r w:rsidR="005C6219">
        <w:rPr>
          <w:rFonts w:ascii="Courier New" w:hAnsi="Courier New" w:cs="Courier New"/>
          <w:i/>
        </w:rPr>
        <w:t xml:space="preserve">See </w:t>
      </w:r>
      <w:r w:rsidR="005C6219">
        <w:rPr>
          <w:rFonts w:ascii="Courier New" w:hAnsi="Courier New" w:cs="Courier New"/>
        </w:rPr>
        <w:t xml:space="preserve">St. 2015, c. 10, </w:t>
      </w:r>
      <w:r w:rsidR="005C6219" w:rsidRPr="00092835">
        <w:rPr>
          <w:rFonts w:ascii="Courier New" w:hAnsi="Courier New" w:cs="Courier New"/>
        </w:rPr>
        <w:t>§</w:t>
      </w:r>
      <w:r w:rsidR="005C6219">
        <w:rPr>
          <w:rFonts w:ascii="Courier New" w:hAnsi="Courier New" w:cs="Courier New"/>
        </w:rPr>
        <w:t xml:space="preserve"> 62 (extending the due d</w:t>
      </w:r>
      <w:r w:rsidR="000F5111">
        <w:rPr>
          <w:rFonts w:ascii="Courier New" w:hAnsi="Courier New" w:cs="Courier New"/>
        </w:rPr>
        <w:t>ates for fiscal year 2015 because of</w:t>
      </w:r>
      <w:r w:rsidR="005C6219">
        <w:rPr>
          <w:rFonts w:ascii="Courier New" w:hAnsi="Courier New" w:cs="Courier New"/>
        </w:rPr>
        <w:t xml:space="preserve"> a severe blizzard on the initial due date).  </w:t>
      </w:r>
      <w:r w:rsidR="005C6219" w:rsidRPr="005C6219">
        <w:rPr>
          <w:rFonts w:ascii="Courier New" w:hAnsi="Courier New" w:cs="Courier New"/>
          <w:i/>
        </w:rPr>
        <w:t>See, e.g</w:t>
      </w:r>
      <w:r w:rsidR="005C6219">
        <w:rPr>
          <w:rFonts w:ascii="Courier New" w:hAnsi="Courier New" w:cs="Courier New"/>
        </w:rPr>
        <w:t xml:space="preserve">., </w:t>
      </w:r>
      <w:r w:rsidR="005C6219" w:rsidRPr="005C6219">
        <w:rPr>
          <w:rFonts w:ascii="Courier New" w:hAnsi="Courier New" w:cs="Courier New"/>
          <w:b/>
          <w:i/>
        </w:rPr>
        <w:t>Scharf v. Assessors of Needham</w:t>
      </w:r>
      <w:r w:rsidR="005C6219">
        <w:rPr>
          <w:rFonts w:ascii="Courier New" w:hAnsi="Courier New" w:cs="Courier New"/>
        </w:rPr>
        <w:t>, Mass. ATB Findings of Fact and Reports 2017-215, 216 n.2.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4AEE"/>
    <w:multiLevelType w:val="hybridMultilevel"/>
    <w:tmpl w:val="8D0C8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86"/>
    <w:rsid w:val="00003010"/>
    <w:rsid w:val="00012453"/>
    <w:rsid w:val="00013356"/>
    <w:rsid w:val="0001356A"/>
    <w:rsid w:val="000204C7"/>
    <w:rsid w:val="00031CE8"/>
    <w:rsid w:val="00035B57"/>
    <w:rsid w:val="000436CA"/>
    <w:rsid w:val="00044CB5"/>
    <w:rsid w:val="000604D9"/>
    <w:rsid w:val="00082400"/>
    <w:rsid w:val="0009751A"/>
    <w:rsid w:val="000B0C5D"/>
    <w:rsid w:val="000B251F"/>
    <w:rsid w:val="000B723C"/>
    <w:rsid w:val="000C3785"/>
    <w:rsid w:val="000D2334"/>
    <w:rsid w:val="000D5C4B"/>
    <w:rsid w:val="000E182F"/>
    <w:rsid w:val="000F5111"/>
    <w:rsid w:val="000F699C"/>
    <w:rsid w:val="000F747D"/>
    <w:rsid w:val="00101BDD"/>
    <w:rsid w:val="00102C9F"/>
    <w:rsid w:val="00105560"/>
    <w:rsid w:val="00114419"/>
    <w:rsid w:val="001149ED"/>
    <w:rsid w:val="00121B86"/>
    <w:rsid w:val="00132147"/>
    <w:rsid w:val="00140BDC"/>
    <w:rsid w:val="00145C19"/>
    <w:rsid w:val="00151C7C"/>
    <w:rsid w:val="00157EE3"/>
    <w:rsid w:val="00161526"/>
    <w:rsid w:val="00162F4F"/>
    <w:rsid w:val="001709D5"/>
    <w:rsid w:val="0017630B"/>
    <w:rsid w:val="00184C6F"/>
    <w:rsid w:val="0018599D"/>
    <w:rsid w:val="00191AF9"/>
    <w:rsid w:val="001A0127"/>
    <w:rsid w:val="001A672B"/>
    <w:rsid w:val="001C3676"/>
    <w:rsid w:val="001D2141"/>
    <w:rsid w:val="001D3DF5"/>
    <w:rsid w:val="001D7746"/>
    <w:rsid w:val="001E63DF"/>
    <w:rsid w:val="001F5AF9"/>
    <w:rsid w:val="002070CE"/>
    <w:rsid w:val="00211CA3"/>
    <w:rsid w:val="00212A21"/>
    <w:rsid w:val="00212EEF"/>
    <w:rsid w:val="00222390"/>
    <w:rsid w:val="00240C6B"/>
    <w:rsid w:val="002434FD"/>
    <w:rsid w:val="00251748"/>
    <w:rsid w:val="00274EA5"/>
    <w:rsid w:val="00291A6C"/>
    <w:rsid w:val="002A34FC"/>
    <w:rsid w:val="002B0AA9"/>
    <w:rsid w:val="002B589B"/>
    <w:rsid w:val="002B7A6B"/>
    <w:rsid w:val="002C30B7"/>
    <w:rsid w:val="002D213A"/>
    <w:rsid w:val="002F71D9"/>
    <w:rsid w:val="00300D0C"/>
    <w:rsid w:val="00310D7C"/>
    <w:rsid w:val="00316066"/>
    <w:rsid w:val="0031737F"/>
    <w:rsid w:val="003257C6"/>
    <w:rsid w:val="00342ABD"/>
    <w:rsid w:val="00347B4F"/>
    <w:rsid w:val="003631E6"/>
    <w:rsid w:val="00376289"/>
    <w:rsid w:val="00385F69"/>
    <w:rsid w:val="003963B6"/>
    <w:rsid w:val="003A15CA"/>
    <w:rsid w:val="003B04C2"/>
    <w:rsid w:val="003B2174"/>
    <w:rsid w:val="003B2B3E"/>
    <w:rsid w:val="003C5E7A"/>
    <w:rsid w:val="003D5715"/>
    <w:rsid w:val="003D5F6F"/>
    <w:rsid w:val="003E0019"/>
    <w:rsid w:val="003E27FA"/>
    <w:rsid w:val="00402752"/>
    <w:rsid w:val="00415E04"/>
    <w:rsid w:val="0042655F"/>
    <w:rsid w:val="00445CD2"/>
    <w:rsid w:val="0044660C"/>
    <w:rsid w:val="00453C8A"/>
    <w:rsid w:val="004602F6"/>
    <w:rsid w:val="00467586"/>
    <w:rsid w:val="00484EDD"/>
    <w:rsid w:val="00485CF7"/>
    <w:rsid w:val="004A3CF0"/>
    <w:rsid w:val="004A6182"/>
    <w:rsid w:val="004B6107"/>
    <w:rsid w:val="004D03D2"/>
    <w:rsid w:val="004D3F8A"/>
    <w:rsid w:val="004E1792"/>
    <w:rsid w:val="004E656B"/>
    <w:rsid w:val="004E7041"/>
    <w:rsid w:val="00501749"/>
    <w:rsid w:val="00511187"/>
    <w:rsid w:val="0052220D"/>
    <w:rsid w:val="00525554"/>
    <w:rsid w:val="00532D5C"/>
    <w:rsid w:val="00535173"/>
    <w:rsid w:val="005367B9"/>
    <w:rsid w:val="005404FA"/>
    <w:rsid w:val="00547C52"/>
    <w:rsid w:val="00555116"/>
    <w:rsid w:val="00560DCD"/>
    <w:rsid w:val="00567D87"/>
    <w:rsid w:val="00572F8C"/>
    <w:rsid w:val="0058397F"/>
    <w:rsid w:val="00583F2B"/>
    <w:rsid w:val="00584F3D"/>
    <w:rsid w:val="0058690A"/>
    <w:rsid w:val="005A6F06"/>
    <w:rsid w:val="005B34FD"/>
    <w:rsid w:val="005C19FC"/>
    <w:rsid w:val="005C6219"/>
    <w:rsid w:val="005C6666"/>
    <w:rsid w:val="005E75BD"/>
    <w:rsid w:val="005F2B48"/>
    <w:rsid w:val="0060596E"/>
    <w:rsid w:val="006231F4"/>
    <w:rsid w:val="00623645"/>
    <w:rsid w:val="00624344"/>
    <w:rsid w:val="006255DB"/>
    <w:rsid w:val="006266D1"/>
    <w:rsid w:val="0064372C"/>
    <w:rsid w:val="00643D12"/>
    <w:rsid w:val="00646C52"/>
    <w:rsid w:val="0065263E"/>
    <w:rsid w:val="00671220"/>
    <w:rsid w:val="00685454"/>
    <w:rsid w:val="00690535"/>
    <w:rsid w:val="00692DDD"/>
    <w:rsid w:val="006A0747"/>
    <w:rsid w:val="006A5C89"/>
    <w:rsid w:val="006B1C99"/>
    <w:rsid w:val="006C59C5"/>
    <w:rsid w:val="006C7D27"/>
    <w:rsid w:val="006D2554"/>
    <w:rsid w:val="006D3762"/>
    <w:rsid w:val="006D4D34"/>
    <w:rsid w:val="006D506E"/>
    <w:rsid w:val="006E387B"/>
    <w:rsid w:val="006E5898"/>
    <w:rsid w:val="00711440"/>
    <w:rsid w:val="00720269"/>
    <w:rsid w:val="007209DC"/>
    <w:rsid w:val="00721518"/>
    <w:rsid w:val="00731C92"/>
    <w:rsid w:val="007349B5"/>
    <w:rsid w:val="00734F66"/>
    <w:rsid w:val="0076288F"/>
    <w:rsid w:val="007731F6"/>
    <w:rsid w:val="007865AD"/>
    <w:rsid w:val="007A10A2"/>
    <w:rsid w:val="007B1676"/>
    <w:rsid w:val="007B21B7"/>
    <w:rsid w:val="007C6E1D"/>
    <w:rsid w:val="007E0390"/>
    <w:rsid w:val="007E3739"/>
    <w:rsid w:val="007F2D7A"/>
    <w:rsid w:val="007F3315"/>
    <w:rsid w:val="00807F13"/>
    <w:rsid w:val="00810144"/>
    <w:rsid w:val="0082302A"/>
    <w:rsid w:val="00825D45"/>
    <w:rsid w:val="00826189"/>
    <w:rsid w:val="00826B84"/>
    <w:rsid w:val="00841AE9"/>
    <w:rsid w:val="00845A7C"/>
    <w:rsid w:val="00854E62"/>
    <w:rsid w:val="00856154"/>
    <w:rsid w:val="008571E2"/>
    <w:rsid w:val="008739B0"/>
    <w:rsid w:val="008A535D"/>
    <w:rsid w:val="008C1DF4"/>
    <w:rsid w:val="008C3DDF"/>
    <w:rsid w:val="008D6D83"/>
    <w:rsid w:val="008E2BE5"/>
    <w:rsid w:val="008E43DF"/>
    <w:rsid w:val="008E55F0"/>
    <w:rsid w:val="008E5F34"/>
    <w:rsid w:val="008F3AB8"/>
    <w:rsid w:val="008F3D9D"/>
    <w:rsid w:val="008F627F"/>
    <w:rsid w:val="008F6C89"/>
    <w:rsid w:val="0090446A"/>
    <w:rsid w:val="0091022E"/>
    <w:rsid w:val="00914713"/>
    <w:rsid w:val="00935B07"/>
    <w:rsid w:val="009532D4"/>
    <w:rsid w:val="00963EBC"/>
    <w:rsid w:val="0097070C"/>
    <w:rsid w:val="009830E1"/>
    <w:rsid w:val="00993A4E"/>
    <w:rsid w:val="0099565C"/>
    <w:rsid w:val="009A5539"/>
    <w:rsid w:val="009C0C0A"/>
    <w:rsid w:val="009C2B44"/>
    <w:rsid w:val="009C72B7"/>
    <w:rsid w:val="009D30FB"/>
    <w:rsid w:val="009D7D9B"/>
    <w:rsid w:val="009F1D31"/>
    <w:rsid w:val="00A003F1"/>
    <w:rsid w:val="00A01F89"/>
    <w:rsid w:val="00A263E0"/>
    <w:rsid w:val="00A42455"/>
    <w:rsid w:val="00A46811"/>
    <w:rsid w:val="00A47C8D"/>
    <w:rsid w:val="00A54397"/>
    <w:rsid w:val="00A77071"/>
    <w:rsid w:val="00A832DB"/>
    <w:rsid w:val="00AB0213"/>
    <w:rsid w:val="00AB3D2E"/>
    <w:rsid w:val="00AC5491"/>
    <w:rsid w:val="00AC6335"/>
    <w:rsid w:val="00AF6644"/>
    <w:rsid w:val="00B05AD7"/>
    <w:rsid w:val="00B0695A"/>
    <w:rsid w:val="00B121D2"/>
    <w:rsid w:val="00B12FAB"/>
    <w:rsid w:val="00B220D7"/>
    <w:rsid w:val="00B355E4"/>
    <w:rsid w:val="00B83A0C"/>
    <w:rsid w:val="00B84D11"/>
    <w:rsid w:val="00B85062"/>
    <w:rsid w:val="00B85857"/>
    <w:rsid w:val="00B87529"/>
    <w:rsid w:val="00BA1AEB"/>
    <w:rsid w:val="00BA7954"/>
    <w:rsid w:val="00BB1CC4"/>
    <w:rsid w:val="00BB4DB2"/>
    <w:rsid w:val="00BC7981"/>
    <w:rsid w:val="00BD14AF"/>
    <w:rsid w:val="00BD7922"/>
    <w:rsid w:val="00BE0FBA"/>
    <w:rsid w:val="00BE17F1"/>
    <w:rsid w:val="00C1648F"/>
    <w:rsid w:val="00C22223"/>
    <w:rsid w:val="00C30F44"/>
    <w:rsid w:val="00C40996"/>
    <w:rsid w:val="00C4424B"/>
    <w:rsid w:val="00C44539"/>
    <w:rsid w:val="00C54FBA"/>
    <w:rsid w:val="00C5531B"/>
    <w:rsid w:val="00C63514"/>
    <w:rsid w:val="00C63F12"/>
    <w:rsid w:val="00C65972"/>
    <w:rsid w:val="00C93F45"/>
    <w:rsid w:val="00CA5670"/>
    <w:rsid w:val="00CB431B"/>
    <w:rsid w:val="00CB4DAA"/>
    <w:rsid w:val="00CC419F"/>
    <w:rsid w:val="00CE22C0"/>
    <w:rsid w:val="00CE5E6B"/>
    <w:rsid w:val="00CE6260"/>
    <w:rsid w:val="00D00C21"/>
    <w:rsid w:val="00D01268"/>
    <w:rsid w:val="00D033CE"/>
    <w:rsid w:val="00D060E9"/>
    <w:rsid w:val="00D15AAC"/>
    <w:rsid w:val="00D20ECE"/>
    <w:rsid w:val="00D21BE9"/>
    <w:rsid w:val="00D266F2"/>
    <w:rsid w:val="00D30172"/>
    <w:rsid w:val="00D31F13"/>
    <w:rsid w:val="00D33037"/>
    <w:rsid w:val="00D52D3E"/>
    <w:rsid w:val="00D53503"/>
    <w:rsid w:val="00D82904"/>
    <w:rsid w:val="00D85FAE"/>
    <w:rsid w:val="00D87D11"/>
    <w:rsid w:val="00D9117E"/>
    <w:rsid w:val="00D92EA3"/>
    <w:rsid w:val="00DA217F"/>
    <w:rsid w:val="00DA5F3B"/>
    <w:rsid w:val="00DA776D"/>
    <w:rsid w:val="00DB14DA"/>
    <w:rsid w:val="00DB57D7"/>
    <w:rsid w:val="00DB642E"/>
    <w:rsid w:val="00DC50FE"/>
    <w:rsid w:val="00DD4D7D"/>
    <w:rsid w:val="00DE43E4"/>
    <w:rsid w:val="00DF3452"/>
    <w:rsid w:val="00E016EB"/>
    <w:rsid w:val="00E01BA3"/>
    <w:rsid w:val="00E129B7"/>
    <w:rsid w:val="00E17A01"/>
    <w:rsid w:val="00E20D5C"/>
    <w:rsid w:val="00E27D2C"/>
    <w:rsid w:val="00E5477C"/>
    <w:rsid w:val="00E55315"/>
    <w:rsid w:val="00E834EC"/>
    <w:rsid w:val="00E84970"/>
    <w:rsid w:val="00E907F9"/>
    <w:rsid w:val="00E9118B"/>
    <w:rsid w:val="00E92B86"/>
    <w:rsid w:val="00E97A75"/>
    <w:rsid w:val="00EA4335"/>
    <w:rsid w:val="00EB3C4B"/>
    <w:rsid w:val="00EC42FB"/>
    <w:rsid w:val="00ED0EE2"/>
    <w:rsid w:val="00ED7690"/>
    <w:rsid w:val="00EE4FA5"/>
    <w:rsid w:val="00EE72A3"/>
    <w:rsid w:val="00EF6D14"/>
    <w:rsid w:val="00F019C2"/>
    <w:rsid w:val="00F15AF4"/>
    <w:rsid w:val="00F27CD3"/>
    <w:rsid w:val="00F4400C"/>
    <w:rsid w:val="00F459B2"/>
    <w:rsid w:val="00F47245"/>
    <w:rsid w:val="00F55843"/>
    <w:rsid w:val="00F5752B"/>
    <w:rsid w:val="00F61F91"/>
    <w:rsid w:val="00F638A9"/>
    <w:rsid w:val="00F734A9"/>
    <w:rsid w:val="00F8272E"/>
    <w:rsid w:val="00F87D4C"/>
    <w:rsid w:val="00FB2410"/>
    <w:rsid w:val="00FB71A0"/>
    <w:rsid w:val="00FC3033"/>
    <w:rsid w:val="00FC3F8B"/>
    <w:rsid w:val="00FE2ED4"/>
    <w:rsid w:val="00FE44C1"/>
    <w:rsid w:val="00FF1292"/>
    <w:rsid w:val="00FF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01C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86"/>
    <w:rPr>
      <w:rFonts w:ascii="Times New Roman" w:eastAsia="Times New Roman" w:hAnsi="Times New Roman" w:cs="Times New Roman"/>
    </w:rPr>
  </w:style>
  <w:style w:type="paragraph" w:styleId="Heading1">
    <w:name w:val="heading 1"/>
    <w:basedOn w:val="Normal"/>
    <w:next w:val="Normal"/>
    <w:link w:val="Heading1Char"/>
    <w:qFormat/>
    <w:rsid w:val="00121B86"/>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121B8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B86"/>
    <w:rPr>
      <w:rFonts w:ascii="Courier New" w:eastAsia="Times New Roman" w:hAnsi="Courier New" w:cs="Courier New"/>
      <w:b/>
      <w:bCs/>
    </w:rPr>
  </w:style>
  <w:style w:type="character" w:customStyle="1" w:styleId="Heading2Char">
    <w:name w:val="Heading 2 Char"/>
    <w:basedOn w:val="DefaultParagraphFont"/>
    <w:link w:val="Heading2"/>
    <w:rsid w:val="00121B86"/>
    <w:rPr>
      <w:rFonts w:ascii="Courier New" w:eastAsia="Times New Roman" w:hAnsi="Courier New" w:cs="Courier New"/>
      <w:b/>
      <w:bCs/>
    </w:rPr>
  </w:style>
  <w:style w:type="paragraph" w:styleId="Title">
    <w:name w:val="Title"/>
    <w:basedOn w:val="Normal"/>
    <w:link w:val="TitleChar"/>
    <w:qFormat/>
    <w:rsid w:val="00121B86"/>
    <w:pPr>
      <w:jc w:val="center"/>
    </w:pPr>
    <w:rPr>
      <w:rFonts w:ascii="Courier New" w:hAnsi="Courier New" w:cs="Courier New"/>
      <w:b/>
      <w:bCs/>
    </w:rPr>
  </w:style>
  <w:style w:type="character" w:customStyle="1" w:styleId="TitleChar">
    <w:name w:val="Title Char"/>
    <w:basedOn w:val="DefaultParagraphFont"/>
    <w:link w:val="Title"/>
    <w:rsid w:val="00121B86"/>
    <w:rPr>
      <w:rFonts w:ascii="Courier New" w:eastAsia="Times New Roman" w:hAnsi="Courier New" w:cs="Courier New"/>
      <w:b/>
      <w:bCs/>
    </w:rPr>
  </w:style>
  <w:style w:type="paragraph" w:styleId="BodyText2">
    <w:name w:val="Body Text 2"/>
    <w:basedOn w:val="Normal"/>
    <w:link w:val="BodyText2Char"/>
    <w:rsid w:val="00121B86"/>
    <w:pPr>
      <w:spacing w:after="120" w:line="480" w:lineRule="auto"/>
    </w:pPr>
  </w:style>
  <w:style w:type="character" w:customStyle="1" w:styleId="BodyText2Char">
    <w:name w:val="Body Text 2 Char"/>
    <w:basedOn w:val="DefaultParagraphFont"/>
    <w:link w:val="BodyText2"/>
    <w:rsid w:val="00121B86"/>
    <w:rPr>
      <w:rFonts w:ascii="Times New Roman" w:eastAsia="Times New Roman" w:hAnsi="Times New Roman" w:cs="Times New Roman"/>
    </w:rPr>
  </w:style>
  <w:style w:type="paragraph" w:styleId="FootnoteText">
    <w:name w:val="footnote text"/>
    <w:basedOn w:val="Normal"/>
    <w:link w:val="FootnoteTextChar"/>
    <w:uiPriority w:val="99"/>
    <w:rsid w:val="00121B86"/>
    <w:rPr>
      <w:sz w:val="20"/>
      <w:szCs w:val="20"/>
    </w:rPr>
  </w:style>
  <w:style w:type="character" w:customStyle="1" w:styleId="FootnoteTextChar">
    <w:name w:val="Footnote Text Char"/>
    <w:basedOn w:val="DefaultParagraphFont"/>
    <w:link w:val="FootnoteText"/>
    <w:uiPriority w:val="99"/>
    <w:rsid w:val="00121B86"/>
    <w:rPr>
      <w:rFonts w:ascii="Times New Roman" w:eastAsia="Times New Roman" w:hAnsi="Times New Roman" w:cs="Times New Roman"/>
      <w:sz w:val="20"/>
      <w:szCs w:val="20"/>
    </w:rPr>
  </w:style>
  <w:style w:type="character" w:styleId="FootnoteReference">
    <w:name w:val="footnote reference"/>
    <w:uiPriority w:val="99"/>
    <w:rsid w:val="00121B86"/>
    <w:rPr>
      <w:vertAlign w:val="superscript"/>
    </w:rPr>
  </w:style>
  <w:style w:type="paragraph" w:styleId="Header">
    <w:name w:val="header"/>
    <w:basedOn w:val="Normal"/>
    <w:link w:val="HeaderChar"/>
    <w:uiPriority w:val="99"/>
    <w:unhideWhenUsed/>
    <w:rsid w:val="006D506E"/>
    <w:pPr>
      <w:tabs>
        <w:tab w:val="center" w:pos="4680"/>
        <w:tab w:val="right" w:pos="9360"/>
      </w:tabs>
    </w:pPr>
  </w:style>
  <w:style w:type="character" w:customStyle="1" w:styleId="HeaderChar">
    <w:name w:val="Header Char"/>
    <w:basedOn w:val="DefaultParagraphFont"/>
    <w:link w:val="Header"/>
    <w:uiPriority w:val="99"/>
    <w:rsid w:val="006D506E"/>
    <w:rPr>
      <w:rFonts w:ascii="Times New Roman" w:eastAsia="Times New Roman" w:hAnsi="Times New Roman" w:cs="Times New Roman"/>
    </w:rPr>
  </w:style>
  <w:style w:type="paragraph" w:styleId="Footer">
    <w:name w:val="footer"/>
    <w:basedOn w:val="Normal"/>
    <w:link w:val="FooterChar"/>
    <w:uiPriority w:val="99"/>
    <w:unhideWhenUsed/>
    <w:rsid w:val="006D506E"/>
    <w:pPr>
      <w:tabs>
        <w:tab w:val="center" w:pos="4680"/>
        <w:tab w:val="right" w:pos="9360"/>
      </w:tabs>
    </w:pPr>
  </w:style>
  <w:style w:type="character" w:customStyle="1" w:styleId="FooterChar">
    <w:name w:val="Footer Char"/>
    <w:basedOn w:val="DefaultParagraphFont"/>
    <w:link w:val="Footer"/>
    <w:uiPriority w:val="99"/>
    <w:rsid w:val="006D506E"/>
    <w:rPr>
      <w:rFonts w:ascii="Times New Roman" w:eastAsia="Times New Roman" w:hAnsi="Times New Roman" w:cs="Times New Roman"/>
    </w:rPr>
  </w:style>
  <w:style w:type="table" w:styleId="TableGrid">
    <w:name w:val="Table Grid"/>
    <w:basedOn w:val="TableNormal"/>
    <w:uiPriority w:val="59"/>
    <w:rsid w:val="00BA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9D5"/>
    <w:rPr>
      <w:rFonts w:ascii="Tahoma" w:hAnsi="Tahoma" w:cs="Tahoma"/>
      <w:sz w:val="16"/>
      <w:szCs w:val="16"/>
    </w:rPr>
  </w:style>
  <w:style w:type="character" w:customStyle="1" w:styleId="BalloonTextChar">
    <w:name w:val="Balloon Text Char"/>
    <w:basedOn w:val="DefaultParagraphFont"/>
    <w:link w:val="BalloonText"/>
    <w:uiPriority w:val="99"/>
    <w:semiHidden/>
    <w:rsid w:val="001709D5"/>
    <w:rPr>
      <w:rFonts w:ascii="Tahoma" w:eastAsia="Times New Roman" w:hAnsi="Tahoma" w:cs="Tahoma"/>
      <w:sz w:val="16"/>
      <w:szCs w:val="16"/>
    </w:rPr>
  </w:style>
  <w:style w:type="paragraph" w:styleId="ListParagraph">
    <w:name w:val="List Paragraph"/>
    <w:basedOn w:val="Normal"/>
    <w:uiPriority w:val="34"/>
    <w:qFormat/>
    <w:rsid w:val="00CE5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86"/>
    <w:rPr>
      <w:rFonts w:ascii="Times New Roman" w:eastAsia="Times New Roman" w:hAnsi="Times New Roman" w:cs="Times New Roman"/>
    </w:rPr>
  </w:style>
  <w:style w:type="paragraph" w:styleId="Heading1">
    <w:name w:val="heading 1"/>
    <w:basedOn w:val="Normal"/>
    <w:next w:val="Normal"/>
    <w:link w:val="Heading1Char"/>
    <w:qFormat/>
    <w:rsid w:val="00121B86"/>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121B8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B86"/>
    <w:rPr>
      <w:rFonts w:ascii="Courier New" w:eastAsia="Times New Roman" w:hAnsi="Courier New" w:cs="Courier New"/>
      <w:b/>
      <w:bCs/>
    </w:rPr>
  </w:style>
  <w:style w:type="character" w:customStyle="1" w:styleId="Heading2Char">
    <w:name w:val="Heading 2 Char"/>
    <w:basedOn w:val="DefaultParagraphFont"/>
    <w:link w:val="Heading2"/>
    <w:rsid w:val="00121B86"/>
    <w:rPr>
      <w:rFonts w:ascii="Courier New" w:eastAsia="Times New Roman" w:hAnsi="Courier New" w:cs="Courier New"/>
      <w:b/>
      <w:bCs/>
    </w:rPr>
  </w:style>
  <w:style w:type="paragraph" w:styleId="Title">
    <w:name w:val="Title"/>
    <w:basedOn w:val="Normal"/>
    <w:link w:val="TitleChar"/>
    <w:qFormat/>
    <w:rsid w:val="00121B86"/>
    <w:pPr>
      <w:jc w:val="center"/>
    </w:pPr>
    <w:rPr>
      <w:rFonts w:ascii="Courier New" w:hAnsi="Courier New" w:cs="Courier New"/>
      <w:b/>
      <w:bCs/>
    </w:rPr>
  </w:style>
  <w:style w:type="character" w:customStyle="1" w:styleId="TitleChar">
    <w:name w:val="Title Char"/>
    <w:basedOn w:val="DefaultParagraphFont"/>
    <w:link w:val="Title"/>
    <w:rsid w:val="00121B86"/>
    <w:rPr>
      <w:rFonts w:ascii="Courier New" w:eastAsia="Times New Roman" w:hAnsi="Courier New" w:cs="Courier New"/>
      <w:b/>
      <w:bCs/>
    </w:rPr>
  </w:style>
  <w:style w:type="paragraph" w:styleId="BodyText2">
    <w:name w:val="Body Text 2"/>
    <w:basedOn w:val="Normal"/>
    <w:link w:val="BodyText2Char"/>
    <w:rsid w:val="00121B86"/>
    <w:pPr>
      <w:spacing w:after="120" w:line="480" w:lineRule="auto"/>
    </w:pPr>
  </w:style>
  <w:style w:type="character" w:customStyle="1" w:styleId="BodyText2Char">
    <w:name w:val="Body Text 2 Char"/>
    <w:basedOn w:val="DefaultParagraphFont"/>
    <w:link w:val="BodyText2"/>
    <w:rsid w:val="00121B86"/>
    <w:rPr>
      <w:rFonts w:ascii="Times New Roman" w:eastAsia="Times New Roman" w:hAnsi="Times New Roman" w:cs="Times New Roman"/>
    </w:rPr>
  </w:style>
  <w:style w:type="paragraph" w:styleId="FootnoteText">
    <w:name w:val="footnote text"/>
    <w:basedOn w:val="Normal"/>
    <w:link w:val="FootnoteTextChar"/>
    <w:uiPriority w:val="99"/>
    <w:rsid w:val="00121B86"/>
    <w:rPr>
      <w:sz w:val="20"/>
      <w:szCs w:val="20"/>
    </w:rPr>
  </w:style>
  <w:style w:type="character" w:customStyle="1" w:styleId="FootnoteTextChar">
    <w:name w:val="Footnote Text Char"/>
    <w:basedOn w:val="DefaultParagraphFont"/>
    <w:link w:val="FootnoteText"/>
    <w:uiPriority w:val="99"/>
    <w:rsid w:val="00121B86"/>
    <w:rPr>
      <w:rFonts w:ascii="Times New Roman" w:eastAsia="Times New Roman" w:hAnsi="Times New Roman" w:cs="Times New Roman"/>
      <w:sz w:val="20"/>
      <w:szCs w:val="20"/>
    </w:rPr>
  </w:style>
  <w:style w:type="character" w:styleId="FootnoteReference">
    <w:name w:val="footnote reference"/>
    <w:uiPriority w:val="99"/>
    <w:rsid w:val="00121B86"/>
    <w:rPr>
      <w:vertAlign w:val="superscript"/>
    </w:rPr>
  </w:style>
  <w:style w:type="paragraph" w:styleId="Header">
    <w:name w:val="header"/>
    <w:basedOn w:val="Normal"/>
    <w:link w:val="HeaderChar"/>
    <w:uiPriority w:val="99"/>
    <w:unhideWhenUsed/>
    <w:rsid w:val="006D506E"/>
    <w:pPr>
      <w:tabs>
        <w:tab w:val="center" w:pos="4680"/>
        <w:tab w:val="right" w:pos="9360"/>
      </w:tabs>
    </w:pPr>
  </w:style>
  <w:style w:type="character" w:customStyle="1" w:styleId="HeaderChar">
    <w:name w:val="Header Char"/>
    <w:basedOn w:val="DefaultParagraphFont"/>
    <w:link w:val="Header"/>
    <w:uiPriority w:val="99"/>
    <w:rsid w:val="006D506E"/>
    <w:rPr>
      <w:rFonts w:ascii="Times New Roman" w:eastAsia="Times New Roman" w:hAnsi="Times New Roman" w:cs="Times New Roman"/>
    </w:rPr>
  </w:style>
  <w:style w:type="paragraph" w:styleId="Footer">
    <w:name w:val="footer"/>
    <w:basedOn w:val="Normal"/>
    <w:link w:val="FooterChar"/>
    <w:uiPriority w:val="99"/>
    <w:unhideWhenUsed/>
    <w:rsid w:val="006D506E"/>
    <w:pPr>
      <w:tabs>
        <w:tab w:val="center" w:pos="4680"/>
        <w:tab w:val="right" w:pos="9360"/>
      </w:tabs>
    </w:pPr>
  </w:style>
  <w:style w:type="character" w:customStyle="1" w:styleId="FooterChar">
    <w:name w:val="Footer Char"/>
    <w:basedOn w:val="DefaultParagraphFont"/>
    <w:link w:val="Footer"/>
    <w:uiPriority w:val="99"/>
    <w:rsid w:val="006D506E"/>
    <w:rPr>
      <w:rFonts w:ascii="Times New Roman" w:eastAsia="Times New Roman" w:hAnsi="Times New Roman" w:cs="Times New Roman"/>
    </w:rPr>
  </w:style>
  <w:style w:type="table" w:styleId="TableGrid">
    <w:name w:val="Table Grid"/>
    <w:basedOn w:val="TableNormal"/>
    <w:uiPriority w:val="59"/>
    <w:rsid w:val="00BA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9D5"/>
    <w:rPr>
      <w:rFonts w:ascii="Tahoma" w:hAnsi="Tahoma" w:cs="Tahoma"/>
      <w:sz w:val="16"/>
      <w:szCs w:val="16"/>
    </w:rPr>
  </w:style>
  <w:style w:type="character" w:customStyle="1" w:styleId="BalloonTextChar">
    <w:name w:val="Balloon Text Char"/>
    <w:basedOn w:val="DefaultParagraphFont"/>
    <w:link w:val="BalloonText"/>
    <w:uiPriority w:val="99"/>
    <w:semiHidden/>
    <w:rsid w:val="001709D5"/>
    <w:rPr>
      <w:rFonts w:ascii="Tahoma" w:eastAsia="Times New Roman" w:hAnsi="Tahoma" w:cs="Tahoma"/>
      <w:sz w:val="16"/>
      <w:szCs w:val="16"/>
    </w:rPr>
  </w:style>
  <w:style w:type="paragraph" w:styleId="ListParagraph">
    <w:name w:val="List Paragraph"/>
    <w:basedOn w:val="Normal"/>
    <w:uiPriority w:val="34"/>
    <w:qFormat/>
    <w:rsid w:val="00CE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396B-6A0E-4199-9B53-DD579096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2018-05-22T14:00:00Z</cp:lastPrinted>
  <dcterms:created xsi:type="dcterms:W3CDTF">2018-05-22T14:41:00Z</dcterms:created>
  <dcterms:modified xsi:type="dcterms:W3CDTF">2018-05-22T14:41:00Z</dcterms:modified>
</cp:coreProperties>
</file>