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BD105" w14:textId="77777777" w:rsidR="00121B86" w:rsidRDefault="00121B86" w:rsidP="00121B86">
      <w:pPr>
        <w:pStyle w:val="Title"/>
      </w:pPr>
      <w:r>
        <w:t>COMMONWEALTH OF MASSACHUSETTS</w:t>
      </w:r>
    </w:p>
    <w:p w14:paraId="5C4E8E4C" w14:textId="77777777" w:rsidR="00121B86" w:rsidRDefault="00121B86" w:rsidP="00121B86">
      <w:pPr>
        <w:jc w:val="center"/>
        <w:rPr>
          <w:rFonts w:ascii="Courier New" w:hAnsi="Courier New" w:cs="Courier New"/>
          <w:b/>
          <w:bCs/>
        </w:rPr>
      </w:pPr>
    </w:p>
    <w:p w14:paraId="4CB5DF83" w14:textId="77777777" w:rsidR="00121B86" w:rsidRDefault="00121B86" w:rsidP="00121B86">
      <w:pPr>
        <w:jc w:val="center"/>
        <w:rPr>
          <w:rFonts w:ascii="Courier New" w:hAnsi="Courier New" w:cs="Courier New"/>
          <w:b/>
          <w:bCs/>
        </w:rPr>
      </w:pPr>
      <w:r>
        <w:rPr>
          <w:rFonts w:ascii="Courier New" w:hAnsi="Courier New" w:cs="Courier New"/>
          <w:b/>
          <w:bCs/>
        </w:rPr>
        <w:t>APPELLATE TAX BOARD</w:t>
      </w:r>
    </w:p>
    <w:p w14:paraId="784C7FA0" w14:textId="77777777" w:rsidR="00121B86" w:rsidRDefault="00121B86" w:rsidP="00121B86">
      <w:pPr>
        <w:jc w:val="both"/>
        <w:rPr>
          <w:rFonts w:ascii="Courier New" w:hAnsi="Courier New" w:cs="Courier New"/>
          <w:b/>
          <w:bCs/>
        </w:rPr>
      </w:pPr>
    </w:p>
    <w:p w14:paraId="29C91191" w14:textId="77777777" w:rsidR="00121B86" w:rsidRDefault="00121B86" w:rsidP="00121B86">
      <w:pPr>
        <w:jc w:val="both"/>
        <w:rPr>
          <w:rFonts w:ascii="Courier New" w:hAnsi="Courier New" w:cs="Courier New"/>
          <w:b/>
          <w:bCs/>
        </w:rPr>
      </w:pPr>
    </w:p>
    <w:p w14:paraId="21B3A5A5" w14:textId="4DB37C70" w:rsidR="00121B86" w:rsidRDefault="0033557A" w:rsidP="00121B86">
      <w:pPr>
        <w:pStyle w:val="Heading1"/>
        <w:tabs>
          <w:tab w:val="left" w:pos="4320"/>
        </w:tabs>
      </w:pPr>
      <w:proofErr w:type="gramStart"/>
      <w:r>
        <w:t>BRIARWOOD THIRTEEN, LLC</w:t>
      </w:r>
      <w:r w:rsidR="00121B86">
        <w:t xml:space="preserve">   </w:t>
      </w:r>
      <w:r w:rsidR="000204C7">
        <w:t> </w:t>
      </w:r>
      <w:r>
        <w:t xml:space="preserve"> </w:t>
      </w:r>
      <w:r w:rsidR="00121B86">
        <w:t>v.</w:t>
      </w:r>
      <w:proofErr w:type="gramEnd"/>
      <w:r>
        <w:tab/>
        <w:t> </w:t>
      </w:r>
      <w:r w:rsidR="00121B86">
        <w:t xml:space="preserve">BOARD OF ASSESSORS OF  </w:t>
      </w:r>
    </w:p>
    <w:p w14:paraId="03E666BD" w14:textId="2D02563F" w:rsidR="00121B86" w:rsidRPr="00AE247F" w:rsidRDefault="0033557A" w:rsidP="00121B86">
      <w:pPr>
        <w:pStyle w:val="Heading1"/>
        <w:ind w:left="3600" w:hanging="3600"/>
      </w:pPr>
      <w:r>
        <w:tab/>
      </w:r>
      <w:r>
        <w:tab/>
      </w:r>
      <w:r>
        <w:tab/>
        <w:t> THE CITY OF SPRINGFIELD</w:t>
      </w:r>
    </w:p>
    <w:p w14:paraId="39001230" w14:textId="77777777" w:rsidR="00121B86" w:rsidRDefault="00121B86" w:rsidP="00121B86">
      <w:pPr>
        <w:jc w:val="both"/>
        <w:rPr>
          <w:rFonts w:ascii="Courier New" w:hAnsi="Courier New" w:cs="Courier New"/>
        </w:rPr>
      </w:pPr>
    </w:p>
    <w:p w14:paraId="52C697C0" w14:textId="2E0A8F92" w:rsidR="00121B86" w:rsidRDefault="008739B0" w:rsidP="00121B86">
      <w:pPr>
        <w:jc w:val="both"/>
        <w:rPr>
          <w:rFonts w:ascii="Courier New" w:hAnsi="Courier New" w:cs="Courier New"/>
        </w:rPr>
      </w:pPr>
      <w:r>
        <w:rPr>
          <w:rFonts w:ascii="Courier New" w:hAnsi="Courier New" w:cs="Courier New"/>
        </w:rPr>
        <w:t>Docket Nos.</w:t>
      </w:r>
      <w:r w:rsidR="0033557A">
        <w:rPr>
          <w:rFonts w:ascii="Courier New" w:hAnsi="Courier New" w:cs="Courier New"/>
        </w:rPr>
        <w:t xml:space="preserve"> F327148</w:t>
      </w:r>
      <w:r w:rsidR="00121B86">
        <w:rPr>
          <w:rFonts w:ascii="Courier New" w:hAnsi="Courier New" w:cs="Courier New"/>
        </w:rPr>
        <w:tab/>
      </w:r>
      <w:r w:rsidR="00121B86">
        <w:rPr>
          <w:rFonts w:ascii="Courier New" w:hAnsi="Courier New" w:cs="Courier New"/>
        </w:rPr>
        <w:tab/>
      </w:r>
      <w:r w:rsidR="00121B86">
        <w:rPr>
          <w:rFonts w:ascii="Courier New" w:hAnsi="Courier New" w:cs="Courier New"/>
        </w:rPr>
        <w:tab/>
        <w:t xml:space="preserve">  </w:t>
      </w:r>
      <w:r>
        <w:rPr>
          <w:rFonts w:ascii="Courier New" w:hAnsi="Courier New" w:cs="Courier New"/>
        </w:rPr>
        <w:tab/>
        <w:t xml:space="preserve">   </w:t>
      </w:r>
    </w:p>
    <w:p w14:paraId="6A01D302" w14:textId="41DDBB8E" w:rsidR="00121B86" w:rsidRDefault="00121B86" w:rsidP="00121B86">
      <w:pPr>
        <w:jc w:val="both"/>
        <w:rPr>
          <w:rFonts w:ascii="Courier New" w:hAnsi="Courier New" w:cs="Courier New"/>
        </w:rPr>
      </w:pPr>
      <w:r>
        <w:rPr>
          <w:rFonts w:ascii="Courier New" w:hAnsi="Courier New" w:cs="Courier New"/>
        </w:rPr>
        <w:tab/>
      </w:r>
      <w:r>
        <w:rPr>
          <w:rFonts w:ascii="Courier New" w:hAnsi="Courier New" w:cs="Courier New"/>
        </w:rPr>
        <w:tab/>
        <w:t xml:space="preserve">  </w:t>
      </w:r>
      <w:r w:rsidR="0033557A">
        <w:rPr>
          <w:rFonts w:ascii="Courier New" w:hAnsi="Courier New" w:cs="Courier New"/>
        </w:rPr>
        <w:t>F327149</w:t>
      </w:r>
      <w:r w:rsidR="000204C7">
        <w:rPr>
          <w:rFonts w:ascii="Courier New" w:hAnsi="Courier New" w:cs="Courier New"/>
        </w:rPr>
        <w:tab/>
      </w:r>
      <w:r w:rsidR="000204C7">
        <w:rPr>
          <w:rFonts w:ascii="Courier New" w:hAnsi="Courier New" w:cs="Courier New"/>
        </w:rPr>
        <w:tab/>
      </w:r>
      <w:r w:rsidR="000204C7">
        <w:rPr>
          <w:rFonts w:ascii="Courier New" w:hAnsi="Courier New" w:cs="Courier New"/>
        </w:rPr>
        <w:tab/>
        <w:t xml:space="preserve"> </w:t>
      </w:r>
      <w:r w:rsidR="00A76FA3">
        <w:rPr>
          <w:rFonts w:ascii="Courier New" w:hAnsi="Courier New" w:cs="Courier New"/>
        </w:rPr>
        <w:t xml:space="preserve">     </w:t>
      </w:r>
      <w:r w:rsidR="000204C7">
        <w:rPr>
          <w:rFonts w:ascii="Courier New" w:hAnsi="Courier New" w:cs="Courier New"/>
        </w:rPr>
        <w:t>Promulgated:</w:t>
      </w:r>
    </w:p>
    <w:p w14:paraId="159E7E62" w14:textId="4A646084" w:rsidR="000204C7" w:rsidRDefault="0089488C" w:rsidP="00121B86">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475B25">
        <w:rPr>
          <w:rFonts w:ascii="Courier New" w:hAnsi="Courier New" w:cs="Courier New"/>
        </w:rPr>
        <w:t>October 24, 2018</w:t>
      </w:r>
      <w:bookmarkStart w:id="0" w:name="_GoBack"/>
      <w:bookmarkEnd w:id="0"/>
      <w:r w:rsidR="008E55F0">
        <w:rPr>
          <w:rFonts w:ascii="Courier New" w:hAnsi="Courier New" w:cs="Courier New"/>
        </w:rPr>
        <w:t xml:space="preserve"> </w:t>
      </w:r>
    </w:p>
    <w:p w14:paraId="6308F4AD" w14:textId="77777777" w:rsidR="00121B86" w:rsidRDefault="00121B86" w:rsidP="00121B86">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699F81D6" w14:textId="784203BD" w:rsidR="00121B86" w:rsidRDefault="00121B86" w:rsidP="00121B86">
      <w:pPr>
        <w:spacing w:line="480" w:lineRule="auto"/>
        <w:jc w:val="both"/>
        <w:rPr>
          <w:rFonts w:ascii="Courier New" w:hAnsi="Courier New" w:cs="Courier New"/>
        </w:rPr>
      </w:pPr>
      <w:r>
        <w:rPr>
          <w:rFonts w:ascii="Courier New" w:hAnsi="Courier New" w:cs="Courier New"/>
        </w:rPr>
        <w:tab/>
        <w:t xml:space="preserve">These are appeals </w:t>
      </w:r>
      <w:r w:rsidR="007B7DE3">
        <w:rPr>
          <w:rFonts w:ascii="Courier New" w:hAnsi="Courier New" w:cs="Courier New"/>
        </w:rPr>
        <w:t xml:space="preserve">heard </w:t>
      </w:r>
      <w:r>
        <w:rPr>
          <w:rFonts w:ascii="Courier New" w:hAnsi="Courier New" w:cs="Courier New"/>
        </w:rPr>
        <w:t xml:space="preserve">under the </w:t>
      </w:r>
      <w:r w:rsidRPr="00676B87">
        <w:rPr>
          <w:rFonts w:ascii="Courier New" w:hAnsi="Courier New" w:cs="Courier New"/>
        </w:rPr>
        <w:t>formal</w:t>
      </w:r>
      <w:r>
        <w:rPr>
          <w:rFonts w:ascii="Courier New" w:hAnsi="Courier New" w:cs="Courier New"/>
        </w:rPr>
        <w:t xml:space="preserve"> procedure pursuant to G.L. c. 58A, </w:t>
      </w:r>
      <w:r w:rsidRPr="00676B87">
        <w:rPr>
          <w:rFonts w:ascii="Courier New" w:hAnsi="Courier New" w:cs="Courier New"/>
        </w:rPr>
        <w:t>§ 7</w:t>
      </w:r>
      <w:r>
        <w:rPr>
          <w:rFonts w:ascii="Courier New" w:hAnsi="Courier New" w:cs="Courier New"/>
        </w:rPr>
        <w:t xml:space="preserve"> and G.L. c. 59, §§ 64 and 65, from the refusal of the Board of</w:t>
      </w:r>
      <w:r w:rsidR="00BD7C88">
        <w:rPr>
          <w:rFonts w:ascii="Courier New" w:hAnsi="Courier New" w:cs="Courier New"/>
        </w:rPr>
        <w:t xml:space="preserve"> Assessors of the City of Springfield</w:t>
      </w:r>
      <w:r>
        <w:rPr>
          <w:rFonts w:ascii="Courier New" w:hAnsi="Courier New" w:cs="Courier New"/>
        </w:rPr>
        <w:t xml:space="preserve"> (“appellee” or “assessors”) to abate taxes on certa</w:t>
      </w:r>
      <w:r w:rsidR="00EF7FC6">
        <w:rPr>
          <w:rFonts w:ascii="Courier New" w:hAnsi="Courier New" w:cs="Courier New"/>
        </w:rPr>
        <w:t>in parcels of real estate located in Springfield</w:t>
      </w:r>
      <w:r w:rsidR="00E5477C">
        <w:rPr>
          <w:rFonts w:ascii="Courier New" w:hAnsi="Courier New" w:cs="Courier New"/>
        </w:rPr>
        <w:t xml:space="preserve"> owned by and assessed to </w:t>
      </w:r>
      <w:r w:rsidR="00EF7FC6">
        <w:rPr>
          <w:rFonts w:ascii="Courier New" w:hAnsi="Courier New" w:cs="Courier New"/>
        </w:rPr>
        <w:t>Briarwood Thirteen</w:t>
      </w:r>
      <w:r w:rsidR="002070CE">
        <w:rPr>
          <w:rFonts w:ascii="Courier New" w:hAnsi="Courier New" w:cs="Courier New"/>
        </w:rPr>
        <w:t>, LLC (</w:t>
      </w:r>
      <w:r>
        <w:rPr>
          <w:rFonts w:ascii="Courier New" w:hAnsi="Courier New" w:cs="Courier New"/>
        </w:rPr>
        <w:t>“appellant”), under G.L. c. 59</w:t>
      </w:r>
      <w:r w:rsidR="00EF7FC6">
        <w:rPr>
          <w:rFonts w:ascii="Courier New" w:hAnsi="Courier New" w:cs="Courier New"/>
        </w:rPr>
        <w:t>, §§ 11 and 38, for fiscal year 2015</w:t>
      </w:r>
      <w:r w:rsidR="00A76FA3">
        <w:rPr>
          <w:rFonts w:ascii="Courier New" w:hAnsi="Courier New" w:cs="Courier New"/>
        </w:rPr>
        <w:t xml:space="preserve"> (“fiscal year</w:t>
      </w:r>
      <w:r>
        <w:rPr>
          <w:rFonts w:ascii="Courier New" w:hAnsi="Courier New" w:cs="Courier New"/>
        </w:rPr>
        <w:t xml:space="preserve"> at issue”).</w:t>
      </w:r>
    </w:p>
    <w:p w14:paraId="2744EBA6" w14:textId="4DE1BCAF" w:rsidR="00121B86" w:rsidRDefault="00121B86" w:rsidP="00121B86">
      <w:pPr>
        <w:pStyle w:val="BodyText2"/>
        <w:spacing w:after="0"/>
        <w:jc w:val="both"/>
        <w:rPr>
          <w:rFonts w:ascii="Courier New" w:hAnsi="Courier New" w:cs="Courier New"/>
        </w:rPr>
      </w:pPr>
      <w:r>
        <w:tab/>
      </w:r>
      <w:r w:rsidR="00EF7FC6">
        <w:rPr>
          <w:rFonts w:ascii="Courier New" w:hAnsi="Courier New" w:cs="Courier New"/>
        </w:rPr>
        <w:t>Commissioner Chmielinski</w:t>
      </w:r>
      <w:r w:rsidRPr="00B86AF5">
        <w:rPr>
          <w:rFonts w:ascii="Courier New" w:hAnsi="Courier New" w:cs="Courier New"/>
        </w:rPr>
        <w:t xml:space="preserve"> heard</w:t>
      </w:r>
      <w:r>
        <w:rPr>
          <w:rFonts w:ascii="Courier New" w:hAnsi="Courier New" w:cs="Courier New"/>
        </w:rPr>
        <w:t xml:space="preserve"> these appeals.  </w:t>
      </w:r>
      <w:r w:rsidR="000204C7">
        <w:rPr>
          <w:rFonts w:ascii="Courier New" w:hAnsi="Courier New" w:cs="Courier New"/>
        </w:rPr>
        <w:t xml:space="preserve">Chairman Hammond </w:t>
      </w:r>
      <w:r w:rsidRPr="007731F6">
        <w:rPr>
          <w:rFonts w:ascii="Courier New" w:hAnsi="Courier New" w:cs="Courier New"/>
        </w:rPr>
        <w:t xml:space="preserve">and Commissioners Scharaffa, </w:t>
      </w:r>
      <w:r w:rsidR="00EF7FC6">
        <w:rPr>
          <w:rFonts w:ascii="Courier New" w:hAnsi="Courier New" w:cs="Courier New"/>
        </w:rPr>
        <w:t>Rose</w:t>
      </w:r>
      <w:r w:rsidR="00AF4FEA">
        <w:rPr>
          <w:rFonts w:ascii="Courier New" w:hAnsi="Courier New" w:cs="Courier New"/>
        </w:rPr>
        <w:t>,</w:t>
      </w:r>
      <w:r w:rsidR="000204C7">
        <w:rPr>
          <w:rFonts w:ascii="Courier New" w:hAnsi="Courier New" w:cs="Courier New"/>
        </w:rPr>
        <w:t xml:space="preserve"> </w:t>
      </w:r>
      <w:r w:rsidRPr="007731F6">
        <w:rPr>
          <w:rFonts w:ascii="Courier New" w:hAnsi="Courier New" w:cs="Courier New"/>
        </w:rPr>
        <w:t>and Good</w:t>
      </w:r>
      <w:r>
        <w:rPr>
          <w:rFonts w:ascii="Courier New" w:hAnsi="Courier New" w:cs="Courier New"/>
        </w:rPr>
        <w:t xml:space="preserve"> </w:t>
      </w:r>
      <w:r w:rsidR="000204C7">
        <w:rPr>
          <w:rFonts w:ascii="Courier New" w:hAnsi="Courier New" w:cs="Courier New"/>
        </w:rPr>
        <w:t xml:space="preserve">joined him </w:t>
      </w:r>
      <w:r>
        <w:rPr>
          <w:rFonts w:ascii="Courier New" w:hAnsi="Courier New" w:cs="Courier New"/>
        </w:rPr>
        <w:t xml:space="preserve">in </w:t>
      </w:r>
      <w:r w:rsidR="000204C7">
        <w:rPr>
          <w:rFonts w:ascii="Courier New" w:hAnsi="Courier New" w:cs="Courier New"/>
        </w:rPr>
        <w:t xml:space="preserve">the </w:t>
      </w:r>
      <w:r>
        <w:rPr>
          <w:rFonts w:ascii="Courier New" w:hAnsi="Courier New" w:cs="Courier New"/>
        </w:rPr>
        <w:t xml:space="preserve">decisions for the appellee. </w:t>
      </w:r>
      <w:r w:rsidRPr="00B86AF5">
        <w:rPr>
          <w:rFonts w:ascii="Courier New" w:hAnsi="Courier New" w:cs="Courier New"/>
        </w:rPr>
        <w:t xml:space="preserve"> </w:t>
      </w:r>
    </w:p>
    <w:p w14:paraId="1A111147" w14:textId="77777777" w:rsidR="00121B86" w:rsidRPr="00B86AF5" w:rsidRDefault="00121B86" w:rsidP="00121B86">
      <w:pPr>
        <w:pStyle w:val="BodyText2"/>
        <w:spacing w:after="0"/>
        <w:ind w:firstLine="720"/>
        <w:jc w:val="both"/>
        <w:rPr>
          <w:rFonts w:ascii="Courier New" w:hAnsi="Courier New" w:cs="Courier New"/>
        </w:rPr>
      </w:pPr>
      <w:r w:rsidRPr="00B86AF5">
        <w:rPr>
          <w:rFonts w:ascii="Courier New" w:hAnsi="Courier New" w:cs="Courier New"/>
        </w:rPr>
        <w:t xml:space="preserve">These findings of fact and report are made pursuant to a </w:t>
      </w:r>
      <w:r w:rsidRPr="007731F6">
        <w:rPr>
          <w:rFonts w:ascii="Courier New" w:hAnsi="Courier New" w:cs="Courier New"/>
        </w:rPr>
        <w:t>request by the appellant</w:t>
      </w:r>
      <w:r w:rsidRPr="00B86AF5">
        <w:rPr>
          <w:rFonts w:ascii="Courier New" w:hAnsi="Courier New" w:cs="Courier New"/>
        </w:rPr>
        <w:t xml:space="preserve"> under G.L. c. 58A, § 13 and 831 </w:t>
      </w:r>
      <w:proofErr w:type="gramStart"/>
      <w:r w:rsidRPr="00B86AF5">
        <w:rPr>
          <w:rFonts w:ascii="Courier New" w:hAnsi="Courier New" w:cs="Courier New"/>
        </w:rPr>
        <w:t>CMR 1.32.</w:t>
      </w:r>
      <w:proofErr w:type="gramEnd"/>
      <w:r w:rsidRPr="00B86AF5">
        <w:rPr>
          <w:rFonts w:ascii="Courier New" w:hAnsi="Courier New" w:cs="Courier New"/>
        </w:rPr>
        <w:t xml:space="preserve"> </w:t>
      </w:r>
    </w:p>
    <w:p w14:paraId="1BD09FB2" w14:textId="77777777" w:rsidR="00121B86" w:rsidRDefault="00121B86" w:rsidP="00121B86">
      <w:pPr>
        <w:jc w:val="both"/>
        <w:rPr>
          <w:rFonts w:ascii="Courier New" w:hAnsi="Courier New" w:cs="Courier New"/>
        </w:rPr>
      </w:pPr>
    </w:p>
    <w:p w14:paraId="2D8B2D68" w14:textId="6810725E" w:rsidR="00121B86" w:rsidRDefault="00121B86" w:rsidP="00121B86">
      <w:pPr>
        <w:jc w:val="both"/>
        <w:rPr>
          <w:rFonts w:ascii="Courier New" w:hAnsi="Courier New" w:cs="Courier New"/>
        </w:rPr>
      </w:pPr>
      <w:r>
        <w:rPr>
          <w:rFonts w:ascii="Courier New" w:hAnsi="Courier New" w:cs="Courier New"/>
        </w:rPr>
        <w:tab/>
      </w:r>
      <w:r w:rsidR="00EF7FC6">
        <w:rPr>
          <w:rFonts w:ascii="Courier New" w:hAnsi="Courier New" w:cs="Courier New"/>
          <w:i/>
        </w:rPr>
        <w:t>Lester Seidman,</w:t>
      </w:r>
      <w:r>
        <w:rPr>
          <w:rFonts w:ascii="Courier New" w:hAnsi="Courier New" w:cs="Courier New"/>
        </w:rPr>
        <w:t xml:space="preserve"> </w:t>
      </w:r>
      <w:r w:rsidR="00A76FA3" w:rsidRPr="00A76FA3">
        <w:rPr>
          <w:rFonts w:ascii="Courier New" w:hAnsi="Courier New" w:cs="Courier New"/>
          <w:i/>
        </w:rPr>
        <w:t>pro se</w:t>
      </w:r>
      <w:r w:rsidR="00AF4FEA">
        <w:rPr>
          <w:rFonts w:ascii="Courier New" w:hAnsi="Courier New" w:cs="Courier New"/>
        </w:rPr>
        <w:t>,</w:t>
      </w:r>
      <w:r w:rsidR="00A76FA3">
        <w:rPr>
          <w:rFonts w:ascii="Courier New" w:hAnsi="Courier New" w:cs="Courier New"/>
        </w:rPr>
        <w:t xml:space="preserve"> </w:t>
      </w:r>
      <w:r>
        <w:rPr>
          <w:rFonts w:ascii="Courier New" w:hAnsi="Courier New" w:cs="Courier New"/>
        </w:rPr>
        <w:t>for the appellant.</w:t>
      </w:r>
    </w:p>
    <w:p w14:paraId="4F59BC08" w14:textId="77777777" w:rsidR="00121B86" w:rsidRDefault="00121B86" w:rsidP="00121B86">
      <w:pPr>
        <w:jc w:val="both"/>
        <w:rPr>
          <w:rFonts w:ascii="Courier New" w:hAnsi="Courier New" w:cs="Courier New"/>
        </w:rPr>
      </w:pPr>
    </w:p>
    <w:p w14:paraId="57DBF715" w14:textId="17966106" w:rsidR="00121B86" w:rsidRDefault="00121B86" w:rsidP="00EF7FC6">
      <w:pPr>
        <w:jc w:val="both"/>
        <w:rPr>
          <w:rFonts w:ascii="Courier New" w:hAnsi="Courier New" w:cs="Courier New"/>
        </w:rPr>
      </w:pPr>
      <w:r>
        <w:rPr>
          <w:rFonts w:ascii="Courier New" w:hAnsi="Courier New" w:cs="Courier New"/>
        </w:rPr>
        <w:tab/>
      </w:r>
      <w:proofErr w:type="gramStart"/>
      <w:r w:rsidR="00EF7FC6">
        <w:rPr>
          <w:rFonts w:ascii="Courier New" w:hAnsi="Courier New" w:cs="Courier New"/>
          <w:i/>
        </w:rPr>
        <w:t xml:space="preserve">Kathleen T. </w:t>
      </w:r>
      <w:proofErr w:type="spellStart"/>
      <w:r w:rsidR="00EF7FC6">
        <w:rPr>
          <w:rFonts w:ascii="Courier New" w:hAnsi="Courier New" w:cs="Courier New"/>
          <w:i/>
        </w:rPr>
        <w:t>Breck</w:t>
      </w:r>
      <w:proofErr w:type="spellEnd"/>
      <w:r>
        <w:rPr>
          <w:rFonts w:ascii="Courier New" w:hAnsi="Courier New" w:cs="Courier New"/>
        </w:rPr>
        <w:t>,</w:t>
      </w:r>
      <w:r w:rsidR="000C6079">
        <w:rPr>
          <w:rFonts w:ascii="Courier New" w:hAnsi="Courier New" w:cs="Courier New"/>
        </w:rPr>
        <w:t xml:space="preserve"> Esq</w:t>
      </w:r>
      <w:r w:rsidR="00A76FA3">
        <w:rPr>
          <w:rFonts w:ascii="Courier New" w:hAnsi="Courier New" w:cs="Courier New"/>
        </w:rPr>
        <w:t>.</w:t>
      </w:r>
      <w:r w:rsidR="000C6079">
        <w:rPr>
          <w:rFonts w:ascii="Courier New" w:hAnsi="Courier New" w:cs="Courier New"/>
        </w:rPr>
        <w:t>,</w:t>
      </w:r>
      <w:r>
        <w:rPr>
          <w:rFonts w:ascii="Courier New" w:hAnsi="Courier New" w:cs="Courier New"/>
        </w:rPr>
        <w:t xml:space="preserve"> </w:t>
      </w:r>
      <w:r w:rsidR="00EF7FC6">
        <w:rPr>
          <w:rFonts w:ascii="Courier New" w:hAnsi="Courier New" w:cs="Courier New"/>
        </w:rPr>
        <w:t>Deputy City Solicitor</w:t>
      </w:r>
      <w:r w:rsidR="007E3739">
        <w:rPr>
          <w:rFonts w:ascii="Courier New" w:hAnsi="Courier New" w:cs="Courier New"/>
        </w:rPr>
        <w:t>,</w:t>
      </w:r>
      <w:r>
        <w:rPr>
          <w:rFonts w:ascii="Courier New" w:hAnsi="Courier New" w:cs="Courier New"/>
        </w:rPr>
        <w:t xml:space="preserve"> for the appellee.</w:t>
      </w:r>
      <w:proofErr w:type="gramEnd"/>
      <w:r>
        <w:rPr>
          <w:rFonts w:ascii="Courier New" w:hAnsi="Courier New" w:cs="Courier New"/>
        </w:rPr>
        <w:t xml:space="preserve">  </w:t>
      </w:r>
    </w:p>
    <w:p w14:paraId="2CA2BCA4" w14:textId="77777777" w:rsidR="00121B86" w:rsidRDefault="00121B86" w:rsidP="00121B86">
      <w:pPr>
        <w:pStyle w:val="Heading2"/>
        <w:spacing w:line="480" w:lineRule="auto"/>
      </w:pPr>
      <w:r>
        <w:lastRenderedPageBreak/>
        <w:t>FINDINGS OF FACT AND REPORT</w:t>
      </w:r>
    </w:p>
    <w:p w14:paraId="7A2BBB83" w14:textId="64F08890" w:rsidR="00121B86" w:rsidRDefault="00CC419F" w:rsidP="00121B86">
      <w:pPr>
        <w:spacing w:line="480" w:lineRule="auto"/>
        <w:ind w:firstLine="720"/>
        <w:jc w:val="both"/>
        <w:rPr>
          <w:rFonts w:ascii="Courier New" w:hAnsi="Courier New" w:cs="Courier New"/>
        </w:rPr>
      </w:pPr>
      <w:r>
        <w:rPr>
          <w:rFonts w:ascii="Courier New" w:hAnsi="Courier New" w:cs="Courier New"/>
        </w:rPr>
        <w:t>On the basis of</w:t>
      </w:r>
      <w:r w:rsidR="00121B86">
        <w:rPr>
          <w:rFonts w:ascii="Courier New" w:hAnsi="Courier New" w:cs="Courier New"/>
        </w:rPr>
        <w:t xml:space="preserve"> </w:t>
      </w:r>
      <w:r w:rsidR="00AE5C8C">
        <w:rPr>
          <w:rFonts w:ascii="Courier New" w:hAnsi="Courier New" w:cs="Courier New"/>
        </w:rPr>
        <w:t xml:space="preserve">the </w:t>
      </w:r>
      <w:r w:rsidR="00121B86">
        <w:rPr>
          <w:rFonts w:ascii="Courier New" w:hAnsi="Courier New" w:cs="Courier New"/>
        </w:rPr>
        <w:t>testimony and exhibits offered into evidence at the hearing of these appeals, the Appellate Tax Board (“Board”) made the following findings of fact.</w:t>
      </w:r>
    </w:p>
    <w:p w14:paraId="7AC58BEB" w14:textId="620E4302" w:rsidR="001A0127" w:rsidRDefault="00FB7A3C" w:rsidP="003844B7">
      <w:pPr>
        <w:spacing w:line="480" w:lineRule="auto"/>
        <w:ind w:firstLine="720"/>
        <w:jc w:val="both"/>
        <w:rPr>
          <w:rFonts w:ascii="Courier New" w:hAnsi="Courier New" w:cs="Courier New"/>
        </w:rPr>
      </w:pPr>
      <w:r>
        <w:rPr>
          <w:rFonts w:ascii="Courier New" w:hAnsi="Courier New" w:cs="Courier New"/>
        </w:rPr>
        <w:t xml:space="preserve">On </w:t>
      </w:r>
      <w:r w:rsidR="001A0127">
        <w:rPr>
          <w:rFonts w:ascii="Courier New" w:hAnsi="Courier New" w:cs="Courier New"/>
        </w:rPr>
        <w:t xml:space="preserve">January 1, 2014, the relevant </w:t>
      </w:r>
      <w:r w:rsidR="008F3D9D">
        <w:rPr>
          <w:rFonts w:ascii="Courier New" w:hAnsi="Courier New" w:cs="Courier New"/>
        </w:rPr>
        <w:t xml:space="preserve">valuation and </w:t>
      </w:r>
      <w:r w:rsidR="001A0127">
        <w:rPr>
          <w:rFonts w:ascii="Courier New" w:hAnsi="Courier New" w:cs="Courier New"/>
        </w:rPr>
        <w:t>assessme</w:t>
      </w:r>
      <w:r w:rsidR="00293C73">
        <w:rPr>
          <w:rFonts w:ascii="Courier New" w:hAnsi="Courier New" w:cs="Courier New"/>
        </w:rPr>
        <w:t>nt date for the</w:t>
      </w:r>
      <w:r w:rsidR="00E17A01">
        <w:rPr>
          <w:rFonts w:ascii="Courier New" w:hAnsi="Courier New" w:cs="Courier New"/>
        </w:rPr>
        <w:t xml:space="preserve"> fiscal year at</w:t>
      </w:r>
      <w:r w:rsidR="001A0127">
        <w:rPr>
          <w:rFonts w:ascii="Courier New" w:hAnsi="Courier New" w:cs="Courier New"/>
        </w:rPr>
        <w:t xml:space="preserve"> issue</w:t>
      </w:r>
      <w:r w:rsidR="00121B86">
        <w:rPr>
          <w:rFonts w:ascii="Courier New" w:hAnsi="Courier New" w:cs="Courier New"/>
        </w:rPr>
        <w:t xml:space="preserve">, the appellant was the assessed owner of </w:t>
      </w:r>
      <w:r w:rsidR="007B7DE3">
        <w:rPr>
          <w:rFonts w:ascii="Courier New" w:hAnsi="Courier New" w:cs="Courier New"/>
        </w:rPr>
        <w:t>the two parcels</w:t>
      </w:r>
      <w:r w:rsidR="008D64F3">
        <w:rPr>
          <w:rFonts w:ascii="Courier New" w:hAnsi="Courier New" w:cs="Courier New"/>
        </w:rPr>
        <w:t xml:space="preserve"> at issue in these appeals (</w:t>
      </w:r>
      <w:r w:rsidR="007B7DE3">
        <w:rPr>
          <w:rFonts w:ascii="Courier New" w:hAnsi="Courier New" w:cs="Courier New"/>
        </w:rPr>
        <w:t xml:space="preserve">“subject properties”): </w:t>
      </w:r>
      <w:r w:rsidR="007E3739">
        <w:rPr>
          <w:rFonts w:ascii="Courier New" w:hAnsi="Courier New" w:cs="Courier New"/>
        </w:rPr>
        <w:t>a</w:t>
      </w:r>
      <w:r w:rsidR="00A76FA3">
        <w:rPr>
          <w:rFonts w:ascii="Courier New" w:hAnsi="Courier New" w:cs="Courier New"/>
        </w:rPr>
        <w:t>n</w:t>
      </w:r>
      <w:r w:rsidR="007E3739">
        <w:rPr>
          <w:rFonts w:ascii="Courier New" w:hAnsi="Courier New" w:cs="Courier New"/>
        </w:rPr>
        <w:t xml:space="preserve"> </w:t>
      </w:r>
      <w:r w:rsidR="00293C73">
        <w:rPr>
          <w:rFonts w:ascii="Courier New" w:hAnsi="Courier New" w:cs="Courier New"/>
        </w:rPr>
        <w:t>8,778-square-foot</w:t>
      </w:r>
      <w:r w:rsidR="00121B86">
        <w:rPr>
          <w:rFonts w:ascii="Courier New" w:hAnsi="Courier New" w:cs="Courier New"/>
        </w:rPr>
        <w:t xml:space="preserve"> parcel of land </w:t>
      </w:r>
      <w:r w:rsidR="00293C73">
        <w:rPr>
          <w:rFonts w:ascii="Courier New" w:hAnsi="Courier New" w:cs="Courier New"/>
        </w:rPr>
        <w:t>improved with an office</w:t>
      </w:r>
      <w:r w:rsidR="003844B7">
        <w:rPr>
          <w:rFonts w:ascii="Courier New" w:hAnsi="Courier New" w:cs="Courier New"/>
        </w:rPr>
        <w:t>/retail</w:t>
      </w:r>
      <w:r w:rsidR="00293C73">
        <w:rPr>
          <w:rFonts w:ascii="Courier New" w:hAnsi="Courier New" w:cs="Courier New"/>
        </w:rPr>
        <w:t xml:space="preserve"> building</w:t>
      </w:r>
      <w:r w:rsidR="00121B86">
        <w:rPr>
          <w:rFonts w:ascii="Courier New" w:hAnsi="Courier New" w:cs="Courier New"/>
        </w:rPr>
        <w:t xml:space="preserve"> </w:t>
      </w:r>
      <w:r w:rsidR="00293C73">
        <w:rPr>
          <w:rFonts w:ascii="Courier New" w:hAnsi="Courier New" w:cs="Courier New"/>
        </w:rPr>
        <w:t>located at 55 State Street in Springfield</w:t>
      </w:r>
      <w:r w:rsidR="00A76FA3">
        <w:rPr>
          <w:rFonts w:ascii="Courier New" w:hAnsi="Courier New" w:cs="Courier New"/>
        </w:rPr>
        <w:t xml:space="preserve"> (“subject building”),</w:t>
      </w:r>
      <w:r w:rsidR="00293C73">
        <w:rPr>
          <w:rFonts w:ascii="Courier New" w:hAnsi="Courier New" w:cs="Courier New"/>
        </w:rPr>
        <w:t xml:space="preserve"> and an 11,230-square-foot parcel of land used as a parking lot located behind the 55 State Street parcel with an address of 58-60 Bliss Street</w:t>
      </w:r>
      <w:r w:rsidR="006A5C89">
        <w:rPr>
          <w:rFonts w:ascii="Courier New" w:hAnsi="Courier New" w:cs="Courier New"/>
        </w:rPr>
        <w:t xml:space="preserve"> </w:t>
      </w:r>
      <w:r w:rsidR="007B7DE3">
        <w:rPr>
          <w:rFonts w:ascii="Courier New" w:hAnsi="Courier New" w:cs="Courier New"/>
        </w:rPr>
        <w:t>(“subject parking lot”)</w:t>
      </w:r>
      <w:r w:rsidR="00121B86" w:rsidRPr="00F2547C">
        <w:rPr>
          <w:rFonts w:ascii="Courier New" w:hAnsi="Courier New" w:cs="Courier New"/>
        </w:rPr>
        <w:t>.</w:t>
      </w:r>
      <w:r w:rsidR="003844B7">
        <w:rPr>
          <w:rFonts w:ascii="Courier New" w:hAnsi="Courier New" w:cs="Courier New"/>
        </w:rPr>
        <w:t xml:space="preserve">  </w:t>
      </w:r>
    </w:p>
    <w:p w14:paraId="49466A36" w14:textId="683549F8" w:rsidR="00D30172" w:rsidRDefault="00293C73" w:rsidP="003844B7">
      <w:pPr>
        <w:spacing w:line="480" w:lineRule="auto"/>
        <w:ind w:firstLine="720"/>
        <w:jc w:val="both"/>
        <w:rPr>
          <w:rFonts w:ascii="Courier New" w:hAnsi="Courier New" w:cs="Courier New"/>
        </w:rPr>
      </w:pPr>
      <w:r>
        <w:rPr>
          <w:rFonts w:ascii="Courier New" w:hAnsi="Courier New" w:cs="Courier New"/>
        </w:rPr>
        <w:t xml:space="preserve">For </w:t>
      </w:r>
      <w:r w:rsidR="00AF4FEA">
        <w:rPr>
          <w:rFonts w:ascii="Courier New" w:hAnsi="Courier New" w:cs="Courier New"/>
        </w:rPr>
        <w:t xml:space="preserve">the </w:t>
      </w:r>
      <w:r>
        <w:rPr>
          <w:rFonts w:ascii="Courier New" w:hAnsi="Courier New" w:cs="Courier New"/>
        </w:rPr>
        <w:t xml:space="preserve">fiscal year </w:t>
      </w:r>
      <w:r w:rsidR="00AF4FEA">
        <w:rPr>
          <w:rFonts w:ascii="Courier New" w:hAnsi="Courier New" w:cs="Courier New"/>
        </w:rPr>
        <w:t>at issue</w:t>
      </w:r>
      <w:r w:rsidR="00121B86">
        <w:rPr>
          <w:rFonts w:ascii="Courier New" w:hAnsi="Courier New" w:cs="Courier New"/>
        </w:rPr>
        <w:t>, the asses</w:t>
      </w:r>
      <w:r w:rsidR="00225328">
        <w:rPr>
          <w:rFonts w:ascii="Courier New" w:hAnsi="Courier New" w:cs="Courier New"/>
        </w:rPr>
        <w:t>sors valued the subject properties</w:t>
      </w:r>
      <w:r w:rsidR="00121B86">
        <w:rPr>
          <w:rFonts w:ascii="Courier New" w:hAnsi="Courier New" w:cs="Courier New"/>
        </w:rPr>
        <w:t xml:space="preserve"> at $</w:t>
      </w:r>
      <w:r>
        <w:rPr>
          <w:rFonts w:ascii="Courier New" w:hAnsi="Courier New" w:cs="Courier New"/>
        </w:rPr>
        <w:t>909,700 – va</w:t>
      </w:r>
      <w:r w:rsidR="00225328">
        <w:rPr>
          <w:rFonts w:ascii="Courier New" w:hAnsi="Courier New" w:cs="Courier New"/>
        </w:rPr>
        <w:t>luing the subject building and its parcel</w:t>
      </w:r>
      <w:r>
        <w:rPr>
          <w:rFonts w:ascii="Courier New" w:hAnsi="Courier New" w:cs="Courier New"/>
        </w:rPr>
        <w:t xml:space="preserve"> at $682,200 </w:t>
      </w:r>
      <w:r w:rsidR="00225328">
        <w:rPr>
          <w:rFonts w:ascii="Courier New" w:hAnsi="Courier New" w:cs="Courier New"/>
        </w:rPr>
        <w:t>and the subject parking lot</w:t>
      </w:r>
      <w:r w:rsidR="008D64F3">
        <w:rPr>
          <w:rFonts w:ascii="Courier New" w:hAnsi="Courier New" w:cs="Courier New"/>
        </w:rPr>
        <w:t xml:space="preserve"> at $227,500. They</w:t>
      </w:r>
      <w:r w:rsidR="00121B86">
        <w:rPr>
          <w:rFonts w:ascii="Courier New" w:hAnsi="Courier New" w:cs="Courier New"/>
        </w:rPr>
        <w:t xml:space="preserve"> assessed a </w:t>
      </w:r>
      <w:r w:rsidR="008D64F3">
        <w:rPr>
          <w:rFonts w:ascii="Courier New" w:hAnsi="Courier New" w:cs="Courier New"/>
        </w:rPr>
        <w:t>tax on the subject properties</w:t>
      </w:r>
      <w:r w:rsidR="00EB6C88">
        <w:rPr>
          <w:rFonts w:ascii="Courier New" w:hAnsi="Courier New" w:cs="Courier New"/>
        </w:rPr>
        <w:t xml:space="preserve">, at a rate of </w:t>
      </w:r>
      <w:r w:rsidR="00EB6C88" w:rsidRPr="008514BA">
        <w:rPr>
          <w:rFonts w:ascii="Courier New" w:hAnsi="Courier New" w:cs="Courier New"/>
        </w:rPr>
        <w:t>$38.77</w:t>
      </w:r>
      <w:r w:rsidR="00121B86" w:rsidRPr="00FE2E89">
        <w:rPr>
          <w:rFonts w:ascii="Courier New" w:hAnsi="Courier New" w:cs="Courier New"/>
        </w:rPr>
        <w:t xml:space="preserve"> per $1,000, in the</w:t>
      </w:r>
      <w:r w:rsidR="00121B86">
        <w:rPr>
          <w:rFonts w:ascii="Courier New" w:hAnsi="Courier New" w:cs="Courier New"/>
        </w:rPr>
        <w:t xml:space="preserve"> total</w:t>
      </w:r>
      <w:r w:rsidR="00121B86" w:rsidRPr="00FE2E89">
        <w:rPr>
          <w:rFonts w:ascii="Courier New" w:hAnsi="Courier New" w:cs="Courier New"/>
        </w:rPr>
        <w:t xml:space="preserve"> amount of </w:t>
      </w:r>
      <w:r w:rsidR="00EB6C88">
        <w:rPr>
          <w:rFonts w:ascii="Courier New" w:hAnsi="Courier New" w:cs="Courier New"/>
        </w:rPr>
        <w:t>$35,269.07 - $26,448.89 f</w:t>
      </w:r>
      <w:r w:rsidR="00225328">
        <w:rPr>
          <w:rFonts w:ascii="Courier New" w:hAnsi="Courier New" w:cs="Courier New"/>
        </w:rPr>
        <w:t>or the subject building and its parcel</w:t>
      </w:r>
      <w:r w:rsidR="00EB6C88">
        <w:rPr>
          <w:rFonts w:ascii="Courier New" w:hAnsi="Courier New" w:cs="Courier New"/>
        </w:rPr>
        <w:t xml:space="preserve"> and $8,820.18 for </w:t>
      </w:r>
      <w:r w:rsidR="00225328">
        <w:rPr>
          <w:rFonts w:ascii="Courier New" w:hAnsi="Courier New" w:cs="Courier New"/>
        </w:rPr>
        <w:t>the subject parking lot</w:t>
      </w:r>
      <w:r w:rsidR="001A0127">
        <w:rPr>
          <w:rFonts w:ascii="Courier New" w:hAnsi="Courier New" w:cs="Courier New"/>
        </w:rPr>
        <w:t>. </w:t>
      </w:r>
      <w:r w:rsidR="00121B86">
        <w:rPr>
          <w:rFonts w:ascii="Courier New" w:hAnsi="Courier New" w:cs="Courier New"/>
        </w:rPr>
        <w:t>The appellant timely paid the tax</w:t>
      </w:r>
      <w:r w:rsidR="00AE5C8C">
        <w:rPr>
          <w:rFonts w:ascii="Courier New" w:hAnsi="Courier New" w:cs="Courier New"/>
        </w:rPr>
        <w:t>es</w:t>
      </w:r>
      <w:r w:rsidR="00121B86">
        <w:rPr>
          <w:rFonts w:ascii="Courier New" w:hAnsi="Courier New" w:cs="Courier New"/>
        </w:rPr>
        <w:t xml:space="preserve"> due without incurring interest and, in accordance with G.L. c. 59, §</w:t>
      </w:r>
      <w:r w:rsidR="000204C7">
        <w:rPr>
          <w:rFonts w:ascii="Courier New" w:hAnsi="Courier New" w:cs="Courier New"/>
        </w:rPr>
        <w:t> </w:t>
      </w:r>
      <w:r w:rsidR="00121B86">
        <w:rPr>
          <w:rFonts w:ascii="Courier New" w:hAnsi="Courier New" w:cs="Courier New"/>
        </w:rPr>
        <w:t>59, timely filed an abatement appli</w:t>
      </w:r>
      <w:r w:rsidR="001A0127">
        <w:rPr>
          <w:rFonts w:ascii="Courier New" w:hAnsi="Courier New" w:cs="Courier New"/>
        </w:rPr>
        <w:t xml:space="preserve">cation </w:t>
      </w:r>
      <w:r w:rsidR="00486555">
        <w:rPr>
          <w:rFonts w:ascii="Courier New" w:hAnsi="Courier New" w:cs="Courier New"/>
        </w:rPr>
        <w:t xml:space="preserve">for each parcel </w:t>
      </w:r>
      <w:r w:rsidR="001A0127">
        <w:rPr>
          <w:rFonts w:ascii="Courier New" w:hAnsi="Courier New" w:cs="Courier New"/>
        </w:rPr>
        <w:lastRenderedPageBreak/>
        <w:t xml:space="preserve">on </w:t>
      </w:r>
      <w:r w:rsidR="00486555">
        <w:rPr>
          <w:rFonts w:ascii="Courier New" w:hAnsi="Courier New" w:cs="Courier New"/>
        </w:rPr>
        <w:t>January 30, 2015</w:t>
      </w:r>
      <w:r w:rsidR="00121B86">
        <w:rPr>
          <w:rFonts w:ascii="Courier New" w:hAnsi="Courier New" w:cs="Courier New"/>
        </w:rPr>
        <w:t xml:space="preserve">.  The assessors denied the abatement </w:t>
      </w:r>
      <w:r w:rsidR="001A0127">
        <w:rPr>
          <w:rFonts w:ascii="Courier New" w:hAnsi="Courier New" w:cs="Courier New"/>
        </w:rPr>
        <w:t>application</w:t>
      </w:r>
      <w:r w:rsidR="00486555">
        <w:rPr>
          <w:rFonts w:ascii="Courier New" w:hAnsi="Courier New" w:cs="Courier New"/>
        </w:rPr>
        <w:t>s</w:t>
      </w:r>
      <w:r w:rsidR="001A0127">
        <w:rPr>
          <w:rFonts w:ascii="Courier New" w:hAnsi="Courier New" w:cs="Courier New"/>
        </w:rPr>
        <w:t xml:space="preserve"> </w:t>
      </w:r>
      <w:r w:rsidR="001A0127" w:rsidRPr="000B723C">
        <w:rPr>
          <w:rFonts w:ascii="Courier New" w:hAnsi="Courier New" w:cs="Courier New"/>
        </w:rPr>
        <w:t>on</w:t>
      </w:r>
      <w:r w:rsidR="001A0127">
        <w:rPr>
          <w:rFonts w:ascii="Courier New" w:hAnsi="Courier New" w:cs="Courier New"/>
        </w:rPr>
        <w:t xml:space="preserve"> </w:t>
      </w:r>
      <w:r w:rsidR="00486555">
        <w:rPr>
          <w:rFonts w:ascii="Courier New" w:hAnsi="Courier New" w:cs="Courier New"/>
        </w:rPr>
        <w:t>April 23, 2015</w:t>
      </w:r>
      <w:r w:rsidR="001A0127">
        <w:rPr>
          <w:rFonts w:ascii="Courier New" w:hAnsi="Courier New" w:cs="Courier New"/>
        </w:rPr>
        <w:t>, and on</w:t>
      </w:r>
      <w:r w:rsidR="00486555">
        <w:rPr>
          <w:rFonts w:ascii="Courier New" w:hAnsi="Courier New" w:cs="Courier New"/>
        </w:rPr>
        <w:t xml:space="preserve"> </w:t>
      </w:r>
      <w:r w:rsidR="00C1296C">
        <w:rPr>
          <w:rFonts w:ascii="Courier New" w:hAnsi="Courier New" w:cs="Courier New"/>
        </w:rPr>
        <w:t>May 15, 2015</w:t>
      </w:r>
      <w:r w:rsidR="00121B86">
        <w:rPr>
          <w:rFonts w:ascii="Courier New" w:hAnsi="Courier New" w:cs="Courier New"/>
        </w:rPr>
        <w:t>, th</w:t>
      </w:r>
      <w:r w:rsidR="00C1296C">
        <w:rPr>
          <w:rFonts w:ascii="Courier New" w:hAnsi="Courier New" w:cs="Courier New"/>
        </w:rPr>
        <w:t xml:space="preserve">e appellant seasonably filed </w:t>
      </w:r>
      <w:r w:rsidR="00121B86">
        <w:rPr>
          <w:rFonts w:ascii="Courier New" w:hAnsi="Courier New" w:cs="Courier New"/>
        </w:rPr>
        <w:t>appeal</w:t>
      </w:r>
      <w:r w:rsidR="00C1296C">
        <w:rPr>
          <w:rFonts w:ascii="Courier New" w:hAnsi="Courier New" w:cs="Courier New"/>
        </w:rPr>
        <w:t>s</w:t>
      </w:r>
      <w:r w:rsidR="00121B86">
        <w:rPr>
          <w:rFonts w:ascii="Courier New" w:hAnsi="Courier New" w:cs="Courier New"/>
        </w:rPr>
        <w:t xml:space="preserve"> under the </w:t>
      </w:r>
      <w:r w:rsidR="00486555">
        <w:rPr>
          <w:rFonts w:ascii="Courier New" w:hAnsi="Courier New" w:cs="Courier New"/>
        </w:rPr>
        <w:t>in</w:t>
      </w:r>
      <w:r w:rsidR="00121B86">
        <w:rPr>
          <w:rFonts w:ascii="Courier New" w:hAnsi="Courier New" w:cs="Courier New"/>
        </w:rPr>
        <w:t xml:space="preserve">formal procedure with the Board.  </w:t>
      </w:r>
      <w:r w:rsidR="00C1296C">
        <w:rPr>
          <w:rFonts w:ascii="Courier New" w:hAnsi="Courier New" w:cs="Courier New"/>
        </w:rPr>
        <w:t xml:space="preserve">On June 15, 2015, </w:t>
      </w:r>
      <w:r w:rsidR="00971E05">
        <w:rPr>
          <w:rFonts w:ascii="Courier New" w:hAnsi="Courier New" w:cs="Courier New"/>
        </w:rPr>
        <w:t xml:space="preserve">within </w:t>
      </w:r>
      <w:r w:rsidR="00AF4FEA">
        <w:rPr>
          <w:rFonts w:ascii="Courier New" w:hAnsi="Courier New" w:cs="Courier New"/>
        </w:rPr>
        <w:t>thirty</w:t>
      </w:r>
      <w:r w:rsidR="00971E05">
        <w:rPr>
          <w:rFonts w:ascii="Courier New" w:hAnsi="Courier New" w:cs="Courier New"/>
        </w:rPr>
        <w:t xml:space="preserve"> days of the date of service of the informal petition, </w:t>
      </w:r>
      <w:r w:rsidR="00C1296C">
        <w:rPr>
          <w:rFonts w:ascii="Courier New" w:hAnsi="Courier New" w:cs="Courier New"/>
        </w:rPr>
        <w:t>the appellee elected to transfer the appeals from the informal to the formal pr</w:t>
      </w:r>
      <w:r w:rsidR="00E50C25">
        <w:rPr>
          <w:rFonts w:ascii="Courier New" w:hAnsi="Courier New" w:cs="Courier New"/>
        </w:rPr>
        <w:t>ocedure.</w:t>
      </w:r>
      <w:r w:rsidR="00C1296C">
        <w:rPr>
          <w:rFonts w:ascii="Courier New" w:hAnsi="Courier New" w:cs="Courier New"/>
        </w:rPr>
        <w:t xml:space="preserve">  </w:t>
      </w:r>
      <w:r w:rsidR="00121B86">
        <w:rPr>
          <w:rFonts w:ascii="Courier New" w:hAnsi="Courier New" w:cs="Courier New"/>
        </w:rPr>
        <w:t>On the basis of these facts, the Board found and ruled that it had jurisdiction to hear and decide</w:t>
      </w:r>
      <w:r w:rsidR="001A0127">
        <w:rPr>
          <w:rFonts w:ascii="Courier New" w:hAnsi="Courier New" w:cs="Courier New"/>
        </w:rPr>
        <w:t xml:space="preserve"> the </w:t>
      </w:r>
      <w:r w:rsidR="00C1296C">
        <w:rPr>
          <w:rFonts w:ascii="Courier New" w:hAnsi="Courier New" w:cs="Courier New"/>
        </w:rPr>
        <w:t>instant appeal</w:t>
      </w:r>
      <w:r w:rsidR="00E50C25">
        <w:rPr>
          <w:rFonts w:ascii="Courier New" w:hAnsi="Courier New" w:cs="Courier New"/>
        </w:rPr>
        <w:t>s</w:t>
      </w:r>
      <w:r w:rsidR="00121B86">
        <w:rPr>
          <w:rFonts w:ascii="Courier New" w:hAnsi="Courier New" w:cs="Courier New"/>
        </w:rPr>
        <w:t xml:space="preserve">. </w:t>
      </w:r>
    </w:p>
    <w:p w14:paraId="5CAE564E" w14:textId="582D9F82" w:rsidR="0010412D" w:rsidRDefault="00035B57" w:rsidP="00C1296C">
      <w:pPr>
        <w:spacing w:line="480" w:lineRule="auto"/>
        <w:ind w:firstLine="720"/>
        <w:jc w:val="both"/>
        <w:rPr>
          <w:rFonts w:ascii="Courier New" w:hAnsi="Courier New" w:cs="Courier New"/>
        </w:rPr>
      </w:pPr>
      <w:r>
        <w:rPr>
          <w:rFonts w:ascii="Courier New" w:hAnsi="Courier New" w:cs="Courier New"/>
        </w:rPr>
        <w:t>The appellant presented i</w:t>
      </w:r>
      <w:r w:rsidR="003C5E7A">
        <w:rPr>
          <w:rFonts w:ascii="Courier New" w:hAnsi="Courier New" w:cs="Courier New"/>
        </w:rPr>
        <w:t>ts case-in-</w:t>
      </w:r>
      <w:r w:rsidR="00040E4F">
        <w:rPr>
          <w:rFonts w:ascii="Courier New" w:hAnsi="Courier New" w:cs="Courier New"/>
        </w:rPr>
        <w:t>chief through the testimony of Lester Seidman, the</w:t>
      </w:r>
      <w:r w:rsidR="00AC5C8D">
        <w:rPr>
          <w:rFonts w:ascii="Courier New" w:hAnsi="Courier New" w:cs="Courier New"/>
        </w:rPr>
        <w:t xml:space="preserve"> manager of the subject properties</w:t>
      </w:r>
      <w:r w:rsidR="00040E4F">
        <w:rPr>
          <w:rFonts w:ascii="Courier New" w:hAnsi="Courier New" w:cs="Courier New"/>
        </w:rPr>
        <w:t>, and the submission of documents consisting of pho</w:t>
      </w:r>
      <w:r w:rsidR="00AC5C8D">
        <w:rPr>
          <w:rFonts w:ascii="Courier New" w:hAnsi="Courier New" w:cs="Courier New"/>
        </w:rPr>
        <w:t>tographs of the subject properties</w:t>
      </w:r>
      <w:r w:rsidR="00040E4F">
        <w:rPr>
          <w:rFonts w:ascii="Courier New" w:hAnsi="Courier New" w:cs="Courier New"/>
        </w:rPr>
        <w:t xml:space="preserve"> and profit and loss sta</w:t>
      </w:r>
      <w:r w:rsidR="00AC5C8D">
        <w:rPr>
          <w:rFonts w:ascii="Courier New" w:hAnsi="Courier New" w:cs="Courier New"/>
        </w:rPr>
        <w:t>tements for the subject properties</w:t>
      </w:r>
      <w:r w:rsidR="00040E4F">
        <w:rPr>
          <w:rFonts w:ascii="Courier New" w:hAnsi="Courier New" w:cs="Courier New"/>
        </w:rPr>
        <w:t xml:space="preserve"> for fiscal years 2013, 2014</w:t>
      </w:r>
      <w:r w:rsidR="00A76FA3">
        <w:rPr>
          <w:rFonts w:ascii="Courier New" w:hAnsi="Courier New" w:cs="Courier New"/>
        </w:rPr>
        <w:t>,</w:t>
      </w:r>
      <w:r w:rsidR="00040E4F">
        <w:rPr>
          <w:rFonts w:ascii="Courier New" w:hAnsi="Courier New" w:cs="Courier New"/>
        </w:rPr>
        <w:t xml:space="preserve"> and 2015.  </w:t>
      </w:r>
    </w:p>
    <w:p w14:paraId="1DA9E3FC" w14:textId="5F63A27B" w:rsidR="00044C77" w:rsidRDefault="002E1B73" w:rsidP="00C1296C">
      <w:pPr>
        <w:spacing w:line="480" w:lineRule="auto"/>
        <w:ind w:firstLine="720"/>
        <w:jc w:val="both"/>
        <w:rPr>
          <w:rFonts w:ascii="Courier New" w:hAnsi="Courier New" w:cs="Courier New"/>
        </w:rPr>
      </w:pPr>
      <w:r>
        <w:rPr>
          <w:rFonts w:ascii="Courier New" w:hAnsi="Courier New" w:cs="Courier New"/>
        </w:rPr>
        <w:t>Mr. Seidman testified that the appellant p</w:t>
      </w:r>
      <w:r w:rsidR="00AC5C8D">
        <w:rPr>
          <w:rFonts w:ascii="Courier New" w:hAnsi="Courier New" w:cs="Courier New"/>
        </w:rPr>
        <w:t>urchased the subject properties</w:t>
      </w:r>
      <w:r w:rsidR="004716D0">
        <w:rPr>
          <w:rFonts w:ascii="Courier New" w:hAnsi="Courier New" w:cs="Courier New"/>
        </w:rPr>
        <w:t xml:space="preserve"> in</w:t>
      </w:r>
      <w:r>
        <w:rPr>
          <w:rFonts w:ascii="Courier New" w:hAnsi="Courier New" w:cs="Courier New"/>
        </w:rPr>
        <w:t xml:space="preserve"> March of 2011, at </w:t>
      </w:r>
      <w:r w:rsidR="00A76FA3">
        <w:rPr>
          <w:rFonts w:ascii="Courier New" w:hAnsi="Courier New" w:cs="Courier New"/>
        </w:rPr>
        <w:t xml:space="preserve">a time during which </w:t>
      </w:r>
      <w:r>
        <w:rPr>
          <w:rFonts w:ascii="Courier New" w:hAnsi="Courier New" w:cs="Courier New"/>
        </w:rPr>
        <w:t>Springfield was continuing to struggle through an economic downturn</w:t>
      </w:r>
      <w:r w:rsidR="001F7D64">
        <w:rPr>
          <w:rFonts w:ascii="Courier New" w:hAnsi="Courier New" w:cs="Courier New"/>
        </w:rPr>
        <w:t>, particularly in the industrial and manufacturing sectors</w:t>
      </w:r>
      <w:r w:rsidR="000E4833">
        <w:rPr>
          <w:rFonts w:ascii="Courier New" w:hAnsi="Courier New" w:cs="Courier New"/>
        </w:rPr>
        <w:t>. The subject properties</w:t>
      </w:r>
      <w:r w:rsidR="008D64F3">
        <w:rPr>
          <w:rFonts w:ascii="Courier New" w:hAnsi="Courier New" w:cs="Courier New"/>
        </w:rPr>
        <w:t>,</w:t>
      </w:r>
      <w:r>
        <w:rPr>
          <w:rFonts w:ascii="Courier New" w:hAnsi="Courier New" w:cs="Courier New"/>
        </w:rPr>
        <w:t xml:space="preserve"> however, appeared </w:t>
      </w:r>
      <w:r w:rsidR="008D64F3">
        <w:rPr>
          <w:rFonts w:ascii="Courier New" w:hAnsi="Courier New" w:cs="Courier New"/>
        </w:rPr>
        <w:t>to Mr.</w:t>
      </w:r>
      <w:r w:rsidR="0089488C">
        <w:rPr>
          <w:rFonts w:ascii="Courier New" w:hAnsi="Courier New" w:cs="Courier New"/>
        </w:rPr>
        <w:t> </w:t>
      </w:r>
      <w:r w:rsidR="008D64F3">
        <w:rPr>
          <w:rFonts w:ascii="Courier New" w:hAnsi="Courier New" w:cs="Courier New"/>
        </w:rPr>
        <w:t xml:space="preserve">Seidman </w:t>
      </w:r>
      <w:r>
        <w:rPr>
          <w:rFonts w:ascii="Courier New" w:hAnsi="Courier New" w:cs="Courier New"/>
        </w:rPr>
        <w:t xml:space="preserve">to be a relatively </w:t>
      </w:r>
      <w:r w:rsidR="008D64F3">
        <w:rPr>
          <w:rFonts w:ascii="Courier New" w:hAnsi="Courier New" w:cs="Courier New"/>
        </w:rPr>
        <w:t>safe investment</w:t>
      </w:r>
      <w:r w:rsidR="004716D0">
        <w:rPr>
          <w:rFonts w:ascii="Courier New" w:hAnsi="Courier New" w:cs="Courier New"/>
        </w:rPr>
        <w:t>, as the subject building</w:t>
      </w:r>
      <w:r>
        <w:rPr>
          <w:rFonts w:ascii="Courier New" w:hAnsi="Courier New" w:cs="Courier New"/>
        </w:rPr>
        <w:t xml:space="preserve"> was fully occupied by many </w:t>
      </w:r>
      <w:r w:rsidR="004253DD">
        <w:rPr>
          <w:rFonts w:ascii="Courier New" w:hAnsi="Courier New" w:cs="Courier New"/>
        </w:rPr>
        <w:t>long-</w:t>
      </w:r>
      <w:r w:rsidR="008D64F3">
        <w:rPr>
          <w:rFonts w:ascii="Courier New" w:hAnsi="Courier New" w:cs="Courier New"/>
        </w:rPr>
        <w:t>term tenants;</w:t>
      </w:r>
      <w:r>
        <w:rPr>
          <w:rFonts w:ascii="Courier New" w:hAnsi="Courier New" w:cs="Courier New"/>
        </w:rPr>
        <w:t xml:space="preserve"> the</w:t>
      </w:r>
      <w:r w:rsidR="001F7D64">
        <w:rPr>
          <w:rFonts w:ascii="Courier New" w:hAnsi="Courier New" w:cs="Courier New"/>
        </w:rPr>
        <w:t xml:space="preserve"> offices of the</w:t>
      </w:r>
      <w:r>
        <w:rPr>
          <w:rFonts w:ascii="Courier New" w:hAnsi="Courier New" w:cs="Courier New"/>
        </w:rPr>
        <w:t xml:space="preserve"> Hampden County District At</w:t>
      </w:r>
      <w:r w:rsidR="008D64F3">
        <w:rPr>
          <w:rFonts w:ascii="Courier New" w:hAnsi="Courier New" w:cs="Courier New"/>
        </w:rPr>
        <w:t>torney and the State Police</w:t>
      </w:r>
      <w:r>
        <w:rPr>
          <w:rFonts w:ascii="Courier New" w:hAnsi="Courier New" w:cs="Courier New"/>
        </w:rPr>
        <w:t xml:space="preserve"> had been tenants for </w:t>
      </w:r>
      <w:r>
        <w:rPr>
          <w:rFonts w:ascii="Courier New" w:hAnsi="Courier New" w:cs="Courier New"/>
        </w:rPr>
        <w:lastRenderedPageBreak/>
        <w:t>appr</w:t>
      </w:r>
      <w:r w:rsidR="000E4833">
        <w:rPr>
          <w:rFonts w:ascii="Courier New" w:hAnsi="Courier New" w:cs="Courier New"/>
        </w:rPr>
        <w:t xml:space="preserve">oximately </w:t>
      </w:r>
      <w:r w:rsidR="00AF4FEA">
        <w:rPr>
          <w:rFonts w:ascii="Courier New" w:hAnsi="Courier New" w:cs="Courier New"/>
        </w:rPr>
        <w:t>eighteen</w:t>
      </w:r>
      <w:r w:rsidR="000E4833">
        <w:rPr>
          <w:rFonts w:ascii="Courier New" w:hAnsi="Courier New" w:cs="Courier New"/>
        </w:rPr>
        <w:t xml:space="preserve"> years at the time when the appellant purchased the subject properties</w:t>
      </w:r>
      <w:r>
        <w:rPr>
          <w:rFonts w:ascii="Courier New" w:hAnsi="Courier New" w:cs="Courier New"/>
        </w:rPr>
        <w:t xml:space="preserve">. These </w:t>
      </w:r>
      <w:r w:rsidR="00AF4FEA">
        <w:rPr>
          <w:rFonts w:ascii="Courier New" w:hAnsi="Courier New" w:cs="Courier New"/>
        </w:rPr>
        <w:t>two</w:t>
      </w:r>
      <w:r w:rsidR="000E4833">
        <w:rPr>
          <w:rFonts w:ascii="Courier New" w:hAnsi="Courier New" w:cs="Courier New"/>
        </w:rPr>
        <w:t xml:space="preserve"> tenants occupied about two-thirds</w:t>
      </w:r>
      <w:r>
        <w:rPr>
          <w:rFonts w:ascii="Courier New" w:hAnsi="Courier New" w:cs="Courier New"/>
        </w:rPr>
        <w:t xml:space="preserve"> of the </w:t>
      </w:r>
      <w:r w:rsidR="000E4833">
        <w:rPr>
          <w:rFonts w:ascii="Courier New" w:hAnsi="Courier New" w:cs="Courier New"/>
        </w:rPr>
        <w:t xml:space="preserve">subject </w:t>
      </w:r>
      <w:r>
        <w:rPr>
          <w:rFonts w:ascii="Courier New" w:hAnsi="Courier New" w:cs="Courier New"/>
        </w:rPr>
        <w:t>building, which was conveniently located in close proximity to the Hampden County courthouse.</w:t>
      </w:r>
      <w:r w:rsidR="004716D0">
        <w:rPr>
          <w:rFonts w:ascii="Courier New" w:hAnsi="Courier New" w:cs="Courier New"/>
        </w:rPr>
        <w:t xml:space="preserve"> The appellan</w:t>
      </w:r>
      <w:r w:rsidR="000E4833">
        <w:rPr>
          <w:rFonts w:ascii="Courier New" w:hAnsi="Courier New" w:cs="Courier New"/>
        </w:rPr>
        <w:t>t purchased the subject properties</w:t>
      </w:r>
      <w:r w:rsidR="004716D0">
        <w:rPr>
          <w:rFonts w:ascii="Courier New" w:hAnsi="Courier New" w:cs="Courier New"/>
        </w:rPr>
        <w:t xml:space="preserve"> for $1,130,000.  </w:t>
      </w:r>
    </w:p>
    <w:p w14:paraId="64459C66" w14:textId="76BD3D4E" w:rsidR="00C1296C" w:rsidRDefault="004716D0" w:rsidP="00C1296C">
      <w:pPr>
        <w:spacing w:line="480" w:lineRule="auto"/>
        <w:ind w:firstLine="720"/>
        <w:jc w:val="both"/>
        <w:rPr>
          <w:rFonts w:ascii="Courier New" w:hAnsi="Courier New" w:cs="Courier New"/>
        </w:rPr>
      </w:pPr>
      <w:r>
        <w:rPr>
          <w:rFonts w:ascii="Courier New" w:hAnsi="Courier New" w:cs="Courier New"/>
        </w:rPr>
        <w:t>Three months later, on June 1, 2011, a tornado struck Sp</w:t>
      </w:r>
      <w:r w:rsidR="00316E9C">
        <w:rPr>
          <w:rFonts w:ascii="Courier New" w:hAnsi="Courier New" w:cs="Courier New"/>
        </w:rPr>
        <w:t>ringfield. The subject properties were</w:t>
      </w:r>
      <w:r>
        <w:rPr>
          <w:rFonts w:ascii="Courier New" w:hAnsi="Courier New" w:cs="Courier New"/>
        </w:rPr>
        <w:t xml:space="preserve"> within its path and sustained substantial damage. </w:t>
      </w:r>
      <w:r w:rsidR="00316E9C">
        <w:rPr>
          <w:rFonts w:ascii="Courier New" w:hAnsi="Courier New" w:cs="Courier New"/>
        </w:rPr>
        <w:t xml:space="preserve">With the exception of </w:t>
      </w:r>
      <w:r w:rsidR="00AF4FEA">
        <w:rPr>
          <w:rFonts w:ascii="Courier New" w:hAnsi="Courier New" w:cs="Courier New"/>
        </w:rPr>
        <w:t>two</w:t>
      </w:r>
      <w:r w:rsidR="00316E9C">
        <w:rPr>
          <w:rFonts w:ascii="Courier New" w:hAnsi="Courier New" w:cs="Courier New"/>
        </w:rPr>
        <w:t xml:space="preserve"> minor</w:t>
      </w:r>
      <w:r>
        <w:rPr>
          <w:rFonts w:ascii="Courier New" w:hAnsi="Courier New" w:cs="Courier New"/>
        </w:rPr>
        <w:t xml:space="preserve"> tenants on the first floor, </w:t>
      </w:r>
      <w:r w:rsidR="00316E9C">
        <w:rPr>
          <w:rFonts w:ascii="Courier New" w:hAnsi="Courier New" w:cs="Courier New"/>
        </w:rPr>
        <w:t xml:space="preserve">all of </w:t>
      </w:r>
      <w:r>
        <w:rPr>
          <w:rFonts w:ascii="Courier New" w:hAnsi="Courier New" w:cs="Courier New"/>
        </w:rPr>
        <w:t>the tenants</w:t>
      </w:r>
      <w:r w:rsidR="00316E9C">
        <w:rPr>
          <w:rFonts w:ascii="Courier New" w:hAnsi="Courier New" w:cs="Courier New"/>
        </w:rPr>
        <w:t xml:space="preserve"> in the subject buildi</w:t>
      </w:r>
      <w:r w:rsidR="009E0315">
        <w:rPr>
          <w:rFonts w:ascii="Courier New" w:hAnsi="Courier New" w:cs="Courier New"/>
        </w:rPr>
        <w:t xml:space="preserve">ng abandoned the space. The </w:t>
      </w:r>
      <w:r w:rsidR="00AF4FEA">
        <w:rPr>
          <w:rFonts w:ascii="Courier New" w:hAnsi="Courier New" w:cs="Courier New"/>
        </w:rPr>
        <w:t>two</w:t>
      </w:r>
      <w:r w:rsidR="00316E9C">
        <w:rPr>
          <w:rFonts w:ascii="Courier New" w:hAnsi="Courier New" w:cs="Courier New"/>
        </w:rPr>
        <w:t xml:space="preserve"> major</w:t>
      </w:r>
      <w:r>
        <w:rPr>
          <w:rFonts w:ascii="Courier New" w:hAnsi="Courier New" w:cs="Courier New"/>
        </w:rPr>
        <w:t xml:space="preserve"> tenants were offered free space several blocks away, and they </w:t>
      </w:r>
      <w:r w:rsidR="0084492B">
        <w:rPr>
          <w:rFonts w:ascii="Courier New" w:hAnsi="Courier New" w:cs="Courier New"/>
        </w:rPr>
        <w:t>remain</w:t>
      </w:r>
      <w:r w:rsidR="00316E9C">
        <w:rPr>
          <w:rFonts w:ascii="Courier New" w:hAnsi="Courier New" w:cs="Courier New"/>
        </w:rPr>
        <w:t>ed in that space as of the date of the hearing</w:t>
      </w:r>
      <w:r w:rsidR="0084492B">
        <w:rPr>
          <w:rFonts w:ascii="Courier New" w:hAnsi="Courier New" w:cs="Courier New"/>
        </w:rPr>
        <w:t>.</w:t>
      </w:r>
      <w:r>
        <w:rPr>
          <w:rFonts w:ascii="Courier New" w:hAnsi="Courier New" w:cs="Courier New"/>
        </w:rPr>
        <w:t xml:space="preserve"> </w:t>
      </w:r>
      <w:r w:rsidR="00554E2E">
        <w:rPr>
          <w:rFonts w:ascii="Courier New" w:hAnsi="Courier New" w:cs="Courier New"/>
        </w:rPr>
        <w:t xml:space="preserve">As </w:t>
      </w:r>
      <w:r w:rsidR="00316E9C">
        <w:rPr>
          <w:rFonts w:ascii="Courier New" w:hAnsi="Courier New" w:cs="Courier New"/>
        </w:rPr>
        <w:t xml:space="preserve">of the January 1, 2014 </w:t>
      </w:r>
      <w:r w:rsidR="00554E2E">
        <w:rPr>
          <w:rFonts w:ascii="Courier New" w:hAnsi="Courier New" w:cs="Courier New"/>
        </w:rPr>
        <w:t xml:space="preserve">valuation date, </w:t>
      </w:r>
      <w:r w:rsidR="006A3E71">
        <w:rPr>
          <w:rFonts w:ascii="Courier New" w:hAnsi="Courier New" w:cs="Courier New"/>
        </w:rPr>
        <w:t>Mr. Seidman testified that the subject building was about 7</w:t>
      </w:r>
      <w:r w:rsidR="00316E9C">
        <w:rPr>
          <w:rFonts w:ascii="Courier New" w:hAnsi="Courier New" w:cs="Courier New"/>
        </w:rPr>
        <w:t>0 percent</w:t>
      </w:r>
      <w:r w:rsidR="00554E2E">
        <w:rPr>
          <w:rFonts w:ascii="Courier New" w:hAnsi="Courier New" w:cs="Courier New"/>
        </w:rPr>
        <w:t xml:space="preserve"> repaired and the subject parking lot was usable. </w:t>
      </w:r>
      <w:r w:rsidR="0084492B">
        <w:rPr>
          <w:rFonts w:ascii="Courier New" w:hAnsi="Courier New" w:cs="Courier New"/>
        </w:rPr>
        <w:t>Mr.</w:t>
      </w:r>
      <w:r w:rsidR="0089488C">
        <w:rPr>
          <w:rFonts w:ascii="Courier New" w:hAnsi="Courier New" w:cs="Courier New"/>
        </w:rPr>
        <w:t> </w:t>
      </w:r>
      <w:r w:rsidR="0084492B">
        <w:rPr>
          <w:rFonts w:ascii="Courier New" w:hAnsi="Courier New" w:cs="Courier New"/>
        </w:rPr>
        <w:t>Seidman testified that t</w:t>
      </w:r>
      <w:r>
        <w:rPr>
          <w:rFonts w:ascii="Courier New" w:hAnsi="Courier New" w:cs="Courier New"/>
        </w:rPr>
        <w:t>he appellant has been unsuccessful in leasing the vacant space in the subject building</w:t>
      </w:r>
      <w:r w:rsidR="001E7648">
        <w:rPr>
          <w:rFonts w:ascii="Courier New" w:hAnsi="Courier New" w:cs="Courier New"/>
        </w:rPr>
        <w:t xml:space="preserve"> to new tenants</w:t>
      </w:r>
      <w:r>
        <w:rPr>
          <w:rFonts w:ascii="Courier New" w:hAnsi="Courier New" w:cs="Courier New"/>
        </w:rPr>
        <w:t xml:space="preserve">.   </w:t>
      </w:r>
    </w:p>
    <w:p w14:paraId="30AFC1B0" w14:textId="10503AE3" w:rsidR="0032739D" w:rsidRDefault="00982713" w:rsidP="00C1296C">
      <w:pPr>
        <w:spacing w:line="480" w:lineRule="auto"/>
        <w:ind w:firstLine="720"/>
        <w:jc w:val="both"/>
        <w:rPr>
          <w:rFonts w:ascii="Courier New" w:hAnsi="Courier New" w:cs="Courier New"/>
        </w:rPr>
      </w:pPr>
      <w:r>
        <w:rPr>
          <w:rFonts w:ascii="Courier New" w:hAnsi="Courier New" w:cs="Courier New"/>
        </w:rPr>
        <w:t>On June 13, 2014, a li</w:t>
      </w:r>
      <w:r w:rsidR="008D64F3">
        <w:rPr>
          <w:rFonts w:ascii="Courier New" w:hAnsi="Courier New" w:cs="Courier New"/>
        </w:rPr>
        <w:t xml:space="preserve">ttle over </w:t>
      </w:r>
      <w:r w:rsidR="00AF4FEA">
        <w:rPr>
          <w:rFonts w:ascii="Courier New" w:hAnsi="Courier New" w:cs="Courier New"/>
        </w:rPr>
        <w:t>five</w:t>
      </w:r>
      <w:r w:rsidR="00316E9C">
        <w:rPr>
          <w:rFonts w:ascii="Courier New" w:hAnsi="Courier New" w:cs="Courier New"/>
        </w:rPr>
        <w:t xml:space="preserve"> months after</w:t>
      </w:r>
      <w:r>
        <w:rPr>
          <w:rFonts w:ascii="Courier New" w:hAnsi="Courier New" w:cs="Courier New"/>
        </w:rPr>
        <w:t xml:space="preserve"> the relevant valuation date, Springfield was awarded one of </w:t>
      </w:r>
      <w:r w:rsidR="00554E2E">
        <w:rPr>
          <w:rFonts w:ascii="Courier New" w:hAnsi="Courier New" w:cs="Courier New"/>
        </w:rPr>
        <w:t xml:space="preserve">the Legislature’s </w:t>
      </w:r>
      <w:r w:rsidR="00AF4FEA">
        <w:rPr>
          <w:rFonts w:ascii="Courier New" w:hAnsi="Courier New" w:cs="Courier New"/>
        </w:rPr>
        <w:t>four</w:t>
      </w:r>
      <w:r>
        <w:rPr>
          <w:rFonts w:ascii="Courier New" w:hAnsi="Courier New" w:cs="Courier New"/>
        </w:rPr>
        <w:t xml:space="preserve"> proposed casino developments</w:t>
      </w:r>
      <w:r w:rsidR="00F57A01">
        <w:rPr>
          <w:rFonts w:ascii="Courier New" w:hAnsi="Courier New" w:cs="Courier New"/>
        </w:rPr>
        <w:t xml:space="preserve">. </w:t>
      </w:r>
      <w:r w:rsidR="00D04B27">
        <w:rPr>
          <w:rFonts w:ascii="Courier New" w:hAnsi="Courier New" w:cs="Courier New"/>
        </w:rPr>
        <w:t xml:space="preserve">However, the casino license for Springfield was not finalized until November 6, 2014, after the state-wide ballot effort to </w:t>
      </w:r>
      <w:r w:rsidR="00D04B27">
        <w:rPr>
          <w:rFonts w:ascii="Courier New" w:hAnsi="Courier New" w:cs="Courier New"/>
        </w:rPr>
        <w:lastRenderedPageBreak/>
        <w:t xml:space="preserve">repeal the gaming law was defeated. Springfield selected MGM as the casino developer.    </w:t>
      </w:r>
      <w:r w:rsidR="00F92275">
        <w:rPr>
          <w:rFonts w:ascii="Courier New" w:hAnsi="Courier New" w:cs="Courier New"/>
        </w:rPr>
        <w:t xml:space="preserve"> </w:t>
      </w:r>
    </w:p>
    <w:p w14:paraId="0159EE09" w14:textId="5CF04907" w:rsidR="006F1B62" w:rsidRDefault="00D04B27" w:rsidP="00D53503">
      <w:pPr>
        <w:spacing w:line="480" w:lineRule="auto"/>
        <w:ind w:firstLine="720"/>
        <w:jc w:val="both"/>
        <w:rPr>
          <w:rFonts w:ascii="Courier New" w:hAnsi="Courier New" w:cs="Courier New"/>
        </w:rPr>
      </w:pPr>
      <w:r>
        <w:rPr>
          <w:rFonts w:ascii="Courier New" w:hAnsi="Courier New" w:cs="Courier New"/>
        </w:rPr>
        <w:t>The appellant contended</w:t>
      </w:r>
      <w:r w:rsidR="00972334">
        <w:rPr>
          <w:rFonts w:ascii="Courier New" w:hAnsi="Courier New" w:cs="Courier New"/>
        </w:rPr>
        <w:t xml:space="preserve"> that the proposed MGM casino negative</w:t>
      </w:r>
      <w:r w:rsidR="00255F9D">
        <w:rPr>
          <w:rFonts w:ascii="Courier New" w:hAnsi="Courier New" w:cs="Courier New"/>
        </w:rPr>
        <w:t>ly impacted the subject properties</w:t>
      </w:r>
      <w:r w:rsidR="00AE5C8C">
        <w:rPr>
          <w:rFonts w:ascii="Courier New" w:hAnsi="Courier New" w:cs="Courier New"/>
        </w:rPr>
        <w:t xml:space="preserve"> and its</w:t>
      </w:r>
      <w:r w:rsidR="00972334">
        <w:rPr>
          <w:rFonts w:ascii="Courier New" w:hAnsi="Courier New" w:cs="Courier New"/>
        </w:rPr>
        <w:t xml:space="preserve"> abi</w:t>
      </w:r>
      <w:r w:rsidR="00180833">
        <w:rPr>
          <w:rFonts w:ascii="Courier New" w:hAnsi="Courier New" w:cs="Courier New"/>
        </w:rPr>
        <w:t>lity to att</w:t>
      </w:r>
      <w:r>
        <w:rPr>
          <w:rFonts w:ascii="Courier New" w:hAnsi="Courier New" w:cs="Courier New"/>
        </w:rPr>
        <w:t>ract new tenants.  Mr. Seidman testified</w:t>
      </w:r>
      <w:r w:rsidR="00972334">
        <w:rPr>
          <w:rFonts w:ascii="Courier New" w:hAnsi="Courier New" w:cs="Courier New"/>
        </w:rPr>
        <w:t xml:space="preserve"> that MGM had closed off a portion of the street </w:t>
      </w:r>
      <w:r w:rsidR="00D52CA1">
        <w:rPr>
          <w:rFonts w:ascii="Courier New" w:hAnsi="Courier New" w:cs="Courier New"/>
        </w:rPr>
        <w:t>“around the general time frame” of the relevant valuation date in order to build the casino, and claimed that this</w:t>
      </w:r>
      <w:r w:rsidR="00972334">
        <w:rPr>
          <w:rFonts w:ascii="Courier New" w:hAnsi="Courier New" w:cs="Courier New"/>
        </w:rPr>
        <w:t xml:space="preserve"> affecte</w:t>
      </w:r>
      <w:r w:rsidR="00255F9D">
        <w:rPr>
          <w:rFonts w:ascii="Courier New" w:hAnsi="Courier New" w:cs="Courier New"/>
        </w:rPr>
        <w:t>d access to the subject properties</w:t>
      </w:r>
      <w:r w:rsidR="00972334">
        <w:rPr>
          <w:rFonts w:ascii="Courier New" w:hAnsi="Courier New" w:cs="Courier New"/>
        </w:rPr>
        <w:t xml:space="preserve">. </w:t>
      </w:r>
      <w:r w:rsidR="00D52CA1">
        <w:rPr>
          <w:rFonts w:ascii="Courier New" w:hAnsi="Courier New" w:cs="Courier New"/>
        </w:rPr>
        <w:t>Mr. Seidman further claim</w:t>
      </w:r>
      <w:r w:rsidR="003F2EAF">
        <w:rPr>
          <w:rFonts w:ascii="Courier New" w:hAnsi="Courier New" w:cs="Courier New"/>
        </w:rPr>
        <w:t xml:space="preserve">ed that MGM released a map of </w:t>
      </w:r>
      <w:r w:rsidR="00316E9C">
        <w:rPr>
          <w:rFonts w:ascii="Courier New" w:hAnsi="Courier New" w:cs="Courier New"/>
        </w:rPr>
        <w:t xml:space="preserve">the </w:t>
      </w:r>
      <w:r w:rsidR="003F2EAF">
        <w:rPr>
          <w:rFonts w:ascii="Courier New" w:hAnsi="Courier New" w:cs="Courier New"/>
        </w:rPr>
        <w:t>proposed casino development, which mistakenl</w:t>
      </w:r>
      <w:r w:rsidR="00255F9D">
        <w:rPr>
          <w:rFonts w:ascii="Courier New" w:hAnsi="Courier New" w:cs="Courier New"/>
        </w:rPr>
        <w:t>y portrayed the subject properties</w:t>
      </w:r>
      <w:r w:rsidR="003F2EAF">
        <w:rPr>
          <w:rFonts w:ascii="Courier New" w:hAnsi="Courier New" w:cs="Courier New"/>
        </w:rPr>
        <w:t xml:space="preserve"> as within the casino development “footprint”</w:t>
      </w:r>
      <w:r w:rsidR="00180833">
        <w:rPr>
          <w:rFonts w:ascii="Courier New" w:hAnsi="Courier New" w:cs="Courier New"/>
        </w:rPr>
        <w:t xml:space="preserve"> and thus slated for demolition</w:t>
      </w:r>
      <w:r w:rsidR="00D52CA1">
        <w:rPr>
          <w:rFonts w:ascii="Courier New" w:hAnsi="Courier New" w:cs="Courier New"/>
        </w:rPr>
        <w:t>. Mr. Seidman</w:t>
      </w:r>
      <w:r w:rsidR="003F2EAF">
        <w:rPr>
          <w:rFonts w:ascii="Courier New" w:hAnsi="Courier New" w:cs="Courier New"/>
        </w:rPr>
        <w:t xml:space="preserve"> contended that </w:t>
      </w:r>
      <w:r w:rsidR="00180833">
        <w:rPr>
          <w:rFonts w:ascii="Courier New" w:hAnsi="Courier New" w:cs="Courier New"/>
        </w:rPr>
        <w:t>th</w:t>
      </w:r>
      <w:r w:rsidR="00316E9C">
        <w:rPr>
          <w:rFonts w:ascii="Courier New" w:hAnsi="Courier New" w:cs="Courier New"/>
        </w:rPr>
        <w:t>is error negatively impacted the appellant’s</w:t>
      </w:r>
      <w:r w:rsidR="00180833">
        <w:rPr>
          <w:rFonts w:ascii="Courier New" w:hAnsi="Courier New" w:cs="Courier New"/>
        </w:rPr>
        <w:t xml:space="preserve"> ability to attract new</w:t>
      </w:r>
      <w:r w:rsidR="00F51A07">
        <w:rPr>
          <w:rFonts w:ascii="Courier New" w:hAnsi="Courier New" w:cs="Courier New"/>
        </w:rPr>
        <w:t xml:space="preserve"> tenants to the subject building</w:t>
      </w:r>
      <w:r w:rsidR="00AD6E95">
        <w:rPr>
          <w:rFonts w:ascii="Courier New" w:hAnsi="Courier New" w:cs="Courier New"/>
        </w:rPr>
        <w:t>, because prospective tenants assumed it was slated for demolition</w:t>
      </w:r>
      <w:r w:rsidR="00180833">
        <w:rPr>
          <w:rFonts w:ascii="Courier New" w:hAnsi="Courier New" w:cs="Courier New"/>
        </w:rPr>
        <w:t>.</w:t>
      </w:r>
      <w:r w:rsidR="00D52CA1">
        <w:rPr>
          <w:rFonts w:ascii="Courier New" w:hAnsi="Courier New" w:cs="Courier New"/>
        </w:rPr>
        <w:t xml:space="preserve"> </w:t>
      </w:r>
      <w:r>
        <w:rPr>
          <w:rFonts w:ascii="Courier New" w:hAnsi="Courier New" w:cs="Courier New"/>
        </w:rPr>
        <w:t xml:space="preserve">However, </w:t>
      </w:r>
      <w:r w:rsidR="00D52CA1">
        <w:rPr>
          <w:rFonts w:ascii="Courier New" w:hAnsi="Courier New" w:cs="Courier New"/>
        </w:rPr>
        <w:t>Mr.</w:t>
      </w:r>
      <w:r w:rsidR="0089488C">
        <w:rPr>
          <w:rFonts w:ascii="Courier New" w:hAnsi="Courier New" w:cs="Courier New"/>
        </w:rPr>
        <w:t> </w:t>
      </w:r>
      <w:r w:rsidR="00D52CA1">
        <w:rPr>
          <w:rFonts w:ascii="Courier New" w:hAnsi="Courier New" w:cs="Courier New"/>
        </w:rPr>
        <w:t>Seidman admitted on cross-examination that</w:t>
      </w:r>
      <w:r>
        <w:rPr>
          <w:rFonts w:ascii="Courier New" w:hAnsi="Courier New" w:cs="Courier New"/>
        </w:rPr>
        <w:t xml:space="preserve"> the casino award was not finalized until l</w:t>
      </w:r>
      <w:r w:rsidR="009E0315">
        <w:rPr>
          <w:rFonts w:ascii="Courier New" w:hAnsi="Courier New" w:cs="Courier New"/>
        </w:rPr>
        <w:t>ate in 2014, and thus</w:t>
      </w:r>
      <w:r w:rsidR="00D52CA1">
        <w:rPr>
          <w:rFonts w:ascii="Courier New" w:hAnsi="Courier New" w:cs="Courier New"/>
        </w:rPr>
        <w:t xml:space="preserve"> no MGM construction </w:t>
      </w:r>
      <w:r w:rsidR="009E0315">
        <w:rPr>
          <w:rFonts w:ascii="Courier New" w:hAnsi="Courier New" w:cs="Courier New"/>
        </w:rPr>
        <w:t>had begun, and no</w:t>
      </w:r>
      <w:r w:rsidR="00D52CA1">
        <w:rPr>
          <w:rFonts w:ascii="Courier New" w:hAnsi="Courier New" w:cs="Courier New"/>
        </w:rPr>
        <w:t xml:space="preserve"> road closures</w:t>
      </w:r>
      <w:r w:rsidR="009E0315">
        <w:rPr>
          <w:rFonts w:ascii="Courier New" w:hAnsi="Courier New" w:cs="Courier New"/>
        </w:rPr>
        <w:t xml:space="preserve"> were in effect</w:t>
      </w:r>
      <w:r w:rsidR="00A76FA3">
        <w:rPr>
          <w:rFonts w:ascii="Courier New" w:hAnsi="Courier New" w:cs="Courier New"/>
        </w:rPr>
        <w:t xml:space="preserve"> </w:t>
      </w:r>
      <w:r w:rsidR="00D52CA1">
        <w:rPr>
          <w:rFonts w:ascii="Courier New" w:hAnsi="Courier New" w:cs="Courier New"/>
        </w:rPr>
        <w:t xml:space="preserve">as of the relevant valuation date. Furthermore, the appellant failed to offer proof as to when the map of the proposed “footprint” was released, so the Board likewise found that this map was not a factor as of the relevant </w:t>
      </w:r>
      <w:r w:rsidR="00D52CA1">
        <w:rPr>
          <w:rFonts w:ascii="Courier New" w:hAnsi="Courier New" w:cs="Courier New"/>
        </w:rPr>
        <w:lastRenderedPageBreak/>
        <w:t>valuation date</w:t>
      </w:r>
      <w:r w:rsidR="006E746B">
        <w:rPr>
          <w:rFonts w:ascii="Courier New" w:hAnsi="Courier New" w:cs="Courier New"/>
        </w:rPr>
        <w:t xml:space="preserve">, </w:t>
      </w:r>
      <w:r w:rsidR="00AE5C8C">
        <w:rPr>
          <w:rFonts w:ascii="Courier New" w:hAnsi="Courier New" w:cs="Courier New"/>
        </w:rPr>
        <w:t xml:space="preserve">which was </w:t>
      </w:r>
      <w:r w:rsidR="006E746B">
        <w:rPr>
          <w:rFonts w:ascii="Courier New" w:hAnsi="Courier New" w:cs="Courier New"/>
        </w:rPr>
        <w:t>before the ballot initiative in November of 2014</w:t>
      </w:r>
      <w:r w:rsidR="00D52CA1">
        <w:rPr>
          <w:rFonts w:ascii="Courier New" w:hAnsi="Courier New" w:cs="Courier New"/>
        </w:rPr>
        <w:t>.</w:t>
      </w:r>
    </w:p>
    <w:p w14:paraId="774454F6" w14:textId="59582C8B" w:rsidR="007D7CE4" w:rsidRDefault="00287BDB" w:rsidP="00D53503">
      <w:pPr>
        <w:spacing w:line="480" w:lineRule="auto"/>
        <w:ind w:firstLine="720"/>
        <w:jc w:val="both"/>
        <w:rPr>
          <w:rFonts w:ascii="Courier New" w:hAnsi="Courier New" w:cs="Courier New"/>
        </w:rPr>
      </w:pPr>
      <w:r>
        <w:rPr>
          <w:rFonts w:ascii="Courier New" w:hAnsi="Courier New" w:cs="Courier New"/>
        </w:rPr>
        <w:t>The appellant</w:t>
      </w:r>
      <w:r w:rsidR="00CE2C11">
        <w:rPr>
          <w:rFonts w:ascii="Courier New" w:hAnsi="Courier New" w:cs="Courier New"/>
        </w:rPr>
        <w:t xml:space="preserve"> performed a valuation a</w:t>
      </w:r>
      <w:r w:rsidR="00D52CA1">
        <w:rPr>
          <w:rFonts w:ascii="Courier New" w:hAnsi="Courier New" w:cs="Courier New"/>
        </w:rPr>
        <w:t xml:space="preserve">nalysis </w:t>
      </w:r>
      <w:r w:rsidR="00CE2C11">
        <w:rPr>
          <w:rFonts w:ascii="Courier New" w:hAnsi="Courier New" w:cs="Courier New"/>
        </w:rPr>
        <w:t>utilizing the subject prope</w:t>
      </w:r>
      <w:r w:rsidR="00D52CA1">
        <w:rPr>
          <w:rFonts w:ascii="Courier New" w:hAnsi="Courier New" w:cs="Courier New"/>
        </w:rPr>
        <w:t>rties’</w:t>
      </w:r>
      <w:r w:rsidR="00CE2C11">
        <w:rPr>
          <w:rFonts w:ascii="Courier New" w:hAnsi="Courier New" w:cs="Courier New"/>
        </w:rPr>
        <w:t xml:space="preserve"> profit and loss statements.  Mr.</w:t>
      </w:r>
      <w:r w:rsidR="0089488C">
        <w:rPr>
          <w:rFonts w:ascii="Courier New" w:hAnsi="Courier New" w:cs="Courier New"/>
        </w:rPr>
        <w:t> </w:t>
      </w:r>
      <w:r w:rsidR="00CE2C11">
        <w:rPr>
          <w:rFonts w:ascii="Courier New" w:hAnsi="Courier New" w:cs="Courier New"/>
        </w:rPr>
        <w:t xml:space="preserve">Seidman testified that after the tornado, the subject building was no longer an income-producing property, particularly because the appellant could not attract tenants to replace those </w:t>
      </w:r>
      <w:r w:rsidR="00AF4FEA">
        <w:rPr>
          <w:rFonts w:ascii="Courier New" w:hAnsi="Courier New" w:cs="Courier New"/>
        </w:rPr>
        <w:t>that</w:t>
      </w:r>
      <w:r w:rsidR="00CE2C11">
        <w:rPr>
          <w:rFonts w:ascii="Courier New" w:hAnsi="Courier New" w:cs="Courier New"/>
        </w:rPr>
        <w:t xml:space="preserve"> had vacated. The profit and loss statements that the appellant offered showed net</w:t>
      </w:r>
      <w:r w:rsidR="00D97A64">
        <w:rPr>
          <w:rFonts w:ascii="Courier New" w:hAnsi="Courier New" w:cs="Courier New"/>
        </w:rPr>
        <w:t xml:space="preserve"> losses for the subject properties</w:t>
      </w:r>
      <w:r w:rsidR="00CE2C11">
        <w:rPr>
          <w:rFonts w:ascii="Courier New" w:hAnsi="Courier New" w:cs="Courier New"/>
        </w:rPr>
        <w:t xml:space="preserve"> for three fiscal years.  </w:t>
      </w:r>
      <w:r w:rsidR="00CE2C11" w:rsidRPr="009877AB">
        <w:rPr>
          <w:rFonts w:ascii="Courier New" w:hAnsi="Courier New" w:cs="Courier New"/>
        </w:rPr>
        <w:t>The appellee countered that these profit and loss statements co</w:t>
      </w:r>
      <w:r w:rsidR="00D97A64" w:rsidRPr="009877AB">
        <w:rPr>
          <w:rFonts w:ascii="Courier New" w:hAnsi="Courier New" w:cs="Courier New"/>
        </w:rPr>
        <w:t>ntained expense items that are not properly</w:t>
      </w:r>
      <w:r w:rsidR="00CE2C11" w:rsidRPr="009877AB">
        <w:rPr>
          <w:rFonts w:ascii="Courier New" w:hAnsi="Courier New" w:cs="Courier New"/>
        </w:rPr>
        <w:t xml:space="preserve"> </w:t>
      </w:r>
      <w:r w:rsidR="00D97A64" w:rsidRPr="009877AB">
        <w:rPr>
          <w:rFonts w:ascii="Courier New" w:hAnsi="Courier New" w:cs="Courier New"/>
        </w:rPr>
        <w:t>considered in a</w:t>
      </w:r>
      <w:r w:rsidR="00CE2C11" w:rsidRPr="009877AB">
        <w:rPr>
          <w:rFonts w:ascii="Courier New" w:hAnsi="Courier New" w:cs="Courier New"/>
        </w:rPr>
        <w:t xml:space="preserve"> valuation analysis</w:t>
      </w:r>
      <w:r w:rsidR="00D97A64" w:rsidRPr="009877AB">
        <w:rPr>
          <w:rFonts w:ascii="Courier New" w:hAnsi="Courier New" w:cs="Courier New"/>
        </w:rPr>
        <w:t xml:space="preserve"> for real estate tax purposes</w:t>
      </w:r>
      <w:r w:rsidR="00CE2C11" w:rsidRPr="009877AB">
        <w:rPr>
          <w:rFonts w:ascii="Courier New" w:hAnsi="Courier New" w:cs="Courier New"/>
        </w:rPr>
        <w:t>, including taxes, mortgage interest, lega</w:t>
      </w:r>
      <w:r w:rsidR="00316E9C" w:rsidRPr="009877AB">
        <w:rPr>
          <w:rFonts w:ascii="Courier New" w:hAnsi="Courier New" w:cs="Courier New"/>
        </w:rPr>
        <w:t>l and consulting costs</w:t>
      </w:r>
      <w:r w:rsidR="00A76FA3">
        <w:rPr>
          <w:rFonts w:ascii="Courier New" w:hAnsi="Courier New" w:cs="Courier New"/>
        </w:rPr>
        <w:t>,</w:t>
      </w:r>
      <w:r w:rsidR="00316E9C" w:rsidRPr="009877AB">
        <w:rPr>
          <w:rFonts w:ascii="Courier New" w:hAnsi="Courier New" w:cs="Courier New"/>
        </w:rPr>
        <w:t xml:space="preserve"> and certain</w:t>
      </w:r>
      <w:r w:rsidR="00CE2C11" w:rsidRPr="009877AB">
        <w:rPr>
          <w:rFonts w:ascii="Courier New" w:hAnsi="Courier New" w:cs="Courier New"/>
        </w:rPr>
        <w:t xml:space="preserve"> one-time expenses.</w:t>
      </w:r>
      <w:r w:rsidR="00CE2C11">
        <w:rPr>
          <w:rFonts w:ascii="Courier New" w:hAnsi="Courier New" w:cs="Courier New"/>
        </w:rPr>
        <w:t xml:space="preserve"> B</w:t>
      </w:r>
      <w:r w:rsidR="006F0751">
        <w:rPr>
          <w:rFonts w:ascii="Courier New" w:hAnsi="Courier New" w:cs="Courier New"/>
        </w:rPr>
        <w:t>ased on Mr. Seidman’s income analysis</w:t>
      </w:r>
      <w:r w:rsidR="00CE2C11">
        <w:rPr>
          <w:rFonts w:ascii="Courier New" w:hAnsi="Courier New" w:cs="Courier New"/>
        </w:rPr>
        <w:t>, the appellant’s opinion of value for the</w:t>
      </w:r>
      <w:r w:rsidR="007D7CE4">
        <w:rPr>
          <w:rFonts w:ascii="Courier New" w:hAnsi="Courier New" w:cs="Courier New"/>
        </w:rPr>
        <w:t xml:space="preserve"> su</w:t>
      </w:r>
      <w:r w:rsidR="00316E9C">
        <w:rPr>
          <w:rFonts w:ascii="Courier New" w:hAnsi="Courier New" w:cs="Courier New"/>
        </w:rPr>
        <w:t>bject properties</w:t>
      </w:r>
      <w:r w:rsidR="007D7CE4">
        <w:rPr>
          <w:rFonts w:ascii="Courier New" w:hAnsi="Courier New" w:cs="Courier New"/>
        </w:rPr>
        <w:t xml:space="preserve"> was $350,000 - </w:t>
      </w:r>
      <w:r w:rsidR="00316E9C">
        <w:rPr>
          <w:rFonts w:ascii="Courier New" w:hAnsi="Courier New" w:cs="Courier New"/>
        </w:rPr>
        <w:t>$300,000 for the subject building and</w:t>
      </w:r>
      <w:r w:rsidR="00CE2C11">
        <w:rPr>
          <w:rFonts w:ascii="Courier New" w:hAnsi="Courier New" w:cs="Courier New"/>
        </w:rPr>
        <w:t xml:space="preserve"> parcel and</w:t>
      </w:r>
      <w:r w:rsidR="007D7CE4">
        <w:rPr>
          <w:rFonts w:ascii="Courier New" w:hAnsi="Courier New" w:cs="Courier New"/>
        </w:rPr>
        <w:t xml:space="preserve"> $50,000 f</w:t>
      </w:r>
      <w:r w:rsidR="00316E9C">
        <w:rPr>
          <w:rFonts w:ascii="Courier New" w:hAnsi="Courier New" w:cs="Courier New"/>
        </w:rPr>
        <w:t>or the subject parking lot</w:t>
      </w:r>
      <w:r w:rsidR="007D7CE4">
        <w:rPr>
          <w:rFonts w:ascii="Courier New" w:hAnsi="Courier New" w:cs="Courier New"/>
        </w:rPr>
        <w:t>.</w:t>
      </w:r>
      <w:r w:rsidR="007E6675">
        <w:rPr>
          <w:rFonts w:ascii="Courier New" w:hAnsi="Courier New" w:cs="Courier New"/>
        </w:rPr>
        <w:t xml:space="preserve">  </w:t>
      </w:r>
    </w:p>
    <w:p w14:paraId="05E486D5" w14:textId="356C4B5D" w:rsidR="00F27510" w:rsidRDefault="0000339D" w:rsidP="00D53503">
      <w:pPr>
        <w:spacing w:line="480" w:lineRule="auto"/>
        <w:ind w:firstLine="720"/>
        <w:jc w:val="both"/>
        <w:rPr>
          <w:rFonts w:ascii="Courier New" w:hAnsi="Courier New" w:cs="Courier New"/>
        </w:rPr>
      </w:pPr>
      <w:r>
        <w:rPr>
          <w:rFonts w:ascii="Courier New" w:hAnsi="Courier New" w:cs="Courier New"/>
        </w:rPr>
        <w:t>The appellee present</w:t>
      </w:r>
      <w:r w:rsidR="00316E9C">
        <w:rPr>
          <w:rFonts w:ascii="Courier New" w:hAnsi="Courier New" w:cs="Courier New"/>
        </w:rPr>
        <w:t>ed its case through the testimony</w:t>
      </w:r>
      <w:r>
        <w:rPr>
          <w:rFonts w:ascii="Courier New" w:hAnsi="Courier New" w:cs="Courier New"/>
        </w:rPr>
        <w:t xml:space="preserve"> of</w:t>
      </w:r>
      <w:r w:rsidR="00CE0732">
        <w:rPr>
          <w:rFonts w:ascii="Courier New" w:hAnsi="Courier New" w:cs="Courier New"/>
        </w:rPr>
        <w:t xml:space="preserve"> Matthew Fontaine</w:t>
      </w:r>
      <w:r w:rsidR="008C5E1B">
        <w:rPr>
          <w:rFonts w:ascii="Courier New" w:hAnsi="Courier New" w:cs="Courier New"/>
        </w:rPr>
        <w:t>,</w:t>
      </w:r>
      <w:r w:rsidR="00F27510">
        <w:rPr>
          <w:rFonts w:ascii="Courier New" w:hAnsi="Courier New" w:cs="Courier New"/>
        </w:rPr>
        <w:t xml:space="preserve"> an assessor with the appellee,</w:t>
      </w:r>
      <w:r w:rsidR="008C5E1B">
        <w:rPr>
          <w:rFonts w:ascii="Courier New" w:hAnsi="Courier New" w:cs="Courier New"/>
        </w:rPr>
        <w:t xml:space="preserve"> and several documents, including</w:t>
      </w:r>
      <w:r w:rsidR="00D97A64">
        <w:rPr>
          <w:rFonts w:ascii="Courier New" w:hAnsi="Courier New" w:cs="Courier New"/>
        </w:rPr>
        <w:t>:</w:t>
      </w:r>
      <w:r w:rsidR="008C5E1B">
        <w:rPr>
          <w:rFonts w:ascii="Courier New" w:hAnsi="Courier New" w:cs="Courier New"/>
        </w:rPr>
        <w:t xml:space="preserve"> the requisite jur</w:t>
      </w:r>
      <w:r w:rsidR="00D97A64">
        <w:rPr>
          <w:rFonts w:ascii="Courier New" w:hAnsi="Courier New" w:cs="Courier New"/>
        </w:rPr>
        <w:t>isdictional documents;</w:t>
      </w:r>
      <w:r w:rsidR="008C5E1B">
        <w:rPr>
          <w:rFonts w:ascii="Courier New" w:hAnsi="Courier New" w:cs="Courier New"/>
        </w:rPr>
        <w:t xml:space="preserve"> property recor</w:t>
      </w:r>
      <w:r w:rsidR="00D97A64">
        <w:rPr>
          <w:rFonts w:ascii="Courier New" w:hAnsi="Courier New" w:cs="Courier New"/>
        </w:rPr>
        <w:t>d cards for the subject properties</w:t>
      </w:r>
      <w:r w:rsidR="008C5E1B">
        <w:rPr>
          <w:rFonts w:ascii="Courier New" w:hAnsi="Courier New" w:cs="Courier New"/>
        </w:rPr>
        <w:t xml:space="preserve"> and a number of purportedly comparable properties</w:t>
      </w:r>
      <w:r w:rsidR="00D97A64">
        <w:rPr>
          <w:rFonts w:ascii="Courier New" w:hAnsi="Courier New" w:cs="Courier New"/>
        </w:rPr>
        <w:t>;</w:t>
      </w:r>
      <w:r w:rsidR="00A96479">
        <w:rPr>
          <w:rFonts w:ascii="Courier New" w:hAnsi="Courier New" w:cs="Courier New"/>
        </w:rPr>
        <w:t xml:space="preserve"> and a </w:t>
      </w:r>
      <w:r w:rsidR="00A96479">
        <w:rPr>
          <w:rFonts w:ascii="Courier New" w:hAnsi="Courier New" w:cs="Courier New"/>
        </w:rPr>
        <w:lastRenderedPageBreak/>
        <w:t>sales comparison grid to summarize the appellee’s analysis</w:t>
      </w:r>
      <w:r w:rsidR="00E338DF">
        <w:rPr>
          <w:rFonts w:ascii="Courier New" w:hAnsi="Courier New" w:cs="Courier New"/>
        </w:rPr>
        <w:t xml:space="preserve">.  </w:t>
      </w:r>
      <w:r w:rsidR="00F27510">
        <w:rPr>
          <w:rFonts w:ascii="Courier New" w:hAnsi="Courier New" w:cs="Courier New"/>
        </w:rPr>
        <w:t xml:space="preserve">Patrick </w:t>
      </w:r>
      <w:proofErr w:type="spellStart"/>
      <w:r w:rsidR="00F27510">
        <w:rPr>
          <w:rFonts w:ascii="Courier New" w:hAnsi="Courier New" w:cs="Courier New"/>
        </w:rPr>
        <w:t>Greenhalgh</w:t>
      </w:r>
      <w:proofErr w:type="spellEnd"/>
      <w:r w:rsidR="00F27510">
        <w:rPr>
          <w:rFonts w:ascii="Courier New" w:hAnsi="Courier New" w:cs="Courier New"/>
        </w:rPr>
        <w:t xml:space="preserve">, another assessor with the appellee, and Richard Allen, chairman of the appellee, also responded to questions posed by the </w:t>
      </w:r>
      <w:r w:rsidR="00316E9C">
        <w:rPr>
          <w:rFonts w:ascii="Courier New" w:hAnsi="Courier New" w:cs="Courier New"/>
        </w:rPr>
        <w:t xml:space="preserve">presiding </w:t>
      </w:r>
      <w:r w:rsidR="00F27510">
        <w:rPr>
          <w:rFonts w:ascii="Courier New" w:hAnsi="Courier New" w:cs="Courier New"/>
        </w:rPr>
        <w:t>Board</w:t>
      </w:r>
      <w:r w:rsidR="00316E9C">
        <w:rPr>
          <w:rFonts w:ascii="Courier New" w:hAnsi="Courier New" w:cs="Courier New"/>
        </w:rPr>
        <w:t xml:space="preserve"> member</w:t>
      </w:r>
      <w:r w:rsidR="00F27510">
        <w:rPr>
          <w:rFonts w:ascii="Courier New" w:hAnsi="Courier New" w:cs="Courier New"/>
        </w:rPr>
        <w:t xml:space="preserve"> during the hearing. </w:t>
      </w:r>
    </w:p>
    <w:p w14:paraId="16E2A89A" w14:textId="5672C08B" w:rsidR="00216B3B" w:rsidRDefault="00F27510" w:rsidP="00D53503">
      <w:pPr>
        <w:spacing w:line="480" w:lineRule="auto"/>
        <w:ind w:firstLine="720"/>
        <w:jc w:val="both"/>
        <w:rPr>
          <w:rFonts w:ascii="Courier New" w:hAnsi="Courier New" w:cs="Courier New"/>
        </w:rPr>
      </w:pPr>
      <w:r>
        <w:rPr>
          <w:rFonts w:ascii="Courier New" w:hAnsi="Courier New" w:cs="Courier New"/>
        </w:rPr>
        <w:t xml:space="preserve">Mr. Fontaine testified that the appellee did not rely on the income-capitalization approach to </w:t>
      </w:r>
      <w:r w:rsidR="00316E9C">
        <w:rPr>
          <w:rFonts w:ascii="Courier New" w:hAnsi="Courier New" w:cs="Courier New"/>
        </w:rPr>
        <w:t>value the subject properties, because the subject properties were</w:t>
      </w:r>
      <w:r>
        <w:rPr>
          <w:rFonts w:ascii="Courier New" w:hAnsi="Courier New" w:cs="Courier New"/>
        </w:rPr>
        <w:t xml:space="preserve"> not income-producing as a commercial office building and ancillary parking lot as of the relevant assessment date.  </w:t>
      </w:r>
      <w:r w:rsidR="00672C73">
        <w:rPr>
          <w:rFonts w:ascii="Courier New" w:hAnsi="Courier New" w:cs="Courier New"/>
        </w:rPr>
        <w:t>Mr.</w:t>
      </w:r>
      <w:r w:rsidR="0089488C">
        <w:rPr>
          <w:rFonts w:ascii="Courier New" w:hAnsi="Courier New" w:cs="Courier New"/>
        </w:rPr>
        <w:t> </w:t>
      </w:r>
      <w:r w:rsidR="00672C73">
        <w:rPr>
          <w:rFonts w:ascii="Courier New" w:hAnsi="Courier New" w:cs="Courier New"/>
        </w:rPr>
        <w:t xml:space="preserve">Fontaine testified that it would not be fiscally prudent for an investor to restore the </w:t>
      </w:r>
      <w:r w:rsidR="00AF4FEA">
        <w:rPr>
          <w:rFonts w:ascii="Courier New" w:hAnsi="Courier New" w:cs="Courier New"/>
        </w:rPr>
        <w:t xml:space="preserve">subject </w:t>
      </w:r>
      <w:r w:rsidR="00672C73">
        <w:rPr>
          <w:rFonts w:ascii="Courier New" w:hAnsi="Courier New" w:cs="Courier New"/>
        </w:rPr>
        <w:t>buildin</w:t>
      </w:r>
      <w:r w:rsidR="00221DFC">
        <w:rPr>
          <w:rFonts w:ascii="Courier New" w:hAnsi="Courier New" w:cs="Courier New"/>
        </w:rPr>
        <w:t>g for use as an office building,</w:t>
      </w:r>
      <w:r w:rsidR="00221DFC" w:rsidRPr="00221DFC">
        <w:rPr>
          <w:rFonts w:ascii="Courier New" w:hAnsi="Courier New" w:cs="Courier New"/>
        </w:rPr>
        <w:t xml:space="preserve"> </w:t>
      </w:r>
      <w:r w:rsidR="00221DFC">
        <w:rPr>
          <w:rFonts w:ascii="Courier New" w:hAnsi="Courier New" w:cs="Courier New"/>
        </w:rPr>
        <w:t xml:space="preserve">given the </w:t>
      </w:r>
      <w:r w:rsidR="00053F0B">
        <w:rPr>
          <w:rFonts w:ascii="Courier New" w:hAnsi="Courier New" w:cs="Courier New"/>
        </w:rPr>
        <w:t>tornado damage sustained by the subject properties</w:t>
      </w:r>
      <w:r w:rsidR="00221DFC">
        <w:rPr>
          <w:rFonts w:ascii="Courier New" w:hAnsi="Courier New" w:cs="Courier New"/>
        </w:rPr>
        <w:t>.</w:t>
      </w:r>
      <w:r w:rsidR="00672C73">
        <w:rPr>
          <w:rFonts w:ascii="Courier New" w:hAnsi="Courier New" w:cs="Courier New"/>
        </w:rPr>
        <w:t xml:space="preserve">  </w:t>
      </w:r>
      <w:r w:rsidR="00044C77">
        <w:rPr>
          <w:rFonts w:ascii="Courier New" w:hAnsi="Courier New" w:cs="Courier New"/>
        </w:rPr>
        <w:t>Instead, the appellee</w:t>
      </w:r>
      <w:r>
        <w:rPr>
          <w:rFonts w:ascii="Courier New" w:hAnsi="Courier New" w:cs="Courier New"/>
        </w:rPr>
        <w:t xml:space="preserve"> determined that the highest and best use of the subject pr</w:t>
      </w:r>
      <w:r w:rsidR="00255F9D">
        <w:rPr>
          <w:rFonts w:ascii="Courier New" w:hAnsi="Courier New" w:cs="Courier New"/>
        </w:rPr>
        <w:t>operties</w:t>
      </w:r>
      <w:r w:rsidR="00221DFC">
        <w:rPr>
          <w:rFonts w:ascii="Courier New" w:hAnsi="Courier New" w:cs="Courier New"/>
        </w:rPr>
        <w:t xml:space="preserve"> was as vacant land that</w:t>
      </w:r>
      <w:r>
        <w:rPr>
          <w:rFonts w:ascii="Courier New" w:hAnsi="Courier New" w:cs="Courier New"/>
        </w:rPr>
        <w:t xml:space="preserve"> coul</w:t>
      </w:r>
      <w:r w:rsidR="00053F0B">
        <w:rPr>
          <w:rFonts w:ascii="Courier New" w:hAnsi="Courier New" w:cs="Courier New"/>
        </w:rPr>
        <w:t>d be held for future development</w:t>
      </w:r>
      <w:r w:rsidR="00221DFC">
        <w:rPr>
          <w:rFonts w:ascii="Courier New" w:hAnsi="Courier New" w:cs="Courier New"/>
        </w:rPr>
        <w:t>.</w:t>
      </w:r>
      <w:r w:rsidR="00053F0B">
        <w:rPr>
          <w:rFonts w:ascii="Courier New" w:hAnsi="Courier New" w:cs="Courier New"/>
        </w:rPr>
        <w:t xml:space="preserve">  </w:t>
      </w:r>
    </w:p>
    <w:p w14:paraId="36BC634B" w14:textId="26B1AB16" w:rsidR="009877AB" w:rsidRDefault="00F51A07" w:rsidP="009877AB">
      <w:pPr>
        <w:spacing w:line="480" w:lineRule="auto"/>
        <w:ind w:firstLine="720"/>
        <w:jc w:val="both"/>
        <w:rPr>
          <w:rFonts w:ascii="Courier New" w:hAnsi="Courier New" w:cs="Courier New"/>
        </w:rPr>
      </w:pPr>
      <w:r>
        <w:rPr>
          <w:rFonts w:ascii="Courier New" w:hAnsi="Courier New" w:cs="Courier New"/>
        </w:rPr>
        <w:t>Mr. Fontaine testified that</w:t>
      </w:r>
      <w:r w:rsidR="00053F0B">
        <w:rPr>
          <w:rFonts w:ascii="Courier New" w:hAnsi="Courier New" w:cs="Courier New"/>
        </w:rPr>
        <w:t xml:space="preserve"> </w:t>
      </w:r>
      <w:r>
        <w:rPr>
          <w:rFonts w:ascii="Courier New" w:hAnsi="Courier New" w:cs="Courier New"/>
        </w:rPr>
        <w:t>th</w:t>
      </w:r>
      <w:r w:rsidR="00FE4059">
        <w:rPr>
          <w:rFonts w:ascii="Courier New" w:hAnsi="Courier New" w:cs="Courier New"/>
        </w:rPr>
        <w:t>e</w:t>
      </w:r>
      <w:r w:rsidR="00053F0B">
        <w:rPr>
          <w:rFonts w:ascii="Courier New" w:hAnsi="Courier New" w:cs="Courier New"/>
        </w:rPr>
        <w:t xml:space="preserve"> </w:t>
      </w:r>
      <w:r>
        <w:rPr>
          <w:rFonts w:ascii="Courier New" w:hAnsi="Courier New" w:cs="Courier New"/>
        </w:rPr>
        <w:t xml:space="preserve">casino </w:t>
      </w:r>
      <w:r w:rsidR="00053F0B">
        <w:rPr>
          <w:rFonts w:ascii="Courier New" w:hAnsi="Courier New" w:cs="Courier New"/>
        </w:rPr>
        <w:t xml:space="preserve">development </w:t>
      </w:r>
      <w:r>
        <w:rPr>
          <w:rFonts w:ascii="Courier New" w:hAnsi="Courier New" w:cs="Courier New"/>
        </w:rPr>
        <w:t>was driving property values in the immediate area of the site.</w:t>
      </w:r>
      <w:r w:rsidR="009877AB">
        <w:rPr>
          <w:rFonts w:ascii="Courier New" w:hAnsi="Courier New" w:cs="Courier New"/>
        </w:rPr>
        <w:t xml:space="preserve">  He presented a sales-comparison analysis using properties that were both outside of the proposed casino “footprint,” like the subject properties, and those that were inside the proposed “footprint.”</w:t>
      </w:r>
      <w:r>
        <w:rPr>
          <w:rFonts w:ascii="Courier New" w:hAnsi="Courier New" w:cs="Courier New"/>
        </w:rPr>
        <w:t xml:space="preserve"> </w:t>
      </w:r>
      <w:r w:rsidR="003F6543">
        <w:rPr>
          <w:rFonts w:ascii="Courier New" w:hAnsi="Courier New" w:cs="Courier New"/>
        </w:rPr>
        <w:t xml:space="preserve">The Board noted, however, that many of Mr. Fontaine’s comparable sales occurred </w:t>
      </w:r>
      <w:r w:rsidR="00FE4059">
        <w:rPr>
          <w:rFonts w:ascii="Courier New" w:hAnsi="Courier New" w:cs="Courier New"/>
        </w:rPr>
        <w:t xml:space="preserve">more than a </w:t>
      </w:r>
      <w:r w:rsidR="00FE4059">
        <w:rPr>
          <w:rFonts w:ascii="Courier New" w:hAnsi="Courier New" w:cs="Courier New"/>
        </w:rPr>
        <w:lastRenderedPageBreak/>
        <w:t xml:space="preserve">year </w:t>
      </w:r>
      <w:r w:rsidR="003F6543">
        <w:rPr>
          <w:rFonts w:ascii="Courier New" w:hAnsi="Courier New" w:cs="Courier New"/>
        </w:rPr>
        <w:t xml:space="preserve">after the </w:t>
      </w:r>
      <w:r w:rsidR="00FE4059">
        <w:rPr>
          <w:rFonts w:ascii="Courier New" w:hAnsi="Courier New" w:cs="Courier New"/>
        </w:rPr>
        <w:t>relevant valuation date, and thus after the casino was actually awarded to Springfield</w:t>
      </w:r>
      <w:r w:rsidR="003F6543">
        <w:rPr>
          <w:rFonts w:ascii="Courier New" w:hAnsi="Courier New" w:cs="Courier New"/>
        </w:rPr>
        <w:t>.  Mr. Fontaine’s</w:t>
      </w:r>
      <w:r>
        <w:rPr>
          <w:rFonts w:ascii="Courier New" w:hAnsi="Courier New" w:cs="Courier New"/>
        </w:rPr>
        <w:t xml:space="preserve"> comparable-sales analysis is summarized in the table below:</w:t>
      </w:r>
    </w:p>
    <w:p w14:paraId="106ACD7A" w14:textId="6840E855" w:rsidR="00216B3B" w:rsidRPr="000958C0" w:rsidRDefault="00F51A07" w:rsidP="00F51A07">
      <w:pPr>
        <w:spacing w:line="480" w:lineRule="auto"/>
        <w:jc w:val="center"/>
        <w:rPr>
          <w:rFonts w:ascii="Courier New" w:hAnsi="Courier New" w:cs="Courier New"/>
          <w:b/>
        </w:rPr>
      </w:pPr>
      <w:r w:rsidRPr="000958C0">
        <w:rPr>
          <w:rFonts w:ascii="Courier New" w:hAnsi="Courier New" w:cs="Courier New"/>
          <w:b/>
        </w:rPr>
        <w:t>Sales outside the proposed</w:t>
      </w:r>
      <w:r w:rsidR="000958C0">
        <w:rPr>
          <w:rFonts w:ascii="Courier New" w:hAnsi="Courier New" w:cs="Courier New"/>
          <w:b/>
        </w:rPr>
        <w:t xml:space="preserve"> casino</w:t>
      </w:r>
      <w:r w:rsidRPr="000958C0">
        <w:rPr>
          <w:rFonts w:ascii="Courier New" w:hAnsi="Courier New" w:cs="Courier New"/>
          <w:b/>
        </w:rPr>
        <w:t xml:space="preserve"> “footprint”</w:t>
      </w:r>
    </w:p>
    <w:tbl>
      <w:tblPr>
        <w:tblStyle w:val="TableGrid"/>
        <w:tblW w:w="9378" w:type="dxa"/>
        <w:tblLook w:val="04A0" w:firstRow="1" w:lastRow="0" w:firstColumn="1" w:lastColumn="0" w:noHBand="0" w:noVBand="1"/>
      </w:tblPr>
      <w:tblGrid>
        <w:gridCol w:w="1638"/>
        <w:gridCol w:w="2520"/>
        <w:gridCol w:w="2700"/>
        <w:gridCol w:w="2520"/>
      </w:tblGrid>
      <w:tr w:rsidR="00F51A07" w:rsidRPr="009E13D8" w14:paraId="27870EA3" w14:textId="77777777" w:rsidTr="00917EAE">
        <w:tc>
          <w:tcPr>
            <w:tcW w:w="1638" w:type="dxa"/>
          </w:tcPr>
          <w:p w14:paraId="173935CF" w14:textId="1D5FBC32" w:rsidR="00F51A07" w:rsidRPr="009E13D8" w:rsidRDefault="00917EAE" w:rsidP="00917EAE">
            <w:pPr>
              <w:rPr>
                <w:rFonts w:ascii="Courier New" w:hAnsi="Courier New" w:cs="Courier New"/>
                <w:b/>
                <w:sz w:val="22"/>
                <w:szCs w:val="22"/>
              </w:rPr>
            </w:pPr>
            <w:r w:rsidRPr="009E13D8">
              <w:rPr>
                <w:rFonts w:ascii="Courier New" w:hAnsi="Courier New" w:cs="Courier New"/>
                <w:b/>
                <w:sz w:val="22"/>
                <w:szCs w:val="22"/>
              </w:rPr>
              <w:t>Comparable</w:t>
            </w:r>
          </w:p>
        </w:tc>
        <w:tc>
          <w:tcPr>
            <w:tcW w:w="2520" w:type="dxa"/>
          </w:tcPr>
          <w:p w14:paraId="08D2096A" w14:textId="39A4948F" w:rsidR="00F51A07" w:rsidRPr="009E13D8" w:rsidRDefault="00A76FA3" w:rsidP="00917EAE">
            <w:pPr>
              <w:rPr>
                <w:rFonts w:ascii="Courier New" w:hAnsi="Courier New" w:cs="Courier New"/>
                <w:sz w:val="22"/>
                <w:szCs w:val="22"/>
              </w:rPr>
            </w:pPr>
            <w:r w:rsidRPr="009E13D8">
              <w:rPr>
                <w:rFonts w:ascii="Courier New" w:hAnsi="Courier New" w:cs="Courier New"/>
                <w:sz w:val="22"/>
                <w:szCs w:val="22"/>
              </w:rPr>
              <w:t>#1: 24 Park St.</w:t>
            </w:r>
          </w:p>
        </w:tc>
        <w:tc>
          <w:tcPr>
            <w:tcW w:w="2700" w:type="dxa"/>
          </w:tcPr>
          <w:p w14:paraId="7CBFD85C" w14:textId="1E36109B" w:rsidR="00F51A07" w:rsidRPr="009E13D8" w:rsidRDefault="00917EAE" w:rsidP="00917EAE">
            <w:pPr>
              <w:rPr>
                <w:rFonts w:ascii="Courier New" w:hAnsi="Courier New" w:cs="Courier New"/>
                <w:sz w:val="22"/>
                <w:szCs w:val="22"/>
              </w:rPr>
            </w:pPr>
            <w:r w:rsidRPr="009E13D8">
              <w:rPr>
                <w:rFonts w:ascii="Courier New" w:hAnsi="Courier New" w:cs="Courier New"/>
                <w:sz w:val="22"/>
                <w:szCs w:val="22"/>
              </w:rPr>
              <w:t>#2: 1173 East Columbus Ave., 1179 East Columbus Ave., 72 William St., and N/S Williams St.</w:t>
            </w:r>
          </w:p>
        </w:tc>
        <w:tc>
          <w:tcPr>
            <w:tcW w:w="2520" w:type="dxa"/>
          </w:tcPr>
          <w:p w14:paraId="66DC2BBE" w14:textId="609CC330" w:rsidR="00F51A07" w:rsidRPr="009E13D8" w:rsidRDefault="00917EAE" w:rsidP="00917EAE">
            <w:pPr>
              <w:rPr>
                <w:rFonts w:ascii="Courier New" w:hAnsi="Courier New" w:cs="Courier New"/>
                <w:sz w:val="22"/>
                <w:szCs w:val="22"/>
              </w:rPr>
            </w:pPr>
            <w:r w:rsidRPr="009E13D8">
              <w:rPr>
                <w:rFonts w:ascii="Courier New" w:hAnsi="Courier New" w:cs="Courier New"/>
                <w:sz w:val="22"/>
                <w:szCs w:val="22"/>
              </w:rPr>
              <w:t>#3: 77 Wilcox St.</w:t>
            </w:r>
          </w:p>
        </w:tc>
      </w:tr>
      <w:tr w:rsidR="00F51A07" w:rsidRPr="009E13D8" w14:paraId="2CF4FEF9" w14:textId="77777777" w:rsidTr="00917EAE">
        <w:tc>
          <w:tcPr>
            <w:tcW w:w="1638" w:type="dxa"/>
          </w:tcPr>
          <w:p w14:paraId="03494B4D" w14:textId="6DAB7D8C" w:rsidR="00F51A07" w:rsidRPr="009E13D8" w:rsidRDefault="00917EAE" w:rsidP="00917EAE">
            <w:pPr>
              <w:rPr>
                <w:rFonts w:ascii="Courier New" w:hAnsi="Courier New" w:cs="Courier New"/>
                <w:b/>
                <w:sz w:val="22"/>
                <w:szCs w:val="22"/>
              </w:rPr>
            </w:pPr>
            <w:r w:rsidRPr="009E13D8">
              <w:rPr>
                <w:rFonts w:ascii="Courier New" w:hAnsi="Courier New" w:cs="Courier New"/>
                <w:b/>
                <w:sz w:val="22"/>
                <w:szCs w:val="22"/>
              </w:rPr>
              <w:t>Sale date</w:t>
            </w:r>
          </w:p>
        </w:tc>
        <w:tc>
          <w:tcPr>
            <w:tcW w:w="2520" w:type="dxa"/>
          </w:tcPr>
          <w:p w14:paraId="2DDA7269" w14:textId="22A1680F" w:rsidR="00F51A07" w:rsidRPr="009E13D8" w:rsidRDefault="00917EAE" w:rsidP="00917EAE">
            <w:pPr>
              <w:rPr>
                <w:rFonts w:ascii="Courier New" w:hAnsi="Courier New" w:cs="Courier New"/>
                <w:sz w:val="22"/>
                <w:szCs w:val="22"/>
              </w:rPr>
            </w:pPr>
            <w:r w:rsidRPr="009E13D8">
              <w:rPr>
                <w:rFonts w:ascii="Courier New" w:hAnsi="Courier New" w:cs="Courier New"/>
                <w:sz w:val="22"/>
                <w:szCs w:val="22"/>
              </w:rPr>
              <w:t>02/10/2015</w:t>
            </w:r>
          </w:p>
        </w:tc>
        <w:tc>
          <w:tcPr>
            <w:tcW w:w="2700" w:type="dxa"/>
          </w:tcPr>
          <w:p w14:paraId="3063EAC8" w14:textId="1471116D" w:rsidR="00F51A07" w:rsidRPr="009E13D8" w:rsidRDefault="00F10DEB" w:rsidP="00917EAE">
            <w:pPr>
              <w:rPr>
                <w:rFonts w:ascii="Courier New" w:hAnsi="Courier New" w:cs="Courier New"/>
                <w:sz w:val="22"/>
                <w:szCs w:val="22"/>
              </w:rPr>
            </w:pPr>
            <w:r w:rsidRPr="009E13D8">
              <w:rPr>
                <w:rFonts w:ascii="Courier New" w:hAnsi="Courier New" w:cs="Courier New"/>
                <w:sz w:val="22"/>
                <w:szCs w:val="22"/>
              </w:rPr>
              <w:t>10/25/2015</w:t>
            </w:r>
          </w:p>
        </w:tc>
        <w:tc>
          <w:tcPr>
            <w:tcW w:w="2520" w:type="dxa"/>
          </w:tcPr>
          <w:p w14:paraId="0432D3D3" w14:textId="79E40E8F" w:rsidR="00F51A07" w:rsidRPr="009E13D8" w:rsidRDefault="00A76FA3" w:rsidP="00917EAE">
            <w:pPr>
              <w:rPr>
                <w:rFonts w:ascii="Courier New" w:hAnsi="Courier New" w:cs="Courier New"/>
                <w:sz w:val="22"/>
                <w:szCs w:val="22"/>
              </w:rPr>
            </w:pPr>
            <w:r w:rsidRPr="009E13D8">
              <w:rPr>
                <w:rFonts w:ascii="Courier New" w:hAnsi="Courier New" w:cs="Courier New"/>
                <w:sz w:val="22"/>
                <w:szCs w:val="22"/>
              </w:rPr>
              <w:t>0</w:t>
            </w:r>
            <w:r w:rsidR="00F10DEB" w:rsidRPr="009E13D8">
              <w:rPr>
                <w:rFonts w:ascii="Courier New" w:hAnsi="Courier New" w:cs="Courier New"/>
                <w:sz w:val="22"/>
                <w:szCs w:val="22"/>
              </w:rPr>
              <w:t>2/03/2015</w:t>
            </w:r>
          </w:p>
        </w:tc>
      </w:tr>
      <w:tr w:rsidR="00F51A07" w:rsidRPr="009E13D8" w14:paraId="27B13756" w14:textId="77777777" w:rsidTr="00917EAE">
        <w:tc>
          <w:tcPr>
            <w:tcW w:w="1638" w:type="dxa"/>
          </w:tcPr>
          <w:p w14:paraId="4DE66E92" w14:textId="0DF29B50" w:rsidR="00F51A07" w:rsidRPr="009E13D8" w:rsidRDefault="00917EAE" w:rsidP="00917EAE">
            <w:pPr>
              <w:rPr>
                <w:rFonts w:ascii="Courier New" w:hAnsi="Courier New" w:cs="Courier New"/>
                <w:b/>
                <w:sz w:val="22"/>
                <w:szCs w:val="22"/>
              </w:rPr>
            </w:pPr>
            <w:r w:rsidRPr="009E13D8">
              <w:rPr>
                <w:rFonts w:ascii="Courier New" w:hAnsi="Courier New" w:cs="Courier New"/>
                <w:b/>
                <w:sz w:val="22"/>
                <w:szCs w:val="22"/>
              </w:rPr>
              <w:t>Sale price</w:t>
            </w:r>
          </w:p>
        </w:tc>
        <w:tc>
          <w:tcPr>
            <w:tcW w:w="2520" w:type="dxa"/>
          </w:tcPr>
          <w:p w14:paraId="1C2CC842" w14:textId="2521C45E" w:rsidR="00F51A07" w:rsidRPr="009E13D8" w:rsidRDefault="00917EAE" w:rsidP="00917EAE">
            <w:pPr>
              <w:rPr>
                <w:rFonts w:ascii="Courier New" w:hAnsi="Courier New" w:cs="Courier New"/>
                <w:sz w:val="22"/>
                <w:szCs w:val="22"/>
              </w:rPr>
            </w:pPr>
            <w:r w:rsidRPr="009E13D8">
              <w:rPr>
                <w:rFonts w:ascii="Courier New" w:hAnsi="Courier New" w:cs="Courier New"/>
                <w:sz w:val="22"/>
                <w:szCs w:val="22"/>
              </w:rPr>
              <w:t>$625,000</w:t>
            </w:r>
          </w:p>
        </w:tc>
        <w:tc>
          <w:tcPr>
            <w:tcW w:w="2700" w:type="dxa"/>
          </w:tcPr>
          <w:p w14:paraId="7D0B510F" w14:textId="50B62C1B" w:rsidR="00F51A07" w:rsidRPr="009E13D8" w:rsidRDefault="00F10DEB" w:rsidP="00917EAE">
            <w:pPr>
              <w:rPr>
                <w:rFonts w:ascii="Courier New" w:hAnsi="Courier New" w:cs="Courier New"/>
                <w:sz w:val="22"/>
                <w:szCs w:val="22"/>
              </w:rPr>
            </w:pPr>
            <w:r w:rsidRPr="009E13D8">
              <w:rPr>
                <w:rFonts w:ascii="Courier New" w:hAnsi="Courier New" w:cs="Courier New"/>
                <w:sz w:val="22"/>
                <w:szCs w:val="22"/>
              </w:rPr>
              <w:t>$750,000</w:t>
            </w:r>
          </w:p>
        </w:tc>
        <w:tc>
          <w:tcPr>
            <w:tcW w:w="2520" w:type="dxa"/>
          </w:tcPr>
          <w:p w14:paraId="3631986C" w14:textId="15DD99ED" w:rsidR="00F51A07" w:rsidRPr="009E13D8" w:rsidRDefault="00F10DEB" w:rsidP="00917EAE">
            <w:pPr>
              <w:rPr>
                <w:rFonts w:ascii="Courier New" w:hAnsi="Courier New" w:cs="Courier New"/>
                <w:sz w:val="22"/>
                <w:szCs w:val="22"/>
              </w:rPr>
            </w:pPr>
            <w:r w:rsidRPr="009E13D8">
              <w:rPr>
                <w:rFonts w:ascii="Courier New" w:hAnsi="Courier New" w:cs="Courier New"/>
                <w:sz w:val="22"/>
                <w:szCs w:val="22"/>
              </w:rPr>
              <w:t>$133,000</w:t>
            </w:r>
          </w:p>
        </w:tc>
      </w:tr>
      <w:tr w:rsidR="00F51A07" w:rsidRPr="009E13D8" w14:paraId="123B2DD6" w14:textId="77777777" w:rsidTr="00917EAE">
        <w:tc>
          <w:tcPr>
            <w:tcW w:w="1638" w:type="dxa"/>
          </w:tcPr>
          <w:p w14:paraId="54A49863" w14:textId="5087C612" w:rsidR="00F51A07" w:rsidRPr="009E13D8" w:rsidRDefault="00917EAE" w:rsidP="00917EAE">
            <w:pPr>
              <w:rPr>
                <w:rFonts w:ascii="Courier New" w:hAnsi="Courier New" w:cs="Courier New"/>
                <w:b/>
                <w:sz w:val="22"/>
                <w:szCs w:val="22"/>
              </w:rPr>
            </w:pPr>
            <w:r w:rsidRPr="009E13D8">
              <w:rPr>
                <w:rFonts w:ascii="Courier New" w:hAnsi="Courier New" w:cs="Courier New"/>
                <w:b/>
                <w:sz w:val="22"/>
                <w:szCs w:val="22"/>
              </w:rPr>
              <w:t>Land size</w:t>
            </w:r>
          </w:p>
        </w:tc>
        <w:tc>
          <w:tcPr>
            <w:tcW w:w="2520" w:type="dxa"/>
          </w:tcPr>
          <w:p w14:paraId="4976E601" w14:textId="1B77177A" w:rsidR="00F51A07" w:rsidRPr="009E13D8" w:rsidRDefault="00917EAE" w:rsidP="00917EAE">
            <w:pPr>
              <w:rPr>
                <w:rFonts w:ascii="Courier New" w:hAnsi="Courier New" w:cs="Courier New"/>
                <w:sz w:val="22"/>
                <w:szCs w:val="22"/>
              </w:rPr>
            </w:pPr>
            <w:r w:rsidRPr="009E13D8">
              <w:rPr>
                <w:rFonts w:ascii="Courier New" w:hAnsi="Courier New" w:cs="Courier New"/>
                <w:sz w:val="22"/>
                <w:szCs w:val="22"/>
              </w:rPr>
              <w:t>0.3843 acres</w:t>
            </w:r>
          </w:p>
        </w:tc>
        <w:tc>
          <w:tcPr>
            <w:tcW w:w="2700" w:type="dxa"/>
          </w:tcPr>
          <w:p w14:paraId="71629E9C" w14:textId="77C6F9C5" w:rsidR="00F51A07" w:rsidRPr="009E13D8" w:rsidRDefault="00F10DEB" w:rsidP="00917EAE">
            <w:pPr>
              <w:rPr>
                <w:rFonts w:ascii="Courier New" w:hAnsi="Courier New" w:cs="Courier New"/>
                <w:sz w:val="22"/>
                <w:szCs w:val="22"/>
              </w:rPr>
            </w:pPr>
            <w:r w:rsidRPr="009E13D8">
              <w:rPr>
                <w:rFonts w:ascii="Courier New" w:hAnsi="Courier New" w:cs="Courier New"/>
                <w:sz w:val="22"/>
                <w:szCs w:val="22"/>
              </w:rPr>
              <w:t>0.4444 acres</w:t>
            </w:r>
          </w:p>
        </w:tc>
        <w:tc>
          <w:tcPr>
            <w:tcW w:w="2520" w:type="dxa"/>
          </w:tcPr>
          <w:p w14:paraId="6F6BB63D" w14:textId="7166C9F3" w:rsidR="00F51A07" w:rsidRPr="009E13D8" w:rsidRDefault="00F10DEB" w:rsidP="00917EAE">
            <w:pPr>
              <w:rPr>
                <w:rFonts w:ascii="Courier New" w:hAnsi="Courier New" w:cs="Courier New"/>
                <w:sz w:val="22"/>
                <w:szCs w:val="22"/>
              </w:rPr>
            </w:pPr>
            <w:r w:rsidRPr="009E13D8">
              <w:rPr>
                <w:rFonts w:ascii="Courier New" w:hAnsi="Courier New" w:cs="Courier New"/>
                <w:sz w:val="22"/>
                <w:szCs w:val="22"/>
              </w:rPr>
              <w:t>4,902 sf</w:t>
            </w:r>
          </w:p>
        </w:tc>
      </w:tr>
      <w:tr w:rsidR="00F51A07" w:rsidRPr="009E13D8" w14:paraId="0457EC43" w14:textId="77777777" w:rsidTr="00917EAE">
        <w:tc>
          <w:tcPr>
            <w:tcW w:w="1638" w:type="dxa"/>
          </w:tcPr>
          <w:p w14:paraId="035A1EF9" w14:textId="67F49828" w:rsidR="00F51A07" w:rsidRPr="009E13D8" w:rsidRDefault="00917EAE" w:rsidP="00917EAE">
            <w:pPr>
              <w:rPr>
                <w:rFonts w:ascii="Courier New" w:hAnsi="Courier New" w:cs="Courier New"/>
                <w:b/>
                <w:sz w:val="22"/>
                <w:szCs w:val="22"/>
              </w:rPr>
            </w:pPr>
            <w:r w:rsidRPr="009E13D8">
              <w:rPr>
                <w:rFonts w:ascii="Courier New" w:hAnsi="Courier New" w:cs="Courier New"/>
                <w:b/>
                <w:sz w:val="22"/>
                <w:szCs w:val="22"/>
              </w:rPr>
              <w:t xml:space="preserve">Value </w:t>
            </w:r>
            <w:proofErr w:type="spellStart"/>
            <w:r w:rsidRPr="009E13D8">
              <w:rPr>
                <w:rFonts w:ascii="Courier New" w:hAnsi="Courier New" w:cs="Courier New"/>
                <w:b/>
                <w:sz w:val="22"/>
                <w:szCs w:val="22"/>
              </w:rPr>
              <w:t>psf</w:t>
            </w:r>
            <w:proofErr w:type="spellEnd"/>
          </w:p>
        </w:tc>
        <w:tc>
          <w:tcPr>
            <w:tcW w:w="2520" w:type="dxa"/>
          </w:tcPr>
          <w:p w14:paraId="3362DAB9" w14:textId="42CC682E" w:rsidR="00F51A07" w:rsidRPr="009E13D8" w:rsidRDefault="00917EAE" w:rsidP="00917EAE">
            <w:pPr>
              <w:rPr>
                <w:rFonts w:ascii="Courier New" w:hAnsi="Courier New" w:cs="Courier New"/>
                <w:sz w:val="22"/>
                <w:szCs w:val="22"/>
              </w:rPr>
            </w:pPr>
            <w:r w:rsidRPr="009E13D8">
              <w:rPr>
                <w:rFonts w:ascii="Courier New" w:hAnsi="Courier New" w:cs="Courier New"/>
                <w:sz w:val="22"/>
                <w:szCs w:val="22"/>
              </w:rPr>
              <w:t xml:space="preserve">$37.34 </w:t>
            </w:r>
            <w:proofErr w:type="spellStart"/>
            <w:r w:rsidRPr="009E13D8">
              <w:rPr>
                <w:rFonts w:ascii="Courier New" w:hAnsi="Courier New" w:cs="Courier New"/>
                <w:sz w:val="22"/>
                <w:szCs w:val="22"/>
              </w:rPr>
              <w:t>psf</w:t>
            </w:r>
            <w:proofErr w:type="spellEnd"/>
          </w:p>
        </w:tc>
        <w:tc>
          <w:tcPr>
            <w:tcW w:w="2700" w:type="dxa"/>
          </w:tcPr>
          <w:p w14:paraId="726DC1BF" w14:textId="27690556" w:rsidR="00F51A07" w:rsidRPr="009E13D8" w:rsidRDefault="00F10DEB" w:rsidP="00917EAE">
            <w:pPr>
              <w:rPr>
                <w:rFonts w:ascii="Courier New" w:hAnsi="Courier New" w:cs="Courier New"/>
                <w:sz w:val="22"/>
                <w:szCs w:val="22"/>
              </w:rPr>
            </w:pPr>
            <w:r w:rsidRPr="009E13D8">
              <w:rPr>
                <w:rFonts w:ascii="Courier New" w:hAnsi="Courier New" w:cs="Courier New"/>
                <w:sz w:val="22"/>
                <w:szCs w:val="22"/>
              </w:rPr>
              <w:t xml:space="preserve">$38.74 </w:t>
            </w:r>
            <w:proofErr w:type="spellStart"/>
            <w:r w:rsidRPr="009E13D8">
              <w:rPr>
                <w:rFonts w:ascii="Courier New" w:hAnsi="Courier New" w:cs="Courier New"/>
                <w:sz w:val="22"/>
                <w:szCs w:val="22"/>
              </w:rPr>
              <w:t>psf</w:t>
            </w:r>
            <w:proofErr w:type="spellEnd"/>
          </w:p>
        </w:tc>
        <w:tc>
          <w:tcPr>
            <w:tcW w:w="2520" w:type="dxa"/>
          </w:tcPr>
          <w:p w14:paraId="77AEB4B8" w14:textId="0F5E599B" w:rsidR="00F51A07" w:rsidRPr="009E13D8" w:rsidRDefault="00F10DEB" w:rsidP="00917EAE">
            <w:pPr>
              <w:rPr>
                <w:rFonts w:ascii="Courier New" w:hAnsi="Courier New" w:cs="Courier New"/>
                <w:sz w:val="22"/>
                <w:szCs w:val="22"/>
              </w:rPr>
            </w:pPr>
            <w:r w:rsidRPr="009E13D8">
              <w:rPr>
                <w:rFonts w:ascii="Courier New" w:hAnsi="Courier New" w:cs="Courier New"/>
                <w:sz w:val="22"/>
                <w:szCs w:val="22"/>
              </w:rPr>
              <w:t xml:space="preserve">$27.13 </w:t>
            </w:r>
            <w:proofErr w:type="spellStart"/>
            <w:r w:rsidRPr="009E13D8">
              <w:rPr>
                <w:rFonts w:ascii="Courier New" w:hAnsi="Courier New" w:cs="Courier New"/>
                <w:sz w:val="22"/>
                <w:szCs w:val="22"/>
              </w:rPr>
              <w:t>psf</w:t>
            </w:r>
            <w:proofErr w:type="spellEnd"/>
          </w:p>
        </w:tc>
      </w:tr>
      <w:tr w:rsidR="00F51A07" w:rsidRPr="009E13D8" w14:paraId="3F7BAFF5" w14:textId="77777777" w:rsidTr="00917EAE">
        <w:tc>
          <w:tcPr>
            <w:tcW w:w="1638" w:type="dxa"/>
          </w:tcPr>
          <w:p w14:paraId="3C0F6BBB" w14:textId="272C102F" w:rsidR="00F51A07" w:rsidRPr="009E13D8" w:rsidRDefault="00917EAE" w:rsidP="00917EAE">
            <w:pPr>
              <w:rPr>
                <w:rFonts w:ascii="Courier New" w:hAnsi="Courier New" w:cs="Courier New"/>
                <w:b/>
                <w:sz w:val="22"/>
                <w:szCs w:val="22"/>
              </w:rPr>
            </w:pPr>
            <w:r w:rsidRPr="009E13D8">
              <w:rPr>
                <w:rFonts w:ascii="Courier New" w:hAnsi="Courier New" w:cs="Courier New"/>
                <w:b/>
                <w:sz w:val="22"/>
                <w:szCs w:val="22"/>
              </w:rPr>
              <w:t>Location</w:t>
            </w:r>
          </w:p>
        </w:tc>
        <w:tc>
          <w:tcPr>
            <w:tcW w:w="2520" w:type="dxa"/>
          </w:tcPr>
          <w:p w14:paraId="36A4B0E9" w14:textId="3100AE81" w:rsidR="00F51A07" w:rsidRPr="009E13D8" w:rsidRDefault="00917EAE" w:rsidP="00917EAE">
            <w:pPr>
              <w:rPr>
                <w:rFonts w:ascii="Courier New" w:hAnsi="Courier New" w:cs="Courier New"/>
                <w:sz w:val="22"/>
                <w:szCs w:val="22"/>
              </w:rPr>
            </w:pPr>
            <w:r w:rsidRPr="009E13D8">
              <w:rPr>
                <w:rFonts w:ascii="Courier New" w:hAnsi="Courier New" w:cs="Courier New"/>
                <w:sz w:val="22"/>
                <w:szCs w:val="22"/>
              </w:rPr>
              <w:t>1 block from su</w:t>
            </w:r>
            <w:r w:rsidR="00255F9D" w:rsidRPr="009E13D8">
              <w:rPr>
                <w:rFonts w:ascii="Courier New" w:hAnsi="Courier New" w:cs="Courier New"/>
                <w:sz w:val="22"/>
                <w:szCs w:val="22"/>
              </w:rPr>
              <w:t>bject properties</w:t>
            </w:r>
            <w:r w:rsidR="007B0CF1" w:rsidRPr="009E13D8">
              <w:rPr>
                <w:rFonts w:ascii="Courier New" w:hAnsi="Courier New" w:cs="Courier New"/>
                <w:sz w:val="22"/>
                <w:szCs w:val="22"/>
              </w:rPr>
              <w:t>; zoned for commercial use</w:t>
            </w:r>
          </w:p>
        </w:tc>
        <w:tc>
          <w:tcPr>
            <w:tcW w:w="2700" w:type="dxa"/>
          </w:tcPr>
          <w:p w14:paraId="6723BB86" w14:textId="0B5179E1" w:rsidR="00F51A07" w:rsidRPr="009E13D8" w:rsidRDefault="00F10DEB" w:rsidP="00AF4FEA">
            <w:pPr>
              <w:rPr>
                <w:rFonts w:ascii="Courier New" w:hAnsi="Courier New" w:cs="Courier New"/>
                <w:sz w:val="22"/>
                <w:szCs w:val="22"/>
              </w:rPr>
            </w:pPr>
            <w:r w:rsidRPr="009E13D8">
              <w:rPr>
                <w:rFonts w:ascii="Courier New" w:hAnsi="Courier New" w:cs="Courier New"/>
                <w:sz w:val="22"/>
                <w:szCs w:val="22"/>
              </w:rPr>
              <w:t>1 block from su</w:t>
            </w:r>
            <w:r w:rsidR="00255F9D" w:rsidRPr="009E13D8">
              <w:rPr>
                <w:rFonts w:ascii="Courier New" w:hAnsi="Courier New" w:cs="Courier New"/>
                <w:sz w:val="22"/>
                <w:szCs w:val="22"/>
              </w:rPr>
              <w:t>bject properties</w:t>
            </w:r>
            <w:r w:rsidR="007B0CF1" w:rsidRPr="009E13D8">
              <w:rPr>
                <w:rFonts w:ascii="Courier New" w:hAnsi="Courier New" w:cs="Courier New"/>
                <w:sz w:val="22"/>
                <w:szCs w:val="22"/>
              </w:rPr>
              <w:t>; zoned for commercial use</w:t>
            </w:r>
          </w:p>
        </w:tc>
        <w:tc>
          <w:tcPr>
            <w:tcW w:w="2520" w:type="dxa"/>
          </w:tcPr>
          <w:p w14:paraId="60DDFE8F" w14:textId="77777777" w:rsidR="00F51A07" w:rsidRPr="009E13D8" w:rsidRDefault="00F51A07" w:rsidP="00917EAE">
            <w:pPr>
              <w:rPr>
                <w:rFonts w:ascii="Courier New" w:hAnsi="Courier New" w:cs="Courier New"/>
                <w:sz w:val="22"/>
                <w:szCs w:val="22"/>
              </w:rPr>
            </w:pPr>
          </w:p>
        </w:tc>
      </w:tr>
      <w:tr w:rsidR="00F51A07" w:rsidRPr="009E13D8" w14:paraId="7E51BE59" w14:textId="77777777" w:rsidTr="00917EAE">
        <w:tc>
          <w:tcPr>
            <w:tcW w:w="1638" w:type="dxa"/>
          </w:tcPr>
          <w:p w14:paraId="071A1516" w14:textId="779ED013" w:rsidR="00F51A07" w:rsidRPr="009E13D8" w:rsidRDefault="00917EAE" w:rsidP="00917EAE">
            <w:pPr>
              <w:rPr>
                <w:rFonts w:ascii="Courier New" w:hAnsi="Courier New" w:cs="Courier New"/>
                <w:b/>
                <w:sz w:val="22"/>
                <w:szCs w:val="22"/>
              </w:rPr>
            </w:pPr>
            <w:r w:rsidRPr="009E13D8">
              <w:rPr>
                <w:rFonts w:ascii="Courier New" w:hAnsi="Courier New" w:cs="Courier New"/>
                <w:b/>
                <w:sz w:val="22"/>
                <w:szCs w:val="22"/>
              </w:rPr>
              <w:t>Notes</w:t>
            </w:r>
          </w:p>
        </w:tc>
        <w:tc>
          <w:tcPr>
            <w:tcW w:w="2520" w:type="dxa"/>
          </w:tcPr>
          <w:p w14:paraId="0EA7A09F" w14:textId="0A5FBDEC" w:rsidR="00F51A07" w:rsidRPr="009E13D8" w:rsidRDefault="00917EAE" w:rsidP="00917EAE">
            <w:pPr>
              <w:rPr>
                <w:rFonts w:ascii="Courier New" w:hAnsi="Courier New" w:cs="Courier New"/>
                <w:sz w:val="22"/>
                <w:szCs w:val="22"/>
              </w:rPr>
            </w:pPr>
            <w:r w:rsidRPr="009E13D8">
              <w:rPr>
                <w:rFonts w:ascii="Courier New" w:hAnsi="Courier New" w:cs="Courier New"/>
                <w:sz w:val="22"/>
                <w:szCs w:val="22"/>
              </w:rPr>
              <w:t>Arm’s-length sale; improved with a large mill building now condemned.  Highest and best use would be to demolish and hold for future development</w:t>
            </w:r>
            <w:r w:rsidR="00A76FA3" w:rsidRPr="009E13D8">
              <w:rPr>
                <w:rFonts w:ascii="Courier New" w:hAnsi="Courier New" w:cs="Courier New"/>
                <w:sz w:val="22"/>
                <w:szCs w:val="22"/>
              </w:rPr>
              <w:t>.</w:t>
            </w:r>
          </w:p>
        </w:tc>
        <w:tc>
          <w:tcPr>
            <w:tcW w:w="2700" w:type="dxa"/>
          </w:tcPr>
          <w:p w14:paraId="4FC9AD02" w14:textId="1605BF29" w:rsidR="00F51A07" w:rsidRPr="009E13D8" w:rsidRDefault="00F10DEB" w:rsidP="00917EAE">
            <w:pPr>
              <w:rPr>
                <w:rFonts w:ascii="Courier New" w:hAnsi="Courier New" w:cs="Courier New"/>
                <w:sz w:val="22"/>
                <w:szCs w:val="22"/>
              </w:rPr>
            </w:pPr>
            <w:r w:rsidRPr="009E13D8">
              <w:rPr>
                <w:rFonts w:ascii="Courier New" w:hAnsi="Courier New" w:cs="Courier New"/>
                <w:sz w:val="22"/>
                <w:szCs w:val="22"/>
              </w:rPr>
              <w:t>Arm’s-length sale; buyers are local investors who have purchased several properties around the proposed casino site; purchased for future development</w:t>
            </w:r>
            <w:r w:rsidR="00A76FA3" w:rsidRPr="009E13D8">
              <w:rPr>
                <w:rFonts w:ascii="Courier New" w:hAnsi="Courier New" w:cs="Courier New"/>
                <w:sz w:val="22"/>
                <w:szCs w:val="22"/>
              </w:rPr>
              <w:t>.</w:t>
            </w:r>
          </w:p>
        </w:tc>
        <w:tc>
          <w:tcPr>
            <w:tcW w:w="2520" w:type="dxa"/>
          </w:tcPr>
          <w:p w14:paraId="06FEF6E1" w14:textId="758332C0" w:rsidR="00F51A07" w:rsidRPr="009E13D8" w:rsidRDefault="00F10DEB" w:rsidP="00917EAE">
            <w:pPr>
              <w:rPr>
                <w:rFonts w:ascii="Courier New" w:hAnsi="Courier New" w:cs="Courier New"/>
                <w:sz w:val="22"/>
                <w:szCs w:val="22"/>
              </w:rPr>
            </w:pPr>
            <w:r w:rsidRPr="009E13D8">
              <w:rPr>
                <w:rFonts w:ascii="Courier New" w:hAnsi="Courier New" w:cs="Courier New"/>
                <w:sz w:val="22"/>
                <w:szCs w:val="22"/>
              </w:rPr>
              <w:t>Improved with a   2-family residen</w:t>
            </w:r>
            <w:r w:rsidR="00A76FA3" w:rsidRPr="009E13D8">
              <w:rPr>
                <w:rFonts w:ascii="Courier New" w:hAnsi="Courier New" w:cs="Courier New"/>
                <w:sz w:val="22"/>
                <w:szCs w:val="22"/>
              </w:rPr>
              <w:t>ce; purchased to be redeveloped.</w:t>
            </w:r>
            <w:r w:rsidRPr="009E13D8">
              <w:rPr>
                <w:rFonts w:ascii="Courier New" w:hAnsi="Courier New" w:cs="Courier New"/>
                <w:sz w:val="22"/>
                <w:szCs w:val="22"/>
              </w:rPr>
              <w:t xml:space="preserve">  </w:t>
            </w:r>
          </w:p>
        </w:tc>
      </w:tr>
    </w:tbl>
    <w:p w14:paraId="6DBAF7CF" w14:textId="77777777" w:rsidR="00F51A07" w:rsidRDefault="00F51A07" w:rsidP="00B506BE">
      <w:pPr>
        <w:spacing w:line="480" w:lineRule="auto"/>
        <w:jc w:val="both"/>
        <w:rPr>
          <w:rFonts w:ascii="Courier New" w:hAnsi="Courier New" w:cs="Courier New"/>
        </w:rPr>
      </w:pPr>
    </w:p>
    <w:p w14:paraId="3914FF1B" w14:textId="77D6F3BD" w:rsidR="00980598" w:rsidRDefault="00386FBF" w:rsidP="00D53503">
      <w:pPr>
        <w:spacing w:line="480" w:lineRule="auto"/>
        <w:ind w:firstLine="720"/>
        <w:jc w:val="both"/>
        <w:rPr>
          <w:rFonts w:ascii="Courier New" w:hAnsi="Courier New" w:cs="Courier New"/>
        </w:rPr>
      </w:pPr>
      <w:r>
        <w:rPr>
          <w:rFonts w:ascii="Courier New" w:hAnsi="Courier New" w:cs="Courier New"/>
        </w:rPr>
        <w:t xml:space="preserve">Mr. Fontaine testified that he put the most weight on </w:t>
      </w:r>
      <w:proofErr w:type="spellStart"/>
      <w:r>
        <w:rPr>
          <w:rFonts w:ascii="Courier New" w:hAnsi="Courier New" w:cs="Courier New"/>
        </w:rPr>
        <w:t>Comparables</w:t>
      </w:r>
      <w:proofErr w:type="spellEnd"/>
      <w:r>
        <w:rPr>
          <w:rFonts w:ascii="Courier New" w:hAnsi="Courier New" w:cs="Courier New"/>
        </w:rPr>
        <w:t xml:space="preserve"> #1 and #2, because they were the most</w:t>
      </w:r>
      <w:r w:rsidR="00255F9D">
        <w:rPr>
          <w:rFonts w:ascii="Courier New" w:hAnsi="Courier New" w:cs="Courier New"/>
        </w:rPr>
        <w:t xml:space="preserve"> similar to the subject properties</w:t>
      </w:r>
      <w:r>
        <w:rPr>
          <w:rFonts w:ascii="Courier New" w:hAnsi="Courier New" w:cs="Courier New"/>
        </w:rPr>
        <w:t>. He opined that adjustments were not needed for the slight differences between these pro</w:t>
      </w:r>
      <w:r w:rsidR="00255F9D">
        <w:rPr>
          <w:rFonts w:ascii="Courier New" w:hAnsi="Courier New" w:cs="Courier New"/>
        </w:rPr>
        <w:t>perties and the subject properties</w:t>
      </w:r>
      <w:r>
        <w:rPr>
          <w:rFonts w:ascii="Courier New" w:hAnsi="Courier New" w:cs="Courier New"/>
        </w:rPr>
        <w:t>. He also noted that</w:t>
      </w:r>
      <w:r w:rsidR="007B0CF1">
        <w:rPr>
          <w:rFonts w:ascii="Courier New" w:hAnsi="Courier New" w:cs="Courier New"/>
        </w:rPr>
        <w:t xml:space="preserve"> the</w:t>
      </w:r>
      <w:r w:rsidR="006A77C5">
        <w:rPr>
          <w:rFonts w:ascii="Courier New" w:hAnsi="Courier New" w:cs="Courier New"/>
        </w:rPr>
        <w:t>se</w:t>
      </w:r>
      <w:r w:rsidR="007B0CF1">
        <w:rPr>
          <w:rFonts w:ascii="Courier New" w:hAnsi="Courier New" w:cs="Courier New"/>
        </w:rPr>
        <w:t xml:space="preserve"> properties were likely to be demolished and redeveloped, and that</w:t>
      </w:r>
      <w:r>
        <w:rPr>
          <w:rFonts w:ascii="Courier New" w:hAnsi="Courier New" w:cs="Courier New"/>
        </w:rPr>
        <w:t xml:space="preserve"> the purchaser</w:t>
      </w:r>
      <w:r w:rsidR="007B0CF1">
        <w:rPr>
          <w:rFonts w:ascii="Courier New" w:hAnsi="Courier New" w:cs="Courier New"/>
        </w:rPr>
        <w:t xml:space="preserve">s were not MGM or </w:t>
      </w:r>
      <w:r w:rsidR="007B0CF1">
        <w:rPr>
          <w:rFonts w:ascii="Courier New" w:hAnsi="Courier New" w:cs="Courier New"/>
        </w:rPr>
        <w:lastRenderedPageBreak/>
        <w:t>related entities</w:t>
      </w:r>
      <w:r>
        <w:rPr>
          <w:rFonts w:ascii="Courier New" w:hAnsi="Courier New" w:cs="Courier New"/>
        </w:rPr>
        <w:t xml:space="preserve">. </w:t>
      </w:r>
      <w:r w:rsidR="007B0CF1">
        <w:rPr>
          <w:rFonts w:ascii="Courier New" w:hAnsi="Courier New" w:cs="Courier New"/>
        </w:rPr>
        <w:t xml:space="preserve">Mr. Fontaine testified that </w:t>
      </w:r>
      <w:r w:rsidR="00A02DC3">
        <w:rPr>
          <w:rFonts w:ascii="Courier New" w:hAnsi="Courier New" w:cs="Courier New"/>
        </w:rPr>
        <w:t xml:space="preserve">he averaged </w:t>
      </w:r>
      <w:r w:rsidR="007B0CF1">
        <w:rPr>
          <w:rFonts w:ascii="Courier New" w:hAnsi="Courier New" w:cs="Courier New"/>
        </w:rPr>
        <w:t>the selling price</w:t>
      </w:r>
      <w:r w:rsidR="00980598">
        <w:rPr>
          <w:rFonts w:ascii="Courier New" w:hAnsi="Courier New" w:cs="Courier New"/>
        </w:rPr>
        <w:t>s</w:t>
      </w:r>
      <w:r w:rsidR="007B0CF1">
        <w:rPr>
          <w:rFonts w:ascii="Courier New" w:hAnsi="Courier New" w:cs="Courier New"/>
        </w:rPr>
        <w:t xml:space="preserve"> per square foot for </w:t>
      </w:r>
      <w:proofErr w:type="spellStart"/>
      <w:r w:rsidR="007B0CF1">
        <w:rPr>
          <w:rFonts w:ascii="Courier New" w:hAnsi="Courier New" w:cs="Courier New"/>
        </w:rPr>
        <w:t>Compa</w:t>
      </w:r>
      <w:r w:rsidR="00A02DC3">
        <w:rPr>
          <w:rFonts w:ascii="Courier New" w:hAnsi="Courier New" w:cs="Courier New"/>
        </w:rPr>
        <w:t>rables</w:t>
      </w:r>
      <w:proofErr w:type="spellEnd"/>
      <w:r w:rsidR="00A02DC3">
        <w:rPr>
          <w:rFonts w:ascii="Courier New" w:hAnsi="Courier New" w:cs="Courier New"/>
        </w:rPr>
        <w:t xml:space="preserve"> #1 and #2 </w:t>
      </w:r>
      <w:r w:rsidR="00980598">
        <w:rPr>
          <w:rFonts w:ascii="Courier New" w:hAnsi="Courier New" w:cs="Courier New"/>
        </w:rPr>
        <w:t>and applied this $38.04-per-square-foo</w:t>
      </w:r>
      <w:r w:rsidR="00255F9D">
        <w:rPr>
          <w:rFonts w:ascii="Courier New" w:hAnsi="Courier New" w:cs="Courier New"/>
        </w:rPr>
        <w:t>t value to the subject propertie</w:t>
      </w:r>
      <w:r w:rsidR="00980598">
        <w:rPr>
          <w:rFonts w:ascii="Courier New" w:hAnsi="Courier New" w:cs="Courier New"/>
        </w:rPr>
        <w:t>s</w:t>
      </w:r>
      <w:r w:rsidR="00255F9D">
        <w:rPr>
          <w:rFonts w:ascii="Courier New" w:hAnsi="Courier New" w:cs="Courier New"/>
        </w:rPr>
        <w:t>’</w:t>
      </w:r>
      <w:r w:rsidR="00E13E0E">
        <w:rPr>
          <w:rFonts w:ascii="Courier New" w:hAnsi="Courier New" w:cs="Courier New"/>
        </w:rPr>
        <w:t xml:space="preserve"> total </w:t>
      </w:r>
      <w:r w:rsidR="00E13E0E" w:rsidRPr="00C35983">
        <w:rPr>
          <w:rFonts w:ascii="Courier New" w:hAnsi="Courier New" w:cs="Courier New"/>
        </w:rPr>
        <w:t>20,071</w:t>
      </w:r>
      <w:r w:rsidR="00980598">
        <w:rPr>
          <w:rFonts w:ascii="Courier New" w:hAnsi="Courier New" w:cs="Courier New"/>
        </w:rPr>
        <w:t xml:space="preserve"> square feet to derive a raw land</w:t>
      </w:r>
      <w:r w:rsidR="00E13E0E">
        <w:rPr>
          <w:rFonts w:ascii="Courier New" w:hAnsi="Courier New" w:cs="Courier New"/>
        </w:rPr>
        <w:t xml:space="preserve"> value of $761,070.</w:t>
      </w:r>
      <w:r w:rsidR="00E13E0E">
        <w:rPr>
          <w:rStyle w:val="FootnoteReference"/>
          <w:rFonts w:ascii="Courier New" w:hAnsi="Courier New" w:cs="Courier New"/>
        </w:rPr>
        <w:footnoteReference w:id="1"/>
      </w:r>
      <w:r w:rsidR="00A02DC3">
        <w:rPr>
          <w:rFonts w:ascii="Courier New" w:hAnsi="Courier New" w:cs="Courier New"/>
        </w:rPr>
        <w:t xml:space="preserve"> S</w:t>
      </w:r>
      <w:r w:rsidR="006672D9">
        <w:rPr>
          <w:rFonts w:ascii="Courier New" w:hAnsi="Courier New" w:cs="Courier New"/>
        </w:rPr>
        <w:t>ince the comparable properties al</w:t>
      </w:r>
      <w:r w:rsidR="00AC0E21">
        <w:rPr>
          <w:rFonts w:ascii="Courier New" w:hAnsi="Courier New" w:cs="Courier New"/>
        </w:rPr>
        <w:t>l included</w:t>
      </w:r>
      <w:r w:rsidR="00F8269C">
        <w:rPr>
          <w:rFonts w:ascii="Courier New" w:hAnsi="Courier New" w:cs="Courier New"/>
        </w:rPr>
        <w:t xml:space="preserve"> buildings that were to be demolished,</w:t>
      </w:r>
      <w:r w:rsidR="00A02DC3">
        <w:rPr>
          <w:rFonts w:ascii="Courier New" w:hAnsi="Courier New" w:cs="Courier New"/>
        </w:rPr>
        <w:t xml:space="preserve"> Mr.</w:t>
      </w:r>
      <w:r w:rsidR="00222120">
        <w:rPr>
          <w:rFonts w:ascii="Courier New" w:hAnsi="Courier New" w:cs="Courier New"/>
        </w:rPr>
        <w:t> </w:t>
      </w:r>
      <w:r w:rsidR="00A02DC3">
        <w:rPr>
          <w:rFonts w:ascii="Courier New" w:hAnsi="Courier New" w:cs="Courier New"/>
        </w:rPr>
        <w:t>Fontaine</w:t>
      </w:r>
      <w:r w:rsidR="00980598">
        <w:rPr>
          <w:rFonts w:ascii="Courier New" w:hAnsi="Courier New" w:cs="Courier New"/>
        </w:rPr>
        <w:t xml:space="preserve"> then added the cost of demolitio</w:t>
      </w:r>
      <w:r w:rsidR="006672D9">
        <w:rPr>
          <w:rFonts w:ascii="Courier New" w:hAnsi="Courier New" w:cs="Courier New"/>
        </w:rPr>
        <w:t>n</w:t>
      </w:r>
      <w:r w:rsidR="00F8269C">
        <w:rPr>
          <w:rFonts w:ascii="Courier New" w:hAnsi="Courier New" w:cs="Courier New"/>
        </w:rPr>
        <w:t xml:space="preserve"> to the raw land value.</w:t>
      </w:r>
      <w:r w:rsidR="006672D9">
        <w:rPr>
          <w:rFonts w:ascii="Courier New" w:hAnsi="Courier New" w:cs="Courier New"/>
        </w:rPr>
        <w:t xml:space="preserve"> B</w:t>
      </w:r>
      <w:r w:rsidR="00980598">
        <w:rPr>
          <w:rFonts w:ascii="Courier New" w:hAnsi="Courier New" w:cs="Courier New"/>
        </w:rPr>
        <w:t xml:space="preserve">ased on recent demolition permits on file with the appellee, he determined </w:t>
      </w:r>
      <w:r w:rsidR="00F17508">
        <w:rPr>
          <w:rFonts w:ascii="Courier New" w:hAnsi="Courier New" w:cs="Courier New"/>
        </w:rPr>
        <w:t xml:space="preserve">the cost of demolition </w:t>
      </w:r>
      <w:r w:rsidR="00980598">
        <w:rPr>
          <w:rFonts w:ascii="Courier New" w:hAnsi="Courier New" w:cs="Courier New"/>
        </w:rPr>
        <w:t>to be $6 per square foot of building space, and thus derived a demolition cost of $154,014. He added this demolition cost to the land value, which yielded an indicated value of $</w:t>
      </w:r>
      <w:r w:rsidR="00255F9D">
        <w:rPr>
          <w:rFonts w:ascii="Courier New" w:hAnsi="Courier New" w:cs="Courier New"/>
        </w:rPr>
        <w:t>915,084 for the subject properties</w:t>
      </w:r>
      <w:r w:rsidR="00980598">
        <w:rPr>
          <w:rFonts w:ascii="Courier New" w:hAnsi="Courier New" w:cs="Courier New"/>
        </w:rPr>
        <w:t xml:space="preserve"> for the fiscal year at issue, which slightly exceeded its assessed value of $909,700.</w:t>
      </w:r>
    </w:p>
    <w:p w14:paraId="67998A13" w14:textId="71596ED3" w:rsidR="000A647B" w:rsidRDefault="009877AB" w:rsidP="00D53503">
      <w:pPr>
        <w:spacing w:line="480" w:lineRule="auto"/>
        <w:ind w:firstLine="720"/>
        <w:jc w:val="both"/>
        <w:rPr>
          <w:rFonts w:ascii="Courier New" w:hAnsi="Courier New" w:cs="Courier New"/>
        </w:rPr>
      </w:pPr>
      <w:r>
        <w:rPr>
          <w:rFonts w:ascii="Courier New" w:hAnsi="Courier New" w:cs="Courier New"/>
        </w:rPr>
        <w:t xml:space="preserve">Mr. Fontaine testified that he gave less weight to his </w:t>
      </w:r>
      <w:r w:rsidR="00B506BE">
        <w:rPr>
          <w:rFonts w:ascii="Courier New" w:hAnsi="Courier New" w:cs="Courier New"/>
        </w:rPr>
        <w:t>three</w:t>
      </w:r>
      <w:r>
        <w:rPr>
          <w:rFonts w:ascii="Courier New" w:hAnsi="Courier New" w:cs="Courier New"/>
        </w:rPr>
        <w:t xml:space="preserve"> comparable-sale properties that were located inside the proposed casino “footprint.”  He further explained that all </w:t>
      </w:r>
      <w:r w:rsidR="00B506BE">
        <w:rPr>
          <w:rFonts w:ascii="Courier New" w:hAnsi="Courier New" w:cs="Courier New"/>
        </w:rPr>
        <w:t>three</w:t>
      </w:r>
      <w:r>
        <w:rPr>
          <w:rFonts w:ascii="Courier New" w:hAnsi="Courier New" w:cs="Courier New"/>
        </w:rPr>
        <w:t xml:space="preserve"> of these</w:t>
      </w:r>
      <w:r w:rsidR="000B6CD6">
        <w:rPr>
          <w:rFonts w:ascii="Courier New" w:hAnsi="Courier New" w:cs="Courier New"/>
        </w:rPr>
        <w:t xml:space="preserve"> properties</w:t>
      </w:r>
      <w:r>
        <w:rPr>
          <w:rFonts w:ascii="Courier New" w:hAnsi="Courier New" w:cs="Courier New"/>
        </w:rPr>
        <w:t xml:space="preserve"> </w:t>
      </w:r>
      <w:r w:rsidR="000B6CD6">
        <w:rPr>
          <w:rFonts w:ascii="Courier New" w:hAnsi="Courier New" w:cs="Courier New"/>
        </w:rPr>
        <w:t xml:space="preserve">contained structures that were either removed or demolished.  </w:t>
      </w:r>
      <w:r>
        <w:rPr>
          <w:rFonts w:ascii="Courier New" w:hAnsi="Courier New" w:cs="Courier New"/>
        </w:rPr>
        <w:t>Mr. Fontaine’s analysis for these properties</w:t>
      </w:r>
      <w:r w:rsidR="000B6CD6">
        <w:rPr>
          <w:rFonts w:ascii="Courier New" w:hAnsi="Courier New" w:cs="Courier New"/>
        </w:rPr>
        <w:t xml:space="preserve"> is summarized in the table below:</w:t>
      </w:r>
    </w:p>
    <w:p w14:paraId="0792CCC9" w14:textId="77777777" w:rsidR="00B506BE" w:rsidRDefault="00B506BE" w:rsidP="00D53503">
      <w:pPr>
        <w:spacing w:line="480" w:lineRule="auto"/>
        <w:ind w:firstLine="720"/>
        <w:jc w:val="both"/>
        <w:rPr>
          <w:rFonts w:ascii="Courier New" w:hAnsi="Courier New" w:cs="Courier New"/>
        </w:rPr>
      </w:pPr>
    </w:p>
    <w:p w14:paraId="41725C6B" w14:textId="441B0612" w:rsidR="000A647B" w:rsidRPr="000958C0" w:rsidRDefault="000A647B" w:rsidP="000A647B">
      <w:pPr>
        <w:spacing w:line="480" w:lineRule="auto"/>
        <w:jc w:val="center"/>
        <w:rPr>
          <w:rFonts w:ascii="Courier New" w:hAnsi="Courier New" w:cs="Courier New"/>
          <w:b/>
        </w:rPr>
      </w:pPr>
      <w:r w:rsidRPr="000958C0">
        <w:rPr>
          <w:rFonts w:ascii="Courier New" w:hAnsi="Courier New" w:cs="Courier New"/>
          <w:b/>
        </w:rPr>
        <w:lastRenderedPageBreak/>
        <w:t>Sales inside the proposed</w:t>
      </w:r>
      <w:r w:rsidR="000958C0">
        <w:rPr>
          <w:rFonts w:ascii="Courier New" w:hAnsi="Courier New" w:cs="Courier New"/>
          <w:b/>
        </w:rPr>
        <w:t xml:space="preserve"> casino</w:t>
      </w:r>
      <w:r w:rsidRPr="000958C0">
        <w:rPr>
          <w:rFonts w:ascii="Courier New" w:hAnsi="Courier New" w:cs="Courier New"/>
          <w:b/>
        </w:rPr>
        <w:t xml:space="preserve"> “footprint”</w:t>
      </w:r>
    </w:p>
    <w:tbl>
      <w:tblPr>
        <w:tblStyle w:val="TableGrid"/>
        <w:tblW w:w="9378" w:type="dxa"/>
        <w:tblLook w:val="04A0" w:firstRow="1" w:lastRow="0" w:firstColumn="1" w:lastColumn="0" w:noHBand="0" w:noVBand="1"/>
      </w:tblPr>
      <w:tblGrid>
        <w:gridCol w:w="1638"/>
        <w:gridCol w:w="2520"/>
        <w:gridCol w:w="2700"/>
        <w:gridCol w:w="2520"/>
      </w:tblGrid>
      <w:tr w:rsidR="000A647B" w:rsidRPr="009E13D8" w14:paraId="565E68AB" w14:textId="77777777" w:rsidTr="008834D5">
        <w:tc>
          <w:tcPr>
            <w:tcW w:w="1638" w:type="dxa"/>
          </w:tcPr>
          <w:p w14:paraId="3EB25416" w14:textId="77777777" w:rsidR="000A647B" w:rsidRPr="009E13D8" w:rsidRDefault="000A647B" w:rsidP="008834D5">
            <w:pPr>
              <w:rPr>
                <w:rFonts w:ascii="Courier New" w:hAnsi="Courier New" w:cs="Courier New"/>
                <w:b/>
                <w:sz w:val="22"/>
                <w:szCs w:val="22"/>
              </w:rPr>
            </w:pPr>
            <w:r w:rsidRPr="009E13D8">
              <w:rPr>
                <w:rFonts w:ascii="Courier New" w:hAnsi="Courier New" w:cs="Courier New"/>
                <w:b/>
                <w:sz w:val="22"/>
                <w:szCs w:val="22"/>
              </w:rPr>
              <w:t>Comparable</w:t>
            </w:r>
          </w:p>
        </w:tc>
        <w:tc>
          <w:tcPr>
            <w:tcW w:w="2520" w:type="dxa"/>
          </w:tcPr>
          <w:p w14:paraId="5A50A735" w14:textId="73184F61"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#1: Bliss St.</w:t>
            </w:r>
          </w:p>
        </w:tc>
        <w:tc>
          <w:tcPr>
            <w:tcW w:w="2700" w:type="dxa"/>
          </w:tcPr>
          <w:p w14:paraId="632B94F6" w14:textId="43F38A88" w:rsidR="000A647B" w:rsidRPr="009E13D8" w:rsidRDefault="000A647B" w:rsidP="000A647B">
            <w:pPr>
              <w:rPr>
                <w:rFonts w:ascii="Courier New" w:hAnsi="Courier New" w:cs="Courier New"/>
                <w:sz w:val="22"/>
                <w:szCs w:val="22"/>
              </w:rPr>
            </w:pPr>
            <w:r w:rsidRPr="009E13D8">
              <w:rPr>
                <w:rFonts w:ascii="Courier New" w:hAnsi="Courier New" w:cs="Courier New"/>
                <w:sz w:val="22"/>
                <w:szCs w:val="22"/>
              </w:rPr>
              <w:t>#2: 82 Howard St.</w:t>
            </w:r>
          </w:p>
        </w:tc>
        <w:tc>
          <w:tcPr>
            <w:tcW w:w="2520" w:type="dxa"/>
          </w:tcPr>
          <w:p w14:paraId="19FE931C" w14:textId="06AA20A5"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 xml:space="preserve">#3: 37 Howard St. </w:t>
            </w:r>
          </w:p>
        </w:tc>
      </w:tr>
      <w:tr w:rsidR="000A647B" w:rsidRPr="009E13D8" w14:paraId="0572FBBD" w14:textId="77777777" w:rsidTr="008834D5">
        <w:tc>
          <w:tcPr>
            <w:tcW w:w="1638" w:type="dxa"/>
          </w:tcPr>
          <w:p w14:paraId="7EE25D9B" w14:textId="77777777" w:rsidR="000A647B" w:rsidRPr="009E13D8" w:rsidRDefault="000A647B" w:rsidP="008834D5">
            <w:pPr>
              <w:rPr>
                <w:rFonts w:ascii="Courier New" w:hAnsi="Courier New" w:cs="Courier New"/>
                <w:b/>
                <w:sz w:val="22"/>
                <w:szCs w:val="22"/>
              </w:rPr>
            </w:pPr>
            <w:r w:rsidRPr="009E13D8">
              <w:rPr>
                <w:rFonts w:ascii="Courier New" w:hAnsi="Courier New" w:cs="Courier New"/>
                <w:b/>
                <w:sz w:val="22"/>
                <w:szCs w:val="22"/>
              </w:rPr>
              <w:t>Sale date</w:t>
            </w:r>
          </w:p>
        </w:tc>
        <w:tc>
          <w:tcPr>
            <w:tcW w:w="2520" w:type="dxa"/>
          </w:tcPr>
          <w:p w14:paraId="4D2DFC51" w14:textId="25C21880"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01/22/2013</w:t>
            </w:r>
          </w:p>
        </w:tc>
        <w:tc>
          <w:tcPr>
            <w:tcW w:w="2700" w:type="dxa"/>
          </w:tcPr>
          <w:p w14:paraId="783596C0" w14:textId="3E058F73"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09/28/2012</w:t>
            </w:r>
          </w:p>
        </w:tc>
        <w:tc>
          <w:tcPr>
            <w:tcW w:w="2520" w:type="dxa"/>
          </w:tcPr>
          <w:p w14:paraId="3AE53019" w14:textId="59EFDA10"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04/30/2013</w:t>
            </w:r>
          </w:p>
        </w:tc>
      </w:tr>
      <w:tr w:rsidR="000A647B" w:rsidRPr="009E13D8" w14:paraId="19828808" w14:textId="77777777" w:rsidTr="008834D5">
        <w:tc>
          <w:tcPr>
            <w:tcW w:w="1638" w:type="dxa"/>
          </w:tcPr>
          <w:p w14:paraId="27302E2B" w14:textId="77777777" w:rsidR="000A647B" w:rsidRPr="009E13D8" w:rsidRDefault="000A647B" w:rsidP="008834D5">
            <w:pPr>
              <w:rPr>
                <w:rFonts w:ascii="Courier New" w:hAnsi="Courier New" w:cs="Courier New"/>
                <w:b/>
                <w:sz w:val="22"/>
                <w:szCs w:val="22"/>
              </w:rPr>
            </w:pPr>
            <w:r w:rsidRPr="009E13D8">
              <w:rPr>
                <w:rFonts w:ascii="Courier New" w:hAnsi="Courier New" w:cs="Courier New"/>
                <w:b/>
                <w:sz w:val="22"/>
                <w:szCs w:val="22"/>
              </w:rPr>
              <w:t>Sale price</w:t>
            </w:r>
          </w:p>
        </w:tc>
        <w:tc>
          <w:tcPr>
            <w:tcW w:w="2520" w:type="dxa"/>
          </w:tcPr>
          <w:p w14:paraId="7E67FD69" w14:textId="0A835AE9"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$750,000</w:t>
            </w:r>
          </w:p>
        </w:tc>
        <w:tc>
          <w:tcPr>
            <w:tcW w:w="2700" w:type="dxa"/>
          </w:tcPr>
          <w:p w14:paraId="7671A485" w14:textId="1BD05D83"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$1,000,000</w:t>
            </w:r>
          </w:p>
        </w:tc>
        <w:tc>
          <w:tcPr>
            <w:tcW w:w="2520" w:type="dxa"/>
          </w:tcPr>
          <w:p w14:paraId="00C17A6E" w14:textId="3A58A09A"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 xml:space="preserve">$1,500,000 </w:t>
            </w:r>
          </w:p>
        </w:tc>
      </w:tr>
      <w:tr w:rsidR="000A647B" w:rsidRPr="009E13D8" w14:paraId="10E85588" w14:textId="77777777" w:rsidTr="008834D5">
        <w:tc>
          <w:tcPr>
            <w:tcW w:w="1638" w:type="dxa"/>
          </w:tcPr>
          <w:p w14:paraId="3FA96BFB" w14:textId="77777777" w:rsidR="000A647B" w:rsidRPr="009E13D8" w:rsidRDefault="000A647B" w:rsidP="008834D5">
            <w:pPr>
              <w:rPr>
                <w:rFonts w:ascii="Courier New" w:hAnsi="Courier New" w:cs="Courier New"/>
                <w:b/>
                <w:sz w:val="22"/>
                <w:szCs w:val="22"/>
              </w:rPr>
            </w:pPr>
            <w:r w:rsidRPr="009E13D8">
              <w:rPr>
                <w:rFonts w:ascii="Courier New" w:hAnsi="Courier New" w:cs="Courier New"/>
                <w:b/>
                <w:sz w:val="22"/>
                <w:szCs w:val="22"/>
              </w:rPr>
              <w:t>Land size</w:t>
            </w:r>
          </w:p>
        </w:tc>
        <w:tc>
          <w:tcPr>
            <w:tcW w:w="2520" w:type="dxa"/>
          </w:tcPr>
          <w:p w14:paraId="61A04FB0" w14:textId="418F6944"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0.1377 acres</w:t>
            </w:r>
          </w:p>
        </w:tc>
        <w:tc>
          <w:tcPr>
            <w:tcW w:w="2700" w:type="dxa"/>
          </w:tcPr>
          <w:p w14:paraId="5E1E10D1" w14:textId="551DB0C3"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0.4424 acres</w:t>
            </w:r>
          </w:p>
        </w:tc>
        <w:tc>
          <w:tcPr>
            <w:tcW w:w="2520" w:type="dxa"/>
          </w:tcPr>
          <w:p w14:paraId="427801C2" w14:textId="02DFF929"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0.3663 acres</w:t>
            </w:r>
          </w:p>
        </w:tc>
      </w:tr>
      <w:tr w:rsidR="000A647B" w:rsidRPr="009E13D8" w14:paraId="1969EAE5" w14:textId="77777777" w:rsidTr="008834D5">
        <w:tc>
          <w:tcPr>
            <w:tcW w:w="1638" w:type="dxa"/>
          </w:tcPr>
          <w:p w14:paraId="3C260505" w14:textId="77777777" w:rsidR="000A647B" w:rsidRPr="009E13D8" w:rsidRDefault="000A647B" w:rsidP="008834D5">
            <w:pPr>
              <w:rPr>
                <w:rFonts w:ascii="Courier New" w:hAnsi="Courier New" w:cs="Courier New"/>
                <w:b/>
                <w:sz w:val="22"/>
                <w:szCs w:val="22"/>
              </w:rPr>
            </w:pPr>
            <w:r w:rsidRPr="009E13D8">
              <w:rPr>
                <w:rFonts w:ascii="Courier New" w:hAnsi="Courier New" w:cs="Courier New"/>
                <w:b/>
                <w:sz w:val="22"/>
                <w:szCs w:val="22"/>
              </w:rPr>
              <w:t xml:space="preserve">Value </w:t>
            </w:r>
            <w:proofErr w:type="spellStart"/>
            <w:r w:rsidRPr="009E13D8">
              <w:rPr>
                <w:rFonts w:ascii="Courier New" w:hAnsi="Courier New" w:cs="Courier New"/>
                <w:b/>
                <w:sz w:val="22"/>
                <w:szCs w:val="22"/>
              </w:rPr>
              <w:t>psf</w:t>
            </w:r>
            <w:proofErr w:type="spellEnd"/>
          </w:p>
        </w:tc>
        <w:tc>
          <w:tcPr>
            <w:tcW w:w="2520" w:type="dxa"/>
          </w:tcPr>
          <w:p w14:paraId="199B56A7" w14:textId="67AA008A"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 xml:space="preserve">$120.97 </w:t>
            </w:r>
            <w:proofErr w:type="spellStart"/>
            <w:r w:rsidRPr="009E13D8">
              <w:rPr>
                <w:rFonts w:ascii="Courier New" w:hAnsi="Courier New" w:cs="Courier New"/>
                <w:sz w:val="22"/>
                <w:szCs w:val="22"/>
              </w:rPr>
              <w:t>psf</w:t>
            </w:r>
            <w:proofErr w:type="spellEnd"/>
          </w:p>
        </w:tc>
        <w:tc>
          <w:tcPr>
            <w:tcW w:w="2700" w:type="dxa"/>
          </w:tcPr>
          <w:p w14:paraId="7758033B" w14:textId="650662A8"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 xml:space="preserve">$51.89 </w:t>
            </w:r>
            <w:proofErr w:type="spellStart"/>
            <w:r w:rsidRPr="009E13D8">
              <w:rPr>
                <w:rFonts w:ascii="Courier New" w:hAnsi="Courier New" w:cs="Courier New"/>
                <w:sz w:val="22"/>
                <w:szCs w:val="22"/>
              </w:rPr>
              <w:t>psf</w:t>
            </w:r>
            <w:proofErr w:type="spellEnd"/>
          </w:p>
        </w:tc>
        <w:tc>
          <w:tcPr>
            <w:tcW w:w="2520" w:type="dxa"/>
          </w:tcPr>
          <w:p w14:paraId="0680E1FA" w14:textId="696BDE7E"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 xml:space="preserve">$94.01 </w:t>
            </w:r>
            <w:proofErr w:type="spellStart"/>
            <w:r w:rsidRPr="009E13D8">
              <w:rPr>
                <w:rFonts w:ascii="Courier New" w:hAnsi="Courier New" w:cs="Courier New"/>
                <w:sz w:val="22"/>
                <w:szCs w:val="22"/>
              </w:rPr>
              <w:t>psf</w:t>
            </w:r>
            <w:proofErr w:type="spellEnd"/>
          </w:p>
        </w:tc>
      </w:tr>
      <w:tr w:rsidR="000A647B" w:rsidRPr="009E13D8" w14:paraId="3F1771E0" w14:textId="77777777" w:rsidTr="008834D5">
        <w:tc>
          <w:tcPr>
            <w:tcW w:w="1638" w:type="dxa"/>
          </w:tcPr>
          <w:p w14:paraId="0F651A14" w14:textId="77777777" w:rsidR="000A647B" w:rsidRPr="009E13D8" w:rsidRDefault="000A647B" w:rsidP="008834D5">
            <w:pPr>
              <w:rPr>
                <w:rFonts w:ascii="Courier New" w:hAnsi="Courier New" w:cs="Courier New"/>
                <w:b/>
                <w:sz w:val="22"/>
                <w:szCs w:val="22"/>
              </w:rPr>
            </w:pPr>
            <w:r w:rsidRPr="009E13D8">
              <w:rPr>
                <w:rFonts w:ascii="Courier New" w:hAnsi="Courier New" w:cs="Courier New"/>
                <w:b/>
                <w:sz w:val="22"/>
                <w:szCs w:val="22"/>
              </w:rPr>
              <w:t>Location</w:t>
            </w:r>
          </w:p>
        </w:tc>
        <w:tc>
          <w:tcPr>
            <w:tcW w:w="2520" w:type="dxa"/>
          </w:tcPr>
          <w:p w14:paraId="34A61E4C" w14:textId="01805AAE"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Superior location, within casino “footprint”</w:t>
            </w:r>
          </w:p>
        </w:tc>
        <w:tc>
          <w:tcPr>
            <w:tcW w:w="2700" w:type="dxa"/>
          </w:tcPr>
          <w:p w14:paraId="63E529D1" w14:textId="0FFC6EA1"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Superior location, within casino “footprint”</w:t>
            </w:r>
          </w:p>
        </w:tc>
        <w:tc>
          <w:tcPr>
            <w:tcW w:w="2520" w:type="dxa"/>
          </w:tcPr>
          <w:p w14:paraId="69821974" w14:textId="622CDDAB" w:rsidR="000A647B" w:rsidRPr="009E13D8" w:rsidRDefault="000A647B" w:rsidP="008834D5">
            <w:pPr>
              <w:rPr>
                <w:rFonts w:ascii="Courier New" w:hAnsi="Courier New" w:cs="Courier New"/>
                <w:sz w:val="22"/>
                <w:szCs w:val="22"/>
              </w:rPr>
            </w:pPr>
            <w:r w:rsidRPr="009E13D8">
              <w:rPr>
                <w:rFonts w:ascii="Courier New" w:hAnsi="Courier New" w:cs="Courier New"/>
                <w:sz w:val="22"/>
                <w:szCs w:val="22"/>
              </w:rPr>
              <w:t>Superior location, within casino “footprint”</w:t>
            </w:r>
          </w:p>
        </w:tc>
      </w:tr>
    </w:tbl>
    <w:p w14:paraId="1DDC4CD5" w14:textId="77777777" w:rsidR="00643765" w:rsidRDefault="00643765" w:rsidP="00D53503">
      <w:pPr>
        <w:spacing w:line="480" w:lineRule="auto"/>
        <w:ind w:firstLine="720"/>
        <w:jc w:val="both"/>
        <w:rPr>
          <w:rFonts w:ascii="Courier New" w:hAnsi="Courier New" w:cs="Courier New"/>
        </w:rPr>
      </w:pPr>
    </w:p>
    <w:p w14:paraId="4DB4FBAD" w14:textId="33267269" w:rsidR="000B6CD6" w:rsidRDefault="000B6CD6" w:rsidP="00D53503">
      <w:pPr>
        <w:spacing w:line="480" w:lineRule="auto"/>
        <w:ind w:firstLine="720"/>
        <w:jc w:val="both"/>
        <w:rPr>
          <w:rFonts w:ascii="Courier New" w:hAnsi="Courier New" w:cs="Courier New"/>
        </w:rPr>
      </w:pPr>
      <w:r>
        <w:rPr>
          <w:rFonts w:ascii="Courier New" w:hAnsi="Courier New" w:cs="Courier New"/>
        </w:rPr>
        <w:t xml:space="preserve">Mr. Fontaine testified that he gave more weight to </w:t>
      </w:r>
      <w:proofErr w:type="spellStart"/>
      <w:r>
        <w:rPr>
          <w:rFonts w:ascii="Courier New" w:hAnsi="Courier New" w:cs="Courier New"/>
        </w:rPr>
        <w:t>Comparables</w:t>
      </w:r>
      <w:proofErr w:type="spellEnd"/>
      <w:r>
        <w:rPr>
          <w:rFonts w:ascii="Courier New" w:hAnsi="Courier New" w:cs="Courier New"/>
        </w:rPr>
        <w:t xml:space="preserve"> #2 and #3 because their land sizes were more co</w:t>
      </w:r>
      <w:r w:rsidR="00255F9D">
        <w:rPr>
          <w:rFonts w:ascii="Courier New" w:hAnsi="Courier New" w:cs="Courier New"/>
        </w:rPr>
        <w:t>mparable to the subject properties</w:t>
      </w:r>
      <w:r>
        <w:rPr>
          <w:rFonts w:ascii="Courier New" w:hAnsi="Courier New" w:cs="Courier New"/>
        </w:rPr>
        <w:t>; Comparable #2 in particular, a</w:t>
      </w:r>
      <w:r w:rsidR="003F6543">
        <w:rPr>
          <w:rFonts w:ascii="Courier New" w:hAnsi="Courier New" w:cs="Courier New"/>
        </w:rPr>
        <w:t>t 0.4424 acres, was essentially identical</w:t>
      </w:r>
      <w:r>
        <w:rPr>
          <w:rFonts w:ascii="Courier New" w:hAnsi="Courier New" w:cs="Courier New"/>
        </w:rPr>
        <w:t xml:space="preserve"> to the subject proper</w:t>
      </w:r>
      <w:r w:rsidR="00255F9D">
        <w:rPr>
          <w:rFonts w:ascii="Courier New" w:hAnsi="Courier New" w:cs="Courier New"/>
        </w:rPr>
        <w:t>ties</w:t>
      </w:r>
      <w:r w:rsidR="00710384">
        <w:rPr>
          <w:rFonts w:ascii="Courier New" w:hAnsi="Courier New" w:cs="Courier New"/>
        </w:rPr>
        <w:t>’ land area of</w:t>
      </w:r>
      <w:r>
        <w:rPr>
          <w:rFonts w:ascii="Courier New" w:hAnsi="Courier New" w:cs="Courier New"/>
        </w:rPr>
        <w:t xml:space="preserve"> 0.4444 acres. He noted that the sale pric</w:t>
      </w:r>
      <w:r w:rsidR="00255F9D">
        <w:rPr>
          <w:rFonts w:ascii="Courier New" w:hAnsi="Courier New" w:cs="Courier New"/>
        </w:rPr>
        <w:t>e for Comparable #2 - $51.89 per square foot</w:t>
      </w:r>
      <w:r>
        <w:rPr>
          <w:rFonts w:ascii="Courier New" w:hAnsi="Courier New" w:cs="Courier New"/>
        </w:rPr>
        <w:t xml:space="preserve"> – was higher than the value that the assessors at</w:t>
      </w:r>
      <w:r w:rsidR="00255F9D">
        <w:rPr>
          <w:rFonts w:ascii="Courier New" w:hAnsi="Courier New" w:cs="Courier New"/>
        </w:rPr>
        <w:t>tributed to the subject propertie</w:t>
      </w:r>
      <w:r>
        <w:rPr>
          <w:rFonts w:ascii="Courier New" w:hAnsi="Courier New" w:cs="Courier New"/>
        </w:rPr>
        <w:t>s</w:t>
      </w:r>
      <w:r w:rsidR="00255F9D">
        <w:rPr>
          <w:rFonts w:ascii="Courier New" w:hAnsi="Courier New" w:cs="Courier New"/>
        </w:rPr>
        <w:t>’</w:t>
      </w:r>
      <w:r>
        <w:rPr>
          <w:rFonts w:ascii="Courier New" w:hAnsi="Courier New" w:cs="Courier New"/>
        </w:rPr>
        <w:t xml:space="preserve"> land value, and would yield a higher fair market value than the subject assessment</w:t>
      </w:r>
      <w:r w:rsidR="00871136">
        <w:rPr>
          <w:rFonts w:ascii="Courier New" w:hAnsi="Courier New" w:cs="Courier New"/>
        </w:rPr>
        <w:t>s</w:t>
      </w:r>
      <w:r w:rsidR="00F407A7">
        <w:rPr>
          <w:rFonts w:ascii="Courier New" w:hAnsi="Courier New" w:cs="Courier New"/>
        </w:rPr>
        <w:t>,</w:t>
      </w:r>
      <w:r>
        <w:rPr>
          <w:rFonts w:ascii="Courier New" w:hAnsi="Courier New" w:cs="Courier New"/>
        </w:rPr>
        <w:t xml:space="preserve"> even without considering demolition costs. Mr.</w:t>
      </w:r>
      <w:r w:rsidR="00222120">
        <w:rPr>
          <w:rFonts w:ascii="Courier New" w:hAnsi="Courier New" w:cs="Courier New"/>
        </w:rPr>
        <w:t> </w:t>
      </w:r>
      <w:r>
        <w:rPr>
          <w:rFonts w:ascii="Courier New" w:hAnsi="Courier New" w:cs="Courier New"/>
        </w:rPr>
        <w:t>Fontaine concluded that these comparable-property sales</w:t>
      </w:r>
      <w:r w:rsidR="003F6543">
        <w:rPr>
          <w:rFonts w:ascii="Courier New" w:hAnsi="Courier New" w:cs="Courier New"/>
        </w:rPr>
        <w:t xml:space="preserve"> also</w:t>
      </w:r>
      <w:r>
        <w:rPr>
          <w:rFonts w:ascii="Courier New" w:hAnsi="Courier New" w:cs="Courier New"/>
        </w:rPr>
        <w:t xml:space="preserve"> supported the subject assessment</w:t>
      </w:r>
      <w:r w:rsidR="00871136">
        <w:rPr>
          <w:rFonts w:ascii="Courier New" w:hAnsi="Courier New" w:cs="Courier New"/>
        </w:rPr>
        <w:t>s</w:t>
      </w:r>
      <w:r>
        <w:rPr>
          <w:rFonts w:ascii="Courier New" w:hAnsi="Courier New" w:cs="Courier New"/>
        </w:rPr>
        <w:t>.</w:t>
      </w:r>
    </w:p>
    <w:p w14:paraId="6C597744" w14:textId="3DA59426" w:rsidR="00216B3B" w:rsidRDefault="000B6CD6" w:rsidP="00D53503">
      <w:pPr>
        <w:spacing w:line="480" w:lineRule="auto"/>
        <w:ind w:firstLine="720"/>
        <w:jc w:val="both"/>
        <w:rPr>
          <w:rFonts w:ascii="Courier New" w:hAnsi="Courier New" w:cs="Courier New"/>
        </w:rPr>
      </w:pPr>
      <w:r>
        <w:rPr>
          <w:rFonts w:ascii="Courier New" w:hAnsi="Courier New" w:cs="Courier New"/>
        </w:rPr>
        <w:t>Mr. Fontaine testified that th</w:t>
      </w:r>
      <w:r w:rsidR="004E536A">
        <w:rPr>
          <w:rFonts w:ascii="Courier New" w:hAnsi="Courier New" w:cs="Courier New"/>
        </w:rPr>
        <w:t xml:space="preserve">e assessors considered the cost </w:t>
      </w:r>
      <w:r>
        <w:rPr>
          <w:rFonts w:ascii="Courier New" w:hAnsi="Courier New" w:cs="Courier New"/>
        </w:rPr>
        <w:t>approach to value</w:t>
      </w:r>
      <w:r w:rsidR="00F407A7">
        <w:rPr>
          <w:rFonts w:ascii="Courier New" w:hAnsi="Courier New" w:cs="Courier New"/>
        </w:rPr>
        <w:t>, but only</w:t>
      </w:r>
      <w:r>
        <w:rPr>
          <w:rFonts w:ascii="Courier New" w:hAnsi="Courier New" w:cs="Courier New"/>
        </w:rPr>
        <w:t xml:space="preserve"> as support for the</w:t>
      </w:r>
      <w:r w:rsidR="00F407A7">
        <w:rPr>
          <w:rFonts w:ascii="Courier New" w:hAnsi="Courier New" w:cs="Courier New"/>
        </w:rPr>
        <w:t>ir sales-comparison approach analysis</w:t>
      </w:r>
      <w:r>
        <w:rPr>
          <w:rFonts w:ascii="Courier New" w:hAnsi="Courier New" w:cs="Courier New"/>
        </w:rPr>
        <w:t>.</w:t>
      </w:r>
    </w:p>
    <w:p w14:paraId="69CF1B70" w14:textId="0721BDE8" w:rsidR="000B6CD6" w:rsidRDefault="000B6CD6" w:rsidP="00D53503">
      <w:pPr>
        <w:spacing w:line="480" w:lineRule="auto"/>
        <w:ind w:firstLine="720"/>
        <w:jc w:val="both"/>
        <w:rPr>
          <w:rFonts w:ascii="Courier New" w:hAnsi="Courier New" w:cs="Courier New"/>
        </w:rPr>
      </w:pPr>
      <w:r>
        <w:rPr>
          <w:rFonts w:ascii="Courier New" w:hAnsi="Courier New" w:cs="Courier New"/>
        </w:rPr>
        <w:t>Mr. Fontaine concluded that the subject assessment</w:t>
      </w:r>
      <w:r w:rsidR="006F0751">
        <w:rPr>
          <w:rFonts w:ascii="Courier New" w:hAnsi="Courier New" w:cs="Courier New"/>
        </w:rPr>
        <w:t>s were</w:t>
      </w:r>
      <w:r>
        <w:rPr>
          <w:rFonts w:ascii="Courier New" w:hAnsi="Courier New" w:cs="Courier New"/>
        </w:rPr>
        <w:t xml:space="preserve"> a reasonable v</w:t>
      </w:r>
      <w:r w:rsidR="006F0751">
        <w:rPr>
          <w:rFonts w:ascii="Courier New" w:hAnsi="Courier New" w:cs="Courier New"/>
        </w:rPr>
        <w:t>aluation of the subject properties</w:t>
      </w:r>
      <w:r>
        <w:rPr>
          <w:rFonts w:ascii="Courier New" w:hAnsi="Courier New" w:cs="Courier New"/>
        </w:rPr>
        <w:t>.</w:t>
      </w:r>
    </w:p>
    <w:p w14:paraId="7DECBE8A" w14:textId="6C32E93B" w:rsidR="00A446A2" w:rsidRDefault="000B6CD6" w:rsidP="00FE2449">
      <w:pPr>
        <w:spacing w:line="480" w:lineRule="auto"/>
        <w:ind w:firstLine="720"/>
        <w:jc w:val="both"/>
        <w:rPr>
          <w:rFonts w:ascii="Courier New" w:hAnsi="Courier New" w:cs="Courier New"/>
        </w:rPr>
      </w:pPr>
      <w:r>
        <w:rPr>
          <w:rFonts w:ascii="Courier New" w:hAnsi="Courier New" w:cs="Courier New"/>
        </w:rPr>
        <w:lastRenderedPageBreak/>
        <w:t xml:space="preserve">Upon weighing the evidence, the Board found that the appellant failed to meet its burden of proving a value for the subject </w:t>
      </w:r>
      <w:r w:rsidR="00255F9D">
        <w:rPr>
          <w:rFonts w:ascii="Courier New" w:hAnsi="Courier New" w:cs="Courier New"/>
        </w:rPr>
        <w:t>properties that was less than their</w:t>
      </w:r>
      <w:r>
        <w:rPr>
          <w:rFonts w:ascii="Courier New" w:hAnsi="Courier New" w:cs="Courier New"/>
        </w:rPr>
        <w:t xml:space="preserve"> assessed value</w:t>
      </w:r>
      <w:r w:rsidR="00255F9D">
        <w:rPr>
          <w:rFonts w:ascii="Courier New" w:hAnsi="Courier New" w:cs="Courier New"/>
        </w:rPr>
        <w:t>s</w:t>
      </w:r>
      <w:r>
        <w:rPr>
          <w:rFonts w:ascii="Courier New" w:hAnsi="Courier New" w:cs="Courier New"/>
        </w:rPr>
        <w:t>.</w:t>
      </w:r>
      <w:r w:rsidR="00C82D2D">
        <w:rPr>
          <w:rFonts w:ascii="Courier New" w:hAnsi="Courier New" w:cs="Courier New"/>
        </w:rPr>
        <w:t xml:space="preserve">  </w:t>
      </w:r>
      <w:r w:rsidR="00EA7F29">
        <w:rPr>
          <w:rFonts w:ascii="Courier New" w:hAnsi="Courier New" w:cs="Courier New"/>
        </w:rPr>
        <w:t>G</w:t>
      </w:r>
      <w:r w:rsidR="00C82D2D">
        <w:rPr>
          <w:rFonts w:ascii="Courier New" w:hAnsi="Courier New" w:cs="Courier New"/>
        </w:rPr>
        <w:t>iven the tornad</w:t>
      </w:r>
      <w:r w:rsidR="00AB664D">
        <w:rPr>
          <w:rFonts w:ascii="Courier New" w:hAnsi="Courier New" w:cs="Courier New"/>
        </w:rPr>
        <w:t>o damage to the subject properties</w:t>
      </w:r>
      <w:r w:rsidR="00C82D2D">
        <w:rPr>
          <w:rFonts w:ascii="Courier New" w:hAnsi="Courier New" w:cs="Courier New"/>
        </w:rPr>
        <w:t xml:space="preserve">, </w:t>
      </w:r>
      <w:r w:rsidR="00EA7F29">
        <w:rPr>
          <w:rFonts w:ascii="Courier New" w:hAnsi="Courier New" w:cs="Courier New"/>
        </w:rPr>
        <w:t xml:space="preserve">and the economic downturn experienced by Springfield as pointed out by Mr. Seidman, </w:t>
      </w:r>
      <w:r w:rsidR="00C82D2D">
        <w:rPr>
          <w:rFonts w:ascii="Courier New" w:hAnsi="Courier New" w:cs="Courier New"/>
        </w:rPr>
        <w:t>the highest and best</w:t>
      </w:r>
      <w:r>
        <w:rPr>
          <w:rFonts w:ascii="Courier New" w:hAnsi="Courier New" w:cs="Courier New"/>
        </w:rPr>
        <w:t xml:space="preserve"> </w:t>
      </w:r>
      <w:r w:rsidR="00AB664D">
        <w:rPr>
          <w:rFonts w:ascii="Courier New" w:hAnsi="Courier New" w:cs="Courier New"/>
        </w:rPr>
        <w:t>use of the subject properties</w:t>
      </w:r>
      <w:r w:rsidR="00C82D2D">
        <w:rPr>
          <w:rFonts w:ascii="Courier New" w:hAnsi="Courier New" w:cs="Courier New"/>
        </w:rPr>
        <w:t xml:space="preserve"> was not as an office/retail building with an attendant commercial parking lot</w:t>
      </w:r>
      <w:r w:rsidR="009877AB">
        <w:rPr>
          <w:rFonts w:ascii="Courier New" w:hAnsi="Courier New" w:cs="Courier New"/>
        </w:rPr>
        <w:t>, but instead</w:t>
      </w:r>
      <w:r w:rsidR="00B66ED2">
        <w:rPr>
          <w:rFonts w:ascii="Courier New" w:hAnsi="Courier New" w:cs="Courier New"/>
        </w:rPr>
        <w:t xml:space="preserve"> </w:t>
      </w:r>
      <w:r w:rsidR="00FE2449">
        <w:rPr>
          <w:rFonts w:ascii="Courier New" w:hAnsi="Courier New" w:cs="Courier New"/>
        </w:rPr>
        <w:t xml:space="preserve">as vacant land </w:t>
      </w:r>
      <w:r w:rsidR="00C82D2D">
        <w:rPr>
          <w:rFonts w:ascii="Courier New" w:hAnsi="Courier New" w:cs="Courier New"/>
        </w:rPr>
        <w:t>to be held for future development.</w:t>
      </w:r>
      <w:r>
        <w:rPr>
          <w:rFonts w:ascii="Courier New" w:hAnsi="Courier New" w:cs="Courier New"/>
        </w:rPr>
        <w:t xml:space="preserve"> </w:t>
      </w:r>
      <w:r w:rsidR="008834D5">
        <w:rPr>
          <w:rFonts w:ascii="Courier New" w:hAnsi="Courier New" w:cs="Courier New"/>
        </w:rPr>
        <w:t xml:space="preserve"> </w:t>
      </w:r>
      <w:r w:rsidR="009877AB">
        <w:rPr>
          <w:rFonts w:ascii="Courier New" w:hAnsi="Courier New" w:cs="Courier New"/>
        </w:rPr>
        <w:t>Moreover, the appellant’s valuation analysis was based upon</w:t>
      </w:r>
      <w:r w:rsidR="009877AB" w:rsidRPr="009877AB">
        <w:rPr>
          <w:rFonts w:ascii="Courier New" w:hAnsi="Courier New" w:cs="Courier New"/>
        </w:rPr>
        <w:t xml:space="preserve"> profit and loss statements, which contained expense items that are not properly considered in a valuation analysis for real estate tax purposes.  </w:t>
      </w:r>
      <w:r w:rsidR="008834D5">
        <w:rPr>
          <w:rFonts w:ascii="Courier New" w:hAnsi="Courier New" w:cs="Courier New"/>
        </w:rPr>
        <w:t xml:space="preserve">The Board was thus not persuaded by Mr. Seidman’s </w:t>
      </w:r>
      <w:r w:rsidR="00F17508">
        <w:rPr>
          <w:rFonts w:ascii="Courier New" w:hAnsi="Courier New" w:cs="Courier New"/>
        </w:rPr>
        <w:t xml:space="preserve">income </w:t>
      </w:r>
      <w:r w:rsidR="009877AB">
        <w:rPr>
          <w:rFonts w:ascii="Courier New" w:hAnsi="Courier New" w:cs="Courier New"/>
        </w:rPr>
        <w:t>analysis</w:t>
      </w:r>
      <w:r w:rsidR="008834D5">
        <w:rPr>
          <w:rFonts w:ascii="Courier New" w:hAnsi="Courier New" w:cs="Courier New"/>
        </w:rPr>
        <w:t>.</w:t>
      </w:r>
      <w:r w:rsidR="00FE2449">
        <w:rPr>
          <w:rFonts w:ascii="Courier New" w:hAnsi="Courier New" w:cs="Courier New"/>
        </w:rPr>
        <w:t xml:space="preserve">  </w:t>
      </w:r>
    </w:p>
    <w:p w14:paraId="263D58C1" w14:textId="76747F24" w:rsidR="000B6CD6" w:rsidRDefault="00FE4059" w:rsidP="00D53503">
      <w:pPr>
        <w:spacing w:line="480" w:lineRule="auto"/>
        <w:ind w:firstLine="720"/>
        <w:jc w:val="both"/>
        <w:rPr>
          <w:rFonts w:ascii="Courier New" w:hAnsi="Courier New" w:cs="Courier New"/>
        </w:rPr>
      </w:pPr>
      <w:r>
        <w:rPr>
          <w:rFonts w:ascii="Courier New" w:hAnsi="Courier New" w:cs="Courier New"/>
        </w:rPr>
        <w:t>T</w:t>
      </w:r>
      <w:r w:rsidR="00A446A2">
        <w:rPr>
          <w:rFonts w:ascii="Courier New" w:hAnsi="Courier New" w:cs="Courier New"/>
        </w:rPr>
        <w:t xml:space="preserve">he casino development was not </w:t>
      </w:r>
      <w:r w:rsidR="003F6543">
        <w:rPr>
          <w:rFonts w:ascii="Courier New" w:hAnsi="Courier New" w:cs="Courier New"/>
        </w:rPr>
        <w:t xml:space="preserve">officially awarded until </w:t>
      </w:r>
      <w:r w:rsidR="00B506BE">
        <w:rPr>
          <w:rFonts w:ascii="Courier New" w:hAnsi="Courier New" w:cs="Courier New"/>
        </w:rPr>
        <w:t>five</w:t>
      </w:r>
      <w:r w:rsidR="00A446A2">
        <w:rPr>
          <w:rFonts w:ascii="Courier New" w:hAnsi="Courier New" w:cs="Courier New"/>
        </w:rPr>
        <w:t xml:space="preserve"> months aft</w:t>
      </w:r>
      <w:r>
        <w:rPr>
          <w:rFonts w:ascii="Courier New" w:hAnsi="Courier New" w:cs="Courier New"/>
        </w:rPr>
        <w:t>er the relevant assessment date.  Therefore,</w:t>
      </w:r>
      <w:r w:rsidR="00A446A2">
        <w:rPr>
          <w:rFonts w:ascii="Courier New" w:hAnsi="Courier New" w:cs="Courier New"/>
        </w:rPr>
        <w:t xml:space="preserve"> the Board </w:t>
      </w:r>
      <w:r>
        <w:rPr>
          <w:rFonts w:ascii="Courier New" w:hAnsi="Courier New" w:cs="Courier New"/>
        </w:rPr>
        <w:t>likewise was not persuaded by Mr.</w:t>
      </w:r>
      <w:r w:rsidR="0089488C">
        <w:rPr>
          <w:rFonts w:ascii="Courier New" w:hAnsi="Courier New" w:cs="Courier New"/>
        </w:rPr>
        <w:t> </w:t>
      </w:r>
      <w:r>
        <w:rPr>
          <w:rFonts w:ascii="Courier New" w:hAnsi="Courier New" w:cs="Courier New"/>
        </w:rPr>
        <w:t>Fontaine’s comparable-sales analysis, which</w:t>
      </w:r>
      <w:r w:rsidR="00410225">
        <w:rPr>
          <w:rFonts w:ascii="Courier New" w:hAnsi="Courier New" w:cs="Courier New"/>
        </w:rPr>
        <w:t xml:space="preserve"> used sales occurring </w:t>
      </w:r>
      <w:r>
        <w:rPr>
          <w:rFonts w:ascii="Courier New" w:hAnsi="Courier New" w:cs="Courier New"/>
        </w:rPr>
        <w:t>after the casino was awarded to Springfield and thus heavily influenced by the proposed</w:t>
      </w:r>
      <w:r w:rsidR="006B3499">
        <w:rPr>
          <w:rFonts w:ascii="Courier New" w:hAnsi="Courier New" w:cs="Courier New"/>
        </w:rPr>
        <w:t xml:space="preserve"> development</w:t>
      </w:r>
      <w:r w:rsidR="00B817C7">
        <w:rPr>
          <w:rFonts w:ascii="Courier New" w:hAnsi="Courier New" w:cs="Courier New"/>
        </w:rPr>
        <w:t xml:space="preserve">.  </w:t>
      </w:r>
      <w:r>
        <w:rPr>
          <w:rFonts w:ascii="Courier New" w:hAnsi="Courier New" w:cs="Courier New"/>
        </w:rPr>
        <w:t>However, 82 Howard Street, a property essentially i</w:t>
      </w:r>
      <w:r w:rsidR="00255F9D">
        <w:rPr>
          <w:rFonts w:ascii="Courier New" w:hAnsi="Courier New" w:cs="Courier New"/>
        </w:rPr>
        <w:t>dentical to the subject properties</w:t>
      </w:r>
      <w:r>
        <w:rPr>
          <w:rFonts w:ascii="Courier New" w:hAnsi="Courier New" w:cs="Courier New"/>
        </w:rPr>
        <w:t xml:space="preserve"> in size</w:t>
      </w:r>
      <w:r w:rsidR="004E536A">
        <w:rPr>
          <w:rFonts w:ascii="Courier New" w:hAnsi="Courier New" w:cs="Courier New"/>
        </w:rPr>
        <w:t xml:space="preserve"> that</w:t>
      </w:r>
      <w:r w:rsidR="00205D7C">
        <w:rPr>
          <w:rFonts w:ascii="Courier New" w:hAnsi="Courier New" w:cs="Courier New"/>
        </w:rPr>
        <w:t xml:space="preserve"> </w:t>
      </w:r>
      <w:r w:rsidR="009E0315">
        <w:rPr>
          <w:rFonts w:ascii="Courier New" w:hAnsi="Courier New" w:cs="Courier New"/>
        </w:rPr>
        <w:t xml:space="preserve">was </w:t>
      </w:r>
      <w:r w:rsidR="00205D7C">
        <w:rPr>
          <w:rFonts w:ascii="Courier New" w:hAnsi="Courier New" w:cs="Courier New"/>
        </w:rPr>
        <w:t xml:space="preserve">sold for future development, garnered a sale price of $51.89 per square </w:t>
      </w:r>
      <w:r w:rsidR="00205D7C">
        <w:rPr>
          <w:rFonts w:ascii="Courier New" w:hAnsi="Courier New" w:cs="Courier New"/>
        </w:rPr>
        <w:lastRenderedPageBreak/>
        <w:t xml:space="preserve">foot, </w:t>
      </w:r>
      <w:r w:rsidR="00AB664D">
        <w:rPr>
          <w:rFonts w:ascii="Courier New" w:hAnsi="Courier New" w:cs="Courier New"/>
        </w:rPr>
        <w:t xml:space="preserve">which was </w:t>
      </w:r>
      <w:r w:rsidR="00205D7C">
        <w:rPr>
          <w:rFonts w:ascii="Courier New" w:hAnsi="Courier New" w:cs="Courier New"/>
        </w:rPr>
        <w:t>higher than the value that the assessors at</w:t>
      </w:r>
      <w:r w:rsidR="007C4E5E">
        <w:rPr>
          <w:rFonts w:ascii="Courier New" w:hAnsi="Courier New" w:cs="Courier New"/>
        </w:rPr>
        <w:t>tributed to the subject propertie</w:t>
      </w:r>
      <w:r w:rsidR="00205D7C">
        <w:rPr>
          <w:rFonts w:ascii="Courier New" w:hAnsi="Courier New" w:cs="Courier New"/>
        </w:rPr>
        <w:t>s</w:t>
      </w:r>
      <w:r w:rsidR="007C4E5E">
        <w:rPr>
          <w:rFonts w:ascii="Courier New" w:hAnsi="Courier New" w:cs="Courier New"/>
        </w:rPr>
        <w:t>’</w:t>
      </w:r>
      <w:r w:rsidR="009E0315">
        <w:rPr>
          <w:rFonts w:ascii="Courier New" w:hAnsi="Courier New" w:cs="Courier New"/>
        </w:rPr>
        <w:t xml:space="preserve"> land</w:t>
      </w:r>
      <w:r w:rsidR="00205D7C">
        <w:rPr>
          <w:rFonts w:ascii="Courier New" w:hAnsi="Courier New" w:cs="Courier New"/>
        </w:rPr>
        <w:t>.</w:t>
      </w:r>
      <w:r w:rsidR="005260E3">
        <w:rPr>
          <w:rFonts w:ascii="Courier New" w:hAnsi="Courier New" w:cs="Courier New"/>
        </w:rPr>
        <w:t xml:space="preserve"> </w:t>
      </w:r>
      <w:r w:rsidR="00E9231D">
        <w:rPr>
          <w:rFonts w:ascii="Courier New" w:hAnsi="Courier New" w:cs="Courier New"/>
        </w:rPr>
        <w:t xml:space="preserve">  </w:t>
      </w:r>
    </w:p>
    <w:p w14:paraId="782A7EE1" w14:textId="4739A8F2" w:rsidR="00EA7F29" w:rsidRPr="00D9117E" w:rsidRDefault="00D9117E" w:rsidP="00D9117E">
      <w:pPr>
        <w:spacing w:line="480" w:lineRule="auto"/>
        <w:jc w:val="both"/>
        <w:rPr>
          <w:rFonts w:ascii="Courier New" w:hAnsi="Courier New" w:cs="Courier New"/>
        </w:rPr>
      </w:pPr>
      <w:r>
        <w:rPr>
          <w:rFonts w:ascii="Courier New" w:hAnsi="Courier New" w:cs="Courier New"/>
        </w:rPr>
        <w:tab/>
      </w:r>
      <w:r w:rsidR="009E0315">
        <w:rPr>
          <w:rFonts w:ascii="Courier New" w:hAnsi="Courier New" w:cs="Courier New"/>
        </w:rPr>
        <w:t>On the basis of these findings, the Board found and ruled that t</w:t>
      </w:r>
      <w:r w:rsidR="00205D7C">
        <w:rPr>
          <w:rFonts w:ascii="Courier New" w:hAnsi="Courier New" w:cs="Courier New"/>
        </w:rPr>
        <w:t>he appellant failed to meet its burden of proving a value for the subject properties that wa</w:t>
      </w:r>
      <w:r w:rsidR="00AB664D">
        <w:rPr>
          <w:rFonts w:ascii="Courier New" w:hAnsi="Courier New" w:cs="Courier New"/>
        </w:rPr>
        <w:t>s lower than their</w:t>
      </w:r>
      <w:r w:rsidR="00205D7C">
        <w:rPr>
          <w:rFonts w:ascii="Courier New" w:hAnsi="Courier New" w:cs="Courier New"/>
        </w:rPr>
        <w:t xml:space="preserve"> assessed value</w:t>
      </w:r>
      <w:r w:rsidR="00AB664D">
        <w:rPr>
          <w:rFonts w:ascii="Courier New" w:hAnsi="Courier New" w:cs="Courier New"/>
        </w:rPr>
        <w:t>s</w:t>
      </w:r>
      <w:r w:rsidR="00205D7C">
        <w:rPr>
          <w:rFonts w:ascii="Courier New" w:hAnsi="Courier New" w:cs="Courier New"/>
        </w:rPr>
        <w:t xml:space="preserve">.  </w:t>
      </w:r>
      <w:r>
        <w:rPr>
          <w:rFonts w:ascii="Courier New" w:hAnsi="Courier New" w:cs="Courier New"/>
        </w:rPr>
        <w:t>Accordingly, the Board issued decisio</w:t>
      </w:r>
      <w:r w:rsidR="009C72B7">
        <w:rPr>
          <w:rFonts w:ascii="Courier New" w:hAnsi="Courier New" w:cs="Courier New"/>
        </w:rPr>
        <w:t>ns for the appellee in thes</w:t>
      </w:r>
      <w:r>
        <w:rPr>
          <w:rFonts w:ascii="Courier New" w:hAnsi="Courier New" w:cs="Courier New"/>
        </w:rPr>
        <w:t>e</w:t>
      </w:r>
      <w:r w:rsidR="009C72B7">
        <w:rPr>
          <w:rFonts w:ascii="Courier New" w:hAnsi="Courier New" w:cs="Courier New"/>
        </w:rPr>
        <w:t xml:space="preserve"> appeals</w:t>
      </w:r>
      <w:r>
        <w:rPr>
          <w:rFonts w:ascii="Courier New" w:hAnsi="Courier New" w:cs="Courier New"/>
        </w:rPr>
        <w:t>.</w:t>
      </w:r>
    </w:p>
    <w:p w14:paraId="6C3EEF18" w14:textId="77777777" w:rsidR="00B506BE" w:rsidRDefault="00B506BE" w:rsidP="002C30B7">
      <w:pPr>
        <w:spacing w:line="480" w:lineRule="auto"/>
        <w:jc w:val="center"/>
        <w:rPr>
          <w:rFonts w:ascii="Courier New" w:hAnsi="Courier New" w:cs="Courier New"/>
          <w:b/>
        </w:rPr>
      </w:pPr>
    </w:p>
    <w:p w14:paraId="09788E49" w14:textId="6E3E6F40" w:rsidR="002C30B7" w:rsidRPr="000B493D" w:rsidRDefault="002C30B7" w:rsidP="002C30B7">
      <w:pPr>
        <w:spacing w:line="480" w:lineRule="auto"/>
        <w:jc w:val="center"/>
        <w:rPr>
          <w:rFonts w:ascii="Courier New" w:hAnsi="Courier New" w:cs="Courier New"/>
          <w:b/>
        </w:rPr>
      </w:pPr>
      <w:r>
        <w:rPr>
          <w:rFonts w:ascii="Courier New" w:hAnsi="Courier New" w:cs="Courier New"/>
          <w:b/>
        </w:rPr>
        <w:t>OPINION</w:t>
      </w:r>
    </w:p>
    <w:p w14:paraId="70F7307A" w14:textId="77777777" w:rsidR="002C30B7" w:rsidRPr="009F344E" w:rsidRDefault="002C30B7" w:rsidP="002C30B7">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w:t>
      </w:r>
      <w:proofErr w:type="gramStart"/>
      <w:r w:rsidRPr="009F344E">
        <w:rPr>
          <w:rFonts w:ascii="Courier New" w:hAnsi="Courier New" w:cs="Courier New"/>
        </w:rPr>
        <w:t>G.L. c. 59, § 38.</w:t>
      </w:r>
      <w:proofErr w:type="gramEnd"/>
      <w:r w:rsidRPr="009F344E">
        <w:rPr>
          <w:rFonts w:ascii="Courier New" w:hAnsi="Courier New" w:cs="Courier New"/>
        </w:rPr>
        <w:t xml:space="preserve">  Fair cash value is defined as the price on which a willing seller and a willing buyer in a free and open market will agree if both of them are fully informed and under no compulsion.  </w:t>
      </w:r>
      <w:proofErr w:type="gramStart"/>
      <w:r w:rsidRPr="009F344E">
        <w:rPr>
          <w:rFonts w:ascii="Courier New" w:hAnsi="Courier New" w:cs="Courier New"/>
          <w:b/>
          <w:bCs/>
          <w:i/>
          <w:iCs/>
        </w:rPr>
        <w:t>Boston Gas Co. v. Assessors of Boston</w:t>
      </w:r>
      <w:r w:rsidRPr="009F344E">
        <w:rPr>
          <w:rFonts w:ascii="Courier New" w:hAnsi="Courier New" w:cs="Courier New"/>
        </w:rPr>
        <w:t>, 334 Mass. 549, 566 (1956).</w:t>
      </w:r>
      <w:proofErr w:type="gramEnd"/>
    </w:p>
    <w:p w14:paraId="2B368E09" w14:textId="4A546C01" w:rsidR="003D2958" w:rsidRDefault="002C30B7" w:rsidP="003D2958">
      <w:pPr>
        <w:spacing w:line="480" w:lineRule="auto"/>
        <w:ind w:firstLine="720"/>
        <w:jc w:val="both"/>
        <w:rPr>
          <w:rFonts w:ascii="Courier New" w:hAnsi="Courier New" w:cs="Courier New"/>
        </w:rPr>
      </w:pPr>
      <w:r w:rsidRPr="009F344E">
        <w:rPr>
          <w:rFonts w:ascii="Courier New" w:hAnsi="Courier New" w:cs="Courier New"/>
        </w:rPr>
        <w:t>“‘The burden of</w:t>
      </w:r>
      <w:r>
        <w:rPr>
          <w:rFonts w:ascii="Courier New" w:hAnsi="Courier New" w:cs="Courier New"/>
        </w:rPr>
        <w:t xml:space="preserve"> proof is upon the petitioner to make out its</w:t>
      </w:r>
      <w:r w:rsidRPr="009F344E">
        <w:rPr>
          <w:rFonts w:ascii="Courier New" w:hAnsi="Courier New" w:cs="Courier New"/>
        </w:rPr>
        <w:t xml:space="preserve"> right as [a] matter of law to [an] abatement of the tax.’”</w:t>
      </w:r>
      <w:r>
        <w:rPr>
          <w:rFonts w:ascii="Courier New" w:hAnsi="Courier New" w:cs="Courier New"/>
        </w:rPr>
        <w:t xml:space="preserve"> </w:t>
      </w:r>
      <w:r w:rsidRPr="009F344E">
        <w:rPr>
          <w:rFonts w:ascii="Courier New" w:hAnsi="Courier New" w:cs="Courier New"/>
        </w:rPr>
        <w:t xml:space="preserve"> </w:t>
      </w:r>
      <w:proofErr w:type="spellStart"/>
      <w:r w:rsidRPr="009F344E">
        <w:rPr>
          <w:rFonts w:ascii="Courier New" w:hAnsi="Courier New" w:cs="Courier New"/>
          <w:b/>
          <w:bCs/>
          <w:i/>
          <w:iCs/>
        </w:rPr>
        <w:t>Schlaiker</w:t>
      </w:r>
      <w:proofErr w:type="spellEnd"/>
      <w:r w:rsidRPr="009F344E">
        <w:rPr>
          <w:rFonts w:ascii="Courier New" w:hAnsi="Courier New" w:cs="Courier New"/>
          <w:b/>
          <w:bCs/>
          <w:i/>
          <w:iCs/>
        </w:rPr>
        <w:t xml:space="preserve"> v. Assessors of Great Barrington</w:t>
      </w:r>
      <w:r w:rsidRPr="009F344E">
        <w:rPr>
          <w:rFonts w:ascii="Courier New" w:hAnsi="Courier New" w:cs="Courier New"/>
        </w:rPr>
        <w:t>, 365</w:t>
      </w:r>
      <w:r w:rsidR="00222120">
        <w:rPr>
          <w:rFonts w:ascii="Courier New" w:hAnsi="Courier New" w:cs="Courier New"/>
        </w:rPr>
        <w:t> </w:t>
      </w:r>
      <w:r w:rsidRPr="009F344E">
        <w:rPr>
          <w:rFonts w:ascii="Courier New" w:hAnsi="Courier New" w:cs="Courier New"/>
        </w:rPr>
        <w:t xml:space="preserve">Mass. 243, 245 (1974) (quoting </w:t>
      </w:r>
      <w:r w:rsidRPr="009F344E">
        <w:rPr>
          <w:rFonts w:ascii="Courier New" w:hAnsi="Courier New" w:cs="Courier New"/>
          <w:b/>
          <w:bCs/>
          <w:i/>
          <w:iCs/>
        </w:rPr>
        <w:t>Judson Freight Forwarding Co. v. Commonwealth</w:t>
      </w:r>
      <w:r w:rsidRPr="009F344E">
        <w:rPr>
          <w:rFonts w:ascii="Courier New" w:hAnsi="Courier New" w:cs="Courier New"/>
        </w:rPr>
        <w:t>, 242 Mass. 47, 55 (1922)).</w:t>
      </w:r>
      <w:r>
        <w:rPr>
          <w:rFonts w:ascii="Courier New" w:hAnsi="Courier New" w:cs="Courier New"/>
        </w:rPr>
        <w:t xml:space="preserve"> </w:t>
      </w:r>
      <w:r>
        <w:rPr>
          <w:rFonts w:ascii="Courier New" w:hAnsi="Courier New"/>
        </w:rPr>
        <w:t>In appea</w:t>
      </w:r>
      <w:r w:rsidR="00082400">
        <w:rPr>
          <w:rFonts w:ascii="Courier New" w:hAnsi="Courier New"/>
        </w:rPr>
        <w:t>ls before this Board,</w:t>
      </w:r>
      <w:r>
        <w:rPr>
          <w:rFonts w:ascii="Courier New" w:hAnsi="Courier New"/>
        </w:rPr>
        <w:t xml:space="preserve"> a taxpayer “may present persuasive evidence of overvaluation either by exposing flaws or errors in the assessors’ method of valuation, or by introducing affirmative evidence of value which </w:t>
      </w:r>
      <w:r>
        <w:rPr>
          <w:rFonts w:ascii="Courier New" w:hAnsi="Courier New"/>
        </w:rPr>
        <w:lastRenderedPageBreak/>
        <w:t xml:space="preserve">undermines the assessors’ valuation.”  </w:t>
      </w:r>
      <w:r>
        <w:rPr>
          <w:rFonts w:ascii="Courier New" w:hAnsi="Courier New"/>
          <w:b/>
          <w:i/>
        </w:rPr>
        <w:t>General Electric Co. v. Assessors of Lynn</w:t>
      </w:r>
      <w:r>
        <w:rPr>
          <w:rFonts w:ascii="Courier New" w:hAnsi="Courier New"/>
        </w:rPr>
        <w:t>, 393 Mass. 591, 600 (1984) (</w:t>
      </w:r>
      <w:r w:rsidRPr="00E63BD6">
        <w:rPr>
          <w:rFonts w:ascii="Courier New" w:hAnsi="Courier New"/>
        </w:rPr>
        <w:t>quoting</w:t>
      </w:r>
      <w:r>
        <w:rPr>
          <w:rFonts w:ascii="Courier New" w:hAnsi="Courier New"/>
          <w:i/>
        </w:rPr>
        <w:t xml:space="preserve"> </w:t>
      </w:r>
      <w:proofErr w:type="spellStart"/>
      <w:r>
        <w:rPr>
          <w:rFonts w:ascii="Courier New" w:hAnsi="Courier New"/>
          <w:b/>
          <w:i/>
        </w:rPr>
        <w:t>Donlon</w:t>
      </w:r>
      <w:proofErr w:type="spellEnd"/>
      <w:r>
        <w:rPr>
          <w:rFonts w:ascii="Courier New" w:hAnsi="Courier New"/>
          <w:b/>
          <w:i/>
        </w:rPr>
        <w:t xml:space="preserve"> v. Assessors of Holliston</w:t>
      </w:r>
      <w:r>
        <w:rPr>
          <w:rFonts w:ascii="Courier New" w:hAnsi="Courier New"/>
        </w:rPr>
        <w:t>, 389 Mass. 848, 855</w:t>
      </w:r>
      <w:r w:rsidR="00ED7690">
        <w:rPr>
          <w:rFonts w:ascii="Courier New" w:hAnsi="Courier New"/>
        </w:rPr>
        <w:t xml:space="preserve"> (</w:t>
      </w:r>
      <w:r w:rsidR="00AC6335">
        <w:rPr>
          <w:rFonts w:ascii="Courier New" w:hAnsi="Courier New"/>
        </w:rPr>
        <w:t>1983</w:t>
      </w:r>
      <w:r>
        <w:rPr>
          <w:rFonts w:ascii="Courier New" w:hAnsi="Courier New"/>
        </w:rPr>
        <w:t>)</w:t>
      </w:r>
      <w:r w:rsidR="004E536A">
        <w:rPr>
          <w:rFonts w:ascii="Courier New" w:hAnsi="Courier New"/>
        </w:rPr>
        <w:t>)</w:t>
      </w:r>
      <w:r>
        <w:rPr>
          <w:rFonts w:ascii="Courier New" w:hAnsi="Courier New"/>
        </w:rPr>
        <w:t xml:space="preserve">.  </w:t>
      </w:r>
      <w:r w:rsidRPr="009F344E">
        <w:rPr>
          <w:rFonts w:ascii="Courier New" w:hAnsi="Courier New" w:cs="Courier New"/>
        </w:rPr>
        <w:t xml:space="preserve">“[T]he board is entitled to ‘presume that the valuation made by the assessors [is] valid unless the taxpayers . . . </w:t>
      </w:r>
      <w:proofErr w:type="spellStart"/>
      <w:r w:rsidRPr="009F344E">
        <w:rPr>
          <w:rFonts w:ascii="Courier New" w:hAnsi="Courier New" w:cs="Courier New"/>
        </w:rPr>
        <w:t>prov</w:t>
      </w:r>
      <w:proofErr w:type="spellEnd"/>
      <w:r w:rsidRPr="009F344E">
        <w:rPr>
          <w:rFonts w:ascii="Courier New" w:hAnsi="Courier New" w:cs="Courier New"/>
        </w:rPr>
        <w:t xml:space="preserve">[e] the contrary.’” </w:t>
      </w:r>
      <w:r w:rsidRPr="009F344E">
        <w:rPr>
          <w:rFonts w:ascii="Courier New" w:hAnsi="Courier New" w:cs="Courier New"/>
          <w:b/>
          <w:bCs/>
          <w:i/>
          <w:iCs/>
        </w:rPr>
        <w:t>General E</w:t>
      </w:r>
      <w:r>
        <w:rPr>
          <w:rFonts w:ascii="Courier New" w:hAnsi="Courier New" w:cs="Courier New"/>
          <w:b/>
          <w:bCs/>
          <w:i/>
          <w:iCs/>
        </w:rPr>
        <w:t>lectric Co.</w:t>
      </w:r>
      <w:r w:rsidRPr="009F344E">
        <w:rPr>
          <w:rFonts w:ascii="Courier New" w:hAnsi="Courier New" w:cs="Courier New"/>
        </w:rPr>
        <w:t>, 393</w:t>
      </w:r>
      <w:r>
        <w:rPr>
          <w:rFonts w:ascii="Courier New" w:hAnsi="Courier New" w:cs="Courier New"/>
        </w:rPr>
        <w:t> Mass. at 598</w:t>
      </w:r>
      <w:r w:rsidRPr="009F344E">
        <w:rPr>
          <w:rFonts w:ascii="Courier New" w:hAnsi="Courier New" w:cs="Courier New"/>
        </w:rPr>
        <w:t xml:space="preserve"> (quoting </w:t>
      </w:r>
      <w:proofErr w:type="spellStart"/>
      <w:r w:rsidRPr="009F344E">
        <w:rPr>
          <w:rFonts w:ascii="Courier New" w:hAnsi="Courier New" w:cs="Courier New"/>
          <w:b/>
          <w:bCs/>
          <w:i/>
          <w:iCs/>
        </w:rPr>
        <w:t>Schlaiker</w:t>
      </w:r>
      <w:proofErr w:type="spellEnd"/>
      <w:r w:rsidRPr="009F344E">
        <w:rPr>
          <w:rFonts w:ascii="Courier New" w:hAnsi="Courier New" w:cs="Courier New"/>
        </w:rPr>
        <w:t xml:space="preserve">, 365 Mass. at 245). </w:t>
      </w:r>
    </w:p>
    <w:p w14:paraId="2A9B071B" w14:textId="77777777" w:rsidR="009E13D8" w:rsidRDefault="00211AA8" w:rsidP="00211AA8">
      <w:pPr>
        <w:spacing w:line="480" w:lineRule="auto"/>
        <w:ind w:firstLine="720"/>
        <w:jc w:val="both"/>
        <w:rPr>
          <w:rFonts w:ascii="Courier New" w:hAnsi="Courier New" w:cs="Courier New"/>
        </w:rPr>
      </w:pPr>
      <w:r>
        <w:rPr>
          <w:rFonts w:ascii="Courier New" w:hAnsi="Courier New" w:cs="Courier New"/>
        </w:rPr>
        <w:t>“</w:t>
      </w:r>
      <w:r w:rsidRPr="005F68E3">
        <w:rPr>
          <w:rFonts w:ascii="Courier New" w:hAnsi="Courier New" w:cs="Courier New"/>
        </w:rPr>
        <w:t xml:space="preserve">Prior to </w:t>
      </w:r>
      <w:r>
        <w:rPr>
          <w:rFonts w:ascii="Courier New" w:hAnsi="Courier New" w:cs="Courier New"/>
        </w:rPr>
        <w:t>valuing the subject property</w:t>
      </w:r>
      <w:r w:rsidRPr="005F68E3">
        <w:rPr>
          <w:rFonts w:ascii="Courier New" w:hAnsi="Courier New" w:cs="Courier New"/>
        </w:rPr>
        <w:t xml:space="preserve">, </w:t>
      </w:r>
      <w:r>
        <w:rPr>
          <w:rFonts w:ascii="Courier New" w:hAnsi="Courier New" w:cs="Courier New"/>
        </w:rPr>
        <w:t>its</w:t>
      </w:r>
      <w:r w:rsidRPr="005F68E3">
        <w:rPr>
          <w:rFonts w:ascii="Courier New" w:hAnsi="Courier New" w:cs="Courier New"/>
        </w:rPr>
        <w:t xml:space="preserve"> </w:t>
      </w:r>
      <w:r w:rsidRPr="005F68E3">
        <w:rPr>
          <w:rStyle w:val="term1"/>
          <w:rFonts w:ascii="Courier New" w:hAnsi="Courier New" w:cs="Courier New"/>
          <w:b w:val="0"/>
        </w:rPr>
        <w:t>highest and best</w:t>
      </w:r>
      <w:r w:rsidRPr="005F68E3">
        <w:rPr>
          <w:rFonts w:ascii="Courier New" w:hAnsi="Courier New" w:cs="Courier New"/>
        </w:rPr>
        <w:t xml:space="preserve"> use must be ascertained, which has been defined as the use for which the property would bring the most.</w:t>
      </w:r>
      <w:r>
        <w:rPr>
          <w:rFonts w:ascii="Courier New" w:hAnsi="Courier New" w:cs="Courier New"/>
        </w:rPr>
        <w:t xml:space="preserve">”  </w:t>
      </w:r>
      <w:r w:rsidRPr="005F68E3">
        <w:rPr>
          <w:rFonts w:ascii="Courier New" w:hAnsi="Courier New" w:cs="Courier New"/>
          <w:b/>
          <w:bCs/>
          <w:i/>
          <w:iCs/>
        </w:rPr>
        <w:t>Tennessee Gas Pipeline Co. v. Assessors of Agawam</w:t>
      </w:r>
      <w:r w:rsidRPr="005F68E3">
        <w:rPr>
          <w:rFonts w:ascii="Courier New" w:hAnsi="Courier New" w:cs="Courier New"/>
        </w:rPr>
        <w:t xml:space="preserve">, </w:t>
      </w:r>
      <w:r w:rsidR="004E536A">
        <w:rPr>
          <w:rFonts w:ascii="Courier New" w:hAnsi="Courier New" w:cs="Courier New"/>
        </w:rPr>
        <w:t xml:space="preserve">Mass. </w:t>
      </w:r>
      <w:r>
        <w:rPr>
          <w:rFonts w:ascii="Courier New" w:hAnsi="Courier New" w:cs="Courier New"/>
        </w:rPr>
        <w:t xml:space="preserve">ATB Findings of Fact and Reports 2000-859, 875 </w:t>
      </w:r>
      <w:r w:rsidRPr="005F68E3">
        <w:rPr>
          <w:rFonts w:ascii="Courier New" w:hAnsi="Courier New" w:cs="Courier New"/>
        </w:rPr>
        <w:t xml:space="preserve">(citing </w:t>
      </w:r>
      <w:hyperlink r:id="rId9" w:tgtFrame="_parent" w:history="1">
        <w:proofErr w:type="spellStart"/>
        <w:r w:rsidRPr="005F68E3">
          <w:rPr>
            <w:rFonts w:ascii="Courier New" w:hAnsi="Courier New" w:cs="Courier New"/>
            <w:b/>
            <w:bCs/>
            <w:i/>
            <w:iCs/>
            <w:color w:val="000000"/>
          </w:rPr>
          <w:t>Conness</w:t>
        </w:r>
        <w:proofErr w:type="spellEnd"/>
        <w:r w:rsidRPr="005F68E3">
          <w:rPr>
            <w:rFonts w:ascii="Courier New" w:hAnsi="Courier New" w:cs="Courier New"/>
            <w:b/>
            <w:bCs/>
            <w:i/>
            <w:iCs/>
            <w:color w:val="000000"/>
          </w:rPr>
          <w:t xml:space="preserve"> v. Commonwealth</w:t>
        </w:r>
        <w:r w:rsidRPr="005F68E3">
          <w:rPr>
            <w:rFonts w:ascii="Courier New" w:hAnsi="Courier New" w:cs="Courier New"/>
            <w:color w:val="000000"/>
          </w:rPr>
          <w:t>, 184 Mass. 541, 542-43 (1903)</w:t>
        </w:r>
        <w:r w:rsidR="003A32CE">
          <w:rPr>
            <w:rFonts w:ascii="Courier New" w:hAnsi="Courier New" w:cs="Courier New"/>
            <w:color w:val="000000"/>
          </w:rPr>
          <w:t xml:space="preserve"> and </w:t>
        </w:r>
      </w:hyperlink>
      <w:r w:rsidRPr="005F68E3">
        <w:rPr>
          <w:rFonts w:ascii="Courier New" w:hAnsi="Courier New" w:cs="Courier New"/>
          <w:color w:val="000000"/>
        </w:rPr>
        <w:t xml:space="preserve"> </w:t>
      </w:r>
      <w:hyperlink r:id="rId10" w:tgtFrame="_parent" w:history="1">
        <w:r w:rsidRPr="005F68E3">
          <w:rPr>
            <w:rFonts w:ascii="Courier New" w:hAnsi="Courier New" w:cs="Courier New"/>
            <w:b/>
            <w:bCs/>
            <w:i/>
            <w:iCs/>
            <w:color w:val="000000"/>
          </w:rPr>
          <w:t>Irving Saunders Trust v. Assessors of Boston</w:t>
        </w:r>
        <w:r w:rsidRPr="005F68E3">
          <w:rPr>
            <w:rFonts w:ascii="Courier New" w:hAnsi="Courier New" w:cs="Courier New"/>
            <w:color w:val="000000"/>
          </w:rPr>
          <w:t>, 26 Mass. App. Ct. 838, 843 (1989)</w:t>
        </w:r>
      </w:hyperlink>
      <w:r w:rsidRPr="005F68E3">
        <w:rPr>
          <w:rFonts w:ascii="Courier New" w:hAnsi="Courier New" w:cs="Courier New"/>
        </w:rPr>
        <w:t xml:space="preserve"> and the cases cited therein). </w:t>
      </w:r>
      <w:r w:rsidRPr="00C03ED7">
        <w:rPr>
          <w:rFonts w:ascii="Courier New" w:hAnsi="Courier New" w:cs="Courier New"/>
        </w:rPr>
        <w:t xml:space="preserve">“[T]he phrase ‘highest and best use’ implies the selection of a single use for a single property and . . . the Board is required to make its best judgment as to what that use is likely to be, considering all the evidence presented.” </w:t>
      </w:r>
      <w:r w:rsidRPr="00C03ED7">
        <w:rPr>
          <w:rFonts w:ascii="Courier New" w:hAnsi="Courier New" w:cs="Courier New"/>
          <w:b/>
          <w:i/>
        </w:rPr>
        <w:t>New England Telephon</w:t>
      </w:r>
      <w:r w:rsidR="003A32CE">
        <w:rPr>
          <w:rFonts w:ascii="Courier New" w:hAnsi="Courier New" w:cs="Courier New"/>
          <w:b/>
          <w:i/>
        </w:rPr>
        <w:t xml:space="preserve">e and Telegraph Co. v. </w:t>
      </w:r>
      <w:r w:rsidR="00742BC8">
        <w:rPr>
          <w:rFonts w:ascii="Courier New" w:hAnsi="Courier New" w:cs="Courier New"/>
          <w:b/>
          <w:i/>
        </w:rPr>
        <w:t>Assessors of</w:t>
      </w:r>
      <w:r w:rsidRPr="00C03ED7">
        <w:rPr>
          <w:rFonts w:ascii="Courier New" w:hAnsi="Courier New" w:cs="Courier New"/>
          <w:b/>
          <w:i/>
        </w:rPr>
        <w:t xml:space="preserve"> Framingham</w:t>
      </w:r>
      <w:r w:rsidRPr="00C03ED7">
        <w:rPr>
          <w:rFonts w:ascii="Courier New" w:hAnsi="Courier New" w:cs="Courier New"/>
        </w:rPr>
        <w:t xml:space="preserve">, </w:t>
      </w:r>
      <w:r w:rsidR="003A32CE">
        <w:rPr>
          <w:rFonts w:ascii="Courier New" w:hAnsi="Courier New" w:cs="Courier New"/>
        </w:rPr>
        <w:t xml:space="preserve">Mass. </w:t>
      </w:r>
      <w:r>
        <w:rPr>
          <w:rFonts w:ascii="Courier New" w:hAnsi="Courier New" w:cs="Courier New"/>
        </w:rPr>
        <w:t xml:space="preserve">ATB Findings of Fact and Reports 1988-95, 150. </w:t>
      </w:r>
    </w:p>
    <w:p w14:paraId="78931964" w14:textId="186C6F4D" w:rsidR="00211AA8" w:rsidRPr="005060E6" w:rsidRDefault="00BD49EE" w:rsidP="00211AA8">
      <w:pPr>
        <w:spacing w:line="480" w:lineRule="auto"/>
        <w:ind w:firstLine="720"/>
        <w:jc w:val="both"/>
        <w:rPr>
          <w:rFonts w:ascii="Courier New" w:hAnsi="Courier New" w:cs="Courier New"/>
        </w:rPr>
      </w:pPr>
      <w:r>
        <w:rPr>
          <w:rFonts w:ascii="Courier New" w:hAnsi="Courier New" w:cs="Courier New"/>
        </w:rPr>
        <w:lastRenderedPageBreak/>
        <w:t>A property’</w:t>
      </w:r>
      <w:r w:rsidR="00211AA8" w:rsidRPr="005F68E3">
        <w:rPr>
          <w:rFonts w:ascii="Courier New" w:hAnsi="Courier New" w:cs="Courier New"/>
        </w:rPr>
        <w:t xml:space="preserve">s </w:t>
      </w:r>
      <w:r w:rsidR="00211AA8" w:rsidRPr="005F68E3">
        <w:rPr>
          <w:rStyle w:val="term1"/>
          <w:rFonts w:ascii="Courier New" w:hAnsi="Courier New" w:cs="Courier New"/>
          <w:b w:val="0"/>
        </w:rPr>
        <w:t>highest and best</w:t>
      </w:r>
      <w:r w:rsidR="00211AA8" w:rsidRPr="005F68E3">
        <w:rPr>
          <w:rFonts w:ascii="Courier New" w:hAnsi="Courier New" w:cs="Courier New"/>
        </w:rPr>
        <w:t xml:space="preserve"> use must be legally permissible, physically possible, financially feasible, and maximally productive. </w:t>
      </w:r>
      <w:r w:rsidR="00211AA8" w:rsidRPr="008B16F9">
        <w:rPr>
          <w:rFonts w:ascii="Courier New" w:hAnsi="Courier New" w:cs="Courier New"/>
          <w:smallCaps/>
        </w:rPr>
        <w:t>A</w:t>
      </w:r>
      <w:r w:rsidR="00211AA8">
        <w:rPr>
          <w:rFonts w:ascii="Courier New" w:hAnsi="Courier New" w:cs="Courier New"/>
          <w:smallCaps/>
        </w:rPr>
        <w:t xml:space="preserve">ppraisal </w:t>
      </w:r>
      <w:r w:rsidR="00211AA8" w:rsidRPr="008B16F9">
        <w:rPr>
          <w:rFonts w:ascii="Courier New" w:hAnsi="Courier New" w:cs="Courier New"/>
          <w:smallCaps/>
        </w:rPr>
        <w:t>I</w:t>
      </w:r>
      <w:r w:rsidR="00211AA8">
        <w:rPr>
          <w:rFonts w:ascii="Courier New" w:hAnsi="Courier New" w:cs="Courier New"/>
          <w:smallCaps/>
        </w:rPr>
        <w:t>nstitute</w:t>
      </w:r>
      <w:r w:rsidR="00211AA8" w:rsidRPr="008B16F9">
        <w:rPr>
          <w:rFonts w:ascii="Courier New" w:hAnsi="Courier New" w:cs="Courier New"/>
          <w:smallCaps/>
        </w:rPr>
        <w:t>, T</w:t>
      </w:r>
      <w:r w:rsidR="00211AA8">
        <w:rPr>
          <w:rFonts w:ascii="Courier New" w:hAnsi="Courier New" w:cs="Courier New"/>
          <w:smallCaps/>
        </w:rPr>
        <w:t xml:space="preserve">he </w:t>
      </w:r>
      <w:r w:rsidR="00211AA8" w:rsidRPr="008B16F9">
        <w:rPr>
          <w:rFonts w:ascii="Courier New" w:hAnsi="Courier New" w:cs="Courier New"/>
          <w:smallCaps/>
        </w:rPr>
        <w:t>A</w:t>
      </w:r>
      <w:r w:rsidR="00211AA8">
        <w:rPr>
          <w:rFonts w:ascii="Courier New" w:hAnsi="Courier New" w:cs="Courier New"/>
          <w:smallCaps/>
        </w:rPr>
        <w:t xml:space="preserve">ppraisal </w:t>
      </w:r>
      <w:r w:rsidR="003A32CE">
        <w:rPr>
          <w:rFonts w:ascii="Courier New" w:hAnsi="Courier New" w:cs="Courier New"/>
          <w:smallCaps/>
        </w:rPr>
        <w:t>o</w:t>
      </w:r>
      <w:r w:rsidR="00211AA8">
        <w:rPr>
          <w:rFonts w:ascii="Courier New" w:hAnsi="Courier New" w:cs="Courier New"/>
          <w:smallCaps/>
        </w:rPr>
        <w:t>f</w:t>
      </w:r>
      <w:r w:rsidR="00211AA8" w:rsidRPr="008B16F9">
        <w:rPr>
          <w:rFonts w:ascii="Courier New" w:hAnsi="Courier New" w:cs="Courier New"/>
          <w:smallCaps/>
        </w:rPr>
        <w:t xml:space="preserve"> R</w:t>
      </w:r>
      <w:r w:rsidR="00211AA8">
        <w:rPr>
          <w:rFonts w:ascii="Courier New" w:hAnsi="Courier New" w:cs="Courier New"/>
          <w:smallCaps/>
        </w:rPr>
        <w:t xml:space="preserve">eal </w:t>
      </w:r>
      <w:r w:rsidR="00211AA8" w:rsidRPr="008B16F9">
        <w:rPr>
          <w:rFonts w:ascii="Courier New" w:hAnsi="Courier New" w:cs="Courier New"/>
          <w:smallCaps/>
        </w:rPr>
        <w:t>E</w:t>
      </w:r>
      <w:r w:rsidR="00211AA8">
        <w:rPr>
          <w:rFonts w:ascii="Courier New" w:hAnsi="Courier New" w:cs="Courier New"/>
          <w:smallCaps/>
        </w:rPr>
        <w:t xml:space="preserve">state </w:t>
      </w:r>
      <w:r w:rsidR="00BD57DB">
        <w:rPr>
          <w:rFonts w:ascii="Courier New" w:hAnsi="Courier New" w:cs="Courier New"/>
        </w:rPr>
        <w:t>335 (14</w:t>
      </w:r>
      <w:r w:rsidR="00211AA8" w:rsidRPr="001F7744">
        <w:rPr>
          <w:rFonts w:ascii="Courier New" w:hAnsi="Courier New" w:cs="Courier New"/>
          <w:vertAlign w:val="superscript"/>
        </w:rPr>
        <w:t>th</w:t>
      </w:r>
      <w:r w:rsidR="00211AA8">
        <w:rPr>
          <w:rFonts w:ascii="Courier New" w:hAnsi="Courier New" w:cs="Courier New"/>
        </w:rPr>
        <w:t xml:space="preserve"> </w:t>
      </w:r>
      <w:r w:rsidR="0049277D">
        <w:rPr>
          <w:rFonts w:ascii="Courier New" w:hAnsi="Courier New" w:cs="Courier New"/>
        </w:rPr>
        <w:t>ed.,</w:t>
      </w:r>
      <w:r w:rsidR="00BD57DB">
        <w:rPr>
          <w:rFonts w:ascii="Courier New" w:hAnsi="Courier New" w:cs="Courier New"/>
        </w:rPr>
        <w:t xml:space="preserve"> 2013</w:t>
      </w:r>
      <w:r w:rsidR="00211AA8" w:rsidRPr="005F68E3">
        <w:rPr>
          <w:rFonts w:ascii="Courier New" w:hAnsi="Courier New" w:cs="Courier New"/>
        </w:rPr>
        <w:t>)</w:t>
      </w:r>
      <w:r w:rsidR="00211AA8">
        <w:rPr>
          <w:rFonts w:ascii="Courier New" w:hAnsi="Courier New" w:cs="Courier New"/>
        </w:rPr>
        <w:t>;</w:t>
      </w:r>
      <w:r w:rsidR="00211AA8" w:rsidRPr="005F68E3">
        <w:rPr>
          <w:rFonts w:ascii="Courier New" w:hAnsi="Courier New" w:cs="Courier New"/>
        </w:rPr>
        <w:t xml:space="preserve"> </w:t>
      </w:r>
      <w:r w:rsidR="00211AA8">
        <w:rPr>
          <w:rFonts w:ascii="Courier New" w:hAnsi="Courier New" w:cs="Courier New"/>
          <w:i/>
          <w:iCs/>
        </w:rPr>
        <w:t>s</w:t>
      </w:r>
      <w:r w:rsidR="00211AA8" w:rsidRPr="005F68E3">
        <w:rPr>
          <w:rFonts w:ascii="Courier New" w:hAnsi="Courier New" w:cs="Courier New"/>
          <w:i/>
          <w:iCs/>
        </w:rPr>
        <w:t>ee also</w:t>
      </w:r>
      <w:r w:rsidR="00211AA8" w:rsidRPr="005F68E3">
        <w:rPr>
          <w:rFonts w:ascii="Courier New" w:hAnsi="Courier New" w:cs="Courier New"/>
        </w:rPr>
        <w:t xml:space="preserve"> </w:t>
      </w:r>
      <w:hyperlink r:id="rId11" w:tgtFrame="_parent" w:history="1">
        <w:r w:rsidR="00211AA8" w:rsidRPr="005F68E3">
          <w:rPr>
            <w:rFonts w:ascii="Courier New" w:hAnsi="Courier New" w:cs="Courier New"/>
            <w:b/>
            <w:bCs/>
            <w:i/>
            <w:iCs/>
            <w:color w:val="000000"/>
          </w:rPr>
          <w:t>Skyline Homes, Inc. v. Commonwealth</w:t>
        </w:r>
        <w:r w:rsidR="00211AA8" w:rsidRPr="005F68E3">
          <w:rPr>
            <w:rFonts w:ascii="Courier New" w:hAnsi="Courier New" w:cs="Courier New"/>
            <w:color w:val="000000"/>
          </w:rPr>
          <w:t>, 362 Mass. 684, 687 (1972)</w:t>
        </w:r>
        <w:r w:rsidR="00211AA8">
          <w:rPr>
            <w:rFonts w:ascii="Courier New" w:hAnsi="Courier New" w:cs="Courier New"/>
            <w:color w:val="000000"/>
          </w:rPr>
          <w:t>;</w:t>
        </w:r>
      </w:hyperlink>
      <w:r w:rsidR="00211AA8" w:rsidRPr="005F68E3">
        <w:rPr>
          <w:rFonts w:ascii="Courier New" w:hAnsi="Courier New" w:cs="Courier New"/>
        </w:rPr>
        <w:t xml:space="preserve"> </w:t>
      </w:r>
      <w:proofErr w:type="spellStart"/>
      <w:r w:rsidR="00211AA8" w:rsidRPr="00C03ED7">
        <w:rPr>
          <w:rFonts w:ascii="Courier New" w:hAnsi="Courier New" w:cs="Courier New"/>
          <w:b/>
          <w:i/>
        </w:rPr>
        <w:t>DiBaise</w:t>
      </w:r>
      <w:proofErr w:type="spellEnd"/>
      <w:r w:rsidR="00211AA8" w:rsidRPr="00C03ED7">
        <w:rPr>
          <w:rFonts w:ascii="Courier New" w:hAnsi="Courier New" w:cs="Courier New"/>
          <w:b/>
          <w:i/>
        </w:rPr>
        <w:t xml:space="preserve"> v. Town of Rowley</w:t>
      </w:r>
      <w:r w:rsidR="00211AA8" w:rsidRPr="00C03ED7">
        <w:rPr>
          <w:rFonts w:ascii="Courier New" w:hAnsi="Courier New" w:cs="Courier New"/>
        </w:rPr>
        <w:t>, 33</w:t>
      </w:r>
      <w:r w:rsidR="00211AA8">
        <w:rPr>
          <w:rFonts w:ascii="Courier New" w:hAnsi="Courier New" w:cs="Courier New"/>
        </w:rPr>
        <w:t xml:space="preserve"> Mass. App. Ct. 928 (1992). </w:t>
      </w:r>
      <w:r w:rsidR="00211AA8" w:rsidRPr="005060E6">
        <w:rPr>
          <w:rFonts w:ascii="Courier New" w:hAnsi="Courier New" w:cs="Courier New"/>
        </w:rPr>
        <w:t>While property cannot be valued on the basis of hypothetical or future uses that are remote or speculative, s</w:t>
      </w:r>
      <w:r w:rsidR="00211AA8" w:rsidRPr="005060E6">
        <w:rPr>
          <w:rFonts w:ascii="Courier New" w:hAnsi="Courier New" w:cs="Courier New"/>
          <w:i/>
        </w:rPr>
        <w:t xml:space="preserve">ee </w:t>
      </w:r>
      <w:r w:rsidR="00211AA8" w:rsidRPr="005060E6">
        <w:rPr>
          <w:rFonts w:ascii="Courier New" w:hAnsi="Courier New" w:cs="Courier New"/>
          <w:b/>
          <w:i/>
        </w:rPr>
        <w:t>Skyline Homes</w:t>
      </w:r>
      <w:r w:rsidR="00211AA8" w:rsidRPr="005060E6">
        <w:rPr>
          <w:rFonts w:ascii="Courier New" w:hAnsi="Courier New" w:cs="Courier New"/>
        </w:rPr>
        <w:t>, 362</w:t>
      </w:r>
      <w:r w:rsidR="0089488C">
        <w:rPr>
          <w:rFonts w:ascii="Courier New" w:hAnsi="Courier New" w:cs="Courier New"/>
        </w:rPr>
        <w:t> </w:t>
      </w:r>
      <w:r w:rsidR="00211AA8" w:rsidRPr="005060E6">
        <w:rPr>
          <w:rFonts w:ascii="Courier New" w:hAnsi="Courier New" w:cs="Courier New"/>
        </w:rPr>
        <w:t>Mass. at 687</w:t>
      </w:r>
      <w:r w:rsidR="00B506BE">
        <w:rPr>
          <w:rFonts w:ascii="Courier New" w:hAnsi="Courier New" w:cs="Courier New"/>
        </w:rPr>
        <w:t>,</w:t>
      </w:r>
      <w:r w:rsidR="00211AA8" w:rsidRPr="005060E6">
        <w:rPr>
          <w:rFonts w:ascii="Courier New" w:hAnsi="Courier New" w:cs="Courier New"/>
        </w:rPr>
        <w:t xml:space="preserve"> </w:t>
      </w:r>
      <w:proofErr w:type="spellStart"/>
      <w:r w:rsidR="00211AA8" w:rsidRPr="005060E6">
        <w:rPr>
          <w:rFonts w:ascii="Courier New" w:hAnsi="Courier New" w:cs="Courier New"/>
          <w:b/>
          <w:i/>
        </w:rPr>
        <w:t>Tigar</w:t>
      </w:r>
      <w:proofErr w:type="spellEnd"/>
      <w:r w:rsidR="00211AA8" w:rsidRPr="005060E6">
        <w:rPr>
          <w:rFonts w:ascii="Courier New" w:hAnsi="Courier New" w:cs="Courier New"/>
          <w:b/>
          <w:i/>
        </w:rPr>
        <w:t xml:space="preserve"> v. </w:t>
      </w:r>
      <w:smartTag w:uri="urn:schemas-microsoft-com:office:smarttags" w:element="PlaceName">
        <w:r w:rsidR="00211AA8" w:rsidRPr="005060E6">
          <w:rPr>
            <w:rFonts w:ascii="Courier New" w:hAnsi="Courier New" w:cs="Courier New"/>
            <w:b/>
            <w:i/>
          </w:rPr>
          <w:t>Mystic</w:t>
        </w:r>
      </w:smartTag>
      <w:r w:rsidR="00211AA8" w:rsidRPr="005060E6">
        <w:rPr>
          <w:rFonts w:ascii="Courier New" w:hAnsi="Courier New" w:cs="Courier New"/>
          <w:b/>
          <w:i/>
        </w:rPr>
        <w:t xml:space="preserve"> </w:t>
      </w:r>
      <w:smartTag w:uri="urn:schemas-microsoft-com:office:smarttags" w:element="PlaceType">
        <w:r w:rsidR="00211AA8" w:rsidRPr="005060E6">
          <w:rPr>
            <w:rFonts w:ascii="Courier New" w:hAnsi="Courier New" w:cs="Courier New"/>
            <w:b/>
            <w:i/>
          </w:rPr>
          <w:t>River</w:t>
        </w:r>
      </w:smartTag>
      <w:r w:rsidR="00211AA8" w:rsidRPr="005060E6">
        <w:rPr>
          <w:rFonts w:ascii="Courier New" w:hAnsi="Courier New" w:cs="Courier New"/>
          <w:b/>
          <w:i/>
        </w:rPr>
        <w:t xml:space="preserve"> </w:t>
      </w:r>
      <w:smartTag w:uri="urn:schemas-microsoft-com:office:smarttags" w:element="PlaceType">
        <w:r w:rsidR="00211AA8" w:rsidRPr="005060E6">
          <w:rPr>
            <w:rFonts w:ascii="Courier New" w:hAnsi="Courier New" w:cs="Courier New"/>
            <w:b/>
            <w:i/>
          </w:rPr>
          <w:t>Bridge</w:t>
        </w:r>
      </w:smartTag>
      <w:r w:rsidR="00211AA8" w:rsidRPr="005060E6">
        <w:rPr>
          <w:rFonts w:ascii="Courier New" w:hAnsi="Courier New" w:cs="Courier New"/>
          <w:b/>
          <w:i/>
        </w:rPr>
        <w:t xml:space="preserve"> Authority</w:t>
      </w:r>
      <w:r w:rsidR="00211AA8" w:rsidRPr="005060E6">
        <w:rPr>
          <w:rFonts w:ascii="Courier New" w:hAnsi="Courier New" w:cs="Courier New"/>
        </w:rPr>
        <w:t xml:space="preserve">, 329 </w:t>
      </w:r>
      <w:smartTag w:uri="urn:schemas-microsoft-com:office:smarttags" w:element="State">
        <w:r w:rsidR="00211AA8" w:rsidRPr="005060E6">
          <w:rPr>
            <w:rFonts w:ascii="Courier New" w:hAnsi="Courier New" w:cs="Courier New"/>
          </w:rPr>
          <w:t>Mass.</w:t>
        </w:r>
      </w:smartTag>
      <w:r w:rsidR="00211AA8" w:rsidRPr="005060E6">
        <w:rPr>
          <w:rFonts w:ascii="Courier New" w:hAnsi="Courier New" w:cs="Courier New"/>
        </w:rPr>
        <w:t xml:space="preserve"> 514, 518 (1952)</w:t>
      </w:r>
      <w:r w:rsidR="00CE3BF7">
        <w:rPr>
          <w:rFonts w:ascii="Courier New" w:hAnsi="Courier New" w:cs="Courier New"/>
        </w:rPr>
        <w:t>,</w:t>
      </w:r>
      <w:r w:rsidR="00211AA8" w:rsidRPr="005060E6">
        <w:rPr>
          <w:rFonts w:ascii="Courier New" w:hAnsi="Courier New" w:cs="Courier New"/>
        </w:rPr>
        <w:t xml:space="preserve"> </w:t>
      </w:r>
      <w:r w:rsidR="00211AA8" w:rsidRPr="00CE3BF7">
        <w:rPr>
          <w:rFonts w:ascii="Courier New" w:hAnsi="Courier New" w:cs="Courier New"/>
        </w:rPr>
        <w:t>and</w:t>
      </w:r>
      <w:r w:rsidR="00211AA8" w:rsidRPr="005060E6">
        <w:rPr>
          <w:rFonts w:ascii="Courier New" w:hAnsi="Courier New" w:cs="Courier New"/>
        </w:rPr>
        <w:t xml:space="preserve"> </w:t>
      </w:r>
      <w:r w:rsidR="00211AA8" w:rsidRPr="005060E6">
        <w:rPr>
          <w:rFonts w:ascii="Courier New" w:hAnsi="Courier New" w:cs="Courier New"/>
          <w:b/>
          <w:i/>
        </w:rPr>
        <w:t xml:space="preserve">Salem Country Club, Inc. v. </w:t>
      </w:r>
      <w:smartTag w:uri="urn:schemas-microsoft-com:office:smarttags" w:element="place">
        <w:smartTag w:uri="urn:schemas-microsoft-com:office:smarttags" w:element="City">
          <w:r w:rsidR="00211AA8" w:rsidRPr="005060E6">
            <w:rPr>
              <w:rFonts w:ascii="Courier New" w:hAnsi="Courier New" w:cs="Courier New"/>
              <w:b/>
              <w:i/>
            </w:rPr>
            <w:t>Peabody</w:t>
          </w:r>
        </w:smartTag>
      </w:smartTag>
      <w:r w:rsidR="00211AA8" w:rsidRPr="005060E6">
        <w:rPr>
          <w:rFonts w:ascii="Courier New" w:hAnsi="Courier New" w:cs="Courier New"/>
          <w:b/>
          <w:i/>
        </w:rPr>
        <w:t xml:space="preserve"> Redevelopment Authority</w:t>
      </w:r>
      <w:r w:rsidR="00211AA8" w:rsidRPr="005060E6">
        <w:rPr>
          <w:rFonts w:ascii="Courier New" w:hAnsi="Courier New" w:cs="Courier New"/>
        </w:rPr>
        <w:t xml:space="preserve">, </w:t>
      </w:r>
      <w:smartTag w:uri="urn:schemas-microsoft-com:office:smarttags" w:element="Street">
        <w:smartTag w:uri="urn:schemas-microsoft-com:office:smarttags" w:element="address">
          <w:r w:rsidR="00211AA8" w:rsidRPr="005060E6">
            <w:rPr>
              <w:rFonts w:ascii="Courier New" w:hAnsi="Courier New" w:cs="Courier New"/>
            </w:rPr>
            <w:t>21 Mass. App. Ct.</w:t>
          </w:r>
        </w:smartTag>
      </w:smartTag>
      <w:r w:rsidR="00211AA8" w:rsidRPr="005060E6">
        <w:rPr>
          <w:rFonts w:ascii="Courier New" w:hAnsi="Courier New" w:cs="Courier New"/>
        </w:rPr>
        <w:t xml:space="preserve"> 433, 435 (1986),</w:t>
      </w:r>
      <w:r w:rsidR="005060E6" w:rsidRPr="005060E6">
        <w:rPr>
          <w:rFonts w:ascii="Courier New" w:hAnsi="Courier New" w:cs="Courier New"/>
        </w:rPr>
        <w:t xml:space="preserve"> “the Board is required to make its best judgment as to what [the highest and best] use is likely to be, considering all the evidence presented. . . . [T]his process involves some uncertainty.” </w:t>
      </w:r>
      <w:r w:rsidR="005060E6" w:rsidRPr="005060E6">
        <w:rPr>
          <w:rFonts w:ascii="Courier New" w:hAnsi="Courier New" w:cs="Courier New"/>
          <w:b/>
          <w:i/>
        </w:rPr>
        <w:t>New England Telephone a</w:t>
      </w:r>
      <w:r w:rsidR="00CE3BF7">
        <w:rPr>
          <w:rFonts w:ascii="Courier New" w:hAnsi="Courier New" w:cs="Courier New"/>
          <w:b/>
          <w:i/>
        </w:rPr>
        <w:t>nd Telegraph Co.</w:t>
      </w:r>
      <w:r w:rsidR="005060E6" w:rsidRPr="005060E6">
        <w:rPr>
          <w:rFonts w:ascii="Courier New" w:hAnsi="Courier New" w:cs="Courier New"/>
        </w:rPr>
        <w:t xml:space="preserve">, </w:t>
      </w:r>
      <w:r w:rsidR="005060E6">
        <w:rPr>
          <w:rFonts w:ascii="Courier New" w:hAnsi="Courier New" w:cs="Courier New"/>
        </w:rPr>
        <w:t xml:space="preserve">Mass. ATB Findings of Fact and Reports </w:t>
      </w:r>
      <w:r w:rsidR="00CE3BF7">
        <w:rPr>
          <w:rFonts w:ascii="Courier New" w:hAnsi="Courier New" w:cs="Courier New"/>
        </w:rPr>
        <w:t xml:space="preserve">at </w:t>
      </w:r>
      <w:r w:rsidR="005060E6">
        <w:rPr>
          <w:rFonts w:ascii="Courier New" w:hAnsi="Courier New" w:cs="Courier New"/>
        </w:rPr>
        <w:t>198</w:t>
      </w:r>
      <w:r w:rsidR="005060E6" w:rsidRPr="00E0462D">
        <w:rPr>
          <w:rFonts w:ascii="Courier New" w:hAnsi="Courier New" w:cs="Courier New"/>
        </w:rPr>
        <w:t>8</w:t>
      </w:r>
      <w:r w:rsidR="005060E6">
        <w:rPr>
          <w:rFonts w:ascii="Courier New" w:hAnsi="Courier New" w:cs="Courier New"/>
        </w:rPr>
        <w:t>-</w:t>
      </w:r>
      <w:r w:rsidR="00E0462D" w:rsidRPr="00EE01A8">
        <w:rPr>
          <w:rFonts w:ascii="Courier New" w:hAnsi="Courier New" w:cs="Courier New"/>
        </w:rPr>
        <w:t>150</w:t>
      </w:r>
      <w:r w:rsidR="005060E6" w:rsidRPr="005060E6">
        <w:rPr>
          <w:rFonts w:ascii="Courier New" w:hAnsi="Courier New" w:cs="Courier New"/>
        </w:rPr>
        <w:t xml:space="preserve">.  </w:t>
      </w:r>
      <w:r w:rsidR="00211AA8" w:rsidRPr="005060E6">
        <w:rPr>
          <w:rFonts w:ascii="Courier New" w:hAnsi="Courier New" w:cs="Courier New"/>
        </w:rPr>
        <w:t xml:space="preserve">   </w:t>
      </w:r>
    </w:p>
    <w:p w14:paraId="4B05A26A" w14:textId="2EAF2D4E" w:rsidR="00CE5DC3" w:rsidRDefault="00211AA8" w:rsidP="004A3CA5">
      <w:pPr>
        <w:spacing w:line="480" w:lineRule="auto"/>
        <w:ind w:firstLine="720"/>
        <w:jc w:val="both"/>
        <w:rPr>
          <w:rFonts w:ascii="Courier New" w:hAnsi="Courier New" w:cs="Courier New"/>
        </w:rPr>
      </w:pPr>
      <w:r w:rsidRPr="005060E6">
        <w:rPr>
          <w:rFonts w:ascii="Courier New" w:hAnsi="Courier New" w:cs="Courier New"/>
        </w:rPr>
        <w:t>In the present appeal</w:t>
      </w:r>
      <w:r w:rsidR="00E50C25">
        <w:rPr>
          <w:rFonts w:ascii="Courier New" w:hAnsi="Courier New" w:cs="Courier New"/>
        </w:rPr>
        <w:t>s</w:t>
      </w:r>
      <w:r w:rsidRPr="005060E6">
        <w:rPr>
          <w:rFonts w:ascii="Courier New" w:hAnsi="Courier New" w:cs="Courier New"/>
        </w:rPr>
        <w:t>, the Board ruled that</w:t>
      </w:r>
      <w:r w:rsidR="00BF1F71">
        <w:rPr>
          <w:rFonts w:ascii="Courier New" w:hAnsi="Courier New" w:cs="Courier New"/>
        </w:rPr>
        <w:t>, contrary to the appellant’s assumption,</w:t>
      </w:r>
      <w:r w:rsidRPr="005060E6">
        <w:rPr>
          <w:rFonts w:ascii="Courier New" w:hAnsi="Courier New" w:cs="Courier New"/>
        </w:rPr>
        <w:t xml:space="preserve"> </w:t>
      </w:r>
      <w:r w:rsidRPr="005F68E3">
        <w:rPr>
          <w:rFonts w:ascii="Courier New" w:hAnsi="Courier New" w:cs="Courier New"/>
        </w:rPr>
        <w:t xml:space="preserve">the </w:t>
      </w:r>
      <w:r w:rsidRPr="005F68E3">
        <w:rPr>
          <w:rStyle w:val="term1"/>
          <w:rFonts w:ascii="Courier New" w:hAnsi="Courier New" w:cs="Courier New"/>
          <w:b w:val="0"/>
        </w:rPr>
        <w:t>highest and best</w:t>
      </w:r>
      <w:r w:rsidRPr="005F68E3">
        <w:rPr>
          <w:rFonts w:ascii="Courier New" w:hAnsi="Courier New" w:cs="Courier New"/>
        </w:rPr>
        <w:t xml:space="preserve"> use of the </w:t>
      </w:r>
      <w:r>
        <w:rPr>
          <w:rFonts w:ascii="Courier New" w:hAnsi="Courier New" w:cs="Courier New"/>
        </w:rPr>
        <w:t xml:space="preserve">subject </w:t>
      </w:r>
      <w:r w:rsidR="00D548A1">
        <w:rPr>
          <w:rFonts w:ascii="Courier New" w:hAnsi="Courier New" w:cs="Courier New"/>
        </w:rPr>
        <w:t>properties</w:t>
      </w:r>
      <w:r w:rsidRPr="005F68E3">
        <w:rPr>
          <w:rFonts w:ascii="Courier New" w:hAnsi="Courier New" w:cs="Courier New"/>
        </w:rPr>
        <w:t xml:space="preserve"> was </w:t>
      </w:r>
      <w:r w:rsidR="00BF1F71">
        <w:rPr>
          <w:rFonts w:ascii="Courier New" w:hAnsi="Courier New" w:cs="Courier New"/>
        </w:rPr>
        <w:t xml:space="preserve">not as an office/retail building with attendant parking lot, but rather </w:t>
      </w:r>
      <w:r w:rsidR="00D548A1">
        <w:rPr>
          <w:rFonts w:ascii="Courier New" w:hAnsi="Courier New" w:cs="Courier New"/>
        </w:rPr>
        <w:t xml:space="preserve">as </w:t>
      </w:r>
      <w:r w:rsidR="00B52304">
        <w:rPr>
          <w:rFonts w:ascii="Courier New" w:hAnsi="Courier New" w:cs="Courier New"/>
        </w:rPr>
        <w:t xml:space="preserve">vacant </w:t>
      </w:r>
      <w:r>
        <w:rPr>
          <w:rFonts w:ascii="Courier New" w:hAnsi="Courier New" w:cs="Courier New"/>
        </w:rPr>
        <w:t>l</w:t>
      </w:r>
      <w:r w:rsidR="00B506BE">
        <w:rPr>
          <w:rFonts w:ascii="Courier New" w:hAnsi="Courier New" w:cs="Courier New"/>
        </w:rPr>
        <w:t>and</w:t>
      </w:r>
      <w:r>
        <w:rPr>
          <w:rFonts w:ascii="Courier New" w:hAnsi="Courier New" w:cs="Courier New"/>
        </w:rPr>
        <w:t xml:space="preserve"> to be held for future development. </w:t>
      </w:r>
      <w:r w:rsidR="00845A85">
        <w:rPr>
          <w:rFonts w:ascii="Courier New" w:hAnsi="Courier New" w:cs="Courier New"/>
        </w:rPr>
        <w:t>The appellant</w:t>
      </w:r>
      <w:r w:rsidR="00B52304">
        <w:rPr>
          <w:rFonts w:ascii="Courier New" w:hAnsi="Courier New" w:cs="Courier New"/>
        </w:rPr>
        <w:t xml:space="preserve"> offered a valuation</w:t>
      </w:r>
      <w:r w:rsidR="00D548A1">
        <w:rPr>
          <w:rFonts w:ascii="Courier New" w:hAnsi="Courier New" w:cs="Courier New"/>
        </w:rPr>
        <w:t xml:space="preserve"> based on the subject properties’</w:t>
      </w:r>
      <w:r w:rsidR="00B52304">
        <w:rPr>
          <w:rFonts w:ascii="Courier New" w:hAnsi="Courier New" w:cs="Courier New"/>
        </w:rPr>
        <w:t xml:space="preserve"> continued use as office/retail space with commercial parking</w:t>
      </w:r>
      <w:r w:rsidR="00845A85">
        <w:rPr>
          <w:rFonts w:ascii="Courier New" w:hAnsi="Courier New" w:cs="Courier New"/>
        </w:rPr>
        <w:t xml:space="preserve">. </w:t>
      </w:r>
      <w:r w:rsidR="00B52304">
        <w:rPr>
          <w:rFonts w:ascii="Courier New" w:hAnsi="Courier New" w:cs="Courier New"/>
        </w:rPr>
        <w:t xml:space="preserve">However, this use </w:t>
      </w:r>
      <w:r w:rsidR="00020D25">
        <w:rPr>
          <w:rFonts w:ascii="Courier New" w:hAnsi="Courier New" w:cs="Courier New"/>
        </w:rPr>
        <w:t xml:space="preserve">was not financially feasible or maximally productive, </w:t>
      </w:r>
      <w:r w:rsidR="00205D7C">
        <w:rPr>
          <w:rFonts w:ascii="Courier New" w:hAnsi="Courier New" w:cs="Courier New"/>
        </w:rPr>
        <w:lastRenderedPageBreak/>
        <w:t xml:space="preserve">given the </w:t>
      </w:r>
      <w:r w:rsidR="004A3CA5">
        <w:rPr>
          <w:rFonts w:ascii="Courier New" w:hAnsi="Courier New" w:cs="Courier New"/>
        </w:rPr>
        <w:t xml:space="preserve">extensive </w:t>
      </w:r>
      <w:r w:rsidR="00205D7C">
        <w:rPr>
          <w:rFonts w:ascii="Courier New" w:hAnsi="Courier New" w:cs="Courier New"/>
        </w:rPr>
        <w:t>tornado damage</w:t>
      </w:r>
      <w:r w:rsidR="00EA7F29">
        <w:rPr>
          <w:rFonts w:ascii="Courier New" w:hAnsi="Courier New" w:cs="Courier New"/>
        </w:rPr>
        <w:t xml:space="preserve"> </w:t>
      </w:r>
      <w:r w:rsidR="00EA7F29" w:rsidRPr="00EA7F29">
        <w:rPr>
          <w:rFonts w:ascii="Courier New" w:hAnsi="Courier New" w:cs="Courier New"/>
        </w:rPr>
        <w:t>as well as the economic downturn and resulting dearth of available commercial/retail tenants that Mr. Seidman himself lamented</w:t>
      </w:r>
      <w:r w:rsidR="00CE5DC3" w:rsidRPr="00EA7F29">
        <w:rPr>
          <w:rFonts w:ascii="Courier New" w:hAnsi="Courier New" w:cs="Courier New"/>
        </w:rPr>
        <w:t>.</w:t>
      </w:r>
      <w:r w:rsidR="00845A85">
        <w:rPr>
          <w:rFonts w:ascii="Courier New" w:hAnsi="Courier New" w:cs="Courier New"/>
        </w:rPr>
        <w:t xml:space="preserve"> </w:t>
      </w:r>
      <w:r w:rsidR="004A3CA5">
        <w:rPr>
          <w:rFonts w:ascii="Courier New" w:hAnsi="Courier New" w:cs="Courier New"/>
        </w:rPr>
        <w:t xml:space="preserve">A willing buyer fully apprised of the subject properties’ condition “would purchase the </w:t>
      </w:r>
      <w:proofErr w:type="spellStart"/>
      <w:r w:rsidR="004A3CA5">
        <w:rPr>
          <w:rFonts w:ascii="Courier New" w:hAnsi="Courier New" w:cs="Courier New"/>
        </w:rPr>
        <w:t>propert</w:t>
      </w:r>
      <w:proofErr w:type="spellEnd"/>
      <w:r w:rsidR="004A3CA5">
        <w:rPr>
          <w:rFonts w:ascii="Courier New" w:hAnsi="Courier New" w:cs="Courier New"/>
        </w:rPr>
        <w:t>[</w:t>
      </w:r>
      <w:proofErr w:type="spellStart"/>
      <w:r w:rsidR="004A3CA5">
        <w:rPr>
          <w:rFonts w:ascii="Courier New" w:hAnsi="Courier New" w:cs="Courier New"/>
        </w:rPr>
        <w:t>ies</w:t>
      </w:r>
      <w:proofErr w:type="spellEnd"/>
      <w:r w:rsidR="004A3CA5">
        <w:rPr>
          <w:rFonts w:ascii="Courier New" w:hAnsi="Courier New" w:cs="Courier New"/>
        </w:rPr>
        <w:t xml:space="preserve">] at a price reflecting that reality.” </w:t>
      </w:r>
      <w:r w:rsidR="004A3CA5" w:rsidRPr="008C2F84">
        <w:rPr>
          <w:rFonts w:ascii="Courier New" w:hAnsi="Courier New" w:cs="Courier New"/>
          <w:b/>
          <w:i/>
        </w:rPr>
        <w:t>Kunz v. Assessors of Middleton</w:t>
      </w:r>
      <w:r w:rsidR="004A3CA5">
        <w:rPr>
          <w:rFonts w:ascii="Courier New" w:hAnsi="Courier New" w:cs="Courier New"/>
        </w:rPr>
        <w:t xml:space="preserve">, Mass. ATB Findings of Fact and Reports 2006-211, 222. </w:t>
      </w:r>
      <w:r w:rsidR="00CE5DC3">
        <w:rPr>
          <w:rFonts w:ascii="Courier New" w:hAnsi="Courier New" w:cs="Courier New"/>
        </w:rPr>
        <w:t>The Board thus found that Mr. Seidman’s analysis</w:t>
      </w:r>
      <w:r w:rsidR="00B52304">
        <w:rPr>
          <w:rFonts w:ascii="Courier New" w:hAnsi="Courier New" w:cs="Courier New"/>
        </w:rPr>
        <w:t xml:space="preserve"> based on that flawed foundation </w:t>
      </w:r>
      <w:r w:rsidR="00CE5DC3">
        <w:rPr>
          <w:rFonts w:ascii="Courier New" w:hAnsi="Courier New" w:cs="Courier New"/>
        </w:rPr>
        <w:t xml:space="preserve">did </w:t>
      </w:r>
      <w:r w:rsidR="00CE5DC3" w:rsidRPr="00113951">
        <w:rPr>
          <w:rFonts w:ascii="Courier New" w:hAnsi="Courier New" w:cs="Courier New"/>
        </w:rPr>
        <w:t xml:space="preserve">not provide </w:t>
      </w:r>
      <w:r w:rsidR="00CE5DC3">
        <w:rPr>
          <w:rFonts w:ascii="Courier New" w:hAnsi="Courier New" w:cs="Courier New"/>
        </w:rPr>
        <w:t>a reliable indicator</w:t>
      </w:r>
      <w:r w:rsidR="00D548A1">
        <w:rPr>
          <w:rFonts w:ascii="Courier New" w:hAnsi="Courier New" w:cs="Courier New"/>
        </w:rPr>
        <w:t xml:space="preserve"> of the subject properties’</w:t>
      </w:r>
      <w:r w:rsidR="00CE5DC3" w:rsidRPr="00113951">
        <w:rPr>
          <w:rFonts w:ascii="Courier New" w:hAnsi="Courier New" w:cs="Courier New"/>
        </w:rPr>
        <w:t xml:space="preserve"> fair cash value for the fiscal year at issue.</w:t>
      </w:r>
    </w:p>
    <w:p w14:paraId="280DAD0F" w14:textId="25EFA0B9" w:rsidR="003E05D6" w:rsidRDefault="003E05D6" w:rsidP="003E05D6">
      <w:pPr>
        <w:spacing w:line="480" w:lineRule="auto"/>
        <w:ind w:firstLine="720"/>
        <w:jc w:val="both"/>
        <w:rPr>
          <w:rFonts w:ascii="Courier New" w:hAnsi="Courier New" w:cs="Courier New"/>
        </w:rPr>
      </w:pPr>
      <w:r>
        <w:rPr>
          <w:rFonts w:ascii="Courier New" w:hAnsi="Courier New" w:cs="Courier New"/>
        </w:rPr>
        <w:t xml:space="preserve">Generally, real estate valuation experts, the Massachusetts courts, and this Board rely upon three approaches to determine the fair cash value of property: income capitalization, sales comparison, and cost reproduction. </w:t>
      </w:r>
      <w:proofErr w:type="spellStart"/>
      <w:r>
        <w:rPr>
          <w:rFonts w:ascii="Courier New" w:hAnsi="Courier New" w:cs="Courier New"/>
          <w:b/>
          <w:bCs/>
          <w:i/>
          <w:iCs/>
        </w:rPr>
        <w:t>Correia</w:t>
      </w:r>
      <w:proofErr w:type="spellEnd"/>
      <w:r>
        <w:rPr>
          <w:rFonts w:ascii="Courier New" w:hAnsi="Courier New" w:cs="Courier New"/>
          <w:b/>
          <w:bCs/>
          <w:i/>
          <w:iCs/>
        </w:rPr>
        <w:t xml:space="preserve"> v. New Bedford Redevelopment Authority,</w:t>
      </w:r>
      <w:r>
        <w:rPr>
          <w:rFonts w:ascii="Courier New" w:hAnsi="Courier New" w:cs="Courier New"/>
        </w:rPr>
        <w:t xml:space="preserve"> 375 Mass. 360, 362 (1978). “The board is not required to adopt any particular method of valuation,” </w:t>
      </w:r>
      <w:r>
        <w:rPr>
          <w:rFonts w:ascii="Courier New" w:hAnsi="Courier New" w:cs="Courier New"/>
          <w:b/>
          <w:bCs/>
          <w:i/>
          <w:iCs/>
        </w:rPr>
        <w:t>Pepsi-Cola Bottling Co. v. Assessors of Boston</w:t>
      </w:r>
      <w:r>
        <w:rPr>
          <w:rFonts w:ascii="Courier New" w:hAnsi="Courier New" w:cs="Courier New"/>
        </w:rPr>
        <w:t>, 397 Mass. 447, 449 (1986), but the income</w:t>
      </w:r>
      <w:r w:rsidR="00B506BE">
        <w:rPr>
          <w:rFonts w:ascii="Courier New" w:hAnsi="Courier New" w:cs="Courier New"/>
        </w:rPr>
        <w:t>-</w:t>
      </w:r>
      <w:r>
        <w:rPr>
          <w:rFonts w:ascii="Courier New" w:hAnsi="Courier New" w:cs="Courier New"/>
        </w:rPr>
        <w:t xml:space="preserve">capitalization method “is frequently applied with respect to income-producing property.” </w:t>
      </w:r>
      <w:r>
        <w:rPr>
          <w:rFonts w:ascii="Courier New" w:hAnsi="Courier New" w:cs="Courier New"/>
          <w:b/>
          <w:bCs/>
          <w:i/>
          <w:iCs/>
        </w:rPr>
        <w:t xml:space="preserve">Taunton </w:t>
      </w:r>
      <w:proofErr w:type="spellStart"/>
      <w:r>
        <w:rPr>
          <w:rFonts w:ascii="Courier New" w:hAnsi="Courier New" w:cs="Courier New"/>
          <w:b/>
          <w:bCs/>
          <w:i/>
          <w:iCs/>
        </w:rPr>
        <w:t>Redev</w:t>
      </w:r>
      <w:proofErr w:type="spellEnd"/>
      <w:r>
        <w:rPr>
          <w:rFonts w:ascii="Courier New" w:hAnsi="Courier New" w:cs="Courier New"/>
          <w:b/>
          <w:bCs/>
          <w:i/>
          <w:iCs/>
        </w:rPr>
        <w:t>. Assocs. v. Assessors of Taunton</w:t>
      </w:r>
      <w:r>
        <w:rPr>
          <w:rFonts w:ascii="Courier New" w:hAnsi="Courier New" w:cs="Courier New"/>
        </w:rPr>
        <w:t xml:space="preserve">, 393 Mass. 293, 295 (1984).  </w:t>
      </w:r>
    </w:p>
    <w:p w14:paraId="75923127" w14:textId="50BC458C" w:rsidR="000B1069" w:rsidRDefault="003E05D6" w:rsidP="000B1069">
      <w:pPr>
        <w:spacing w:line="480" w:lineRule="auto"/>
        <w:ind w:firstLine="720"/>
        <w:jc w:val="both"/>
        <w:rPr>
          <w:rFonts w:ascii="Courier New" w:hAnsi="Courier New" w:cs="Courier New"/>
        </w:rPr>
      </w:pPr>
      <w:r>
        <w:rPr>
          <w:rFonts w:ascii="Courier New" w:hAnsi="Courier New" w:cs="Courier New"/>
        </w:rPr>
        <w:lastRenderedPageBreak/>
        <w:t xml:space="preserve">Under the income-capitalization approach, valuation is determined by dividing net operating income by a capitalization rate. </w:t>
      </w:r>
      <w:r>
        <w:rPr>
          <w:rFonts w:ascii="Courier New" w:hAnsi="Courier New" w:cs="Courier New"/>
          <w:i/>
          <w:iCs/>
        </w:rPr>
        <w:t xml:space="preserve">See </w:t>
      </w:r>
      <w:r>
        <w:rPr>
          <w:rFonts w:ascii="Courier New" w:hAnsi="Courier New" w:cs="Courier New"/>
          <w:b/>
          <w:bCs/>
          <w:i/>
          <w:iCs/>
        </w:rPr>
        <w:t xml:space="preserve">Assessors of Brookline v. Buehler, </w:t>
      </w:r>
      <w:r>
        <w:rPr>
          <w:rFonts w:ascii="Courier New" w:hAnsi="Courier New" w:cs="Courier New"/>
        </w:rPr>
        <w:t>396 Mass. 520, 522-23 (1986). After accounting for vacancy and rent losses, the net</w:t>
      </w:r>
      <w:r w:rsidR="00B506BE">
        <w:rPr>
          <w:rFonts w:ascii="Courier New" w:hAnsi="Courier New" w:cs="Courier New"/>
        </w:rPr>
        <w:t xml:space="preserve"> </w:t>
      </w:r>
      <w:r>
        <w:rPr>
          <w:rFonts w:ascii="Courier New" w:hAnsi="Courier New" w:cs="Courier New"/>
        </w:rPr>
        <w:t xml:space="preserve">operating income is obtained by deducting the </w:t>
      </w:r>
      <w:r w:rsidRPr="003E05D6">
        <w:rPr>
          <w:rFonts w:ascii="Courier New" w:hAnsi="Courier New" w:cs="Courier New"/>
        </w:rPr>
        <w:t>appropriate expenses</w:t>
      </w:r>
      <w:r>
        <w:rPr>
          <w:rFonts w:ascii="Courier New" w:hAnsi="Courier New" w:cs="Courier New"/>
        </w:rPr>
        <w:t xml:space="preserve">. </w:t>
      </w:r>
      <w:r>
        <w:rPr>
          <w:rFonts w:ascii="Courier New" w:hAnsi="Courier New" w:cs="Courier New"/>
          <w:b/>
          <w:bCs/>
          <w:i/>
          <w:iCs/>
        </w:rPr>
        <w:t xml:space="preserve">Pepsi-Cola Bottling Co., </w:t>
      </w:r>
      <w:r>
        <w:rPr>
          <w:rFonts w:ascii="Courier New" w:hAnsi="Courier New" w:cs="Courier New"/>
        </w:rPr>
        <w:t xml:space="preserve">397 Mass. at 452-53. The capitalization rate should reflect the return on investment necessary to attract investment capital. </w:t>
      </w:r>
      <w:r>
        <w:rPr>
          <w:rFonts w:ascii="Courier New" w:hAnsi="Courier New" w:cs="Courier New"/>
          <w:b/>
          <w:bCs/>
          <w:i/>
          <w:iCs/>
        </w:rPr>
        <w:t xml:space="preserve">Taunton </w:t>
      </w:r>
      <w:proofErr w:type="spellStart"/>
      <w:r>
        <w:rPr>
          <w:rFonts w:ascii="Courier New" w:hAnsi="Courier New" w:cs="Courier New"/>
          <w:b/>
          <w:bCs/>
          <w:i/>
          <w:iCs/>
        </w:rPr>
        <w:t>Redev</w:t>
      </w:r>
      <w:proofErr w:type="spellEnd"/>
      <w:r>
        <w:rPr>
          <w:rFonts w:ascii="Courier New" w:hAnsi="Courier New" w:cs="Courier New"/>
          <w:b/>
          <w:bCs/>
          <w:i/>
          <w:iCs/>
        </w:rPr>
        <w:t xml:space="preserve">. Assocs., </w:t>
      </w:r>
      <w:r>
        <w:rPr>
          <w:rFonts w:ascii="Courier New" w:hAnsi="Courier New" w:cs="Courier New"/>
        </w:rPr>
        <w:t xml:space="preserve">393 Mass. at 295. </w:t>
      </w:r>
      <w:r w:rsidRPr="00F13471">
        <w:rPr>
          <w:rFonts w:ascii="Courier New" w:hAnsi="Courier New"/>
          <w:szCs w:val="20"/>
        </w:rPr>
        <w:t xml:space="preserve">“The issue of what expenses may be considered in any particular piece of property is for the board.” </w:t>
      </w:r>
      <w:proofErr w:type="spellStart"/>
      <w:r w:rsidRPr="00F13471">
        <w:rPr>
          <w:rFonts w:ascii="Courier New" w:hAnsi="Courier New"/>
          <w:b/>
          <w:i/>
          <w:szCs w:val="20"/>
        </w:rPr>
        <w:t>Alstores</w:t>
      </w:r>
      <w:proofErr w:type="spellEnd"/>
      <w:r w:rsidRPr="00F13471">
        <w:rPr>
          <w:rFonts w:ascii="Courier New" w:hAnsi="Courier New"/>
          <w:b/>
          <w:i/>
          <w:szCs w:val="20"/>
        </w:rPr>
        <w:t xml:space="preserve"> Realty Corp. v. Assessors of Peabody</w:t>
      </w:r>
      <w:r w:rsidRPr="00F13471">
        <w:rPr>
          <w:rFonts w:ascii="Courier New" w:hAnsi="Courier New"/>
          <w:szCs w:val="20"/>
        </w:rPr>
        <w:t>, 391</w:t>
      </w:r>
      <w:r>
        <w:rPr>
          <w:rFonts w:ascii="Courier New" w:hAnsi="Courier New"/>
          <w:szCs w:val="20"/>
        </w:rPr>
        <w:t xml:space="preserve"> Mass. 60, 65 (1984). </w:t>
      </w:r>
      <w:r w:rsidR="000B1069">
        <w:rPr>
          <w:rFonts w:ascii="Courier New" w:hAnsi="Courier New" w:cs="Courier New"/>
        </w:rPr>
        <w:t>The appellant’s valuation analysis was based upon</w:t>
      </w:r>
      <w:r w:rsidR="000B1069" w:rsidRPr="009877AB">
        <w:rPr>
          <w:rFonts w:ascii="Courier New" w:hAnsi="Courier New" w:cs="Courier New"/>
        </w:rPr>
        <w:t xml:space="preserve"> profit and loss statements, which contained expense items that are not properly considered in a valuation analysis for real estate tax purposes. </w:t>
      </w:r>
      <w:r w:rsidR="000B1069">
        <w:rPr>
          <w:rFonts w:ascii="Courier New" w:hAnsi="Courier New" w:cs="Courier New"/>
        </w:rPr>
        <w:t xml:space="preserve">The Board was thus not persuaded by Mr. Seidman’s capitalization-of-income analysis.  </w:t>
      </w:r>
    </w:p>
    <w:p w14:paraId="08332C4A" w14:textId="12EE2AE9" w:rsidR="003E05D6" w:rsidRDefault="000B1069" w:rsidP="000B1069">
      <w:pPr>
        <w:spacing w:line="480" w:lineRule="auto"/>
        <w:ind w:firstLine="720"/>
        <w:jc w:val="both"/>
        <w:rPr>
          <w:rFonts w:ascii="Courier New" w:hAnsi="Courier New" w:cs="Courier New"/>
        </w:rPr>
      </w:pPr>
      <w:r>
        <w:rPr>
          <w:rFonts w:ascii="Courier New" w:hAnsi="Courier New" w:cs="Courier New"/>
        </w:rPr>
        <w:t xml:space="preserve">The appellee offered a sales-comparison analysis using sales from both inside and outside the proposed casino “footprint.” Sales of comparable realty in the same geographic area and within a reasonable time of the assessment date contain credible data and information for determining the value of the property at issue. </w:t>
      </w:r>
      <w:r>
        <w:rPr>
          <w:rFonts w:ascii="Courier New" w:hAnsi="Courier New" w:cs="Courier New"/>
          <w:b/>
          <w:bCs/>
          <w:i/>
          <w:iCs/>
        </w:rPr>
        <w:t xml:space="preserve">McCabe v. </w:t>
      </w:r>
      <w:r>
        <w:rPr>
          <w:rFonts w:ascii="Courier New" w:hAnsi="Courier New" w:cs="Courier New"/>
          <w:b/>
          <w:bCs/>
          <w:i/>
          <w:iCs/>
        </w:rPr>
        <w:lastRenderedPageBreak/>
        <w:t>Chelsea</w:t>
      </w:r>
      <w:r>
        <w:rPr>
          <w:rFonts w:ascii="Courier New" w:hAnsi="Courier New" w:cs="Courier New"/>
        </w:rPr>
        <w:t>, 265 Mass. 494, 496 (1929). When comparable sales are used, however, adjustments must b</w:t>
      </w:r>
      <w:r w:rsidR="00ED4C34">
        <w:rPr>
          <w:rFonts w:ascii="Courier New" w:hAnsi="Courier New" w:cs="Courier New"/>
        </w:rPr>
        <w:t>e made for various factors that</w:t>
      </w:r>
      <w:r>
        <w:rPr>
          <w:rFonts w:ascii="Courier New" w:hAnsi="Courier New" w:cs="Courier New"/>
        </w:rPr>
        <w:t xml:space="preserve"> would otherwise cause disparities in the comparable prices. </w:t>
      </w:r>
      <w:r>
        <w:rPr>
          <w:rFonts w:ascii="Courier New" w:hAnsi="Courier New" w:cs="Courier New"/>
          <w:i/>
          <w:iCs/>
        </w:rPr>
        <w:t>See</w:t>
      </w:r>
      <w:r>
        <w:rPr>
          <w:rFonts w:ascii="Courier New" w:hAnsi="Courier New" w:cs="Courier New"/>
        </w:rPr>
        <w:t xml:space="preserve"> </w:t>
      </w:r>
      <w:r>
        <w:rPr>
          <w:rFonts w:ascii="Courier New" w:hAnsi="Courier New" w:cs="Courier New"/>
          <w:b/>
          <w:bCs/>
          <w:i/>
          <w:iCs/>
        </w:rPr>
        <w:t>Pembroke Industrial Park Co., Inc. v. Assessors of Pembroke</w:t>
      </w:r>
      <w:r>
        <w:rPr>
          <w:rFonts w:ascii="Courier New" w:hAnsi="Courier New" w:cs="Courier New"/>
        </w:rPr>
        <w:t xml:space="preserve">, Mass. ATB Findings of Fact and Reports 1998-1072, 1082.  </w:t>
      </w:r>
    </w:p>
    <w:p w14:paraId="2A5C17C1" w14:textId="55F0E7C3" w:rsidR="00ED4C34" w:rsidRDefault="004A3CA5" w:rsidP="0089488C">
      <w:pPr>
        <w:spacing w:line="480" w:lineRule="auto"/>
        <w:ind w:firstLine="720"/>
        <w:jc w:val="both"/>
        <w:rPr>
          <w:rFonts w:ascii="Courier New" w:hAnsi="Courier New" w:cs="Courier New"/>
        </w:rPr>
      </w:pPr>
      <w:r>
        <w:rPr>
          <w:rFonts w:ascii="Courier New" w:hAnsi="Courier New" w:cs="Courier New"/>
        </w:rPr>
        <w:t xml:space="preserve">The Board </w:t>
      </w:r>
      <w:r w:rsidR="000B1069">
        <w:rPr>
          <w:rFonts w:ascii="Courier New" w:hAnsi="Courier New" w:cs="Courier New"/>
        </w:rPr>
        <w:t>here</w:t>
      </w:r>
      <w:r w:rsidR="003E05D6">
        <w:rPr>
          <w:rFonts w:ascii="Courier New" w:hAnsi="Courier New" w:cs="Courier New"/>
        </w:rPr>
        <w:t xml:space="preserve"> </w:t>
      </w:r>
      <w:r>
        <w:rPr>
          <w:rFonts w:ascii="Courier New" w:hAnsi="Courier New" w:cs="Courier New"/>
        </w:rPr>
        <w:t>found that the appellee’s sales-comparison</w:t>
      </w:r>
      <w:r w:rsidR="00EA7F29">
        <w:rPr>
          <w:rFonts w:ascii="Courier New" w:hAnsi="Courier New" w:cs="Courier New"/>
        </w:rPr>
        <w:t xml:space="preserve"> analysis was</w:t>
      </w:r>
      <w:r w:rsidR="009E0315">
        <w:rPr>
          <w:rFonts w:ascii="Courier New" w:hAnsi="Courier New" w:cs="Courier New"/>
        </w:rPr>
        <w:t xml:space="preserve"> for the most part</w:t>
      </w:r>
      <w:r>
        <w:rPr>
          <w:rFonts w:ascii="Courier New" w:hAnsi="Courier New" w:cs="Courier New"/>
        </w:rPr>
        <w:t xml:space="preserve"> unpersua</w:t>
      </w:r>
      <w:r w:rsidR="009E0315">
        <w:rPr>
          <w:rFonts w:ascii="Courier New" w:hAnsi="Courier New" w:cs="Courier New"/>
        </w:rPr>
        <w:t xml:space="preserve">sive because it relied primarily </w:t>
      </w:r>
      <w:r>
        <w:rPr>
          <w:rFonts w:ascii="Courier New" w:hAnsi="Courier New" w:cs="Courier New"/>
        </w:rPr>
        <w:t>on sales that had occurred after the casino was awarded to Springfield and were thus influenced by the prospective casino development. However, one of Mr. Fontaine’s comparable properties, 82 Howard Street, did provide support for the subject assessments, as this sale occurred prior to the casino award</w:t>
      </w:r>
      <w:r w:rsidR="00746704">
        <w:rPr>
          <w:rFonts w:ascii="Courier New" w:hAnsi="Courier New" w:cs="Courier New"/>
        </w:rPr>
        <w:t>, and the square footage of that</w:t>
      </w:r>
      <w:r>
        <w:rPr>
          <w:rFonts w:ascii="Courier New" w:hAnsi="Courier New" w:cs="Courier New"/>
        </w:rPr>
        <w:t xml:space="preserve"> property was essential</w:t>
      </w:r>
      <w:r w:rsidR="000701B3">
        <w:rPr>
          <w:rFonts w:ascii="Courier New" w:hAnsi="Courier New" w:cs="Courier New"/>
        </w:rPr>
        <w:t>ly</w:t>
      </w:r>
      <w:r>
        <w:rPr>
          <w:rFonts w:ascii="Courier New" w:hAnsi="Courier New" w:cs="Courier New"/>
        </w:rPr>
        <w:t xml:space="preserve"> identical to the subject properties.</w:t>
      </w:r>
    </w:p>
    <w:p w14:paraId="76611AD1" w14:textId="679A990F" w:rsidR="00CE5DC3" w:rsidRDefault="00CE5DC3" w:rsidP="004A3CA5">
      <w:pPr>
        <w:spacing w:line="480" w:lineRule="auto"/>
        <w:ind w:firstLine="720"/>
        <w:jc w:val="both"/>
        <w:rPr>
          <w:rFonts w:ascii="Courier New" w:hAnsi="Courier New" w:cs="Courier New"/>
        </w:rPr>
      </w:pPr>
      <w:r>
        <w:rPr>
          <w:rFonts w:ascii="Courier New" w:hAnsi="Courier New" w:cs="Courier New"/>
        </w:rPr>
        <w:t>The burden of proving a value that is lower than the assessed v</w:t>
      </w:r>
      <w:r w:rsidR="00ED4C34">
        <w:rPr>
          <w:rFonts w:ascii="Courier New" w:hAnsi="Courier New" w:cs="Courier New"/>
        </w:rPr>
        <w:t>alue is firmly on the taxpayer</w:t>
      </w:r>
      <w:r>
        <w:rPr>
          <w:rFonts w:ascii="Courier New" w:hAnsi="Courier New" w:cs="Courier New"/>
        </w:rPr>
        <w:t xml:space="preserve">. </w:t>
      </w:r>
      <w:r w:rsidRPr="00463610">
        <w:rPr>
          <w:rFonts w:ascii="Courier New" w:hAnsi="Courier New" w:cs="Courier New"/>
          <w:i/>
        </w:rPr>
        <w:t>See</w:t>
      </w:r>
      <w:r>
        <w:rPr>
          <w:rFonts w:ascii="Courier New" w:hAnsi="Courier New" w:cs="Courier New"/>
        </w:rPr>
        <w:t xml:space="preserve"> </w:t>
      </w:r>
      <w:proofErr w:type="spellStart"/>
      <w:r>
        <w:rPr>
          <w:rFonts w:ascii="Courier New" w:hAnsi="Courier New" w:cs="Courier New"/>
          <w:b/>
          <w:bCs/>
          <w:i/>
          <w:iCs/>
        </w:rPr>
        <w:t>Schlaiker</w:t>
      </w:r>
      <w:proofErr w:type="spellEnd"/>
      <w:r>
        <w:rPr>
          <w:rFonts w:ascii="Courier New" w:hAnsi="Courier New" w:cs="Courier New"/>
        </w:rPr>
        <w:t>, 365</w:t>
      </w:r>
      <w:r w:rsidR="00B506BE">
        <w:rPr>
          <w:rFonts w:ascii="Courier New" w:hAnsi="Courier New" w:cs="Courier New"/>
        </w:rPr>
        <w:t xml:space="preserve"> </w:t>
      </w:r>
      <w:r>
        <w:rPr>
          <w:rFonts w:ascii="Courier New" w:hAnsi="Courier New" w:cs="Courier New"/>
        </w:rPr>
        <w:t>Mass. at</w:t>
      </w:r>
      <w:r w:rsidRPr="009F344E">
        <w:rPr>
          <w:rFonts w:ascii="Courier New" w:hAnsi="Courier New" w:cs="Courier New"/>
        </w:rPr>
        <w:t xml:space="preserve"> 245</w:t>
      </w:r>
      <w:r>
        <w:rPr>
          <w:rFonts w:ascii="Courier New" w:hAnsi="Courier New" w:cs="Courier New"/>
        </w:rPr>
        <w:t xml:space="preserve">. </w:t>
      </w:r>
      <w:r w:rsidR="004A3CA5">
        <w:rPr>
          <w:rFonts w:ascii="Courier New" w:hAnsi="Courier New" w:cs="Courier New"/>
        </w:rPr>
        <w:t xml:space="preserve">The Board </w:t>
      </w:r>
      <w:r>
        <w:rPr>
          <w:rFonts w:ascii="Courier New" w:hAnsi="Courier New" w:cs="Courier New"/>
        </w:rPr>
        <w:t>fou</w:t>
      </w:r>
      <w:r w:rsidR="00ED4C34">
        <w:rPr>
          <w:rFonts w:ascii="Courier New" w:hAnsi="Courier New" w:cs="Courier New"/>
        </w:rPr>
        <w:t>nd and ruled that the appellant failed to meet its</w:t>
      </w:r>
      <w:r>
        <w:rPr>
          <w:rFonts w:ascii="Courier New" w:hAnsi="Courier New" w:cs="Courier New"/>
        </w:rPr>
        <w:t xml:space="preserve"> burden of proving </w:t>
      </w:r>
      <w:r w:rsidR="00D548A1">
        <w:rPr>
          <w:rFonts w:ascii="Courier New" w:hAnsi="Courier New" w:cs="Courier New"/>
        </w:rPr>
        <w:t>a value for the subject properties that was less than their</w:t>
      </w:r>
      <w:r>
        <w:rPr>
          <w:rFonts w:ascii="Courier New" w:hAnsi="Courier New" w:cs="Courier New"/>
        </w:rPr>
        <w:t xml:space="preserve"> assessed valu</w:t>
      </w:r>
      <w:r w:rsidR="00E50C25">
        <w:rPr>
          <w:rFonts w:ascii="Courier New" w:hAnsi="Courier New" w:cs="Courier New"/>
        </w:rPr>
        <w:t>e</w:t>
      </w:r>
      <w:r w:rsidR="00D548A1">
        <w:rPr>
          <w:rFonts w:ascii="Courier New" w:hAnsi="Courier New" w:cs="Courier New"/>
        </w:rPr>
        <w:t>s</w:t>
      </w:r>
      <w:r w:rsidR="00E50C25">
        <w:rPr>
          <w:rFonts w:ascii="Courier New" w:hAnsi="Courier New" w:cs="Courier New"/>
        </w:rPr>
        <w:t xml:space="preserve"> for the fiscal year at issue</w:t>
      </w:r>
      <w:r>
        <w:rPr>
          <w:rFonts w:ascii="Courier New" w:hAnsi="Courier New" w:cs="Courier New"/>
        </w:rPr>
        <w:t xml:space="preserve">.  </w:t>
      </w:r>
    </w:p>
    <w:p w14:paraId="61C4E64C" w14:textId="77777777" w:rsidR="009E13D8" w:rsidRDefault="009E13D8" w:rsidP="004A3CA5">
      <w:pPr>
        <w:spacing w:line="480" w:lineRule="auto"/>
        <w:ind w:firstLine="720"/>
        <w:jc w:val="both"/>
        <w:rPr>
          <w:rFonts w:ascii="Courier New" w:hAnsi="Courier New" w:cs="Courier New"/>
        </w:rPr>
      </w:pPr>
    </w:p>
    <w:p w14:paraId="064ECB1A" w14:textId="59666EE5" w:rsidR="00CE5DC3" w:rsidRDefault="00D548A1" w:rsidP="00CE5DC3">
      <w:pPr>
        <w:spacing w:line="480" w:lineRule="auto"/>
        <w:ind w:firstLine="720"/>
        <w:jc w:val="both"/>
        <w:rPr>
          <w:rFonts w:ascii="Courier New" w:hAnsi="Courier New" w:cs="Courier New"/>
        </w:rPr>
      </w:pPr>
      <w:r>
        <w:rPr>
          <w:rFonts w:ascii="Courier New" w:hAnsi="Courier New" w:cs="Courier New"/>
        </w:rPr>
        <w:lastRenderedPageBreak/>
        <w:t xml:space="preserve">Accordingly, the Board issued a </w:t>
      </w:r>
      <w:r w:rsidR="00CE5DC3">
        <w:rPr>
          <w:rFonts w:ascii="Courier New" w:hAnsi="Courier New" w:cs="Courier New"/>
        </w:rPr>
        <w:t>decision for the appellee in th</w:t>
      </w:r>
      <w:r w:rsidR="00E50C25">
        <w:rPr>
          <w:rFonts w:ascii="Courier New" w:hAnsi="Courier New" w:cs="Courier New"/>
        </w:rPr>
        <w:t>e</w:t>
      </w:r>
      <w:r w:rsidR="00CE5DC3">
        <w:rPr>
          <w:rFonts w:ascii="Courier New" w:hAnsi="Courier New" w:cs="Courier New"/>
        </w:rPr>
        <w:t>s</w:t>
      </w:r>
      <w:r w:rsidR="00E50C25">
        <w:rPr>
          <w:rFonts w:ascii="Courier New" w:hAnsi="Courier New" w:cs="Courier New"/>
        </w:rPr>
        <w:t>e</w:t>
      </w:r>
      <w:r w:rsidR="00CE5DC3">
        <w:rPr>
          <w:rFonts w:ascii="Courier New" w:hAnsi="Courier New" w:cs="Courier New"/>
        </w:rPr>
        <w:t xml:space="preserve"> appeal</w:t>
      </w:r>
      <w:r w:rsidR="00E50C25">
        <w:rPr>
          <w:rFonts w:ascii="Courier New" w:hAnsi="Courier New" w:cs="Courier New"/>
        </w:rPr>
        <w:t>s</w:t>
      </w:r>
      <w:r w:rsidR="00CE5DC3">
        <w:rPr>
          <w:rFonts w:ascii="Courier New" w:hAnsi="Courier New" w:cs="Courier New"/>
        </w:rPr>
        <w:t>.</w:t>
      </w:r>
    </w:p>
    <w:p w14:paraId="17D24BA3" w14:textId="77777777" w:rsidR="00CE5DC3" w:rsidRDefault="00CE5DC3" w:rsidP="00CE5DC3">
      <w:pPr>
        <w:spacing w:line="480" w:lineRule="auto"/>
        <w:jc w:val="both"/>
        <w:rPr>
          <w:rFonts w:ascii="Courier New" w:hAnsi="Courier New" w:cs="Courier New"/>
        </w:rPr>
      </w:pPr>
    </w:p>
    <w:p w14:paraId="79AC5F9D" w14:textId="77777777" w:rsidR="00CE5DC3" w:rsidRDefault="00CE5DC3" w:rsidP="00CE5DC3">
      <w:pPr>
        <w:ind w:left="2880" w:firstLine="720"/>
        <w:jc w:val="both"/>
        <w:rPr>
          <w:rFonts w:ascii="Courier New" w:hAnsi="Courier New" w:cs="Courier New"/>
          <w:b/>
        </w:rPr>
      </w:pPr>
      <w:r>
        <w:rPr>
          <w:rFonts w:ascii="Courier New" w:hAnsi="Courier New" w:cs="Courier New"/>
          <w:b/>
        </w:rPr>
        <w:t>  </w:t>
      </w:r>
      <w:r w:rsidRPr="006C660D">
        <w:rPr>
          <w:rFonts w:ascii="Courier New" w:hAnsi="Courier New" w:cs="Courier New"/>
          <w:b/>
        </w:rPr>
        <w:t>THE APPELLATE TAX BOARD</w:t>
      </w:r>
    </w:p>
    <w:p w14:paraId="64DCFB1A" w14:textId="77777777" w:rsidR="00CE5DC3" w:rsidRDefault="00CE5DC3" w:rsidP="00CE5DC3">
      <w:pPr>
        <w:ind w:left="2880" w:firstLine="720"/>
        <w:jc w:val="both"/>
        <w:rPr>
          <w:rFonts w:ascii="Courier New" w:hAnsi="Courier New" w:cs="Courier New"/>
          <w:b/>
        </w:rPr>
      </w:pPr>
    </w:p>
    <w:p w14:paraId="0C99F209" w14:textId="77777777" w:rsidR="00CE5DC3" w:rsidRDefault="00CE5DC3" w:rsidP="00CE5DC3">
      <w:pPr>
        <w:ind w:left="2880" w:firstLine="720"/>
        <w:jc w:val="both"/>
        <w:rPr>
          <w:rFonts w:ascii="Courier New" w:hAnsi="Courier New" w:cs="Courier New"/>
          <w:b/>
        </w:rPr>
      </w:pPr>
    </w:p>
    <w:p w14:paraId="08E6F1BB" w14:textId="77777777" w:rsidR="00CE5DC3" w:rsidRPr="006C660D" w:rsidRDefault="00CE5DC3" w:rsidP="00CE5DC3">
      <w:pPr>
        <w:ind w:left="2880" w:firstLine="720"/>
        <w:jc w:val="both"/>
        <w:rPr>
          <w:rFonts w:ascii="Courier New" w:hAnsi="Courier New" w:cs="Courier New"/>
          <w:b/>
        </w:rPr>
      </w:pPr>
    </w:p>
    <w:p w14:paraId="1ED437BA" w14:textId="23C04C77" w:rsidR="00CE5DC3" w:rsidRDefault="00CE5DC3" w:rsidP="00CF1443">
      <w:pPr>
        <w:ind w:left="2160" w:firstLine="720"/>
        <w:jc w:val="both"/>
        <w:rPr>
          <w:rFonts w:ascii="Courier New" w:hAnsi="Courier New" w:cs="Courier New"/>
          <w:b/>
        </w:rPr>
      </w:pPr>
      <w:r w:rsidRPr="006C660D">
        <w:rPr>
          <w:rFonts w:ascii="Courier New" w:hAnsi="Courier New" w:cs="Courier New"/>
          <w:b/>
        </w:rPr>
        <w:t>B</w:t>
      </w:r>
      <w:r>
        <w:rPr>
          <w:rFonts w:ascii="Courier New" w:hAnsi="Courier New" w:cs="Courier New"/>
          <w:b/>
        </w:rPr>
        <w:t xml:space="preserve">y: </w:t>
      </w:r>
      <w:r w:rsidR="00CF1443">
        <w:rPr>
          <w:rFonts w:ascii="Courier New" w:hAnsi="Courier New" w:cs="Courier New"/>
          <w:b/>
        </w:rPr>
        <w:t xml:space="preserve">   __</w:t>
      </w:r>
      <w:r>
        <w:rPr>
          <w:rFonts w:ascii="Courier New" w:hAnsi="Courier New" w:cs="Courier New"/>
          <w:b/>
        </w:rPr>
        <w:t>_____________________________</w:t>
      </w:r>
      <w:r w:rsidR="00222120">
        <w:rPr>
          <w:rFonts w:ascii="Courier New" w:hAnsi="Courier New" w:cs="Courier New"/>
          <w:b/>
        </w:rPr>
        <w:t>_</w:t>
      </w:r>
      <w:r>
        <w:rPr>
          <w:rFonts w:ascii="Courier New" w:hAnsi="Courier New" w:cs="Courier New"/>
          <w:b/>
        </w:rPr>
        <w:t xml:space="preserve">       </w:t>
      </w:r>
    </w:p>
    <w:p w14:paraId="4E6A952A" w14:textId="77777777" w:rsidR="00CE5DC3" w:rsidRPr="006C660D" w:rsidRDefault="00CE5DC3" w:rsidP="00CE5DC3">
      <w:pPr>
        <w:ind w:left="3315" w:firstLine="285"/>
        <w:jc w:val="both"/>
        <w:rPr>
          <w:rFonts w:ascii="Courier New" w:hAnsi="Courier New" w:cs="Courier New"/>
          <w:b/>
        </w:rPr>
      </w:pPr>
      <w:r>
        <w:rPr>
          <w:rFonts w:ascii="Courier New" w:hAnsi="Courier New" w:cs="Courier New"/>
          <w:b/>
        </w:rPr>
        <w:t xml:space="preserve">  </w:t>
      </w:r>
      <w:r w:rsidRPr="006C660D">
        <w:rPr>
          <w:rFonts w:ascii="Courier New" w:hAnsi="Courier New" w:cs="Courier New"/>
          <w:b/>
        </w:rPr>
        <w:t xml:space="preserve">Thomas </w:t>
      </w:r>
      <w:r>
        <w:rPr>
          <w:rFonts w:ascii="Courier New" w:hAnsi="Courier New" w:cs="Courier New"/>
          <w:b/>
        </w:rPr>
        <w:t>W. Hammond, Jr.</w:t>
      </w:r>
      <w:r w:rsidRPr="006C660D">
        <w:rPr>
          <w:rFonts w:ascii="Courier New" w:hAnsi="Courier New" w:cs="Courier New"/>
          <w:b/>
        </w:rPr>
        <w:t>, C</w:t>
      </w:r>
      <w:r>
        <w:rPr>
          <w:rFonts w:ascii="Courier New" w:hAnsi="Courier New" w:cs="Courier New"/>
          <w:b/>
        </w:rPr>
        <w:t>hairman</w:t>
      </w:r>
      <w:r w:rsidRPr="006C660D">
        <w:rPr>
          <w:rFonts w:ascii="Courier New" w:hAnsi="Courier New" w:cs="Courier New"/>
          <w:b/>
        </w:rPr>
        <w:t xml:space="preserve"> </w:t>
      </w:r>
    </w:p>
    <w:p w14:paraId="69E947BE" w14:textId="77777777" w:rsidR="00CE5DC3" w:rsidRPr="006C660D" w:rsidRDefault="00CE5DC3" w:rsidP="00CE5DC3">
      <w:pPr>
        <w:jc w:val="both"/>
        <w:rPr>
          <w:rFonts w:ascii="Courier New" w:hAnsi="Courier New" w:cs="Courier New"/>
          <w:b/>
        </w:rPr>
      </w:pPr>
    </w:p>
    <w:p w14:paraId="35723BE9" w14:textId="77777777" w:rsidR="00CE5DC3" w:rsidRDefault="00CE5DC3" w:rsidP="00CE5DC3">
      <w:pPr>
        <w:jc w:val="both"/>
        <w:rPr>
          <w:rFonts w:ascii="Courier New" w:hAnsi="Courier New" w:cs="Courier New"/>
          <w:b/>
        </w:rPr>
      </w:pPr>
    </w:p>
    <w:p w14:paraId="7A712518" w14:textId="77777777" w:rsidR="00CE5DC3" w:rsidRDefault="00CE5DC3" w:rsidP="00CE5DC3">
      <w:pPr>
        <w:jc w:val="both"/>
        <w:rPr>
          <w:rFonts w:ascii="Courier New" w:hAnsi="Courier New" w:cs="Courier New"/>
          <w:b/>
        </w:rPr>
      </w:pPr>
    </w:p>
    <w:p w14:paraId="61A9068C" w14:textId="77777777" w:rsidR="00CE5DC3" w:rsidRDefault="00CE5DC3" w:rsidP="00CE5DC3">
      <w:pPr>
        <w:jc w:val="both"/>
        <w:rPr>
          <w:rFonts w:ascii="Courier New" w:hAnsi="Courier New" w:cs="Courier New"/>
          <w:b/>
        </w:rPr>
      </w:pPr>
    </w:p>
    <w:p w14:paraId="2C6D1A3A" w14:textId="77777777" w:rsidR="00CE5DC3" w:rsidRDefault="00CE5DC3" w:rsidP="00CE5DC3">
      <w:pPr>
        <w:jc w:val="both"/>
        <w:rPr>
          <w:rFonts w:ascii="Courier New" w:hAnsi="Courier New" w:cs="Courier New"/>
          <w:b/>
        </w:rPr>
      </w:pPr>
    </w:p>
    <w:p w14:paraId="2E8BA1FF" w14:textId="77777777" w:rsidR="00222120" w:rsidRDefault="00222120" w:rsidP="00222120">
      <w:pPr>
        <w:jc w:val="both"/>
        <w:rPr>
          <w:rFonts w:ascii="Courier New" w:hAnsi="Courier New" w:cs="Courier New"/>
          <w:b/>
        </w:rPr>
      </w:pPr>
      <w:r w:rsidRPr="006C660D">
        <w:rPr>
          <w:rFonts w:ascii="Courier New" w:hAnsi="Courier New" w:cs="Courier New"/>
          <w:b/>
        </w:rPr>
        <w:t xml:space="preserve">A </w:t>
      </w:r>
      <w:r w:rsidRPr="00EB27DC">
        <w:rPr>
          <w:rFonts w:ascii="Courier New" w:hAnsi="Courier New" w:cs="Courier New"/>
          <w:b/>
        </w:rPr>
        <w:t>true copy,</w:t>
      </w:r>
    </w:p>
    <w:p w14:paraId="3DD27A72" w14:textId="77777777" w:rsidR="00222120" w:rsidRDefault="00222120" w:rsidP="00222120">
      <w:pPr>
        <w:jc w:val="both"/>
        <w:rPr>
          <w:rFonts w:ascii="Courier New" w:hAnsi="Courier New" w:cs="Courier New"/>
          <w:b/>
        </w:rPr>
      </w:pPr>
    </w:p>
    <w:p w14:paraId="4EB033D7" w14:textId="77777777" w:rsidR="00222120" w:rsidRPr="00EB27DC" w:rsidRDefault="00222120" w:rsidP="00222120">
      <w:pPr>
        <w:jc w:val="both"/>
        <w:rPr>
          <w:rFonts w:ascii="Courier New" w:hAnsi="Courier New" w:cs="Courier New"/>
          <w:b/>
        </w:rPr>
      </w:pPr>
    </w:p>
    <w:p w14:paraId="58C1A36F" w14:textId="77777777" w:rsidR="00222120" w:rsidRDefault="00222120" w:rsidP="00222120">
      <w:pPr>
        <w:jc w:val="both"/>
        <w:rPr>
          <w:rFonts w:ascii="Courier New" w:hAnsi="Courier New" w:cs="Courier New"/>
          <w:b/>
          <w:u w:val="single"/>
        </w:rPr>
      </w:pPr>
      <w:r w:rsidRPr="00EB27DC">
        <w:rPr>
          <w:rFonts w:ascii="Courier New" w:hAnsi="Courier New" w:cs="Courier New"/>
          <w:b/>
        </w:rPr>
        <w:t>Atte</w:t>
      </w:r>
      <w:r>
        <w:rPr>
          <w:rFonts w:ascii="Courier New" w:hAnsi="Courier New" w:cs="Courier New"/>
          <w:b/>
        </w:rPr>
        <w:t>st: ________________________</w:t>
      </w:r>
    </w:p>
    <w:p w14:paraId="17A7BB7C" w14:textId="77777777" w:rsidR="00222120" w:rsidRPr="00F658D5" w:rsidRDefault="00222120" w:rsidP="00222120">
      <w:pPr>
        <w:jc w:val="both"/>
        <w:rPr>
          <w:rFonts w:ascii="Courier New" w:hAnsi="Courier New" w:cs="Courier New"/>
          <w:b/>
        </w:rPr>
      </w:pPr>
      <w:r w:rsidRPr="00EB27DC">
        <w:rPr>
          <w:rFonts w:ascii="Courier New" w:hAnsi="Courier New" w:cs="Courier New"/>
        </w:rPr>
        <w:tab/>
      </w:r>
      <w:r w:rsidRPr="00EB27DC">
        <w:rPr>
          <w:rFonts w:ascii="Courier New" w:hAnsi="Courier New" w:cs="Courier New"/>
          <w:b/>
        </w:rPr>
        <w:t xml:space="preserve">  </w:t>
      </w:r>
      <w:r>
        <w:rPr>
          <w:rFonts w:ascii="Courier New" w:hAnsi="Courier New" w:cs="Courier New"/>
          <w:b/>
        </w:rPr>
        <w:t xml:space="preserve">   </w:t>
      </w:r>
      <w:r w:rsidRPr="00EB27DC">
        <w:rPr>
          <w:rFonts w:ascii="Courier New" w:hAnsi="Courier New" w:cs="Courier New"/>
          <w:b/>
        </w:rPr>
        <w:t xml:space="preserve"> Clerk of the Board</w:t>
      </w:r>
    </w:p>
    <w:p w14:paraId="04BA4B9E" w14:textId="668EE953" w:rsidR="00105560" w:rsidRDefault="00105560" w:rsidP="00482957">
      <w:pPr>
        <w:tabs>
          <w:tab w:val="left" w:pos="3423"/>
        </w:tabs>
        <w:rPr>
          <w:rFonts w:ascii="Courier New" w:hAnsi="Courier New" w:cs="Courier New"/>
        </w:rPr>
      </w:pPr>
    </w:p>
    <w:sectPr w:rsidR="00105560" w:rsidSect="00222120">
      <w:footerReference w:type="default" r:id="rId12"/>
      <w:pgSz w:w="12240" w:h="15840"/>
      <w:pgMar w:top="1440" w:right="1800" w:bottom="1440" w:left="1800" w:header="720" w:footer="720" w:gutter="0"/>
      <w:pgNumType w:start="5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46B27" w14:textId="77777777" w:rsidR="008834D5" w:rsidRDefault="008834D5" w:rsidP="00121B86">
      <w:r>
        <w:separator/>
      </w:r>
    </w:p>
  </w:endnote>
  <w:endnote w:type="continuationSeparator" w:id="0">
    <w:p w14:paraId="077B2EBA" w14:textId="77777777" w:rsidR="008834D5" w:rsidRDefault="008834D5" w:rsidP="001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003937225"/>
      <w:docPartObj>
        <w:docPartGallery w:val="Page Numbers (Bottom of Page)"/>
        <w:docPartUnique/>
      </w:docPartObj>
    </w:sdtPr>
    <w:sdtEndPr>
      <w:rPr>
        <w:noProof/>
      </w:rPr>
    </w:sdtEndPr>
    <w:sdtContent>
      <w:p w14:paraId="59740C5D" w14:textId="66FE3E75" w:rsidR="008834D5" w:rsidRPr="004E656B" w:rsidRDefault="008834D5" w:rsidP="004E656B">
        <w:pPr>
          <w:pStyle w:val="Footer"/>
          <w:jc w:val="center"/>
          <w:rPr>
            <w:rFonts w:ascii="Courier New" w:hAnsi="Courier New" w:cs="Courier New"/>
            <w:b/>
          </w:rPr>
        </w:pPr>
        <w:r w:rsidRPr="004E656B">
          <w:rPr>
            <w:rFonts w:ascii="Courier New" w:hAnsi="Courier New" w:cs="Courier New"/>
            <w:b/>
          </w:rPr>
          <w:t>ATB 2018-</w:t>
        </w:r>
        <w:r w:rsidRPr="004E656B">
          <w:rPr>
            <w:rFonts w:ascii="Courier New" w:hAnsi="Courier New" w:cs="Courier New"/>
            <w:b/>
          </w:rPr>
          <w:fldChar w:fldCharType="begin"/>
        </w:r>
        <w:r w:rsidRPr="004E656B">
          <w:rPr>
            <w:rFonts w:ascii="Courier New" w:hAnsi="Courier New" w:cs="Courier New"/>
            <w:b/>
          </w:rPr>
          <w:instrText xml:space="preserve"> PAGE   \* MERGEFORMAT </w:instrText>
        </w:r>
        <w:r w:rsidRPr="004E656B">
          <w:rPr>
            <w:rFonts w:ascii="Courier New" w:hAnsi="Courier New" w:cs="Courier New"/>
            <w:b/>
          </w:rPr>
          <w:fldChar w:fldCharType="separate"/>
        </w:r>
        <w:r w:rsidR="00475B25">
          <w:rPr>
            <w:rFonts w:ascii="Courier New" w:hAnsi="Courier New" w:cs="Courier New"/>
            <w:b/>
            <w:noProof/>
          </w:rPr>
          <w:t>537</w:t>
        </w:r>
        <w:r w:rsidRPr="004E656B">
          <w:rPr>
            <w:rFonts w:ascii="Courier New" w:hAnsi="Courier New" w:cs="Courier New"/>
            <w:b/>
            <w:noProof/>
          </w:rPr>
          <w:fldChar w:fldCharType="end"/>
        </w:r>
      </w:p>
    </w:sdtContent>
  </w:sdt>
  <w:p w14:paraId="1584DEF7" w14:textId="77777777" w:rsidR="008834D5" w:rsidRDefault="00883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ADF41" w14:textId="77777777" w:rsidR="008834D5" w:rsidRDefault="008834D5" w:rsidP="00121B86">
      <w:r>
        <w:separator/>
      </w:r>
    </w:p>
  </w:footnote>
  <w:footnote w:type="continuationSeparator" w:id="0">
    <w:p w14:paraId="0EBDC771" w14:textId="77777777" w:rsidR="008834D5" w:rsidRDefault="008834D5" w:rsidP="00121B86">
      <w:r>
        <w:continuationSeparator/>
      </w:r>
    </w:p>
  </w:footnote>
  <w:footnote w:id="1">
    <w:p w14:paraId="19C1C467" w14:textId="0EFD7C6E" w:rsidR="00E13E0E" w:rsidRPr="00E13E0E" w:rsidRDefault="00E13E0E" w:rsidP="0089488C">
      <w:pPr>
        <w:pStyle w:val="FootnoteText"/>
        <w:jc w:val="both"/>
        <w:rPr>
          <w:rFonts w:ascii="Courier New" w:hAnsi="Courier New" w:cs="Courier New"/>
        </w:rPr>
      </w:pPr>
      <w:r w:rsidRPr="00E13E0E">
        <w:rPr>
          <w:rStyle w:val="FootnoteReference"/>
          <w:rFonts w:ascii="Courier New" w:hAnsi="Courier New" w:cs="Courier New"/>
        </w:rPr>
        <w:footnoteRef/>
      </w:r>
      <w:r w:rsidRPr="00E13E0E">
        <w:rPr>
          <w:rFonts w:ascii="Courier New" w:hAnsi="Courier New" w:cs="Courier New"/>
        </w:rPr>
        <w:t>The Board notes minor mathematical errors in Mr. Fontaine’s calculation, specifically his figure for the subject properties’ total square footage (which should be listed as 20,008 square feet) and the raw land value derived therefrom (which should be $761,104.32).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A4AEE"/>
    <w:multiLevelType w:val="hybridMultilevel"/>
    <w:tmpl w:val="8D0C8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86"/>
    <w:rsid w:val="00003010"/>
    <w:rsid w:val="0000339D"/>
    <w:rsid w:val="00012453"/>
    <w:rsid w:val="00013356"/>
    <w:rsid w:val="0001356A"/>
    <w:rsid w:val="000204C7"/>
    <w:rsid w:val="00020D25"/>
    <w:rsid w:val="000251AA"/>
    <w:rsid w:val="00031CE8"/>
    <w:rsid w:val="00035B57"/>
    <w:rsid w:val="00040E4F"/>
    <w:rsid w:val="000436CA"/>
    <w:rsid w:val="00044C77"/>
    <w:rsid w:val="00044CB5"/>
    <w:rsid w:val="0004591E"/>
    <w:rsid w:val="00053F0B"/>
    <w:rsid w:val="000559F4"/>
    <w:rsid w:val="000604D9"/>
    <w:rsid w:val="00066A1B"/>
    <w:rsid w:val="00066E48"/>
    <w:rsid w:val="000701B3"/>
    <w:rsid w:val="00080F5E"/>
    <w:rsid w:val="00082400"/>
    <w:rsid w:val="000905B6"/>
    <w:rsid w:val="000958C0"/>
    <w:rsid w:val="0009751A"/>
    <w:rsid w:val="000A647B"/>
    <w:rsid w:val="000A6A85"/>
    <w:rsid w:val="000B0C5D"/>
    <w:rsid w:val="000B1069"/>
    <w:rsid w:val="000B251F"/>
    <w:rsid w:val="000B6CD6"/>
    <w:rsid w:val="000B723C"/>
    <w:rsid w:val="000C3785"/>
    <w:rsid w:val="000C6079"/>
    <w:rsid w:val="000D2334"/>
    <w:rsid w:val="000D5C4B"/>
    <w:rsid w:val="000E182F"/>
    <w:rsid w:val="000E4833"/>
    <w:rsid w:val="000F465C"/>
    <w:rsid w:val="000F5111"/>
    <w:rsid w:val="000F6211"/>
    <w:rsid w:val="000F699C"/>
    <w:rsid w:val="000F747D"/>
    <w:rsid w:val="00101BDD"/>
    <w:rsid w:val="001029DB"/>
    <w:rsid w:val="00102C9F"/>
    <w:rsid w:val="0010412D"/>
    <w:rsid w:val="00105560"/>
    <w:rsid w:val="00114419"/>
    <w:rsid w:val="001149ED"/>
    <w:rsid w:val="001213F4"/>
    <w:rsid w:val="00121B86"/>
    <w:rsid w:val="00132147"/>
    <w:rsid w:val="001328D1"/>
    <w:rsid w:val="00140BDC"/>
    <w:rsid w:val="00145C19"/>
    <w:rsid w:val="00151C7C"/>
    <w:rsid w:val="001562B6"/>
    <w:rsid w:val="00157EE3"/>
    <w:rsid w:val="00161526"/>
    <w:rsid w:val="00161D62"/>
    <w:rsid w:val="00162F4F"/>
    <w:rsid w:val="001649BD"/>
    <w:rsid w:val="001709D5"/>
    <w:rsid w:val="0017630B"/>
    <w:rsid w:val="001778A7"/>
    <w:rsid w:val="00180833"/>
    <w:rsid w:val="00184C6F"/>
    <w:rsid w:val="0018599D"/>
    <w:rsid w:val="00185B13"/>
    <w:rsid w:val="001865B1"/>
    <w:rsid w:val="00191AF9"/>
    <w:rsid w:val="001A0127"/>
    <w:rsid w:val="001A2784"/>
    <w:rsid w:val="001A672B"/>
    <w:rsid w:val="001C3676"/>
    <w:rsid w:val="001D2141"/>
    <w:rsid w:val="001D3DF5"/>
    <w:rsid w:val="001D7746"/>
    <w:rsid w:val="001E63DF"/>
    <w:rsid w:val="001E7648"/>
    <w:rsid w:val="001F5AF9"/>
    <w:rsid w:val="001F7D64"/>
    <w:rsid w:val="00202223"/>
    <w:rsid w:val="00205D7C"/>
    <w:rsid w:val="002070CE"/>
    <w:rsid w:val="00211AA8"/>
    <w:rsid w:val="00211CA3"/>
    <w:rsid w:val="00212A21"/>
    <w:rsid w:val="00212EEF"/>
    <w:rsid w:val="00216B3B"/>
    <w:rsid w:val="00221DFC"/>
    <w:rsid w:val="00222120"/>
    <w:rsid w:val="00222390"/>
    <w:rsid w:val="00225328"/>
    <w:rsid w:val="00240C6B"/>
    <w:rsid w:val="002434FD"/>
    <w:rsid w:val="00251748"/>
    <w:rsid w:val="00252D0E"/>
    <w:rsid w:val="00255F9D"/>
    <w:rsid w:val="00274EA5"/>
    <w:rsid w:val="002754C0"/>
    <w:rsid w:val="00275FFC"/>
    <w:rsid w:val="00287BDB"/>
    <w:rsid w:val="00291A6C"/>
    <w:rsid w:val="00293C73"/>
    <w:rsid w:val="002A34FC"/>
    <w:rsid w:val="002B0AA9"/>
    <w:rsid w:val="002B589B"/>
    <w:rsid w:val="002B7A6B"/>
    <w:rsid w:val="002C30B7"/>
    <w:rsid w:val="002D213A"/>
    <w:rsid w:val="002E0E49"/>
    <w:rsid w:val="002E1B73"/>
    <w:rsid w:val="002E72B5"/>
    <w:rsid w:val="002F3C55"/>
    <w:rsid w:val="002F71D9"/>
    <w:rsid w:val="00300D0C"/>
    <w:rsid w:val="00310D7C"/>
    <w:rsid w:val="00316066"/>
    <w:rsid w:val="00316E9C"/>
    <w:rsid w:val="0031737F"/>
    <w:rsid w:val="00322E76"/>
    <w:rsid w:val="003257C6"/>
    <w:rsid w:val="00327082"/>
    <w:rsid w:val="0032739D"/>
    <w:rsid w:val="00333C58"/>
    <w:rsid w:val="0033557A"/>
    <w:rsid w:val="00342ABD"/>
    <w:rsid w:val="003436DF"/>
    <w:rsid w:val="00347B4F"/>
    <w:rsid w:val="003631E6"/>
    <w:rsid w:val="00363E40"/>
    <w:rsid w:val="00376289"/>
    <w:rsid w:val="003844B7"/>
    <w:rsid w:val="00385F69"/>
    <w:rsid w:val="00386FBF"/>
    <w:rsid w:val="003952B6"/>
    <w:rsid w:val="003963B6"/>
    <w:rsid w:val="003A15CA"/>
    <w:rsid w:val="003A32CE"/>
    <w:rsid w:val="003A632D"/>
    <w:rsid w:val="003B04C2"/>
    <w:rsid w:val="003B2174"/>
    <w:rsid w:val="003B2B3E"/>
    <w:rsid w:val="003C5E7A"/>
    <w:rsid w:val="003D2958"/>
    <w:rsid w:val="003D3D82"/>
    <w:rsid w:val="003D5715"/>
    <w:rsid w:val="003D5F6F"/>
    <w:rsid w:val="003E0019"/>
    <w:rsid w:val="003E05D6"/>
    <w:rsid w:val="003E27FA"/>
    <w:rsid w:val="003F2EAF"/>
    <w:rsid w:val="003F6543"/>
    <w:rsid w:val="00402752"/>
    <w:rsid w:val="0040759B"/>
    <w:rsid w:val="00410225"/>
    <w:rsid w:val="00415E04"/>
    <w:rsid w:val="004247F3"/>
    <w:rsid w:val="004253DD"/>
    <w:rsid w:val="0042655F"/>
    <w:rsid w:val="00445687"/>
    <w:rsid w:val="00445CD2"/>
    <w:rsid w:val="0044660C"/>
    <w:rsid w:val="00453C8A"/>
    <w:rsid w:val="004602F6"/>
    <w:rsid w:val="00467586"/>
    <w:rsid w:val="004716D0"/>
    <w:rsid w:val="00475B25"/>
    <w:rsid w:val="00482957"/>
    <w:rsid w:val="00484EDD"/>
    <w:rsid w:val="00485CF7"/>
    <w:rsid w:val="00486555"/>
    <w:rsid w:val="0049277D"/>
    <w:rsid w:val="004A3CA5"/>
    <w:rsid w:val="004A3CF0"/>
    <w:rsid w:val="004A6182"/>
    <w:rsid w:val="004B6107"/>
    <w:rsid w:val="004D03D2"/>
    <w:rsid w:val="004D0C6A"/>
    <w:rsid w:val="004D3F8A"/>
    <w:rsid w:val="004E1792"/>
    <w:rsid w:val="004E536A"/>
    <w:rsid w:val="004E656B"/>
    <w:rsid w:val="004E7041"/>
    <w:rsid w:val="00501749"/>
    <w:rsid w:val="005060E6"/>
    <w:rsid w:val="00511187"/>
    <w:rsid w:val="00511EDE"/>
    <w:rsid w:val="0052220D"/>
    <w:rsid w:val="00525554"/>
    <w:rsid w:val="005260E3"/>
    <w:rsid w:val="00532D5C"/>
    <w:rsid w:val="00535173"/>
    <w:rsid w:val="005367B9"/>
    <w:rsid w:val="0053752F"/>
    <w:rsid w:val="005404FA"/>
    <w:rsid w:val="00547C52"/>
    <w:rsid w:val="00554E2E"/>
    <w:rsid w:val="00555116"/>
    <w:rsid w:val="00560DCD"/>
    <w:rsid w:val="00567D87"/>
    <w:rsid w:val="00572F8C"/>
    <w:rsid w:val="0058397F"/>
    <w:rsid w:val="00583F2B"/>
    <w:rsid w:val="00584F3D"/>
    <w:rsid w:val="0058690A"/>
    <w:rsid w:val="005A6F06"/>
    <w:rsid w:val="005B327D"/>
    <w:rsid w:val="005B34FD"/>
    <w:rsid w:val="005C19FC"/>
    <w:rsid w:val="005C6219"/>
    <w:rsid w:val="005C6666"/>
    <w:rsid w:val="005E1686"/>
    <w:rsid w:val="005E75BD"/>
    <w:rsid w:val="005F2B48"/>
    <w:rsid w:val="0060596E"/>
    <w:rsid w:val="006231F4"/>
    <w:rsid w:val="00623645"/>
    <w:rsid w:val="00624344"/>
    <w:rsid w:val="006255DB"/>
    <w:rsid w:val="006266D1"/>
    <w:rsid w:val="00635D50"/>
    <w:rsid w:val="0064372C"/>
    <w:rsid w:val="00643765"/>
    <w:rsid w:val="00643D12"/>
    <w:rsid w:val="00646C52"/>
    <w:rsid w:val="00650CA6"/>
    <w:rsid w:val="0065263E"/>
    <w:rsid w:val="00652974"/>
    <w:rsid w:val="006672D9"/>
    <w:rsid w:val="00671220"/>
    <w:rsid w:val="00672C73"/>
    <w:rsid w:val="00681736"/>
    <w:rsid w:val="00685454"/>
    <w:rsid w:val="00690535"/>
    <w:rsid w:val="00692DDD"/>
    <w:rsid w:val="00694E87"/>
    <w:rsid w:val="006A0747"/>
    <w:rsid w:val="006A3E71"/>
    <w:rsid w:val="006A5C89"/>
    <w:rsid w:val="006A77C5"/>
    <w:rsid w:val="006B1C99"/>
    <w:rsid w:val="006B3499"/>
    <w:rsid w:val="006C59C5"/>
    <w:rsid w:val="006C7D27"/>
    <w:rsid w:val="006D2554"/>
    <w:rsid w:val="006D3762"/>
    <w:rsid w:val="006D4D34"/>
    <w:rsid w:val="006D506E"/>
    <w:rsid w:val="006E24CC"/>
    <w:rsid w:val="006E387B"/>
    <w:rsid w:val="006E5898"/>
    <w:rsid w:val="006E746B"/>
    <w:rsid w:val="006F0751"/>
    <w:rsid w:val="006F1791"/>
    <w:rsid w:val="006F1B62"/>
    <w:rsid w:val="00710384"/>
    <w:rsid w:val="00710EB3"/>
    <w:rsid w:val="007111AC"/>
    <w:rsid w:val="00711440"/>
    <w:rsid w:val="00720269"/>
    <w:rsid w:val="007209DC"/>
    <w:rsid w:val="00721518"/>
    <w:rsid w:val="00731C92"/>
    <w:rsid w:val="007349B5"/>
    <w:rsid w:val="00734F66"/>
    <w:rsid w:val="00742BC8"/>
    <w:rsid w:val="00746704"/>
    <w:rsid w:val="0075751E"/>
    <w:rsid w:val="0076288F"/>
    <w:rsid w:val="007666DB"/>
    <w:rsid w:val="007731F6"/>
    <w:rsid w:val="0078268D"/>
    <w:rsid w:val="007865AD"/>
    <w:rsid w:val="007A10A2"/>
    <w:rsid w:val="007B0CF1"/>
    <w:rsid w:val="007B1676"/>
    <w:rsid w:val="007B21B7"/>
    <w:rsid w:val="007B7DE3"/>
    <w:rsid w:val="007C4E5E"/>
    <w:rsid w:val="007C6E1D"/>
    <w:rsid w:val="007D7CE4"/>
    <w:rsid w:val="007E0390"/>
    <w:rsid w:val="007E3739"/>
    <w:rsid w:val="007E4B50"/>
    <w:rsid w:val="007E6675"/>
    <w:rsid w:val="007F2D7A"/>
    <w:rsid w:val="007F3315"/>
    <w:rsid w:val="00807F13"/>
    <w:rsid w:val="00810144"/>
    <w:rsid w:val="00815ACA"/>
    <w:rsid w:val="0081693C"/>
    <w:rsid w:val="00817CC9"/>
    <w:rsid w:val="0082302A"/>
    <w:rsid w:val="00825D45"/>
    <w:rsid w:val="00826189"/>
    <w:rsid w:val="00826B84"/>
    <w:rsid w:val="00831747"/>
    <w:rsid w:val="008409CE"/>
    <w:rsid w:val="00841AE9"/>
    <w:rsid w:val="0084492B"/>
    <w:rsid w:val="00845A7C"/>
    <w:rsid w:val="00845A85"/>
    <w:rsid w:val="008514BA"/>
    <w:rsid w:val="00854E62"/>
    <w:rsid w:val="00856154"/>
    <w:rsid w:val="008571E2"/>
    <w:rsid w:val="00871136"/>
    <w:rsid w:val="008739B0"/>
    <w:rsid w:val="008834D5"/>
    <w:rsid w:val="0089488C"/>
    <w:rsid w:val="008A535D"/>
    <w:rsid w:val="008C1DF4"/>
    <w:rsid w:val="008C2F84"/>
    <w:rsid w:val="008C3DDF"/>
    <w:rsid w:val="008C5E1B"/>
    <w:rsid w:val="008D64F3"/>
    <w:rsid w:val="008D6D83"/>
    <w:rsid w:val="008E2BE5"/>
    <w:rsid w:val="008E43DF"/>
    <w:rsid w:val="008E55F0"/>
    <w:rsid w:val="008E5F34"/>
    <w:rsid w:val="008F3AB8"/>
    <w:rsid w:val="008F3D9D"/>
    <w:rsid w:val="008F627F"/>
    <w:rsid w:val="008F6C89"/>
    <w:rsid w:val="009013E2"/>
    <w:rsid w:val="0090446A"/>
    <w:rsid w:val="0091022E"/>
    <w:rsid w:val="00914713"/>
    <w:rsid w:val="00917EAE"/>
    <w:rsid w:val="00922C35"/>
    <w:rsid w:val="00935B07"/>
    <w:rsid w:val="00943EC3"/>
    <w:rsid w:val="0094498C"/>
    <w:rsid w:val="009532D4"/>
    <w:rsid w:val="00961490"/>
    <w:rsid w:val="009630EA"/>
    <w:rsid w:val="00963EBC"/>
    <w:rsid w:val="0097070C"/>
    <w:rsid w:val="00971E05"/>
    <w:rsid w:val="00972334"/>
    <w:rsid w:val="00980598"/>
    <w:rsid w:val="00982713"/>
    <w:rsid w:val="009830E1"/>
    <w:rsid w:val="009877AB"/>
    <w:rsid w:val="00993A4E"/>
    <w:rsid w:val="0099565C"/>
    <w:rsid w:val="009A5539"/>
    <w:rsid w:val="009B5A6D"/>
    <w:rsid w:val="009C0C0A"/>
    <w:rsid w:val="009C2B44"/>
    <w:rsid w:val="009C72B7"/>
    <w:rsid w:val="009D0459"/>
    <w:rsid w:val="009D30FB"/>
    <w:rsid w:val="009D7D9B"/>
    <w:rsid w:val="009E0315"/>
    <w:rsid w:val="009E13D8"/>
    <w:rsid w:val="009F1D31"/>
    <w:rsid w:val="00A003F1"/>
    <w:rsid w:val="00A01F89"/>
    <w:rsid w:val="00A02DC3"/>
    <w:rsid w:val="00A263E0"/>
    <w:rsid w:val="00A36AB9"/>
    <w:rsid w:val="00A42455"/>
    <w:rsid w:val="00A446A2"/>
    <w:rsid w:val="00A46811"/>
    <w:rsid w:val="00A47C8D"/>
    <w:rsid w:val="00A54397"/>
    <w:rsid w:val="00A663E1"/>
    <w:rsid w:val="00A760D9"/>
    <w:rsid w:val="00A76FA3"/>
    <w:rsid w:val="00A77071"/>
    <w:rsid w:val="00A832DB"/>
    <w:rsid w:val="00A96479"/>
    <w:rsid w:val="00AA1B84"/>
    <w:rsid w:val="00AB0213"/>
    <w:rsid w:val="00AB3D2E"/>
    <w:rsid w:val="00AB4EA2"/>
    <w:rsid w:val="00AB664D"/>
    <w:rsid w:val="00AC0E21"/>
    <w:rsid w:val="00AC5491"/>
    <w:rsid w:val="00AC5C8D"/>
    <w:rsid w:val="00AC6335"/>
    <w:rsid w:val="00AD054D"/>
    <w:rsid w:val="00AD3CC2"/>
    <w:rsid w:val="00AD6E95"/>
    <w:rsid w:val="00AE5C8C"/>
    <w:rsid w:val="00AF3FB5"/>
    <w:rsid w:val="00AF4FEA"/>
    <w:rsid w:val="00AF6644"/>
    <w:rsid w:val="00B05AD7"/>
    <w:rsid w:val="00B0695A"/>
    <w:rsid w:val="00B121D2"/>
    <w:rsid w:val="00B12FAB"/>
    <w:rsid w:val="00B220D7"/>
    <w:rsid w:val="00B33489"/>
    <w:rsid w:val="00B355E4"/>
    <w:rsid w:val="00B506BE"/>
    <w:rsid w:val="00B52304"/>
    <w:rsid w:val="00B57EE1"/>
    <w:rsid w:val="00B66ED2"/>
    <w:rsid w:val="00B778B1"/>
    <w:rsid w:val="00B817C7"/>
    <w:rsid w:val="00B83A0C"/>
    <w:rsid w:val="00B841C5"/>
    <w:rsid w:val="00B84D11"/>
    <w:rsid w:val="00B85062"/>
    <w:rsid w:val="00B85857"/>
    <w:rsid w:val="00B87529"/>
    <w:rsid w:val="00BA1AEB"/>
    <w:rsid w:val="00BA7954"/>
    <w:rsid w:val="00BB1CC4"/>
    <w:rsid w:val="00BB4DB2"/>
    <w:rsid w:val="00BC2B59"/>
    <w:rsid w:val="00BC5990"/>
    <w:rsid w:val="00BC7981"/>
    <w:rsid w:val="00BD14AF"/>
    <w:rsid w:val="00BD28CA"/>
    <w:rsid w:val="00BD49EE"/>
    <w:rsid w:val="00BD57DB"/>
    <w:rsid w:val="00BD7922"/>
    <w:rsid w:val="00BD7C88"/>
    <w:rsid w:val="00BE0FBA"/>
    <w:rsid w:val="00BE17F1"/>
    <w:rsid w:val="00BF1F71"/>
    <w:rsid w:val="00BF677A"/>
    <w:rsid w:val="00C03E8E"/>
    <w:rsid w:val="00C1296C"/>
    <w:rsid w:val="00C1648F"/>
    <w:rsid w:val="00C22223"/>
    <w:rsid w:val="00C30F44"/>
    <w:rsid w:val="00C35983"/>
    <w:rsid w:val="00C40996"/>
    <w:rsid w:val="00C4424B"/>
    <w:rsid w:val="00C44539"/>
    <w:rsid w:val="00C44682"/>
    <w:rsid w:val="00C54FBA"/>
    <w:rsid w:val="00C5531B"/>
    <w:rsid w:val="00C63514"/>
    <w:rsid w:val="00C63F12"/>
    <w:rsid w:val="00C65972"/>
    <w:rsid w:val="00C713B2"/>
    <w:rsid w:val="00C82D2D"/>
    <w:rsid w:val="00C93F45"/>
    <w:rsid w:val="00C96091"/>
    <w:rsid w:val="00CA5670"/>
    <w:rsid w:val="00CB431B"/>
    <w:rsid w:val="00CB4DAA"/>
    <w:rsid w:val="00CC419F"/>
    <w:rsid w:val="00CD610A"/>
    <w:rsid w:val="00CE0732"/>
    <w:rsid w:val="00CE22C0"/>
    <w:rsid w:val="00CE2C11"/>
    <w:rsid w:val="00CE3BF7"/>
    <w:rsid w:val="00CE5DC3"/>
    <w:rsid w:val="00CE5E6B"/>
    <w:rsid w:val="00CE6260"/>
    <w:rsid w:val="00CF1443"/>
    <w:rsid w:val="00CF6FA8"/>
    <w:rsid w:val="00D00C21"/>
    <w:rsid w:val="00D01268"/>
    <w:rsid w:val="00D033CE"/>
    <w:rsid w:val="00D04B27"/>
    <w:rsid w:val="00D060E9"/>
    <w:rsid w:val="00D15AAC"/>
    <w:rsid w:val="00D20ECE"/>
    <w:rsid w:val="00D21BE9"/>
    <w:rsid w:val="00D266F2"/>
    <w:rsid w:val="00D30172"/>
    <w:rsid w:val="00D31F13"/>
    <w:rsid w:val="00D32C47"/>
    <w:rsid w:val="00D33037"/>
    <w:rsid w:val="00D52CA1"/>
    <w:rsid w:val="00D52D3E"/>
    <w:rsid w:val="00D53503"/>
    <w:rsid w:val="00D548A1"/>
    <w:rsid w:val="00D552A2"/>
    <w:rsid w:val="00D73E7A"/>
    <w:rsid w:val="00D80AC6"/>
    <w:rsid w:val="00D82182"/>
    <w:rsid w:val="00D82904"/>
    <w:rsid w:val="00D85FAE"/>
    <w:rsid w:val="00D87D11"/>
    <w:rsid w:val="00D9117E"/>
    <w:rsid w:val="00D92EA3"/>
    <w:rsid w:val="00D951F2"/>
    <w:rsid w:val="00D97A64"/>
    <w:rsid w:val="00DA217F"/>
    <w:rsid w:val="00DA5F3B"/>
    <w:rsid w:val="00DA776D"/>
    <w:rsid w:val="00DA7840"/>
    <w:rsid w:val="00DA7A0F"/>
    <w:rsid w:val="00DB14DA"/>
    <w:rsid w:val="00DB57D7"/>
    <w:rsid w:val="00DB642E"/>
    <w:rsid w:val="00DC0931"/>
    <w:rsid w:val="00DC50FE"/>
    <w:rsid w:val="00DD4D7D"/>
    <w:rsid w:val="00DE43E4"/>
    <w:rsid w:val="00DF3452"/>
    <w:rsid w:val="00DF5737"/>
    <w:rsid w:val="00E016EB"/>
    <w:rsid w:val="00E01BA3"/>
    <w:rsid w:val="00E0462D"/>
    <w:rsid w:val="00E129B7"/>
    <w:rsid w:val="00E13E0E"/>
    <w:rsid w:val="00E17A01"/>
    <w:rsid w:val="00E20D5C"/>
    <w:rsid w:val="00E27D2C"/>
    <w:rsid w:val="00E30E16"/>
    <w:rsid w:val="00E338DF"/>
    <w:rsid w:val="00E50C25"/>
    <w:rsid w:val="00E5477C"/>
    <w:rsid w:val="00E55315"/>
    <w:rsid w:val="00E834EC"/>
    <w:rsid w:val="00E84970"/>
    <w:rsid w:val="00E907F9"/>
    <w:rsid w:val="00E9118B"/>
    <w:rsid w:val="00E9231D"/>
    <w:rsid w:val="00E92B86"/>
    <w:rsid w:val="00E97A75"/>
    <w:rsid w:val="00EA4335"/>
    <w:rsid w:val="00EA7F29"/>
    <w:rsid w:val="00EB3C4B"/>
    <w:rsid w:val="00EB6C88"/>
    <w:rsid w:val="00EC42FB"/>
    <w:rsid w:val="00ED0EE2"/>
    <w:rsid w:val="00ED26ED"/>
    <w:rsid w:val="00ED4C34"/>
    <w:rsid w:val="00ED7690"/>
    <w:rsid w:val="00EE01A8"/>
    <w:rsid w:val="00EE4FA4"/>
    <w:rsid w:val="00EE4FA5"/>
    <w:rsid w:val="00EE72A3"/>
    <w:rsid w:val="00EF6D14"/>
    <w:rsid w:val="00EF7FC6"/>
    <w:rsid w:val="00F019C2"/>
    <w:rsid w:val="00F10DEB"/>
    <w:rsid w:val="00F11CB0"/>
    <w:rsid w:val="00F15AF4"/>
    <w:rsid w:val="00F17508"/>
    <w:rsid w:val="00F21AD9"/>
    <w:rsid w:val="00F27510"/>
    <w:rsid w:val="00F27CD3"/>
    <w:rsid w:val="00F407A7"/>
    <w:rsid w:val="00F4400C"/>
    <w:rsid w:val="00F452C9"/>
    <w:rsid w:val="00F459B2"/>
    <w:rsid w:val="00F47245"/>
    <w:rsid w:val="00F51A07"/>
    <w:rsid w:val="00F55843"/>
    <w:rsid w:val="00F5752B"/>
    <w:rsid w:val="00F57A01"/>
    <w:rsid w:val="00F611FA"/>
    <w:rsid w:val="00F61F91"/>
    <w:rsid w:val="00F638A9"/>
    <w:rsid w:val="00F734A9"/>
    <w:rsid w:val="00F75E62"/>
    <w:rsid w:val="00F8269C"/>
    <w:rsid w:val="00F8272E"/>
    <w:rsid w:val="00F87D4C"/>
    <w:rsid w:val="00F92275"/>
    <w:rsid w:val="00F95C47"/>
    <w:rsid w:val="00FA780A"/>
    <w:rsid w:val="00FB2410"/>
    <w:rsid w:val="00FB71A0"/>
    <w:rsid w:val="00FB7A3C"/>
    <w:rsid w:val="00FC3033"/>
    <w:rsid w:val="00FC3F8B"/>
    <w:rsid w:val="00FE2449"/>
    <w:rsid w:val="00FE2ED4"/>
    <w:rsid w:val="00FE4059"/>
    <w:rsid w:val="00FE44C1"/>
    <w:rsid w:val="00FF1292"/>
    <w:rsid w:val="00FF1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101CF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86"/>
    <w:rPr>
      <w:rFonts w:ascii="Times New Roman" w:eastAsia="Times New Roman" w:hAnsi="Times New Roman" w:cs="Times New Roman"/>
    </w:rPr>
  </w:style>
  <w:style w:type="paragraph" w:styleId="Heading1">
    <w:name w:val="heading 1"/>
    <w:basedOn w:val="Normal"/>
    <w:next w:val="Normal"/>
    <w:link w:val="Heading1Char"/>
    <w:qFormat/>
    <w:rsid w:val="00121B86"/>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121B86"/>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B86"/>
    <w:rPr>
      <w:rFonts w:ascii="Courier New" w:eastAsia="Times New Roman" w:hAnsi="Courier New" w:cs="Courier New"/>
      <w:b/>
      <w:bCs/>
    </w:rPr>
  </w:style>
  <w:style w:type="character" w:customStyle="1" w:styleId="Heading2Char">
    <w:name w:val="Heading 2 Char"/>
    <w:basedOn w:val="DefaultParagraphFont"/>
    <w:link w:val="Heading2"/>
    <w:rsid w:val="00121B86"/>
    <w:rPr>
      <w:rFonts w:ascii="Courier New" w:eastAsia="Times New Roman" w:hAnsi="Courier New" w:cs="Courier New"/>
      <w:b/>
      <w:bCs/>
    </w:rPr>
  </w:style>
  <w:style w:type="paragraph" w:styleId="Title">
    <w:name w:val="Title"/>
    <w:basedOn w:val="Normal"/>
    <w:link w:val="TitleChar"/>
    <w:qFormat/>
    <w:rsid w:val="00121B86"/>
    <w:pPr>
      <w:jc w:val="center"/>
    </w:pPr>
    <w:rPr>
      <w:rFonts w:ascii="Courier New" w:hAnsi="Courier New" w:cs="Courier New"/>
      <w:b/>
      <w:bCs/>
    </w:rPr>
  </w:style>
  <w:style w:type="character" w:customStyle="1" w:styleId="TitleChar">
    <w:name w:val="Title Char"/>
    <w:basedOn w:val="DefaultParagraphFont"/>
    <w:link w:val="Title"/>
    <w:rsid w:val="00121B86"/>
    <w:rPr>
      <w:rFonts w:ascii="Courier New" w:eastAsia="Times New Roman" w:hAnsi="Courier New" w:cs="Courier New"/>
      <w:b/>
      <w:bCs/>
    </w:rPr>
  </w:style>
  <w:style w:type="paragraph" w:styleId="BodyText2">
    <w:name w:val="Body Text 2"/>
    <w:basedOn w:val="Normal"/>
    <w:link w:val="BodyText2Char"/>
    <w:rsid w:val="00121B86"/>
    <w:pPr>
      <w:spacing w:after="120" w:line="480" w:lineRule="auto"/>
    </w:pPr>
  </w:style>
  <w:style w:type="character" w:customStyle="1" w:styleId="BodyText2Char">
    <w:name w:val="Body Text 2 Char"/>
    <w:basedOn w:val="DefaultParagraphFont"/>
    <w:link w:val="BodyText2"/>
    <w:rsid w:val="00121B86"/>
    <w:rPr>
      <w:rFonts w:ascii="Times New Roman" w:eastAsia="Times New Roman" w:hAnsi="Times New Roman" w:cs="Times New Roman"/>
    </w:rPr>
  </w:style>
  <w:style w:type="paragraph" w:styleId="FootnoteText">
    <w:name w:val="footnote text"/>
    <w:basedOn w:val="Normal"/>
    <w:link w:val="FootnoteTextChar"/>
    <w:uiPriority w:val="99"/>
    <w:rsid w:val="00121B86"/>
    <w:rPr>
      <w:sz w:val="20"/>
      <w:szCs w:val="20"/>
    </w:rPr>
  </w:style>
  <w:style w:type="character" w:customStyle="1" w:styleId="FootnoteTextChar">
    <w:name w:val="Footnote Text Char"/>
    <w:basedOn w:val="DefaultParagraphFont"/>
    <w:link w:val="FootnoteText"/>
    <w:uiPriority w:val="99"/>
    <w:rsid w:val="00121B86"/>
    <w:rPr>
      <w:rFonts w:ascii="Times New Roman" w:eastAsia="Times New Roman" w:hAnsi="Times New Roman" w:cs="Times New Roman"/>
      <w:sz w:val="20"/>
      <w:szCs w:val="20"/>
    </w:rPr>
  </w:style>
  <w:style w:type="character" w:styleId="FootnoteReference">
    <w:name w:val="footnote reference"/>
    <w:uiPriority w:val="99"/>
    <w:rsid w:val="00121B86"/>
    <w:rPr>
      <w:vertAlign w:val="superscript"/>
    </w:rPr>
  </w:style>
  <w:style w:type="paragraph" w:styleId="Header">
    <w:name w:val="header"/>
    <w:basedOn w:val="Normal"/>
    <w:link w:val="HeaderChar"/>
    <w:uiPriority w:val="99"/>
    <w:unhideWhenUsed/>
    <w:rsid w:val="006D506E"/>
    <w:pPr>
      <w:tabs>
        <w:tab w:val="center" w:pos="4680"/>
        <w:tab w:val="right" w:pos="9360"/>
      </w:tabs>
    </w:pPr>
  </w:style>
  <w:style w:type="character" w:customStyle="1" w:styleId="HeaderChar">
    <w:name w:val="Header Char"/>
    <w:basedOn w:val="DefaultParagraphFont"/>
    <w:link w:val="Header"/>
    <w:uiPriority w:val="99"/>
    <w:rsid w:val="006D506E"/>
    <w:rPr>
      <w:rFonts w:ascii="Times New Roman" w:eastAsia="Times New Roman" w:hAnsi="Times New Roman" w:cs="Times New Roman"/>
    </w:rPr>
  </w:style>
  <w:style w:type="paragraph" w:styleId="Footer">
    <w:name w:val="footer"/>
    <w:basedOn w:val="Normal"/>
    <w:link w:val="FooterChar"/>
    <w:uiPriority w:val="99"/>
    <w:unhideWhenUsed/>
    <w:rsid w:val="006D506E"/>
    <w:pPr>
      <w:tabs>
        <w:tab w:val="center" w:pos="4680"/>
        <w:tab w:val="right" w:pos="9360"/>
      </w:tabs>
    </w:pPr>
  </w:style>
  <w:style w:type="character" w:customStyle="1" w:styleId="FooterChar">
    <w:name w:val="Footer Char"/>
    <w:basedOn w:val="DefaultParagraphFont"/>
    <w:link w:val="Footer"/>
    <w:uiPriority w:val="99"/>
    <w:rsid w:val="006D506E"/>
    <w:rPr>
      <w:rFonts w:ascii="Times New Roman" w:eastAsia="Times New Roman" w:hAnsi="Times New Roman" w:cs="Times New Roman"/>
    </w:rPr>
  </w:style>
  <w:style w:type="table" w:styleId="TableGrid">
    <w:name w:val="Table Grid"/>
    <w:basedOn w:val="TableNormal"/>
    <w:uiPriority w:val="59"/>
    <w:rsid w:val="00BA1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09D5"/>
    <w:rPr>
      <w:rFonts w:ascii="Tahoma" w:hAnsi="Tahoma" w:cs="Tahoma"/>
      <w:sz w:val="16"/>
      <w:szCs w:val="16"/>
    </w:rPr>
  </w:style>
  <w:style w:type="character" w:customStyle="1" w:styleId="BalloonTextChar">
    <w:name w:val="Balloon Text Char"/>
    <w:basedOn w:val="DefaultParagraphFont"/>
    <w:link w:val="BalloonText"/>
    <w:uiPriority w:val="99"/>
    <w:semiHidden/>
    <w:rsid w:val="001709D5"/>
    <w:rPr>
      <w:rFonts w:ascii="Tahoma" w:eastAsia="Times New Roman" w:hAnsi="Tahoma" w:cs="Tahoma"/>
      <w:sz w:val="16"/>
      <w:szCs w:val="16"/>
    </w:rPr>
  </w:style>
  <w:style w:type="paragraph" w:styleId="ListParagraph">
    <w:name w:val="List Paragraph"/>
    <w:basedOn w:val="Normal"/>
    <w:uiPriority w:val="34"/>
    <w:qFormat/>
    <w:rsid w:val="00CE5E6B"/>
    <w:pPr>
      <w:ind w:left="720"/>
      <w:contextualSpacing/>
    </w:pPr>
  </w:style>
  <w:style w:type="character" w:customStyle="1" w:styleId="term1">
    <w:name w:val="term1"/>
    <w:basedOn w:val="DefaultParagraphFont"/>
    <w:rsid w:val="00211A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86"/>
    <w:rPr>
      <w:rFonts w:ascii="Times New Roman" w:eastAsia="Times New Roman" w:hAnsi="Times New Roman" w:cs="Times New Roman"/>
    </w:rPr>
  </w:style>
  <w:style w:type="paragraph" w:styleId="Heading1">
    <w:name w:val="heading 1"/>
    <w:basedOn w:val="Normal"/>
    <w:next w:val="Normal"/>
    <w:link w:val="Heading1Char"/>
    <w:qFormat/>
    <w:rsid w:val="00121B86"/>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121B86"/>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B86"/>
    <w:rPr>
      <w:rFonts w:ascii="Courier New" w:eastAsia="Times New Roman" w:hAnsi="Courier New" w:cs="Courier New"/>
      <w:b/>
      <w:bCs/>
    </w:rPr>
  </w:style>
  <w:style w:type="character" w:customStyle="1" w:styleId="Heading2Char">
    <w:name w:val="Heading 2 Char"/>
    <w:basedOn w:val="DefaultParagraphFont"/>
    <w:link w:val="Heading2"/>
    <w:rsid w:val="00121B86"/>
    <w:rPr>
      <w:rFonts w:ascii="Courier New" w:eastAsia="Times New Roman" w:hAnsi="Courier New" w:cs="Courier New"/>
      <w:b/>
      <w:bCs/>
    </w:rPr>
  </w:style>
  <w:style w:type="paragraph" w:styleId="Title">
    <w:name w:val="Title"/>
    <w:basedOn w:val="Normal"/>
    <w:link w:val="TitleChar"/>
    <w:qFormat/>
    <w:rsid w:val="00121B86"/>
    <w:pPr>
      <w:jc w:val="center"/>
    </w:pPr>
    <w:rPr>
      <w:rFonts w:ascii="Courier New" w:hAnsi="Courier New" w:cs="Courier New"/>
      <w:b/>
      <w:bCs/>
    </w:rPr>
  </w:style>
  <w:style w:type="character" w:customStyle="1" w:styleId="TitleChar">
    <w:name w:val="Title Char"/>
    <w:basedOn w:val="DefaultParagraphFont"/>
    <w:link w:val="Title"/>
    <w:rsid w:val="00121B86"/>
    <w:rPr>
      <w:rFonts w:ascii="Courier New" w:eastAsia="Times New Roman" w:hAnsi="Courier New" w:cs="Courier New"/>
      <w:b/>
      <w:bCs/>
    </w:rPr>
  </w:style>
  <w:style w:type="paragraph" w:styleId="BodyText2">
    <w:name w:val="Body Text 2"/>
    <w:basedOn w:val="Normal"/>
    <w:link w:val="BodyText2Char"/>
    <w:rsid w:val="00121B86"/>
    <w:pPr>
      <w:spacing w:after="120" w:line="480" w:lineRule="auto"/>
    </w:pPr>
  </w:style>
  <w:style w:type="character" w:customStyle="1" w:styleId="BodyText2Char">
    <w:name w:val="Body Text 2 Char"/>
    <w:basedOn w:val="DefaultParagraphFont"/>
    <w:link w:val="BodyText2"/>
    <w:rsid w:val="00121B86"/>
    <w:rPr>
      <w:rFonts w:ascii="Times New Roman" w:eastAsia="Times New Roman" w:hAnsi="Times New Roman" w:cs="Times New Roman"/>
    </w:rPr>
  </w:style>
  <w:style w:type="paragraph" w:styleId="FootnoteText">
    <w:name w:val="footnote text"/>
    <w:basedOn w:val="Normal"/>
    <w:link w:val="FootnoteTextChar"/>
    <w:uiPriority w:val="99"/>
    <w:rsid w:val="00121B86"/>
    <w:rPr>
      <w:sz w:val="20"/>
      <w:szCs w:val="20"/>
    </w:rPr>
  </w:style>
  <w:style w:type="character" w:customStyle="1" w:styleId="FootnoteTextChar">
    <w:name w:val="Footnote Text Char"/>
    <w:basedOn w:val="DefaultParagraphFont"/>
    <w:link w:val="FootnoteText"/>
    <w:uiPriority w:val="99"/>
    <w:rsid w:val="00121B86"/>
    <w:rPr>
      <w:rFonts w:ascii="Times New Roman" w:eastAsia="Times New Roman" w:hAnsi="Times New Roman" w:cs="Times New Roman"/>
      <w:sz w:val="20"/>
      <w:szCs w:val="20"/>
    </w:rPr>
  </w:style>
  <w:style w:type="character" w:styleId="FootnoteReference">
    <w:name w:val="footnote reference"/>
    <w:uiPriority w:val="99"/>
    <w:rsid w:val="00121B86"/>
    <w:rPr>
      <w:vertAlign w:val="superscript"/>
    </w:rPr>
  </w:style>
  <w:style w:type="paragraph" w:styleId="Header">
    <w:name w:val="header"/>
    <w:basedOn w:val="Normal"/>
    <w:link w:val="HeaderChar"/>
    <w:uiPriority w:val="99"/>
    <w:unhideWhenUsed/>
    <w:rsid w:val="006D506E"/>
    <w:pPr>
      <w:tabs>
        <w:tab w:val="center" w:pos="4680"/>
        <w:tab w:val="right" w:pos="9360"/>
      </w:tabs>
    </w:pPr>
  </w:style>
  <w:style w:type="character" w:customStyle="1" w:styleId="HeaderChar">
    <w:name w:val="Header Char"/>
    <w:basedOn w:val="DefaultParagraphFont"/>
    <w:link w:val="Header"/>
    <w:uiPriority w:val="99"/>
    <w:rsid w:val="006D506E"/>
    <w:rPr>
      <w:rFonts w:ascii="Times New Roman" w:eastAsia="Times New Roman" w:hAnsi="Times New Roman" w:cs="Times New Roman"/>
    </w:rPr>
  </w:style>
  <w:style w:type="paragraph" w:styleId="Footer">
    <w:name w:val="footer"/>
    <w:basedOn w:val="Normal"/>
    <w:link w:val="FooterChar"/>
    <w:uiPriority w:val="99"/>
    <w:unhideWhenUsed/>
    <w:rsid w:val="006D506E"/>
    <w:pPr>
      <w:tabs>
        <w:tab w:val="center" w:pos="4680"/>
        <w:tab w:val="right" w:pos="9360"/>
      </w:tabs>
    </w:pPr>
  </w:style>
  <w:style w:type="character" w:customStyle="1" w:styleId="FooterChar">
    <w:name w:val="Footer Char"/>
    <w:basedOn w:val="DefaultParagraphFont"/>
    <w:link w:val="Footer"/>
    <w:uiPriority w:val="99"/>
    <w:rsid w:val="006D506E"/>
    <w:rPr>
      <w:rFonts w:ascii="Times New Roman" w:eastAsia="Times New Roman" w:hAnsi="Times New Roman" w:cs="Times New Roman"/>
    </w:rPr>
  </w:style>
  <w:style w:type="table" w:styleId="TableGrid">
    <w:name w:val="Table Grid"/>
    <w:basedOn w:val="TableNormal"/>
    <w:uiPriority w:val="59"/>
    <w:rsid w:val="00BA1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09D5"/>
    <w:rPr>
      <w:rFonts w:ascii="Tahoma" w:hAnsi="Tahoma" w:cs="Tahoma"/>
      <w:sz w:val="16"/>
      <w:szCs w:val="16"/>
    </w:rPr>
  </w:style>
  <w:style w:type="character" w:customStyle="1" w:styleId="BalloonTextChar">
    <w:name w:val="Balloon Text Char"/>
    <w:basedOn w:val="DefaultParagraphFont"/>
    <w:link w:val="BalloonText"/>
    <w:uiPriority w:val="99"/>
    <w:semiHidden/>
    <w:rsid w:val="001709D5"/>
    <w:rPr>
      <w:rFonts w:ascii="Tahoma" w:eastAsia="Times New Roman" w:hAnsi="Tahoma" w:cs="Tahoma"/>
      <w:sz w:val="16"/>
      <w:szCs w:val="16"/>
    </w:rPr>
  </w:style>
  <w:style w:type="paragraph" w:styleId="ListParagraph">
    <w:name w:val="List Paragraph"/>
    <w:basedOn w:val="Normal"/>
    <w:uiPriority w:val="34"/>
    <w:qFormat/>
    <w:rsid w:val="00CE5E6B"/>
    <w:pPr>
      <w:ind w:left="720"/>
      <w:contextualSpacing/>
    </w:pPr>
  </w:style>
  <w:style w:type="character" w:customStyle="1" w:styleId="term1">
    <w:name w:val="term1"/>
    <w:basedOn w:val="DefaultParagraphFont"/>
    <w:rsid w:val="00211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488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74ce50e9adec4dc3eef78af886e997d&amp;_xfercite=%3ccite%20cc%3d%22USA%22%3e%3c%21%5bCDATA%5b2005%20Mass.%20Tax%20LEXIS%2012%5d%5d%3e%3c%2fcite%3e&amp;_butType=3&amp;_butStat=2&amp;_butNum=5&amp;_butInline=1&amp;_butinfo=%3ccite%20cc%3d%22USA%22%3e%3c%21%5bCDATA%5b362%20Mass.%20684%2cat%20687%5d%5d%3e%3c%2fcite%3e&amp;_fmtstr=FULL&amp;docnum=4&amp;_startdoc=1&amp;wchp=dGLbVzb-zSkAA&amp;_md5=92c75cd982580e8a5e7da450986e4c66" TargetMode="External"/><Relationship Id="rId5" Type="http://schemas.openxmlformats.org/officeDocument/2006/relationships/settings" Target="settings.xml"/><Relationship Id="rId10" Type="http://schemas.openxmlformats.org/officeDocument/2006/relationships/hyperlink" Target="http://www.lexis.com/research/buttonTFLink?_m=c74ce50e9adec4dc3eef78af886e997d&amp;_xfercite=%3ccite%20cc%3d%22USA%22%3e%3c%21%5bCDATA%5b2005%20Mass.%20Tax%20LEXIS%2012%5d%5d%3e%3c%2fcite%3e&amp;_butType=3&amp;_butStat=2&amp;_butNum=4&amp;_butInline=1&amp;_butinfo=%3ccite%20cc%3d%22USA%22%3e%3c%21%5bCDATA%5b26%20Mass.%20App.%20Ct.%20838%2cat%20843%5d%5d%3e%3c%2fcite%3e&amp;_fmtstr=FULL&amp;docnum=4&amp;_startdoc=1&amp;wchp=dGLbVzb-zSkAA&amp;_md5=4e690377f4439060b845cd97e89501bc" TargetMode="External"/><Relationship Id="rId4" Type="http://schemas.microsoft.com/office/2007/relationships/stylesWithEffects" Target="stylesWithEffects.xml"/><Relationship Id="rId9" Type="http://schemas.openxmlformats.org/officeDocument/2006/relationships/hyperlink" Target="http://www.lexis.com/research/buttonTFLink?_m=c74ce50e9adec4dc3eef78af886e997d&amp;_xfercite=%3ccite%20cc%3d%22USA%22%3e%3c%21%5bCDATA%5b2005%20Mass.%20Tax%20LEXIS%2012%5d%5d%3e%3c%2fcite%3e&amp;_butType=3&amp;_butStat=2&amp;_butNum=3&amp;_butInline=1&amp;_butinfo=%3ccite%20cc%3d%22USA%22%3e%3c%21%5bCDATA%5b184%20Mass.%20541%2cat%20542%5d%5d%3e%3c%2fcite%3e&amp;_fmtstr=FULL&amp;docnum=4&amp;_startdoc=1&amp;wchp=dGLbVzb-zSkAA&amp;_md5=2e503d34817a0343dc58d9605ff9cd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889A2-85A0-4C8A-A9CF-60A29857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3</cp:revision>
  <cp:lastPrinted>2018-10-24T12:49:00Z</cp:lastPrinted>
  <dcterms:created xsi:type="dcterms:W3CDTF">2018-10-23T17:50:00Z</dcterms:created>
  <dcterms:modified xsi:type="dcterms:W3CDTF">2018-10-24T12:51:00Z</dcterms:modified>
</cp:coreProperties>
</file>