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9F8F" w14:textId="77777777" w:rsidR="00E9703A" w:rsidRPr="001A5086" w:rsidRDefault="00E9703A" w:rsidP="00BF01D4">
      <w:pPr>
        <w:pStyle w:val="NoSpacing"/>
        <w:rPr>
          <w:bCs/>
        </w:rPr>
      </w:pPr>
    </w:p>
    <w:p w14:paraId="14FF6DCB" w14:textId="42C79F8B" w:rsidR="00957D05" w:rsidRPr="001A5086" w:rsidRDefault="00957D05" w:rsidP="00957D05">
      <w:pPr>
        <w:pStyle w:val="NoSpacing"/>
        <w:jc w:val="center"/>
        <w:rPr>
          <w:b/>
        </w:rPr>
      </w:pPr>
      <w:r w:rsidRPr="001A5086">
        <w:rPr>
          <w:b/>
        </w:rPr>
        <w:t>COMMONWEALTH OF MASSACHUSETTS</w:t>
      </w:r>
    </w:p>
    <w:p w14:paraId="2623B035" w14:textId="77777777" w:rsidR="00957D05" w:rsidRPr="001A5086" w:rsidRDefault="00957D05" w:rsidP="00957D05">
      <w:pPr>
        <w:pStyle w:val="NoSpacing"/>
        <w:jc w:val="center"/>
        <w:rPr>
          <w:b/>
        </w:rPr>
      </w:pPr>
      <w:r w:rsidRPr="001A5086">
        <w:rPr>
          <w:b/>
        </w:rPr>
        <w:t>DIVISION OF ADMINISTRATIVE LAW APPEALS</w:t>
      </w:r>
    </w:p>
    <w:p w14:paraId="422BA238" w14:textId="77777777" w:rsidR="00957D05" w:rsidRPr="001A5086" w:rsidRDefault="00957D05" w:rsidP="00957D05">
      <w:pPr>
        <w:pStyle w:val="NoSpacing"/>
        <w:jc w:val="center"/>
        <w:rPr>
          <w:b/>
        </w:rPr>
      </w:pPr>
      <w:r w:rsidRPr="001A5086">
        <w:rPr>
          <w:b/>
        </w:rPr>
        <w:t>BUREAU OF SPECIAL EDUCATION APPEALS</w:t>
      </w:r>
    </w:p>
    <w:p w14:paraId="1EFB0454" w14:textId="77777777" w:rsidR="00957D05" w:rsidRPr="001A5086" w:rsidRDefault="00957D05" w:rsidP="00957D05">
      <w:pPr>
        <w:pStyle w:val="NoSpacing"/>
        <w:jc w:val="center"/>
        <w:rPr>
          <w:b/>
        </w:rPr>
      </w:pPr>
    </w:p>
    <w:p w14:paraId="1EE1D705" w14:textId="77777777" w:rsidR="00957D05" w:rsidRPr="001A5086" w:rsidRDefault="00957D05" w:rsidP="00957D05">
      <w:pPr>
        <w:pStyle w:val="NoSpacing"/>
        <w:jc w:val="center"/>
      </w:pPr>
    </w:p>
    <w:p w14:paraId="59029FC0" w14:textId="77777777" w:rsidR="00957D05" w:rsidRPr="001A5086" w:rsidRDefault="00957D05" w:rsidP="00957D05">
      <w:pPr>
        <w:pStyle w:val="NoSpacing"/>
      </w:pPr>
      <w:r w:rsidRPr="001A5086">
        <w:t>In re:    Stewart</w:t>
      </w:r>
      <w:r w:rsidRPr="001A5086">
        <w:rPr>
          <w:rStyle w:val="FootnoteReference"/>
        </w:rPr>
        <w:footnoteReference w:id="1"/>
      </w:r>
      <w:r w:rsidRPr="001A5086">
        <w:tab/>
      </w:r>
      <w:r w:rsidRPr="001A5086">
        <w:tab/>
      </w:r>
      <w:r w:rsidRPr="001A5086">
        <w:tab/>
      </w:r>
      <w:r w:rsidRPr="001A5086">
        <w:tab/>
      </w:r>
      <w:r w:rsidRPr="001A5086">
        <w:tab/>
      </w:r>
      <w:r w:rsidRPr="001A5086">
        <w:tab/>
      </w:r>
      <w:r w:rsidRPr="001A5086">
        <w:tab/>
      </w:r>
      <w:r w:rsidRPr="001A5086">
        <w:tab/>
        <w:t>BSEA</w:t>
      </w:r>
      <w:r w:rsidRPr="001A5086">
        <w:rPr>
          <w:b/>
        </w:rPr>
        <w:t xml:space="preserve"> #</w:t>
      </w:r>
      <w:r w:rsidRPr="001A5086">
        <w:t>2101061</w:t>
      </w:r>
    </w:p>
    <w:p w14:paraId="54B766C9" w14:textId="77777777" w:rsidR="00957D05" w:rsidRPr="001A5086" w:rsidRDefault="00957D05" w:rsidP="00957D05">
      <w:pPr>
        <w:pStyle w:val="NoSpacing"/>
        <w:rPr>
          <w:b/>
        </w:rPr>
      </w:pPr>
    </w:p>
    <w:p w14:paraId="3334CE30" w14:textId="31AE525F" w:rsidR="006C6A88" w:rsidRPr="00DE6365" w:rsidRDefault="006C6A88" w:rsidP="006C6A88">
      <w:pPr>
        <w:jc w:val="center"/>
        <w:rPr>
          <w:b/>
          <w:bCs/>
        </w:rPr>
      </w:pPr>
      <w:r w:rsidRPr="00DE6365">
        <w:rPr>
          <w:b/>
          <w:bCs/>
        </w:rPr>
        <w:t>RULING ON ACTON-BOXBOROUGH REGIONAL SCHOOL DISTRICT’S MOTION FOR DIRECTED VERDICT</w:t>
      </w:r>
    </w:p>
    <w:p w14:paraId="0BD6CCD3" w14:textId="77777777" w:rsidR="006C6A88" w:rsidRPr="00DE6365" w:rsidRDefault="006C6A88" w:rsidP="006C6A88">
      <w:pPr>
        <w:rPr>
          <w:b/>
          <w:bCs/>
        </w:rPr>
      </w:pPr>
    </w:p>
    <w:p w14:paraId="4A7C75C5" w14:textId="22D9B039" w:rsidR="006C6A88" w:rsidRPr="00DE6365" w:rsidRDefault="006C6A88" w:rsidP="006C6A88">
      <w:r w:rsidRPr="00DE6365">
        <w:tab/>
        <w:t xml:space="preserve">This matter comes before the Hearing Officer on the </w:t>
      </w:r>
      <w:r>
        <w:rPr>
          <w:i/>
          <w:iCs/>
        </w:rPr>
        <w:t>Motion for Directed Judgment (</w:t>
      </w:r>
      <w:r w:rsidRPr="00DE6365">
        <w:rPr>
          <w:i/>
          <w:iCs/>
        </w:rPr>
        <w:t>Motion</w:t>
      </w:r>
      <w:r>
        <w:rPr>
          <w:i/>
          <w:iCs/>
        </w:rPr>
        <w:t xml:space="preserve">) </w:t>
      </w:r>
      <w:r w:rsidRPr="00DE6365">
        <w:t xml:space="preserve">filed by Acton-Boxborough Regional School District (ABRSD, or the District) </w:t>
      </w:r>
      <w:r>
        <w:t xml:space="preserve">at the close of Parent’s case </w:t>
      </w:r>
      <w:r w:rsidRPr="00DE6365">
        <w:t xml:space="preserve">on May 13, 2021. Parent filed her </w:t>
      </w:r>
      <w:r w:rsidRPr="00114FD4">
        <w:rPr>
          <w:i/>
          <w:iCs/>
        </w:rPr>
        <w:t>Opposition to the District’s Motion for Directed Verdict</w:t>
      </w:r>
      <w:r w:rsidRPr="00DE6365">
        <w:t xml:space="preserve"> on May 13, 2021. The </w:t>
      </w:r>
      <w:r w:rsidRPr="00DE6365">
        <w:rPr>
          <w:i/>
          <w:iCs/>
        </w:rPr>
        <w:t xml:space="preserve">Motion Session </w:t>
      </w:r>
      <w:r w:rsidRPr="00DE6365">
        <w:t>was held</w:t>
      </w:r>
      <w:r w:rsidR="005F47D2">
        <w:t xml:space="preserve"> remotely via </w:t>
      </w:r>
      <w:r w:rsidRPr="00DE6365">
        <w:t>Zoom on March 14, 2021, during which the parties supplemented their written submissions with oral arguments.</w:t>
      </w:r>
    </w:p>
    <w:p w14:paraId="23BEEC79" w14:textId="77777777" w:rsidR="006C6A88" w:rsidRPr="00DE6365" w:rsidRDefault="006C6A88" w:rsidP="006C6A88"/>
    <w:p w14:paraId="6E8292A1" w14:textId="77777777" w:rsidR="006C6A88" w:rsidRPr="00DE6365" w:rsidRDefault="006C6A88" w:rsidP="006C6A88">
      <w:r w:rsidRPr="00DE6365">
        <w:t xml:space="preserve">For the reasons set forth below, the District’s Motion for Directed Verdict is ALLOWED in part and DENIED in part. </w:t>
      </w:r>
    </w:p>
    <w:p w14:paraId="22401EEE" w14:textId="77777777" w:rsidR="006C6A88" w:rsidRPr="00DE6365" w:rsidRDefault="006C6A88" w:rsidP="006C6A88"/>
    <w:p w14:paraId="10EF4E6E" w14:textId="77777777" w:rsidR="006C6A88" w:rsidRPr="00C6716C" w:rsidRDefault="006C6A88" w:rsidP="006C6A88">
      <w:pPr>
        <w:rPr>
          <w:u w:val="single"/>
        </w:rPr>
      </w:pPr>
      <w:r w:rsidRPr="00C6716C">
        <w:t xml:space="preserve">I.       </w:t>
      </w:r>
      <w:r w:rsidRPr="00C6716C">
        <w:rPr>
          <w:u w:val="single"/>
        </w:rPr>
        <w:t xml:space="preserve">FACTUAL BACKGROUND AND RELEVANT PROCEDURAL HISTORY </w:t>
      </w:r>
    </w:p>
    <w:p w14:paraId="47A08DC1" w14:textId="77777777" w:rsidR="006C6A88" w:rsidRPr="00DE6365" w:rsidRDefault="006C6A88" w:rsidP="006C6A88">
      <w:pPr>
        <w:pStyle w:val="ListParagraph"/>
        <w:ind w:left="630"/>
        <w:rPr>
          <w:u w:val="single"/>
        </w:rPr>
      </w:pPr>
    </w:p>
    <w:p w14:paraId="756AFD00" w14:textId="4AE0E261" w:rsidR="006C6A88" w:rsidRPr="00DE6365" w:rsidRDefault="006C6A88" w:rsidP="006C6A88">
      <w:pPr>
        <w:ind w:firstLine="720"/>
      </w:pPr>
      <w:r>
        <w:t xml:space="preserve">A detailed </w:t>
      </w:r>
      <w:r w:rsidRPr="00DE6365">
        <w:t>procedural history</w:t>
      </w:r>
      <w:r>
        <w:t xml:space="preserve"> </w:t>
      </w:r>
      <w:r w:rsidRPr="00DE6365">
        <w:t xml:space="preserve">appears in prior </w:t>
      </w:r>
      <w:r>
        <w:t xml:space="preserve">rulings on this matter, particularly the ruling on </w:t>
      </w:r>
      <w:r>
        <w:rPr>
          <w:i/>
          <w:iCs/>
        </w:rPr>
        <w:t>District’s Partial Motion to Dismiss</w:t>
      </w:r>
      <w:r>
        <w:t xml:space="preserve"> issued on March 16, 2021. Following two days of hearing, at the close of Parent’s case-in-chief, </w:t>
      </w:r>
      <w:r w:rsidR="00BE5FDA">
        <w:t>the District</w:t>
      </w:r>
      <w:r>
        <w:t xml:space="preserve"> moved for a directed </w:t>
      </w:r>
      <w:r w:rsidR="00A06FA5">
        <w:t>verdict on the following claims:</w:t>
      </w:r>
      <w:r w:rsidR="005F47D2">
        <w:rPr>
          <w:rStyle w:val="FootnoteReference"/>
        </w:rPr>
        <w:footnoteReference w:id="2"/>
      </w:r>
    </w:p>
    <w:p w14:paraId="2478EBAD" w14:textId="77777777" w:rsidR="006C6A88" w:rsidRPr="00DE6365" w:rsidRDefault="006C6A88" w:rsidP="006C6A88">
      <w:pPr>
        <w:ind w:left="630"/>
      </w:pPr>
    </w:p>
    <w:p w14:paraId="4DF61D4B" w14:textId="77777777" w:rsidR="006C6A88" w:rsidRPr="00DE6365" w:rsidRDefault="006C6A88" w:rsidP="006C6A88">
      <w:pPr>
        <w:pStyle w:val="ListParagraph"/>
        <w:numPr>
          <w:ilvl w:val="0"/>
          <w:numId w:val="10"/>
        </w:numPr>
        <w:ind w:left="1080" w:hanging="720"/>
      </w:pPr>
      <w:r w:rsidRPr="00DE6365">
        <w:t>Whether Acton-Boxborough discriminated against Stewart in violation of §504 of the Rehabilitation Act of 1973, through:</w:t>
      </w:r>
    </w:p>
    <w:p w14:paraId="75CEB117" w14:textId="77777777" w:rsidR="006C6A88" w:rsidRPr="00DE6365" w:rsidRDefault="006C6A88" w:rsidP="006C6A88">
      <w:pPr>
        <w:pStyle w:val="ListParagraph"/>
        <w:ind w:left="1170"/>
      </w:pPr>
    </w:p>
    <w:p w14:paraId="156CC04F" w14:textId="77777777" w:rsidR="006C6A88" w:rsidRPr="00DE6365" w:rsidRDefault="006C6A88" w:rsidP="006C6A88">
      <w:pPr>
        <w:pStyle w:val="ListParagraph"/>
        <w:numPr>
          <w:ilvl w:val="0"/>
          <w:numId w:val="11"/>
        </w:numPr>
        <w:ind w:left="1890" w:hanging="900"/>
      </w:pPr>
      <w:r w:rsidRPr="00DE6365">
        <w:t>failure to follow policies and procedures to investigate and address bullying concerns beginning on or about October 22, 2019 through January 2020;</w:t>
      </w:r>
    </w:p>
    <w:p w14:paraId="081A6168" w14:textId="77777777" w:rsidR="006C6A88" w:rsidRPr="00DE6365" w:rsidRDefault="006C6A88" w:rsidP="006C6A88">
      <w:pPr>
        <w:pStyle w:val="ListParagraph"/>
        <w:ind w:left="1890" w:hanging="900"/>
      </w:pPr>
    </w:p>
    <w:p w14:paraId="771789ED" w14:textId="77777777" w:rsidR="006C6A88" w:rsidRPr="00DE6365" w:rsidRDefault="006C6A88" w:rsidP="006C6A88">
      <w:pPr>
        <w:pStyle w:val="ListParagraph"/>
        <w:numPr>
          <w:ilvl w:val="0"/>
          <w:numId w:val="12"/>
        </w:numPr>
        <w:ind w:left="1890" w:hanging="900"/>
      </w:pPr>
      <w:r w:rsidRPr="00DE6365">
        <w:t>involvement of the SRO in responding to Stewart’s dysregulation in January 2020; and/or</w:t>
      </w:r>
    </w:p>
    <w:p w14:paraId="5D133D4F" w14:textId="77777777" w:rsidR="006C6A88" w:rsidRPr="00DE6365" w:rsidRDefault="006C6A88" w:rsidP="006C6A88">
      <w:pPr>
        <w:pStyle w:val="ListParagraph"/>
        <w:ind w:left="1350"/>
      </w:pPr>
    </w:p>
    <w:p w14:paraId="4623F569" w14:textId="77777777" w:rsidR="006C6A88" w:rsidRPr="00DE6365" w:rsidRDefault="006C6A88" w:rsidP="006C6A88">
      <w:pPr>
        <w:pStyle w:val="ListParagraph"/>
        <w:numPr>
          <w:ilvl w:val="0"/>
          <w:numId w:val="12"/>
        </w:numPr>
        <w:ind w:left="1800" w:hanging="810"/>
      </w:pPr>
      <w:r w:rsidRPr="00DE6365">
        <w:t xml:space="preserve">imposition of inappropriate consequences and punishment (i.e., cleaning the classroom, removal from classroom, disallowing bathroom use, preventing access to mother) for manifestations of Stewart’s disability (i.e., behavioral dysregulation) between December 2019 and January 2020. </w:t>
      </w:r>
    </w:p>
    <w:p w14:paraId="6C8AA4B1" w14:textId="77777777" w:rsidR="006C6A88" w:rsidRPr="00DE6365" w:rsidRDefault="006C6A88" w:rsidP="006C6A88"/>
    <w:p w14:paraId="1DDD1B8E" w14:textId="77777777" w:rsidR="006C6A88" w:rsidRPr="00DE6365" w:rsidRDefault="006C6A88" w:rsidP="006C6A88">
      <w:pPr>
        <w:pStyle w:val="ListParagraph"/>
        <w:numPr>
          <w:ilvl w:val="0"/>
          <w:numId w:val="10"/>
        </w:numPr>
        <w:ind w:left="1080" w:hanging="720"/>
      </w:pPr>
      <w:r w:rsidRPr="00DE6365">
        <w:lastRenderedPageBreak/>
        <w:t xml:space="preserve">Whether Acton-Boxborough denied Stewart a </w:t>
      </w:r>
      <w:r w:rsidRPr="00114FD4">
        <w:t>free appropriate public education (</w:t>
      </w:r>
      <w:r w:rsidRPr="00DE6365">
        <w:t>FAPE</w:t>
      </w:r>
      <w:r>
        <w:t>)</w:t>
      </w:r>
      <w:r w:rsidRPr="00DE6365">
        <w:t xml:space="preserve"> in violation of the Individuals with Disabilities Education Act</w:t>
      </w:r>
      <w:r>
        <w:t xml:space="preserve"> (IDEA)</w:t>
      </w:r>
      <w:r w:rsidRPr="00DE6365">
        <w:t xml:space="preserve"> by </w:t>
      </w:r>
    </w:p>
    <w:p w14:paraId="4676D6CD" w14:textId="77777777" w:rsidR="006C6A88" w:rsidRPr="00DE6365" w:rsidRDefault="006C6A88" w:rsidP="006C6A88">
      <w:pPr>
        <w:pStyle w:val="ListParagraph"/>
        <w:ind w:left="990"/>
      </w:pPr>
    </w:p>
    <w:p w14:paraId="581B437F" w14:textId="77777777" w:rsidR="006C6A88" w:rsidRPr="00DE6365" w:rsidRDefault="006C6A88" w:rsidP="006C6A88">
      <w:pPr>
        <w:pStyle w:val="ListParagraph"/>
        <w:numPr>
          <w:ilvl w:val="0"/>
          <w:numId w:val="13"/>
        </w:numPr>
        <w:ind w:left="1710" w:hanging="720"/>
      </w:pPr>
      <w:r w:rsidRPr="00DE6365">
        <w:t>failing to implement an accepted, expired IEP dated March 28, 2019 to March 27, 2020 through</w:t>
      </w:r>
    </w:p>
    <w:p w14:paraId="28F954DA" w14:textId="77777777" w:rsidR="006C6A88" w:rsidRPr="00DE6365" w:rsidRDefault="006C6A88" w:rsidP="006C6A88">
      <w:pPr>
        <w:pStyle w:val="ListParagraph"/>
        <w:ind w:left="1350"/>
      </w:pPr>
    </w:p>
    <w:p w14:paraId="0038F063" w14:textId="26BCC921" w:rsidR="006C6A88" w:rsidRPr="00DE6365" w:rsidRDefault="006C6A88" w:rsidP="006C6A88">
      <w:pPr>
        <w:pStyle w:val="ListParagraph"/>
        <w:numPr>
          <w:ilvl w:val="0"/>
          <w:numId w:val="14"/>
        </w:numPr>
        <w:ind w:left="2160" w:hanging="810"/>
      </w:pPr>
      <w:r w:rsidRPr="00DE6365">
        <w:t xml:space="preserve">use of the SRO in response to Stewart’s dysregulation </w:t>
      </w:r>
      <w:r w:rsidR="002309B7">
        <w:t>in</w:t>
      </w:r>
      <w:r w:rsidRPr="00DE6365">
        <w:t xml:space="preserve"> January 2020; </w:t>
      </w:r>
    </w:p>
    <w:p w14:paraId="236ABA7E" w14:textId="77777777" w:rsidR="006C6A88" w:rsidRPr="00DE6365" w:rsidRDefault="006C6A88" w:rsidP="006C6A88">
      <w:pPr>
        <w:pStyle w:val="ListParagraph"/>
        <w:ind w:left="2160" w:hanging="810"/>
      </w:pPr>
    </w:p>
    <w:p w14:paraId="508133EA" w14:textId="77777777" w:rsidR="006C6A88" w:rsidRPr="00DE6365" w:rsidRDefault="006C6A88" w:rsidP="006C6A88">
      <w:pPr>
        <w:pStyle w:val="ListParagraph"/>
        <w:numPr>
          <w:ilvl w:val="0"/>
          <w:numId w:val="15"/>
        </w:numPr>
        <w:ind w:left="2160" w:hanging="810"/>
      </w:pPr>
      <w:r w:rsidRPr="00DE6365">
        <w:t xml:space="preserve">failure to utilize positive behavior interventions and instead imposing inappropriate consequences and punishment (i.e., cleaning the classroom, removal from classroom, disallowing bathroom use, preventing access to mother) on Stewart between December 2019 and January 2020. </w:t>
      </w:r>
    </w:p>
    <w:p w14:paraId="07B16C75" w14:textId="77777777" w:rsidR="006C6A88" w:rsidRPr="00DE6365" w:rsidRDefault="006C6A88" w:rsidP="006C6A88">
      <w:pPr>
        <w:pStyle w:val="ListParagraph"/>
        <w:ind w:left="1710"/>
      </w:pPr>
    </w:p>
    <w:p w14:paraId="3C9A6CD1" w14:textId="77777777" w:rsidR="006C6A88" w:rsidRPr="00DE6365" w:rsidRDefault="006C6A88" w:rsidP="006C6A88">
      <w:pPr>
        <w:pStyle w:val="ListParagraph"/>
        <w:numPr>
          <w:ilvl w:val="0"/>
          <w:numId w:val="13"/>
        </w:numPr>
        <w:ind w:left="1710" w:hanging="720"/>
      </w:pPr>
      <w:r w:rsidRPr="00DE6365">
        <w:t>failing to follow policies and procedures to investigate bullying concerns between October 2019 and January 2020; and/or</w:t>
      </w:r>
    </w:p>
    <w:p w14:paraId="0B4D5D21" w14:textId="77777777" w:rsidR="006C6A88" w:rsidRPr="00DE6365" w:rsidRDefault="006C6A88" w:rsidP="006C6A88">
      <w:pPr>
        <w:pStyle w:val="ListParagraph"/>
        <w:ind w:left="1710" w:hanging="720"/>
      </w:pPr>
    </w:p>
    <w:p w14:paraId="31FA6E3E" w14:textId="77777777" w:rsidR="006C6A88" w:rsidRPr="00DE6365" w:rsidRDefault="006C6A88" w:rsidP="006C6A88">
      <w:pPr>
        <w:pStyle w:val="ListParagraph"/>
        <w:numPr>
          <w:ilvl w:val="0"/>
          <w:numId w:val="13"/>
        </w:numPr>
        <w:ind w:left="1710" w:hanging="720"/>
      </w:pPr>
      <w:r w:rsidRPr="00DE6365">
        <w:t>failing to address bullying concerns by convening an IEP meeting and reviewing the IEP and changes that were needed, if any, thereto between October 2019 and January 2020.</w:t>
      </w:r>
    </w:p>
    <w:p w14:paraId="6F63FD4A" w14:textId="77777777" w:rsidR="006C6A88" w:rsidRPr="00DE6365" w:rsidRDefault="006C6A88" w:rsidP="006C6A88"/>
    <w:p w14:paraId="69F8E5A2" w14:textId="77777777" w:rsidR="006C6A88" w:rsidRPr="00DE6365" w:rsidRDefault="006C6A88" w:rsidP="006C6A88">
      <w:pPr>
        <w:pStyle w:val="ListParagraph"/>
        <w:numPr>
          <w:ilvl w:val="0"/>
          <w:numId w:val="10"/>
        </w:numPr>
        <w:ind w:left="1080" w:hanging="720"/>
      </w:pPr>
      <w:r w:rsidRPr="00DE6365">
        <w:t xml:space="preserve">Whether Parent rejected the IEP dated March 28, 2019 to March 27, 2020. </w:t>
      </w:r>
    </w:p>
    <w:p w14:paraId="0C8E6B78" w14:textId="77777777" w:rsidR="006C6A88" w:rsidRDefault="006C6A88" w:rsidP="006C6A88"/>
    <w:p w14:paraId="4EBD987C" w14:textId="77777777" w:rsidR="006C6A88" w:rsidRPr="00C6716C" w:rsidRDefault="006C6A88" w:rsidP="006C6A88">
      <w:pPr>
        <w:rPr>
          <w:u w:val="single"/>
        </w:rPr>
      </w:pPr>
      <w:r>
        <w:t>II</w:t>
      </w:r>
      <w:r w:rsidRPr="00C6716C">
        <w:t xml:space="preserve">.        </w:t>
      </w:r>
      <w:r w:rsidRPr="00C6716C">
        <w:rPr>
          <w:u w:val="single"/>
        </w:rPr>
        <w:t xml:space="preserve">DISCUSSION </w:t>
      </w:r>
    </w:p>
    <w:p w14:paraId="5A8FA83C" w14:textId="77777777" w:rsidR="006C6A88" w:rsidRPr="00DE6365" w:rsidRDefault="006C6A88" w:rsidP="006C6A88"/>
    <w:p w14:paraId="5435E1CF" w14:textId="3E18F254" w:rsidR="006C6A88" w:rsidRPr="00A06FA5" w:rsidRDefault="0013161F" w:rsidP="006C6A88">
      <w:pPr>
        <w:ind w:firstLine="630"/>
      </w:pPr>
      <w:r>
        <w:t>P</w:t>
      </w:r>
      <w:r w:rsidR="006C6A88" w:rsidRPr="00DE6365">
        <w:t xml:space="preserve">arent’s claims largely fall into </w:t>
      </w:r>
      <w:r w:rsidR="006C6A88">
        <w:t>four</w:t>
      </w:r>
      <w:r w:rsidR="006C6A88" w:rsidRPr="00DE6365">
        <w:t xml:space="preserve"> categories that will be discussed as follows: the “bullying claims” (</w:t>
      </w:r>
      <w:proofErr w:type="gramStart"/>
      <w:r w:rsidR="006C6A88" w:rsidRPr="00DE6365">
        <w:t>A(</w:t>
      </w:r>
      <w:proofErr w:type="gramEnd"/>
      <w:r w:rsidR="006C6A88" w:rsidRPr="00DE6365">
        <w:t>1), B(2), and B(3)); the “SRO claims” (A(3) and B(1)(a)); the “inappropriate consequences and punishment claims” (A(4) and B(1)(c))</w:t>
      </w:r>
      <w:r w:rsidR="006C6A88">
        <w:t>, and the “constructive rejection of the IEP” claim (C)</w:t>
      </w:r>
      <w:r w:rsidR="006C6A88" w:rsidRPr="00DE6365">
        <w:t xml:space="preserve">. </w:t>
      </w:r>
      <w:r w:rsidR="006C6A88">
        <w:t xml:space="preserve">To determine whether Parent’s claims survive the District’s Motion, </w:t>
      </w:r>
      <w:r w:rsidR="006C6A88" w:rsidRPr="00DE6365">
        <w:t xml:space="preserve">I shall apply the </w:t>
      </w:r>
      <w:r w:rsidR="006C6A88">
        <w:t>d</w:t>
      </w:r>
      <w:r w:rsidR="006C6A88" w:rsidRPr="00DE6365">
        <w:t xml:space="preserve">irected </w:t>
      </w:r>
      <w:r w:rsidR="006C6A88">
        <w:t>v</w:t>
      </w:r>
      <w:r w:rsidR="006C6A88" w:rsidRPr="00DE6365">
        <w:t xml:space="preserve">erdict </w:t>
      </w:r>
      <w:r w:rsidR="006C6A88">
        <w:t>s</w:t>
      </w:r>
      <w:r w:rsidR="006C6A88" w:rsidRPr="00DE6365">
        <w:t xml:space="preserve">tandard to the </w:t>
      </w:r>
      <w:r w:rsidR="006C6A88">
        <w:t xml:space="preserve">relevant </w:t>
      </w:r>
      <w:r w:rsidR="006C6A88" w:rsidRPr="00DE6365">
        <w:t>substantive law</w:t>
      </w:r>
      <w:r w:rsidR="006C6A88">
        <w:t>.</w:t>
      </w:r>
      <w:r w:rsidR="00A06FA5">
        <w:t xml:space="preserve"> </w:t>
      </w:r>
    </w:p>
    <w:p w14:paraId="32249E23" w14:textId="77777777" w:rsidR="006C6A88" w:rsidRPr="00DA60E3" w:rsidRDefault="006C6A88" w:rsidP="006C6A88">
      <w:pPr>
        <w:pStyle w:val="ListParagraph"/>
        <w:ind w:left="630"/>
      </w:pPr>
    </w:p>
    <w:p w14:paraId="32E0265D" w14:textId="5C2C9ED1" w:rsidR="00A06FA5" w:rsidRPr="00A06FA5" w:rsidRDefault="00A06FA5" w:rsidP="006C6A88">
      <w:pPr>
        <w:rPr>
          <w:i/>
          <w:iCs/>
        </w:rPr>
      </w:pPr>
      <w:r>
        <w:tab/>
        <w:t>A.</w:t>
      </w:r>
      <w:r w:rsidR="006C6A88" w:rsidRPr="002D5BA4">
        <w:tab/>
      </w:r>
      <w:r>
        <w:rPr>
          <w:i/>
          <w:iCs/>
        </w:rPr>
        <w:t>Legal Standards</w:t>
      </w:r>
    </w:p>
    <w:p w14:paraId="68F007A9" w14:textId="77777777" w:rsidR="006C6A88" w:rsidRPr="00DE6365" w:rsidRDefault="006C6A88" w:rsidP="006C6A88">
      <w:pPr>
        <w:pStyle w:val="ListParagraph"/>
        <w:ind w:left="630"/>
      </w:pPr>
    </w:p>
    <w:p w14:paraId="5B62DD79" w14:textId="289E462C" w:rsidR="006C6A88" w:rsidRPr="00A06FA5" w:rsidRDefault="006C6A88" w:rsidP="006C6A88">
      <w:pPr>
        <w:pStyle w:val="ListParagraph"/>
        <w:numPr>
          <w:ilvl w:val="0"/>
          <w:numId w:val="17"/>
        </w:numPr>
        <w:ind w:left="1440" w:hanging="810"/>
        <w:rPr>
          <w:u w:val="single"/>
        </w:rPr>
      </w:pPr>
      <w:r w:rsidRPr="00A06FA5">
        <w:rPr>
          <w:u w:val="single"/>
        </w:rPr>
        <w:t>Motion for Directed Verdict</w:t>
      </w:r>
      <w:r w:rsidR="00037E68">
        <w:rPr>
          <w:rStyle w:val="FootnoteReference"/>
          <w:u w:val="single"/>
        </w:rPr>
        <w:footnoteReference w:id="3"/>
      </w:r>
    </w:p>
    <w:p w14:paraId="7AD74731" w14:textId="77777777" w:rsidR="006C6A88" w:rsidRPr="00DE6365" w:rsidRDefault="006C6A88" w:rsidP="006C6A88"/>
    <w:p w14:paraId="2FD313A5" w14:textId="31BB2B15" w:rsidR="006C6A88" w:rsidRPr="00C63A30" w:rsidRDefault="00A06FA5" w:rsidP="00B64C82">
      <w:pPr>
        <w:ind w:firstLine="630"/>
      </w:pPr>
      <w:r>
        <w:t xml:space="preserve">A motion for a directed verdict may be granted “only where, construing the evidence most favorably </w:t>
      </w:r>
      <w:r w:rsidR="00CC6C0E">
        <w:t>to</w:t>
      </w:r>
      <w:r>
        <w:t xml:space="preserve"> the plaintiff, it is still insufficient to support a verdict in his favor.”</w:t>
      </w:r>
      <w:r>
        <w:rPr>
          <w:rStyle w:val="FootnoteReference"/>
        </w:rPr>
        <w:footnoteReference w:id="4"/>
      </w:r>
      <w:r w:rsidR="00CC6C0E" w:rsidRPr="00DE6365">
        <w:t xml:space="preserve"> </w:t>
      </w:r>
      <w:r w:rsidR="0013161F">
        <w:t xml:space="preserve">In viewing the </w:t>
      </w:r>
      <w:r w:rsidR="0013161F">
        <w:lastRenderedPageBreak/>
        <w:t xml:space="preserve">evidence, the </w:t>
      </w:r>
      <w:r w:rsidR="005F47D2">
        <w:t>finder of fact</w:t>
      </w:r>
      <w:r w:rsidR="0013161F">
        <w:t xml:space="preserve"> must also consider reasonable inferences that may be drawn theref</w:t>
      </w:r>
      <w:r w:rsidR="005F47D2">
        <w:t>rom</w:t>
      </w:r>
      <w:r w:rsidR="0013161F">
        <w:t>. T</w:t>
      </w:r>
      <w:r w:rsidR="006C6A88" w:rsidRPr="00DE6365">
        <w:t>he standard, as articulated</w:t>
      </w:r>
      <w:r w:rsidR="00037E68">
        <w:t xml:space="preserve"> by the Supreme Judicial Court of Massachusetts</w:t>
      </w:r>
      <w:r w:rsidR="006C6A88" w:rsidRPr="00DE6365">
        <w:t xml:space="preserve"> in </w:t>
      </w:r>
      <w:proofErr w:type="spellStart"/>
      <w:r w:rsidR="006C6A88" w:rsidRPr="00DE6365">
        <w:rPr>
          <w:i/>
          <w:iCs/>
        </w:rPr>
        <w:t>Raunela</w:t>
      </w:r>
      <w:proofErr w:type="spellEnd"/>
      <w:r w:rsidR="006C6A88" w:rsidRPr="00DE6365">
        <w:rPr>
          <w:i/>
          <w:iCs/>
        </w:rPr>
        <w:t xml:space="preserve"> v. Hertz Corp</w:t>
      </w:r>
      <w:r w:rsidR="00037E68">
        <w:rPr>
          <w:i/>
          <w:iCs/>
        </w:rPr>
        <w:t>oration</w:t>
      </w:r>
      <w:r w:rsidR="00037E68">
        <w:t>,</w:t>
      </w:r>
      <w:r w:rsidR="006C6A88" w:rsidRPr="00DE6365">
        <w:t xml:space="preserve"> is whether "anywhere in the evidence, from whatever source derived, any combination of circumstances could be found from which a reasonable inference could be drawn in favor of the plaintiff."</w:t>
      </w:r>
      <w:r w:rsidR="006C6A88" w:rsidRPr="00DE6365">
        <w:rPr>
          <w:rStyle w:val="FootnoteReference"/>
        </w:rPr>
        <w:footnoteReference w:id="5"/>
      </w:r>
      <w:r w:rsidR="006C6A88" w:rsidRPr="00DE6365">
        <w:t xml:space="preserve"> For inferences to be considered reasonable, they must be based on “probabilities rather than possibilities,” and not the result of “mere speculation and conjecture.”</w:t>
      </w:r>
      <w:r w:rsidR="006C6A88" w:rsidRPr="00DE6365">
        <w:rPr>
          <w:rStyle w:val="FootnoteReference"/>
        </w:rPr>
        <w:footnoteReference w:id="6"/>
      </w:r>
      <w:r w:rsidR="006C6A88" w:rsidRPr="00DE6365">
        <w:t xml:space="preserve"> </w:t>
      </w:r>
      <w:r w:rsidR="00E74C08">
        <w:t>As a case before the Bureau of Special Education Appeals (BSEA)</w:t>
      </w:r>
      <w:r w:rsidR="00B64C82">
        <w:t xml:space="preserve"> requires proof by a preponderance of the evidence,</w:t>
      </w:r>
      <w:r w:rsidR="00B64C82" w:rsidRPr="00552725">
        <w:rPr>
          <w:vertAlign w:val="superscript"/>
        </w:rPr>
        <w:footnoteReference w:id="7"/>
      </w:r>
      <w:r w:rsidR="00B64C82">
        <w:t xml:space="preserve"> a </w:t>
      </w:r>
      <w:r w:rsidR="00037E68">
        <w:t xml:space="preserve">Hearing </w:t>
      </w:r>
      <w:r w:rsidR="006C6A88" w:rsidRPr="00DE6365">
        <w:t>Officer</w:t>
      </w:r>
      <w:r w:rsidR="00037E68">
        <w:t xml:space="preserve"> articulated and applied the standard</w:t>
      </w:r>
      <w:r w:rsidR="00B64C82">
        <w:t xml:space="preserve"> in</w:t>
      </w:r>
      <w:r w:rsidR="00037E68">
        <w:t xml:space="preserve"> this context</w:t>
      </w:r>
      <w:r w:rsidR="00B64C82">
        <w:t xml:space="preserve"> as follows</w:t>
      </w:r>
      <w:r w:rsidR="00037E68">
        <w:t xml:space="preserve">: </w:t>
      </w:r>
      <w:r w:rsidR="006C6A88" w:rsidRPr="00DE6365">
        <w:t>“whether</w:t>
      </w:r>
      <w:r w:rsidR="00037E68">
        <w:t xml:space="preserve">, </w:t>
      </w:r>
      <w:r w:rsidR="006C6A88" w:rsidRPr="00DE6365">
        <w:t>at the conclusion of Parent’s case, the evidence</w:t>
      </w:r>
      <w:r w:rsidR="00037E68">
        <w:t>,</w:t>
      </w:r>
      <w:r w:rsidR="006C6A88" w:rsidRPr="00DE6365">
        <w:t xml:space="preserve"> construed most favorably to Parent, is insufficient to support a conclusion that the preponderance of the evidence favored Parent’s position.”</w:t>
      </w:r>
      <w:r w:rsidR="006C6A88" w:rsidRPr="00DE6365">
        <w:rPr>
          <w:rStyle w:val="FootnoteReference"/>
        </w:rPr>
        <w:footnoteReference w:id="8"/>
      </w:r>
      <w:r w:rsidR="006C6A88" w:rsidRPr="00DE6365">
        <w:t xml:space="preserve"> </w:t>
      </w:r>
      <w:r w:rsidR="006C6A88">
        <w:rPr>
          <w:color w:val="000000" w:themeColor="text1"/>
        </w:rPr>
        <w:t>To determine whether to enter a directed verdict as to any of Parent’s claims, I must consider the relevant substantive law.</w:t>
      </w:r>
    </w:p>
    <w:p w14:paraId="4FA569B2" w14:textId="77777777" w:rsidR="006C6A88" w:rsidRPr="00DE6365" w:rsidRDefault="006C6A88" w:rsidP="006C6A88">
      <w:pPr>
        <w:ind w:firstLine="630"/>
        <w:rPr>
          <w:color w:val="000000" w:themeColor="text1"/>
        </w:rPr>
      </w:pPr>
    </w:p>
    <w:p w14:paraId="17D4B9D1" w14:textId="77777777" w:rsidR="006C6A88" w:rsidRPr="00CC6C0E" w:rsidRDefault="006C6A88" w:rsidP="006C6A88">
      <w:pPr>
        <w:pStyle w:val="ListParagraph"/>
        <w:numPr>
          <w:ilvl w:val="0"/>
          <w:numId w:val="17"/>
        </w:numPr>
        <w:ind w:hanging="630"/>
        <w:rPr>
          <w:color w:val="000000" w:themeColor="text1"/>
          <w:u w:val="single"/>
        </w:rPr>
      </w:pPr>
      <w:r w:rsidRPr="00CC6C0E">
        <w:rPr>
          <w:color w:val="000000" w:themeColor="text1"/>
          <w:u w:val="single"/>
        </w:rPr>
        <w:t>§504</w:t>
      </w:r>
    </w:p>
    <w:p w14:paraId="56E94CD5" w14:textId="77777777" w:rsidR="006C6A88" w:rsidRPr="00DE6365" w:rsidRDefault="006C6A88" w:rsidP="006C6A88">
      <w:pPr>
        <w:pStyle w:val="ListParagraph"/>
        <w:ind w:left="1260"/>
        <w:rPr>
          <w:i/>
          <w:iCs/>
          <w:color w:val="000000" w:themeColor="text1"/>
        </w:rPr>
      </w:pPr>
    </w:p>
    <w:p w14:paraId="4F357346" w14:textId="0D35ED67" w:rsidR="006C6A88" w:rsidRPr="00B87940" w:rsidRDefault="00CC6C0E" w:rsidP="006C6A88">
      <w:pPr>
        <w:ind w:firstLine="630"/>
        <w:rPr>
          <w:color w:val="000000" w:themeColor="text1"/>
        </w:rPr>
      </w:pPr>
      <w:r>
        <w:rPr>
          <w:color w:val="000000" w:themeColor="text1"/>
        </w:rPr>
        <w:t xml:space="preserve">Pursuant to </w:t>
      </w:r>
      <w:r w:rsidRPr="00CC6C0E">
        <w:rPr>
          <w:color w:val="000000" w:themeColor="text1"/>
        </w:rPr>
        <w:t>§</w:t>
      </w:r>
      <w:r w:rsidR="006C6A88" w:rsidRPr="00DE6365">
        <w:rPr>
          <w:color w:val="000000" w:themeColor="text1"/>
        </w:rPr>
        <w:t>504 of the Rehabilitation Act of 1973</w:t>
      </w:r>
      <w:r>
        <w:rPr>
          <w:color w:val="000000" w:themeColor="text1"/>
        </w:rPr>
        <w:t>,</w:t>
      </w:r>
      <w:r w:rsidR="006C6A88" w:rsidRPr="00DE6365">
        <w:rPr>
          <w:color w:val="000000" w:themeColor="text1"/>
        </w:rPr>
        <w:t xml:space="preserve"> “no otherwise qualified individual with a disability in the United States</w:t>
      </w:r>
      <w:r>
        <w:rPr>
          <w:color w:val="000000" w:themeColor="text1"/>
        </w:rPr>
        <w:t xml:space="preserve"> . . . </w:t>
      </w:r>
      <w:r w:rsidR="006C6A88" w:rsidRPr="00DE6365">
        <w:rPr>
          <w:color w:val="000000" w:themeColor="text1"/>
        </w:rPr>
        <w:t>shall, solely by reason of her or his disability, be excluded from the participation in, be denied the benefits of, or be subjected to discrimination under any program or activity receiving Federal financial assistance or under any program or activity conducted by any Executive agency .</w:t>
      </w:r>
      <w:r w:rsidR="006C6A88">
        <w:rPr>
          <w:color w:val="000000" w:themeColor="text1"/>
        </w:rPr>
        <w:t xml:space="preserve"> </w:t>
      </w:r>
      <w:r w:rsidR="006C6A88" w:rsidRPr="00DE6365">
        <w:rPr>
          <w:color w:val="000000" w:themeColor="text1"/>
        </w:rPr>
        <w:t>.</w:t>
      </w:r>
      <w:r w:rsidR="006C6A88">
        <w:rPr>
          <w:color w:val="000000" w:themeColor="text1"/>
        </w:rPr>
        <w:t xml:space="preserve"> </w:t>
      </w:r>
      <w:r w:rsidR="006C6A88" w:rsidRPr="00DE6365">
        <w:rPr>
          <w:color w:val="000000" w:themeColor="text1"/>
        </w:rPr>
        <w:t>. ”</w:t>
      </w:r>
      <w:r w:rsidR="006C6A88" w:rsidRPr="00DE6365">
        <w:rPr>
          <w:rStyle w:val="FootnoteReference"/>
          <w:color w:val="000000" w:themeColor="text1"/>
        </w:rPr>
        <w:footnoteReference w:id="9"/>
      </w:r>
      <w:r w:rsidR="006C6A88" w:rsidRPr="00DE6365">
        <w:rPr>
          <w:color w:val="000000" w:themeColor="text1"/>
        </w:rPr>
        <w:t xml:space="preserve"> </w:t>
      </w:r>
      <w:r>
        <w:rPr>
          <w:color w:val="000000" w:themeColor="text1"/>
        </w:rPr>
        <w:t xml:space="preserve">To prevail on her claims under </w:t>
      </w:r>
      <w:r w:rsidRPr="00CC6C0E">
        <w:rPr>
          <w:color w:val="000000" w:themeColor="text1"/>
        </w:rPr>
        <w:t>§</w:t>
      </w:r>
      <w:r w:rsidRPr="00DE6365">
        <w:rPr>
          <w:color w:val="000000" w:themeColor="text1"/>
        </w:rPr>
        <w:t>504</w:t>
      </w:r>
      <w:r>
        <w:rPr>
          <w:color w:val="000000" w:themeColor="text1"/>
        </w:rPr>
        <w:t>, Parent must establish t</w:t>
      </w:r>
      <w:r w:rsidR="006C6A88" w:rsidRPr="00DE6365">
        <w:rPr>
          <w:color w:val="000000" w:themeColor="text1"/>
        </w:rPr>
        <w:t>hat (1) Stewar</w:t>
      </w:r>
      <w:r w:rsidR="006C6A88">
        <w:rPr>
          <w:color w:val="000000" w:themeColor="text1"/>
        </w:rPr>
        <w:t>t</w:t>
      </w:r>
      <w:r w:rsidR="006C6A88" w:rsidRPr="00DE6365">
        <w:rPr>
          <w:color w:val="000000" w:themeColor="text1"/>
        </w:rPr>
        <w:t xml:space="preserve"> i</w:t>
      </w:r>
      <w:r w:rsidR="006C6A88">
        <w:rPr>
          <w:color w:val="000000" w:themeColor="text1"/>
        </w:rPr>
        <w:t>s</w:t>
      </w:r>
      <w:r w:rsidR="006C6A88" w:rsidRPr="00DE6365">
        <w:rPr>
          <w:color w:val="000000" w:themeColor="text1"/>
        </w:rPr>
        <w:t xml:space="preserve"> a “handicapped individual”; (2) Stewart is “otherwise qua</w:t>
      </w:r>
      <w:r w:rsidR="00037E68">
        <w:rPr>
          <w:color w:val="000000" w:themeColor="text1"/>
        </w:rPr>
        <w:t>lif</w:t>
      </w:r>
      <w:r w:rsidR="006C6A88" w:rsidRPr="00DE6365">
        <w:rPr>
          <w:color w:val="000000" w:themeColor="text1"/>
        </w:rPr>
        <w:t>ied” for participation in the program; (3) the program receives “federal financial assistance</w:t>
      </w:r>
      <w:r w:rsidR="006C6A88">
        <w:rPr>
          <w:color w:val="000000" w:themeColor="text1"/>
        </w:rPr>
        <w:t>”</w:t>
      </w:r>
      <w:r w:rsidR="006C6A88" w:rsidRPr="00DE6365">
        <w:rPr>
          <w:color w:val="000000" w:themeColor="text1"/>
        </w:rPr>
        <w:t xml:space="preserve">; and (4) </w:t>
      </w:r>
      <w:r w:rsidR="006C6A88" w:rsidRPr="00B87940">
        <w:rPr>
          <w:color w:val="000000" w:themeColor="text1"/>
        </w:rPr>
        <w:t>Stewart was “denied the benefits of” or “subject</w:t>
      </w:r>
      <w:r w:rsidR="005F47D2">
        <w:rPr>
          <w:color w:val="000000" w:themeColor="text1"/>
        </w:rPr>
        <w:t>ed</w:t>
      </w:r>
      <w:r w:rsidR="006C6A88" w:rsidRPr="00B87940">
        <w:rPr>
          <w:color w:val="000000" w:themeColor="text1"/>
        </w:rPr>
        <w:t xml:space="preserve"> to discrimination” under the program.</w:t>
      </w:r>
      <w:r w:rsidR="006C6A88" w:rsidRPr="00B87940">
        <w:rPr>
          <w:rStyle w:val="FootnoteReference"/>
          <w:color w:val="000000" w:themeColor="text1"/>
        </w:rPr>
        <w:footnoteReference w:id="10"/>
      </w:r>
      <w:r w:rsidR="006C6A88" w:rsidRPr="00B87940">
        <w:rPr>
          <w:color w:val="000000" w:themeColor="text1"/>
        </w:rPr>
        <w:t xml:space="preserve"> </w:t>
      </w:r>
      <w:r w:rsidR="006C6A88">
        <w:rPr>
          <w:color w:val="000000" w:themeColor="text1"/>
        </w:rPr>
        <w:t xml:space="preserve">Only the fourth element is at issue in this matter – </w:t>
      </w:r>
      <w:r w:rsidR="006C6A88" w:rsidRPr="00B87940">
        <w:rPr>
          <w:color w:val="000000" w:themeColor="text1"/>
        </w:rPr>
        <w:t>whether Stewart was denied “the benefits of” or “subject</w:t>
      </w:r>
      <w:r w:rsidR="005F47D2">
        <w:rPr>
          <w:color w:val="000000" w:themeColor="text1"/>
        </w:rPr>
        <w:t>ed</w:t>
      </w:r>
      <w:r w:rsidR="006C6A88" w:rsidRPr="00B87940">
        <w:rPr>
          <w:color w:val="000000" w:themeColor="text1"/>
        </w:rPr>
        <w:t xml:space="preserve"> to discrimination” </w:t>
      </w:r>
      <w:r w:rsidR="00E25679">
        <w:rPr>
          <w:color w:val="000000" w:themeColor="text1"/>
        </w:rPr>
        <w:t>in his education</w:t>
      </w:r>
      <w:r w:rsidR="006C6A88" w:rsidRPr="00B87940">
        <w:rPr>
          <w:color w:val="000000" w:themeColor="text1"/>
        </w:rPr>
        <w:t>.</w:t>
      </w:r>
      <w:r w:rsidR="006C6A88" w:rsidRPr="00B87940">
        <w:rPr>
          <w:rStyle w:val="FootnoteReference"/>
          <w:color w:val="000000" w:themeColor="text1"/>
        </w:rPr>
        <w:footnoteReference w:id="11"/>
      </w:r>
      <w:r w:rsidR="006C6A88" w:rsidRPr="00B87940">
        <w:rPr>
          <w:color w:val="000000" w:themeColor="text1"/>
        </w:rPr>
        <w:t xml:space="preserve"> </w:t>
      </w:r>
    </w:p>
    <w:p w14:paraId="509433D9" w14:textId="77777777" w:rsidR="006C6A88" w:rsidRDefault="006C6A88" w:rsidP="006C6A88">
      <w:pPr>
        <w:rPr>
          <w:color w:val="000000" w:themeColor="text1"/>
        </w:rPr>
      </w:pPr>
    </w:p>
    <w:p w14:paraId="6095E97E" w14:textId="089EC6BD" w:rsidR="006C6A88" w:rsidRDefault="002C553D" w:rsidP="008E553E">
      <w:pPr>
        <w:ind w:firstLine="630"/>
        <w:rPr>
          <w:color w:val="000000" w:themeColor="text1"/>
        </w:rPr>
      </w:pPr>
      <w:r>
        <w:rPr>
          <w:color w:val="000000" w:themeColor="text1"/>
        </w:rPr>
        <w:t>In the context of special education, a violation of</w:t>
      </w:r>
      <w:r w:rsidR="005028F7">
        <w:rPr>
          <w:color w:val="000000" w:themeColor="text1"/>
        </w:rPr>
        <w:t xml:space="preserve"> </w:t>
      </w:r>
      <w:r w:rsidR="005028F7" w:rsidRPr="00CC6C0E">
        <w:rPr>
          <w:color w:val="000000" w:themeColor="text1"/>
        </w:rPr>
        <w:t>§</w:t>
      </w:r>
      <w:r w:rsidR="005028F7" w:rsidRPr="00DE6365">
        <w:rPr>
          <w:color w:val="000000" w:themeColor="text1"/>
        </w:rPr>
        <w:t>504</w:t>
      </w:r>
      <w:r>
        <w:rPr>
          <w:color w:val="000000" w:themeColor="text1"/>
        </w:rPr>
        <w:t xml:space="preserve"> is</w:t>
      </w:r>
      <w:r w:rsidR="005028F7">
        <w:rPr>
          <w:color w:val="000000" w:themeColor="text1"/>
        </w:rPr>
        <w:t xml:space="preserve"> “something more than a mere violation of IDEA.”</w:t>
      </w:r>
      <w:r w:rsidR="006C6A88" w:rsidRPr="00B87940">
        <w:rPr>
          <w:rStyle w:val="FootnoteReference"/>
          <w:color w:val="000000" w:themeColor="text1"/>
          <w:bdr w:val="none" w:sz="0" w:space="0" w:color="auto" w:frame="1"/>
        </w:rPr>
        <w:footnoteReference w:id="12"/>
      </w:r>
      <w:r w:rsidR="005028F7">
        <w:rPr>
          <w:color w:val="000000" w:themeColor="text1"/>
        </w:rPr>
        <w:t xml:space="preserve"> According to the </w:t>
      </w:r>
      <w:r w:rsidR="006C6A88">
        <w:rPr>
          <w:color w:val="000000" w:themeColor="text1"/>
        </w:rPr>
        <w:t>Unit</w:t>
      </w:r>
      <w:r w:rsidR="005028F7">
        <w:rPr>
          <w:color w:val="000000" w:themeColor="text1"/>
        </w:rPr>
        <w:t xml:space="preserve">ed </w:t>
      </w:r>
      <w:r w:rsidR="006C6A88">
        <w:rPr>
          <w:color w:val="000000" w:themeColor="text1"/>
        </w:rPr>
        <w:t>States District Court for the District of Massachusetts</w:t>
      </w:r>
      <w:r>
        <w:rPr>
          <w:color w:val="000000" w:themeColor="text1"/>
        </w:rPr>
        <w:t>,</w:t>
      </w:r>
      <w:r w:rsidR="006C6A88" w:rsidRPr="00B87940">
        <w:rPr>
          <w:color w:val="000000" w:themeColor="text1"/>
        </w:rPr>
        <w:t xml:space="preserve"> </w:t>
      </w:r>
      <w:r>
        <w:rPr>
          <w:color w:val="000000" w:themeColor="text1"/>
        </w:rPr>
        <w:t xml:space="preserve">to prevail on an educational disability claim under </w:t>
      </w:r>
      <w:r w:rsidRPr="00CC6C0E">
        <w:rPr>
          <w:color w:val="000000" w:themeColor="text1"/>
        </w:rPr>
        <w:t>§</w:t>
      </w:r>
      <w:r w:rsidRPr="00DE6365">
        <w:rPr>
          <w:color w:val="000000" w:themeColor="text1"/>
        </w:rPr>
        <w:t>504</w:t>
      </w:r>
      <w:r>
        <w:rPr>
          <w:color w:val="000000" w:themeColor="text1"/>
        </w:rPr>
        <w:t>, a</w:t>
      </w:r>
      <w:r w:rsidR="006C6A88" w:rsidRPr="00B87940">
        <w:rPr>
          <w:color w:val="000000" w:themeColor="text1"/>
        </w:rPr>
        <w:t xml:space="preserve"> parent “must demonstrate that a school district acted with bad faith or gross misjudgment</w:t>
      </w:r>
      <w:r>
        <w:rPr>
          <w:color w:val="000000" w:themeColor="text1"/>
        </w:rPr>
        <w:t>.</w:t>
      </w:r>
      <w:r w:rsidR="006C6A88" w:rsidRPr="00B87940">
        <w:rPr>
          <w:color w:val="000000" w:themeColor="text1"/>
        </w:rPr>
        <w:t>”</w:t>
      </w:r>
      <w:r w:rsidR="006C6A88" w:rsidRPr="00B87940">
        <w:rPr>
          <w:rStyle w:val="FootnoteReference"/>
          <w:color w:val="000000" w:themeColor="text1"/>
        </w:rPr>
        <w:footnoteReference w:id="13"/>
      </w:r>
      <w:r w:rsidR="006C6A88" w:rsidRPr="00B87940">
        <w:rPr>
          <w:color w:val="000000" w:themeColor="text1"/>
        </w:rPr>
        <w:t xml:space="preserve"> </w:t>
      </w:r>
      <w:r w:rsidR="00A529B4">
        <w:rPr>
          <w:color w:val="000000" w:themeColor="text1"/>
        </w:rPr>
        <w:t>I explored this subject in detail in my 201</w:t>
      </w:r>
      <w:r w:rsidR="00523213">
        <w:rPr>
          <w:color w:val="000000" w:themeColor="text1"/>
        </w:rPr>
        <w:t>8</w:t>
      </w:r>
      <w:r w:rsidR="00A529B4">
        <w:rPr>
          <w:color w:val="000000" w:themeColor="text1"/>
        </w:rPr>
        <w:t xml:space="preserve"> decision, </w:t>
      </w:r>
      <w:r w:rsidR="00A529B4">
        <w:rPr>
          <w:i/>
          <w:iCs/>
          <w:color w:val="000000" w:themeColor="text1"/>
        </w:rPr>
        <w:t>In Re Adam</w:t>
      </w:r>
      <w:r w:rsidR="006274BA">
        <w:rPr>
          <w:i/>
          <w:iCs/>
          <w:color w:val="000000" w:themeColor="text1"/>
        </w:rPr>
        <w:t xml:space="preserve"> and Taunton Public Schools</w:t>
      </w:r>
      <w:r w:rsidR="00D63D8B">
        <w:rPr>
          <w:color w:val="000000" w:themeColor="text1"/>
        </w:rPr>
        <w:t xml:space="preserve">, where I </w:t>
      </w:r>
      <w:r w:rsidR="00D63D8B">
        <w:rPr>
          <w:color w:val="000000" w:themeColor="text1"/>
        </w:rPr>
        <w:lastRenderedPageBreak/>
        <w:t>concluded that “i</w:t>
      </w:r>
      <w:r w:rsidR="00A529B4">
        <w:t>n order to prove</w:t>
      </w:r>
      <w:r w:rsidR="00A529B4" w:rsidRPr="00E74B9C">
        <w:t xml:space="preserve"> bad faith or gross misjudgment, the moving party must estab</w:t>
      </w:r>
      <w:r w:rsidR="00A529B4">
        <w:t>lish that the school’s actions</w:t>
      </w:r>
      <w:r w:rsidR="00A529B4" w:rsidRPr="00E74B9C">
        <w:t xml:space="preserve"> </w:t>
      </w:r>
      <w:r w:rsidR="00D63D8B">
        <w:t>‘</w:t>
      </w:r>
      <w:r w:rsidR="00A529B4" w:rsidRPr="00E74B9C">
        <w:t>depart[ed] substantially from accepted professional judgment, practice or standards [so] as to demonstrate that the person[s] responsible did not base the decision on such judgment.</w:t>
      </w:r>
      <w:r w:rsidR="00D63D8B">
        <w:t>’</w:t>
      </w:r>
      <w:r w:rsidR="00A529B4" w:rsidRPr="00E74B9C">
        <w:t>”</w:t>
      </w:r>
      <w:r w:rsidR="00A529B4" w:rsidRPr="00FA6CE9">
        <w:rPr>
          <w:rStyle w:val="FootnoteReference"/>
        </w:rPr>
        <w:footnoteReference w:id="14"/>
      </w:r>
      <w:r w:rsidR="00A529B4">
        <w:t xml:space="preserve"> </w:t>
      </w:r>
      <w:r w:rsidR="00A529B4" w:rsidRPr="00E74B9C">
        <w:t>“</w:t>
      </w:r>
      <w:r w:rsidR="00D63D8B">
        <w:t>[S]</w:t>
      </w:r>
      <w:proofErr w:type="spellStart"/>
      <w:r w:rsidR="00A529B4">
        <w:t>tatutory</w:t>
      </w:r>
      <w:proofErr w:type="spellEnd"/>
      <w:r w:rsidR="00A529B4">
        <w:t xml:space="preserve"> noncompliance alone does not constitute bad faith or gross misjudgment;</w:t>
      </w:r>
      <w:r w:rsidR="00A529B4" w:rsidRPr="00E74B9C">
        <w:t>”</w:t>
      </w:r>
      <w:r w:rsidR="00A529B4" w:rsidRPr="00FA6CE9">
        <w:rPr>
          <w:rStyle w:val="FootnoteReference"/>
        </w:rPr>
        <w:footnoteReference w:id="15"/>
      </w:r>
      <w:r w:rsidR="00A529B4">
        <w:t xml:space="preserve"> it is a high standard to meet.</w:t>
      </w:r>
      <w:r w:rsidR="00A529B4">
        <w:rPr>
          <w:rStyle w:val="FootnoteReference"/>
        </w:rPr>
        <w:footnoteReference w:id="16"/>
      </w:r>
      <w:r w:rsidR="00A529B4">
        <w:t xml:space="preserve"> </w:t>
      </w:r>
      <w:r w:rsidR="00A529B4" w:rsidRPr="00E74B9C">
        <w:t>For e</w:t>
      </w:r>
      <w:r w:rsidR="00A529B4">
        <w:t xml:space="preserve">xample, parents’ claim that </w:t>
      </w:r>
      <w:r w:rsidR="001F2ADD">
        <w:t>the district removed student from honors classes, removed a writing fluency goal from his IEP, and failed to incorporate recommendations from an independent educational evaluation necessary for the student to receive a FAPE, in violation of §504, was dismissed on summary judgment for failure to demonstrate gross misjudgment.</w:t>
      </w:r>
      <w:r w:rsidR="00A529B4" w:rsidRPr="00FA6CE9">
        <w:rPr>
          <w:rStyle w:val="FootnoteReference"/>
        </w:rPr>
        <w:footnoteReference w:id="17"/>
      </w:r>
      <w:r w:rsidR="00A529B4">
        <w:t xml:space="preserve"> </w:t>
      </w:r>
      <w:r w:rsidR="00A529B4" w:rsidRPr="00E74B9C">
        <w:t xml:space="preserve">Similarly, </w:t>
      </w:r>
      <w:r w:rsidR="00A529B4">
        <w:t>parents’ §504 claim</w:t>
      </w:r>
      <w:r w:rsidR="00D16A76">
        <w:t xml:space="preserve"> regarding, among other things, a district’s failure to comply with certain regulations implementing §504 and the ADA did not survive summary judgment because the facts</w:t>
      </w:r>
      <w:r w:rsidR="00BD13DF">
        <w:t xml:space="preserve">, even construed in the light most favorable to parents, did not suggest that </w:t>
      </w:r>
      <w:r w:rsidR="00E74C08">
        <w:t>the district “deviate([d] so substantially from accepted professional judgment, practice, or standards as to demonstrate that the defendant acted with wrongful intent.”</w:t>
      </w:r>
      <w:r w:rsidR="00E74C08">
        <w:rPr>
          <w:rStyle w:val="FootnoteReference"/>
        </w:rPr>
        <w:footnoteReference w:id="18"/>
      </w:r>
      <w:r w:rsidR="00BD13DF">
        <w:t xml:space="preserve"> </w:t>
      </w:r>
      <w:r w:rsidR="00A529B4">
        <w:t>On the other hand,</w:t>
      </w:r>
      <w:r w:rsidR="00BD13DF">
        <w:t xml:space="preserve"> the exclusion of a child from school </w:t>
      </w:r>
      <w:r w:rsidR="00A529B4">
        <w:t xml:space="preserve"> and other educational activities because of his disability, if proven, would constitute a violation of §504</w:t>
      </w:r>
      <w:r w:rsidR="00FD2EAA">
        <w:t>,</w:t>
      </w:r>
      <w:r w:rsidR="00A529B4">
        <w:rPr>
          <w:rStyle w:val="FootnoteReference"/>
        </w:rPr>
        <w:footnoteReference w:id="19"/>
      </w:r>
      <w:r w:rsidR="00FD2EAA">
        <w:t xml:space="preserve"> and allegations that a school district discriminated against a student with mobility issues in violation of §504 by failing to maintain physical accessibility of programs, facilities, and activities were sufficient to survive a motion to dismiss.</w:t>
      </w:r>
      <w:r w:rsidR="00FD2EAA">
        <w:rPr>
          <w:rStyle w:val="FootnoteReference"/>
        </w:rPr>
        <w:footnoteReference w:id="20"/>
      </w:r>
      <w:r w:rsidR="00FD2EAA">
        <w:t xml:space="preserve"> A</w:t>
      </w:r>
      <w:r w:rsidR="00A529B4" w:rsidRPr="00E74B9C">
        <w:t xml:space="preserve"> school district may rebut the allegation of discrimination by providing a reasonable explanation for the action or inaction that the moving party is alleging to be discrimination.</w:t>
      </w:r>
      <w:r w:rsidR="00A529B4" w:rsidRPr="00FA6CE9">
        <w:rPr>
          <w:rStyle w:val="FootnoteReference"/>
        </w:rPr>
        <w:footnoteReference w:id="21"/>
      </w:r>
    </w:p>
    <w:p w14:paraId="0E6ADD18" w14:textId="77777777" w:rsidR="002C553D" w:rsidRPr="00E247AB" w:rsidRDefault="002C553D" w:rsidP="006C6A88">
      <w:pPr>
        <w:ind w:firstLine="630"/>
        <w:rPr>
          <w:i/>
          <w:iCs/>
          <w:color w:val="000000" w:themeColor="text1"/>
        </w:rPr>
      </w:pPr>
    </w:p>
    <w:p w14:paraId="722B628F" w14:textId="77777777" w:rsidR="006C6A88" w:rsidRPr="006163DC" w:rsidRDefault="006C6A88" w:rsidP="006C6A88">
      <w:pPr>
        <w:pStyle w:val="ListParagraph"/>
        <w:numPr>
          <w:ilvl w:val="0"/>
          <w:numId w:val="17"/>
        </w:numPr>
        <w:ind w:hanging="630"/>
        <w:rPr>
          <w:i/>
          <w:iCs/>
          <w:color w:val="000000" w:themeColor="text1"/>
          <w:u w:val="single"/>
        </w:rPr>
      </w:pPr>
      <w:r w:rsidRPr="006163DC">
        <w:rPr>
          <w:i/>
          <w:iCs/>
          <w:color w:val="000000" w:themeColor="text1"/>
          <w:u w:val="single"/>
        </w:rPr>
        <w:t>FAPE</w:t>
      </w:r>
    </w:p>
    <w:p w14:paraId="0570F559" w14:textId="77777777" w:rsidR="006C6A88" w:rsidRDefault="006C6A88" w:rsidP="006C6A88">
      <w:pPr>
        <w:rPr>
          <w:color w:val="000000" w:themeColor="text1"/>
        </w:rPr>
      </w:pPr>
    </w:p>
    <w:p w14:paraId="5140CD01" w14:textId="7A1D16B2" w:rsidR="008E553E" w:rsidRDefault="008E553E" w:rsidP="008E553E">
      <w:pPr>
        <w:ind w:firstLine="720"/>
      </w:pPr>
      <w:r w:rsidRPr="008C74A4">
        <w:t xml:space="preserve">The IDEA </w:t>
      </w:r>
      <w:r>
        <w:t>was</w:t>
      </w:r>
      <w:r w:rsidRPr="008C74A4">
        <w:t xml:space="preserve"> </w:t>
      </w:r>
      <w:r w:rsidRPr="00435FF4">
        <w:t>enacted “to ensure that all children with disabilities have available to them a free appropriate public education</w:t>
      </w:r>
      <w:r>
        <w:t xml:space="preserve"> [FAPE]</w:t>
      </w:r>
      <w:r w:rsidRPr="00435FF4">
        <w:t>.”</w:t>
      </w:r>
      <w:r w:rsidRPr="00435FF4">
        <w:rPr>
          <w:rStyle w:val="FootnoteReference"/>
        </w:rPr>
        <w:footnoteReference w:id="22"/>
      </w:r>
      <w:r w:rsidRPr="00435FF4">
        <w:t xml:space="preserve"> FAPE is delivered primarily through a child’s IEP, which must be tailored to meet a child’s unique needs after careful consideration of the child’s present levels of </w:t>
      </w:r>
      <w:r>
        <w:t xml:space="preserve">academic </w:t>
      </w:r>
      <w:r w:rsidRPr="00435FF4">
        <w:t>achievement</w:t>
      </w:r>
      <w:r>
        <w:t xml:space="preserve"> and functional performance</w:t>
      </w:r>
      <w:r w:rsidRPr="00435FF4">
        <w:t>, disability, and potential for growth.</w:t>
      </w:r>
      <w:r w:rsidRPr="00435FF4">
        <w:rPr>
          <w:rStyle w:val="FootnoteReference"/>
        </w:rPr>
        <w:footnoteReference w:id="23"/>
      </w:r>
      <w:r w:rsidRPr="00435FF4">
        <w:t xml:space="preserve"> </w:t>
      </w:r>
      <w:r>
        <w:t xml:space="preserve">As summarized by the United States Supreme Court in </w:t>
      </w:r>
      <w:proofErr w:type="spellStart"/>
      <w:r>
        <w:rPr>
          <w:i/>
          <w:iCs/>
        </w:rPr>
        <w:t>Endrew</w:t>
      </w:r>
      <w:proofErr w:type="spellEnd"/>
      <w:r>
        <w:rPr>
          <w:i/>
          <w:iCs/>
        </w:rPr>
        <w:t xml:space="preserve"> F. v. Douglas County School District</w:t>
      </w:r>
      <w:r>
        <w:t xml:space="preserve">, the IEP must “describe how the child’s disability affects the </w:t>
      </w:r>
      <w:r>
        <w:lastRenderedPageBreak/>
        <w:t>child’s involvement and progress in the general education curriculum, and set out measurable annual goals, including academic and functional goals, along with a description of how the child’s progress toward meeting those goals will be gauged.”</w:t>
      </w:r>
      <w:r>
        <w:rPr>
          <w:rStyle w:val="FootnoteReference"/>
        </w:rPr>
        <w:footnoteReference w:id="24"/>
      </w:r>
      <w:r>
        <w:t xml:space="preserve"> </w:t>
      </w:r>
      <w:r w:rsidRPr="00435FF4">
        <w:t>“To meet its substantive obligation under the IDEA, a [district] must offer an IEP reasonably calculated to enable a child to make progress appropriate in light of the child’s circumstances.”</w:t>
      </w:r>
      <w:r w:rsidRPr="00435FF4">
        <w:rPr>
          <w:rStyle w:val="FootnoteReference"/>
        </w:rPr>
        <w:footnoteReference w:id="25"/>
      </w:r>
      <w:r w:rsidRPr="00435FF4">
        <w:t xml:space="preserve"> </w:t>
      </w:r>
      <w:r>
        <w:t xml:space="preserve">The </w:t>
      </w:r>
      <w:r w:rsidRPr="00435FF4">
        <w:t>goals</w:t>
      </w:r>
      <w:r>
        <w:t xml:space="preserve"> of all students</w:t>
      </w:r>
      <w:r w:rsidRPr="00435FF4">
        <w:t xml:space="preserve"> should be </w:t>
      </w:r>
      <w:r>
        <w:t>“</w:t>
      </w:r>
      <w:r w:rsidRPr="00435FF4">
        <w:t>appropriately ambitiou</w:t>
      </w:r>
      <w:r>
        <w:t xml:space="preserve">s . . . </w:t>
      </w:r>
      <w:r w:rsidRPr="00435FF4">
        <w:t xml:space="preserve">just as advancement from grade to grade is appropriately ambitious for most students in a </w:t>
      </w:r>
      <w:r>
        <w:t>regular</w:t>
      </w:r>
      <w:r w:rsidRPr="00435FF4">
        <w:t xml:space="preserve"> classroom</w:t>
      </w:r>
      <w:r>
        <w:t>.”</w:t>
      </w:r>
      <w:r>
        <w:rPr>
          <w:rStyle w:val="FootnoteReference"/>
        </w:rPr>
        <w:footnoteReference w:id="26"/>
      </w:r>
    </w:p>
    <w:p w14:paraId="3E0588F0" w14:textId="77777777" w:rsidR="008E553E" w:rsidRDefault="008E553E" w:rsidP="008E553E">
      <w:pPr>
        <w:ind w:firstLine="720"/>
      </w:pPr>
      <w:r w:rsidRPr="00435FF4">
        <w:t xml:space="preserve"> </w:t>
      </w:r>
    </w:p>
    <w:p w14:paraId="75633667" w14:textId="77777777" w:rsidR="008E553E" w:rsidRPr="00435FF4" w:rsidRDefault="008E553E" w:rsidP="008E553E">
      <w:pPr>
        <w:ind w:firstLine="720"/>
      </w:pPr>
      <w:r w:rsidRPr="00435FF4">
        <w:t>Similarly, Massachusetts FAPE standards require that an IEP be “reasonably calculated to confer a meaningful educational benefit in light of the child’s circumstances,”</w:t>
      </w:r>
      <w:r w:rsidRPr="00435FF4">
        <w:rPr>
          <w:rStyle w:val="FootnoteReference"/>
        </w:rPr>
        <w:footnoteReference w:id="27"/>
      </w:r>
      <w:r w:rsidRPr="00435FF4">
        <w:t xml:space="preserve"> and designed to permit the student to make “effective progress.”</w:t>
      </w:r>
      <w:r w:rsidRPr="00435FF4">
        <w:rPr>
          <w:rStyle w:val="FootnoteReference"/>
        </w:rPr>
        <w:footnoteReference w:id="28"/>
      </w:r>
      <w:r w:rsidRPr="00435FF4">
        <w:t xml:space="preserve"> Evaluating an IEP requires viewing it as a “a snapshot, not a retrospective. In striving for ‘appropriateness, an IEP must </w:t>
      </w:r>
      <w:proofErr w:type="gramStart"/>
      <w:r w:rsidRPr="00435FF4">
        <w:t>take into account</w:t>
      </w:r>
      <w:proofErr w:type="gramEnd"/>
      <w:r w:rsidRPr="00435FF4">
        <w:t xml:space="preserve"> what was . . . objectively reasonable . . . at the time the IEP was promulgated.</w:t>
      </w:r>
      <w:r>
        <w:t>’</w:t>
      </w:r>
      <w:r w:rsidRPr="00435FF4">
        <w:t>”</w:t>
      </w:r>
      <w:r w:rsidRPr="00435FF4">
        <w:rPr>
          <w:rStyle w:val="FootnoteReference"/>
        </w:rPr>
        <w:footnoteReference w:id="29"/>
      </w:r>
      <w:r w:rsidRPr="00435FF4">
        <w:t xml:space="preserve"> </w:t>
      </w:r>
    </w:p>
    <w:p w14:paraId="7A2AF7BD" w14:textId="77777777" w:rsidR="008E553E" w:rsidRPr="00435FF4" w:rsidRDefault="008E553E" w:rsidP="008E553E"/>
    <w:p w14:paraId="10133979" w14:textId="29434860" w:rsidR="006C6A88" w:rsidRPr="00DF1399" w:rsidRDefault="008E553E" w:rsidP="006274BA">
      <w:pPr>
        <w:ind w:firstLine="720"/>
      </w:pPr>
      <w:r w:rsidRPr="00435FF4">
        <w:t>Under state and federal special education law, a school district has an obligation to provide the services that comprise FAPE in the least restrictive environment that will “accommodate the child’s legitimate needs.”</w:t>
      </w:r>
      <w:r w:rsidRPr="00435FF4">
        <w:rPr>
          <w:rStyle w:val="FootnoteReference"/>
        </w:rPr>
        <w:footnoteReference w:id="30"/>
      </w:r>
      <w:r w:rsidRPr="00435FF4">
        <w:t xml:space="preserve"> </w:t>
      </w:r>
    </w:p>
    <w:p w14:paraId="4C907DEB" w14:textId="77777777" w:rsidR="006C6A88" w:rsidRDefault="006C6A88" w:rsidP="006C6A88"/>
    <w:p w14:paraId="5E3B8B98" w14:textId="6B0C731F" w:rsidR="006163DC" w:rsidRDefault="006C6A88" w:rsidP="006163DC">
      <w:pPr>
        <w:ind w:firstLine="720"/>
      </w:pPr>
      <w:r>
        <w:t xml:space="preserve">Where an IEP has been accepted, the analysis shifts to implementation. </w:t>
      </w:r>
      <w:r w:rsidRPr="004D1C76">
        <w:t>“To provide a free and appropriate public education to a student with disabilities, the school district must not only develop the IEP, but it also must implement the IEP in accordance with its requirements.”</w:t>
      </w:r>
      <w:r w:rsidRPr="004D1C76">
        <w:rPr>
          <w:vertAlign w:val="superscript"/>
        </w:rPr>
        <w:footnoteReference w:id="31"/>
      </w:r>
      <w:r w:rsidRPr="004D1C76">
        <w:t xml:space="preserve"> </w:t>
      </w:r>
    </w:p>
    <w:p w14:paraId="43C9FB81" w14:textId="68E12D5B" w:rsidR="006C6A88" w:rsidRPr="00443FD2" w:rsidRDefault="006163DC" w:rsidP="006163DC">
      <w:r>
        <w:t xml:space="preserve">The United States Court of Appeals for the First Circuit has not elaborated on what constitutes implementation of an IEP, but several courts within the First Circuit have done so. The </w:t>
      </w:r>
      <w:r w:rsidR="006274BA">
        <w:t xml:space="preserve">United States District Court for the District of Massachusetts has </w:t>
      </w:r>
      <w:r w:rsidR="006C6A88" w:rsidRPr="00443FD2">
        <w:t>linked the failure to implement an IEP to the failure to permit a student to benefit educationally – or in other words, to provide a FAPE.</w:t>
      </w:r>
      <w:r w:rsidR="006C6A88" w:rsidRPr="00443FD2">
        <w:rPr>
          <w:vertAlign w:val="superscript"/>
        </w:rPr>
        <w:footnoteReference w:id="32"/>
      </w:r>
      <w:r>
        <w:t xml:space="preserve"> In a subsequent case, the United States </w:t>
      </w:r>
      <w:r w:rsidR="006C6A88" w:rsidRPr="00443FD2">
        <w:t>District Court for the District of Puerto Rico</w:t>
      </w:r>
      <w:r w:rsidR="006C6A88">
        <w:t xml:space="preserve"> relied on the </w:t>
      </w:r>
      <w:r w:rsidR="006C6A88" w:rsidRPr="00443FD2">
        <w:t xml:space="preserve">generally adopted standard articulated by the Fifth Circuit in </w:t>
      </w:r>
      <w:r w:rsidR="006C6A88" w:rsidRPr="00443FD2">
        <w:rPr>
          <w:i/>
        </w:rPr>
        <w:t>Houston Independent School District v. Bobby R.</w:t>
      </w:r>
      <w:r w:rsidR="006C6A88" w:rsidRPr="00443FD2">
        <w:t xml:space="preserve">, requiring “more than a </w:t>
      </w:r>
      <w:r w:rsidR="006C6A88" w:rsidRPr="00443FD2">
        <w:rPr>
          <w:i/>
        </w:rPr>
        <w:t xml:space="preserve">de minimis </w:t>
      </w:r>
      <w:r w:rsidR="006C6A88" w:rsidRPr="00443FD2">
        <w:t xml:space="preserve">failure” </w:t>
      </w:r>
      <w:r w:rsidR="006C6A88">
        <w:t xml:space="preserve">to </w:t>
      </w:r>
      <w:r w:rsidR="006C6A88" w:rsidRPr="00443FD2">
        <w:t>prevail on an implementation claim under the IDEA.</w:t>
      </w:r>
      <w:r w:rsidR="006C6A88" w:rsidRPr="00443FD2">
        <w:rPr>
          <w:vertAlign w:val="superscript"/>
        </w:rPr>
        <w:footnoteReference w:id="33"/>
      </w:r>
      <w:r w:rsidR="006C6A88" w:rsidRPr="00443FD2">
        <w:t xml:space="preserve"> The court summarized the analysis as follows:</w:t>
      </w:r>
    </w:p>
    <w:p w14:paraId="36C253BD" w14:textId="77777777" w:rsidR="006C6A88" w:rsidRPr="00443FD2" w:rsidRDefault="006C6A88" w:rsidP="006C6A88">
      <w:pPr>
        <w:ind w:firstLine="720"/>
      </w:pPr>
    </w:p>
    <w:p w14:paraId="58134543" w14:textId="77777777" w:rsidR="006C6A88" w:rsidRPr="00443FD2" w:rsidRDefault="006C6A88" w:rsidP="006C6A88">
      <w:pPr>
        <w:ind w:left="630" w:right="720"/>
      </w:pPr>
      <w:r w:rsidRPr="00443FD2">
        <w:t xml:space="preserve">. . . a court reviewing failure-to-implement claims under the IDEA must ascertain whether the aspects of the IEP that were not followed were “substantial or significant,” or, in other words, whether the deviations from the IEP’s stated requirements were “material.” A material failure occurs when there is more than a minor discrepancy between the services a school provides to a disabled child and the services required by the child’s IEP. This standard does not require that the child suffer demonstrable educational harm </w:t>
      </w:r>
      <w:proofErr w:type="gramStart"/>
      <w:r w:rsidRPr="00443FD2">
        <w:t>in order to</w:t>
      </w:r>
      <w:proofErr w:type="gramEnd"/>
      <w:r w:rsidRPr="00443FD2">
        <w:t xml:space="preserve"> prevail; rather, courts applying the materiality standard have focused</w:t>
      </w:r>
      <w:r>
        <w:t xml:space="preserve"> </w:t>
      </w:r>
      <w:r w:rsidRPr="00443FD2">
        <w:t>on the proportion of services mandated to those actually provided, and the goal and import (as articulated in the IEP) of the specific service that was withheld.</w:t>
      </w:r>
      <w:r w:rsidRPr="00443FD2">
        <w:rPr>
          <w:vertAlign w:val="superscript"/>
        </w:rPr>
        <w:footnoteReference w:id="34"/>
      </w:r>
    </w:p>
    <w:p w14:paraId="7654FFBE" w14:textId="77777777" w:rsidR="006C6A88" w:rsidRPr="00443FD2" w:rsidRDefault="006C6A88" w:rsidP="006C6A88">
      <w:pPr>
        <w:ind w:firstLine="720"/>
      </w:pPr>
    </w:p>
    <w:p w14:paraId="35E40526" w14:textId="3FCAA614" w:rsidR="006C6A88" w:rsidRDefault="006C6A88" w:rsidP="006C6A88">
      <w:pPr>
        <w:ind w:firstLine="720"/>
      </w:pPr>
      <w:r>
        <w:t>T</w:t>
      </w:r>
      <w:r w:rsidRPr="00443FD2">
        <w:t>he approach of the U.S. District Court for the District of Puerto Rico, adopts the approaches endorsed by the U.S. Courts of Appeals for the Fifth, Eighth, Ninth</w:t>
      </w:r>
      <w:r>
        <w:t xml:space="preserve">, and Eleventh </w:t>
      </w:r>
      <w:r w:rsidRPr="00443FD2">
        <w:t>Circuits</w:t>
      </w:r>
      <w:r w:rsidR="003F1A88">
        <w:t>,</w:t>
      </w:r>
      <w:r w:rsidRPr="00443FD2">
        <w:t xml:space="preserve"> as well as the U.S. District Court for the District of Columbia</w:t>
      </w:r>
      <w:r>
        <w:t xml:space="preserve"> and is appropriate to follow here as the First Circuit has yet to address this question</w:t>
      </w:r>
      <w:r w:rsidRPr="00443FD2">
        <w:t>.</w:t>
      </w:r>
      <w:r w:rsidRPr="00443FD2">
        <w:rPr>
          <w:vertAlign w:val="superscript"/>
        </w:rPr>
        <w:footnoteReference w:id="35"/>
      </w:r>
      <w:r>
        <w:t xml:space="preserve"> </w:t>
      </w:r>
    </w:p>
    <w:p w14:paraId="54D02232" w14:textId="4FBCCC9A" w:rsidR="006163DC" w:rsidRDefault="006163DC" w:rsidP="006C6A88">
      <w:pPr>
        <w:ind w:firstLine="720"/>
      </w:pPr>
    </w:p>
    <w:p w14:paraId="19021421" w14:textId="063B304F" w:rsidR="006163DC" w:rsidRDefault="006163DC" w:rsidP="006C6A88">
      <w:pPr>
        <w:ind w:firstLine="720"/>
      </w:pPr>
      <w:r>
        <w:t>B.</w:t>
      </w:r>
      <w:r>
        <w:tab/>
      </w:r>
      <w:r>
        <w:rPr>
          <w:i/>
          <w:iCs/>
        </w:rPr>
        <w:t>Analysis</w:t>
      </w:r>
    </w:p>
    <w:p w14:paraId="27B8FE4C" w14:textId="7F007AE7" w:rsidR="006163DC" w:rsidRDefault="006163DC" w:rsidP="006C6A88">
      <w:pPr>
        <w:ind w:firstLine="720"/>
      </w:pPr>
    </w:p>
    <w:p w14:paraId="5077F331" w14:textId="22872C45" w:rsidR="006163DC" w:rsidRDefault="006163DC" w:rsidP="006C6A88">
      <w:pPr>
        <w:ind w:firstLine="720"/>
      </w:pPr>
      <w:r>
        <w:t>To determine</w:t>
      </w:r>
      <w:r w:rsidR="003F1A88">
        <w:t xml:space="preserve"> whether</w:t>
      </w:r>
      <w:r>
        <w:t xml:space="preserve"> </w:t>
      </w:r>
      <w:r w:rsidR="00E25679">
        <w:t xml:space="preserve">each </w:t>
      </w:r>
      <w:r>
        <w:t>of the challenged claims survive</w:t>
      </w:r>
      <w:r w:rsidR="00E25679">
        <w:t>s</w:t>
      </w:r>
      <w:r>
        <w:t xml:space="preserve"> the District’s </w:t>
      </w:r>
      <w:r>
        <w:rPr>
          <w:i/>
          <w:iCs/>
        </w:rPr>
        <w:t>Motion</w:t>
      </w:r>
      <w:r>
        <w:t xml:space="preserve">, I must determine whether </w:t>
      </w:r>
      <w:r w:rsidR="00E25679">
        <w:t>the evidence and reasonable inference that may be drawn therefrom, construed in the light most favorable to Parent, is sufficient for me to find for Parent by a preponderance of the evidence</w:t>
      </w:r>
      <w:r w:rsidR="003C2865">
        <w:t xml:space="preserve"> on each required element of that claim.</w:t>
      </w:r>
    </w:p>
    <w:p w14:paraId="2CF14CF1" w14:textId="40217D70" w:rsidR="006163DC" w:rsidRDefault="006163DC" w:rsidP="006C6A88">
      <w:pPr>
        <w:ind w:firstLine="720"/>
      </w:pPr>
    </w:p>
    <w:p w14:paraId="135701F6" w14:textId="1E67C2AF" w:rsidR="006C6A88" w:rsidRPr="006163DC" w:rsidRDefault="006163DC" w:rsidP="006163DC">
      <w:pPr>
        <w:ind w:firstLine="720"/>
        <w:rPr>
          <w:u w:val="single"/>
        </w:rPr>
      </w:pPr>
      <w:r>
        <w:t>1.</w:t>
      </w:r>
      <w:r>
        <w:tab/>
      </w:r>
      <w:r>
        <w:rPr>
          <w:u w:val="single"/>
        </w:rPr>
        <w:t>Bullying Claims</w:t>
      </w:r>
    </w:p>
    <w:p w14:paraId="0BF3042D" w14:textId="77777777" w:rsidR="006C6A88" w:rsidRPr="00DE6365" w:rsidRDefault="006C6A88" w:rsidP="006C6A88">
      <w:pPr>
        <w:ind w:left="360"/>
        <w:rPr>
          <w:i/>
          <w:iCs/>
        </w:rPr>
      </w:pPr>
    </w:p>
    <w:p w14:paraId="04F3E29B" w14:textId="36BA1108" w:rsidR="006C6A88" w:rsidRDefault="002C229F" w:rsidP="006C6A88">
      <w:pPr>
        <w:ind w:firstLine="720"/>
        <w:rPr>
          <w:color w:val="000000" w:themeColor="text1"/>
        </w:rPr>
      </w:pPr>
      <w:r>
        <w:t xml:space="preserve">Parent alleges that ABRSD failed to follow policies and procedures to investigate and address bullying concerns between October 2019 and January 2020, </w:t>
      </w:r>
      <w:r w:rsidR="00F46DFD">
        <w:t xml:space="preserve">and failed to address bullying concerns by convening a Team meeting to review </w:t>
      </w:r>
      <w:r w:rsidR="002309B7">
        <w:t xml:space="preserve">Stewart’s </w:t>
      </w:r>
      <w:r w:rsidR="00F46DFD">
        <w:t xml:space="preserve">IEP and make changes, </w:t>
      </w:r>
      <w:r>
        <w:t xml:space="preserve">which resulted in a denial of Stewart’s right to a FAPE and constituted </w:t>
      </w:r>
      <w:r w:rsidR="003C2865">
        <w:t xml:space="preserve">discrimination </w:t>
      </w:r>
      <w:r>
        <w:t>against him in violation of § 504.</w:t>
      </w:r>
      <w:r>
        <w:rPr>
          <w:color w:val="4A66AC" w:themeColor="accent1"/>
        </w:rPr>
        <w:t xml:space="preserve"> </w:t>
      </w:r>
      <w:r w:rsidR="006C6A88" w:rsidRPr="00DE6365">
        <w:rPr>
          <w:color w:val="000000" w:themeColor="text1"/>
        </w:rPr>
        <w:t>To determine whether</w:t>
      </w:r>
      <w:r w:rsidR="006C6A88">
        <w:rPr>
          <w:color w:val="000000" w:themeColor="text1"/>
        </w:rPr>
        <w:t xml:space="preserve"> Parent has presented sufficient evidence from which I could </w:t>
      </w:r>
      <w:r w:rsidR="006163DC">
        <w:rPr>
          <w:color w:val="000000" w:themeColor="text1"/>
        </w:rPr>
        <w:t>find</w:t>
      </w:r>
      <w:r>
        <w:rPr>
          <w:color w:val="000000" w:themeColor="text1"/>
        </w:rPr>
        <w:t xml:space="preserve"> in her favor </w:t>
      </w:r>
      <w:r w:rsidR="006C6A88">
        <w:rPr>
          <w:color w:val="000000" w:themeColor="text1"/>
        </w:rPr>
        <w:t>by a preponderance of the evidence</w:t>
      </w:r>
      <w:r w:rsidR="006163DC">
        <w:rPr>
          <w:color w:val="000000" w:themeColor="text1"/>
        </w:rPr>
        <w:t>,</w:t>
      </w:r>
      <w:r w:rsidR="006C6A88" w:rsidRPr="00DE6365">
        <w:rPr>
          <w:color w:val="000000" w:themeColor="text1"/>
        </w:rPr>
        <w:t xml:space="preserve"> I must first </w:t>
      </w:r>
      <w:r w:rsidR="006C6A88">
        <w:rPr>
          <w:color w:val="000000" w:themeColor="text1"/>
        </w:rPr>
        <w:t xml:space="preserve">determine whether Parent has established, by this standard, that </w:t>
      </w:r>
      <w:r w:rsidR="006C6A88" w:rsidRPr="00DE6365">
        <w:rPr>
          <w:color w:val="000000" w:themeColor="text1"/>
        </w:rPr>
        <w:t xml:space="preserve">bullying occurred. </w:t>
      </w:r>
      <w:r w:rsidR="006C6A88">
        <w:rPr>
          <w:color w:val="000000" w:themeColor="text1"/>
        </w:rPr>
        <w:t>C</w:t>
      </w:r>
      <w:r w:rsidR="006C6A88" w:rsidRPr="00DE6365">
        <w:rPr>
          <w:color w:val="000000" w:themeColor="text1"/>
        </w:rPr>
        <w:t xml:space="preserve">onsistent with the legal </w:t>
      </w:r>
      <w:r w:rsidR="006C6A88" w:rsidRPr="00DE6365">
        <w:rPr>
          <w:color w:val="000000" w:themeColor="text1"/>
        </w:rPr>
        <w:lastRenderedPageBreak/>
        <w:t>definition of bullying under M.G.L. c. 71 § 37O,</w:t>
      </w:r>
      <w:r w:rsidR="006C6A88">
        <w:rPr>
          <w:color w:val="000000" w:themeColor="text1"/>
        </w:rPr>
        <w:t xml:space="preserve"> the District’s Bullying Prevention and Intervention Policy</w:t>
      </w:r>
      <w:r w:rsidR="00F46DFD">
        <w:rPr>
          <w:color w:val="000000" w:themeColor="text1"/>
        </w:rPr>
        <w:t xml:space="preserve"> (Policy)</w:t>
      </w:r>
      <w:r w:rsidR="006C6A88" w:rsidRPr="00DE6365">
        <w:rPr>
          <w:rStyle w:val="FootnoteReference"/>
          <w:color w:val="000000" w:themeColor="text1"/>
        </w:rPr>
        <w:footnoteReference w:id="36"/>
      </w:r>
      <w:r w:rsidR="006C6A88" w:rsidRPr="00DE6365">
        <w:rPr>
          <w:color w:val="000000" w:themeColor="text1"/>
        </w:rPr>
        <w:t xml:space="preserve"> </w:t>
      </w:r>
      <w:r>
        <w:rPr>
          <w:color w:val="000000" w:themeColor="text1"/>
        </w:rPr>
        <w:t xml:space="preserve">defines </w:t>
      </w:r>
      <w:r w:rsidR="006C6A88" w:rsidRPr="00DE6365">
        <w:rPr>
          <w:color w:val="000000" w:themeColor="text1"/>
        </w:rPr>
        <w:t xml:space="preserve">bullying </w:t>
      </w:r>
      <w:r>
        <w:rPr>
          <w:color w:val="000000" w:themeColor="text1"/>
        </w:rPr>
        <w:t>as</w:t>
      </w:r>
      <w:r w:rsidR="006C6A88">
        <w:rPr>
          <w:color w:val="000000" w:themeColor="text1"/>
        </w:rPr>
        <w:t>:</w:t>
      </w:r>
    </w:p>
    <w:p w14:paraId="1B4906E3" w14:textId="77777777" w:rsidR="006C6A88" w:rsidRDefault="006C6A88" w:rsidP="006C6A88">
      <w:pPr>
        <w:rPr>
          <w:color w:val="000000" w:themeColor="text1"/>
        </w:rPr>
      </w:pPr>
    </w:p>
    <w:p w14:paraId="5B99FD3E" w14:textId="77777777" w:rsidR="006C6A88" w:rsidRDefault="006C6A88" w:rsidP="006C6A88">
      <w:pPr>
        <w:ind w:left="720" w:right="720"/>
      </w:pPr>
      <w:r w:rsidRPr="00DE6365">
        <w:rPr>
          <w:color w:val="000000" w:themeColor="text1"/>
        </w:rPr>
        <w:t xml:space="preserve"> “ the repeated use by one or more students or </w:t>
      </w:r>
      <w:r w:rsidRPr="00DE6365">
        <w:t>by a member of a school staff including, but not limited to, an educator, administrator, school nurse, cafeteria worker, custodian, bus driver, athletic coach, advisor to an extracurricular activity or paraprofessional of a written, verbal or electronic expression or a physical act or gesture or any combination thereof, directed at a victim that: (i) causes physical or emotional harm to the victim or damage to the victim's property; (ii) places the victim in reasonable fear of harm to himself or of damage to his property; (iii) creates a hostile environment at school for the victim; (iv) infringes on the rights of the victim at school; or (v) materially and substantially disrupts the education process or the orderly operation of a school.”</w:t>
      </w:r>
      <w:r w:rsidRPr="00DE6365">
        <w:rPr>
          <w:rStyle w:val="FootnoteReference"/>
        </w:rPr>
        <w:footnoteReference w:id="37"/>
      </w:r>
      <w:r w:rsidRPr="00DE6365">
        <w:t xml:space="preserve"> </w:t>
      </w:r>
    </w:p>
    <w:p w14:paraId="3D951801" w14:textId="77777777" w:rsidR="006C6A88" w:rsidRDefault="006C6A88" w:rsidP="006C6A88"/>
    <w:p w14:paraId="1BC6A818" w14:textId="58F361BF" w:rsidR="006C6A88" w:rsidRDefault="006C6A88" w:rsidP="006C6A88">
      <w:pPr>
        <w:ind w:firstLine="720"/>
      </w:pPr>
      <w:r w:rsidRPr="00DE6365">
        <w:t>Although</w:t>
      </w:r>
      <w:r w:rsidR="002C229F">
        <w:t xml:space="preserve"> </w:t>
      </w:r>
      <w:r w:rsidRPr="00DE6365">
        <w:t xml:space="preserve">as Parent </w:t>
      </w:r>
      <w:r w:rsidR="002C229F">
        <w:t xml:space="preserve">argued during the </w:t>
      </w:r>
      <w:r w:rsidR="002C229F">
        <w:rPr>
          <w:i/>
          <w:iCs/>
        </w:rPr>
        <w:t>Motion Session</w:t>
      </w:r>
      <w:r w:rsidR="002C229F">
        <w:t>, neither the law nor the</w:t>
      </w:r>
      <w:r w:rsidRPr="00DE6365">
        <w:t xml:space="preserve"> policy require</w:t>
      </w:r>
      <w:r w:rsidR="002C229F">
        <w:t>s</w:t>
      </w:r>
      <w:r w:rsidRPr="00DE6365">
        <w:t xml:space="preserve"> the victim to hear or witness the aggressor’s misconduct</w:t>
      </w:r>
      <w:r>
        <w:t xml:space="preserve"> first-hand</w:t>
      </w:r>
      <w:r w:rsidRPr="00DE6365">
        <w:t xml:space="preserve">, </w:t>
      </w:r>
      <w:r w:rsidR="002C229F">
        <w:t>a required element of bullying under both the law and the policy is that</w:t>
      </w:r>
      <w:r>
        <w:t xml:space="preserve"> the expressions, acts</w:t>
      </w:r>
      <w:r w:rsidR="002C229F">
        <w:t>,</w:t>
      </w:r>
      <w:r>
        <w:t xml:space="preserve"> or gestures complained of be repeated</w:t>
      </w:r>
      <w:r w:rsidRPr="00DE6365">
        <w:t>.</w:t>
      </w:r>
      <w:r>
        <w:rPr>
          <w:rStyle w:val="FootnoteReference"/>
        </w:rPr>
        <w:footnoteReference w:id="38"/>
      </w:r>
      <w:r w:rsidRPr="00DE6365">
        <w:t xml:space="preserve"> The testimony provided and the documentary evidence admitted in this matter</w:t>
      </w:r>
      <w:r w:rsidR="00FC7C86">
        <w:t xml:space="preserve"> </w:t>
      </w:r>
      <w:r w:rsidRPr="00DE6365">
        <w:t xml:space="preserve">demonstrate that the </w:t>
      </w:r>
      <w:r>
        <w:t>District</w:t>
      </w:r>
      <w:r w:rsidRPr="00DE6365">
        <w:t xml:space="preserve"> was notified by the Parent about </w:t>
      </w:r>
      <w:r>
        <w:t xml:space="preserve">only </w:t>
      </w:r>
      <w:r w:rsidRPr="00DE6365">
        <w:t>one instance</w:t>
      </w:r>
      <w:r w:rsidR="00F46DFD">
        <w:t xml:space="preserve"> of a verbal comment, </w:t>
      </w:r>
      <w:r w:rsidRPr="00DE6365">
        <w:t xml:space="preserve">when </w:t>
      </w:r>
      <w:r w:rsidR="00F46DFD">
        <w:t xml:space="preserve">Parent emailed school psychologist Carolyn </w:t>
      </w:r>
      <w:proofErr w:type="spellStart"/>
      <w:r w:rsidR="00F46DFD">
        <w:t>Imperato</w:t>
      </w:r>
      <w:proofErr w:type="spellEnd"/>
      <w:r w:rsidR="00F46DFD">
        <w:t xml:space="preserve"> on October 2</w:t>
      </w:r>
      <w:r w:rsidR="000A7C5E">
        <w:t>3</w:t>
      </w:r>
      <w:r w:rsidR="00F46DFD">
        <w:t>, 2019 to report that</w:t>
      </w:r>
      <w:r w:rsidRPr="00DE6365">
        <w:t xml:space="preserve"> another student had called her son </w:t>
      </w:r>
      <w:r w:rsidR="003C2865">
        <w:t>“</w:t>
      </w:r>
      <w:r w:rsidRPr="00DE6365">
        <w:t>fat</w:t>
      </w:r>
      <w:r>
        <w:t>.</w:t>
      </w:r>
      <w:r w:rsidR="003C2865">
        <w:t>”</w:t>
      </w:r>
      <w:r w:rsidRPr="00DE6365">
        <w:rPr>
          <w:rStyle w:val="FootnoteReference"/>
        </w:rPr>
        <w:footnoteReference w:id="39"/>
      </w:r>
      <w:r w:rsidRPr="00DE6365">
        <w:t xml:space="preserve"> </w:t>
      </w:r>
      <w:r>
        <w:t xml:space="preserve">Parent acknowledged </w:t>
      </w:r>
      <w:r w:rsidR="003F1A88">
        <w:t>in her</w:t>
      </w:r>
      <w:r>
        <w:t xml:space="preserve"> testimony that </w:t>
      </w:r>
      <w:r w:rsidR="00F46DFD">
        <w:t>Dr.</w:t>
      </w:r>
      <w:r w:rsidR="00417F94">
        <w:t xml:space="preserve"> </w:t>
      </w:r>
      <w:proofErr w:type="spellStart"/>
      <w:r w:rsidR="00417F94">
        <w:t>Imperato</w:t>
      </w:r>
      <w:proofErr w:type="spellEnd"/>
      <w:r>
        <w:t xml:space="preserve"> promptly responded to her email, within an hour of receiving it.</w:t>
      </w:r>
      <w:r>
        <w:rPr>
          <w:rStyle w:val="FootnoteReference"/>
        </w:rPr>
        <w:footnoteReference w:id="40"/>
      </w:r>
      <w:r>
        <w:t xml:space="preserve"> </w:t>
      </w:r>
      <w:r w:rsidRPr="00DE6365">
        <w:t>Although discussions of th</w:t>
      </w:r>
      <w:r w:rsidR="003F1A88">
        <w:t>at one</w:t>
      </w:r>
      <w:r w:rsidR="00FC7C86">
        <w:t xml:space="preserve"> </w:t>
      </w:r>
      <w:r w:rsidRPr="00DE6365">
        <w:t>inappropriate comment</w:t>
      </w:r>
      <w:r w:rsidR="00FC7C86">
        <w:t xml:space="preserve"> made by another student about Stewart</w:t>
      </w:r>
      <w:r w:rsidRPr="00DE6365">
        <w:t xml:space="preserve"> occurred between </w:t>
      </w:r>
      <w:r w:rsidR="00FC7C86">
        <w:t xml:space="preserve">Parent and </w:t>
      </w:r>
      <w:r w:rsidRPr="00DE6365">
        <w:t>the District several times over next few months, no evidence was presented,</w:t>
      </w:r>
      <w:r w:rsidR="00FC7C86">
        <w:t xml:space="preserve"> through testimony or documents,</w:t>
      </w:r>
      <w:r w:rsidRPr="00DE6365">
        <w:t xml:space="preserve"> </w:t>
      </w:r>
      <w:r w:rsidR="003C2865">
        <w:t xml:space="preserve">that the District was notified </w:t>
      </w:r>
      <w:r w:rsidRPr="00DE6365">
        <w:t xml:space="preserve">of any other </w:t>
      </w:r>
      <w:r w:rsidRPr="00DE6365">
        <w:rPr>
          <w:i/>
          <w:iCs/>
        </w:rPr>
        <w:t>separate</w:t>
      </w:r>
      <w:r w:rsidRPr="00DE6365">
        <w:t xml:space="preserve"> instance of name-calling by any student or inappropriate action by the alleged aggressor towards Stewart.</w:t>
      </w:r>
      <w:r w:rsidR="003F1A88">
        <w:rPr>
          <w:rStyle w:val="FootnoteReference"/>
        </w:rPr>
        <w:footnoteReference w:id="41"/>
      </w:r>
      <w:r w:rsidR="000A7C5E">
        <w:t xml:space="preserve"> </w:t>
      </w:r>
      <w:r w:rsidR="00FC7C86">
        <w:t xml:space="preserve">Although </w:t>
      </w:r>
      <w:r w:rsidR="00FC7C86" w:rsidRPr="00DE6365">
        <w:t>Parent testified</w:t>
      </w:r>
      <w:r w:rsidR="00FC7C86">
        <w:t xml:space="preserve"> </w:t>
      </w:r>
      <w:r w:rsidR="00FC7C86" w:rsidRPr="00DE6365">
        <w:t>that in January</w:t>
      </w:r>
      <w:r w:rsidR="00FC7C86">
        <w:t>, after Stewart was hospitalized, she</w:t>
      </w:r>
      <w:r w:rsidR="00FC7C86" w:rsidRPr="00DE6365">
        <w:t xml:space="preserve"> learned that he had been called </w:t>
      </w:r>
      <w:r w:rsidR="003C2865">
        <w:t>“</w:t>
      </w:r>
      <w:r w:rsidR="00FC7C86" w:rsidRPr="00DE6365">
        <w:t>fat</w:t>
      </w:r>
      <w:r w:rsidR="003C2865">
        <w:t>”</w:t>
      </w:r>
      <w:r w:rsidR="00FC7C86" w:rsidRPr="00DE6365">
        <w:t xml:space="preserve"> </w:t>
      </w:r>
      <w:r w:rsidR="00FC7C86">
        <w:t>eleven</w:t>
      </w:r>
      <w:r w:rsidR="00FC7C86" w:rsidRPr="00DE6365">
        <w:t xml:space="preserve"> times, she also acknowledged </w:t>
      </w:r>
      <w:r w:rsidR="00417F94">
        <w:t xml:space="preserve">on </w:t>
      </w:r>
      <w:r w:rsidR="00FC7C86">
        <w:t xml:space="preserve">cross-examination </w:t>
      </w:r>
      <w:r w:rsidR="00FC7C86" w:rsidRPr="00DE6365">
        <w:t xml:space="preserve">that she never notified the school of these repeated instances of </w:t>
      </w:r>
      <w:r w:rsidR="00FC7C86">
        <w:t>name-calling</w:t>
      </w:r>
      <w:r w:rsidR="00FC7C86" w:rsidRPr="00DE6365">
        <w:t>.</w:t>
      </w:r>
      <w:r w:rsidR="00FC7C86">
        <w:rPr>
          <w:rStyle w:val="FootnoteReference"/>
        </w:rPr>
        <w:footnoteReference w:id="42"/>
      </w:r>
      <w:r w:rsidR="00FC7C86">
        <w:t xml:space="preserve"> Moreover,</w:t>
      </w:r>
      <w:r w:rsidR="00417F94">
        <w:t xml:space="preserve"> in her sworn response to Interrogatories, prepared with the</w:t>
      </w:r>
      <w:r w:rsidR="00FC7C86">
        <w:t xml:space="preserve"> assistance of counse</w:t>
      </w:r>
      <w:r w:rsidR="00417F94">
        <w:t>l, Parent</w:t>
      </w:r>
      <w:r w:rsidR="000A7C5E">
        <w:t xml:space="preserve"> described notifying the school of only </w:t>
      </w:r>
      <w:r w:rsidR="00FC7C86">
        <w:t>one instance of Stewart being called “fat.”</w:t>
      </w:r>
      <w:r w:rsidR="00FC7C86">
        <w:rPr>
          <w:rStyle w:val="FootnoteReference"/>
        </w:rPr>
        <w:footnoteReference w:id="43"/>
      </w:r>
    </w:p>
    <w:p w14:paraId="2F2B705E" w14:textId="77777777" w:rsidR="006C6A88" w:rsidRDefault="006C6A88" w:rsidP="006C6A88">
      <w:pPr>
        <w:ind w:firstLine="720"/>
      </w:pPr>
    </w:p>
    <w:p w14:paraId="3082A336" w14:textId="7D19257E" w:rsidR="006C6A88" w:rsidRDefault="006C6A88" w:rsidP="006C6A88">
      <w:pPr>
        <w:ind w:firstLine="720"/>
      </w:pPr>
      <w:r>
        <w:t xml:space="preserve">The </w:t>
      </w:r>
      <w:r w:rsidR="00417F94">
        <w:t xml:space="preserve">uncontroverted </w:t>
      </w:r>
      <w:r>
        <w:t xml:space="preserve">evidence also shows that the District </w:t>
      </w:r>
      <w:r w:rsidR="00417F94">
        <w:t>conducted</w:t>
      </w:r>
      <w:r>
        <w:t xml:space="preserve"> a</w:t>
      </w:r>
      <w:r w:rsidR="00417F94">
        <w:t xml:space="preserve"> timely </w:t>
      </w:r>
      <w:r>
        <w:t>investigation in October</w:t>
      </w:r>
      <w:r w:rsidR="00417F94">
        <w:t xml:space="preserve"> </w:t>
      </w:r>
      <w:r>
        <w:t>2019</w:t>
      </w:r>
      <w:r w:rsidR="0024780B">
        <w:t>.</w:t>
      </w:r>
      <w:r>
        <w:rPr>
          <w:rStyle w:val="FootnoteReference"/>
        </w:rPr>
        <w:footnoteReference w:id="44"/>
      </w:r>
      <w:r>
        <w:t xml:space="preserve"> Dr. </w:t>
      </w:r>
      <w:proofErr w:type="spellStart"/>
      <w:r>
        <w:t>Imperato</w:t>
      </w:r>
      <w:proofErr w:type="spellEnd"/>
      <w:r>
        <w:t xml:space="preserve"> spoke with Stewart about the name-calling incident on October 2</w:t>
      </w:r>
      <w:r w:rsidR="0024780B">
        <w:t>3</w:t>
      </w:r>
      <w:r>
        <w:t>,</w:t>
      </w:r>
      <w:r w:rsidR="003C2865">
        <w:t xml:space="preserve"> 2019</w:t>
      </w:r>
      <w:r>
        <w:t xml:space="preserve"> after </w:t>
      </w:r>
      <w:r w:rsidR="00417F94">
        <w:t xml:space="preserve">she received </w:t>
      </w:r>
      <w:r>
        <w:t xml:space="preserve">Parent’s email. Dr. </w:t>
      </w:r>
      <w:proofErr w:type="spellStart"/>
      <w:r>
        <w:t>Imperato’s</w:t>
      </w:r>
      <w:proofErr w:type="spellEnd"/>
      <w:r>
        <w:t xml:space="preserve"> report states that </w:t>
      </w:r>
      <w:r>
        <w:lastRenderedPageBreak/>
        <w:t>Stewart was still new to the school and that she was building rapport and did not want to push him; however, Stewart did ultimately tell her that he heard</w:t>
      </w:r>
      <w:r w:rsidR="00417F94">
        <w:t xml:space="preserve"> that a fourth</w:t>
      </w:r>
      <w:r>
        <w:t xml:space="preserve"> grader told a</w:t>
      </w:r>
      <w:r w:rsidR="00417F94">
        <w:t xml:space="preserve"> second</w:t>
      </w:r>
      <w:r>
        <w:t xml:space="preserve"> grader he was “big.”</w:t>
      </w:r>
      <w:r>
        <w:rPr>
          <w:rStyle w:val="FootnoteReference"/>
        </w:rPr>
        <w:footnoteReference w:id="45"/>
      </w:r>
      <w:r>
        <w:t xml:space="preserve"> An official incident report was filed in January, at which time the Assistant Principal</w:t>
      </w:r>
      <w:r w:rsidR="00417F94">
        <w:t xml:space="preserve"> Bryant </w:t>
      </w:r>
      <w:proofErr w:type="spellStart"/>
      <w:r>
        <w:t>Amitrano</w:t>
      </w:r>
      <w:proofErr w:type="spellEnd"/>
      <w:r>
        <w:t xml:space="preserve"> interviewed Stewart regarding the incident and Stewart said he did not remember someone calling him “fat,” but that he may have heard someone call him “big.”</w:t>
      </w:r>
      <w:r>
        <w:rPr>
          <w:rStyle w:val="FootnoteReference"/>
        </w:rPr>
        <w:footnoteReference w:id="46"/>
      </w:r>
      <w:r>
        <w:t xml:space="preserve"> The in</w:t>
      </w:r>
      <w:r w:rsidR="0024780B">
        <w:t>vestigation</w:t>
      </w:r>
      <w:r>
        <w:t xml:space="preserve"> concluded that there was no finding of bullying.</w:t>
      </w:r>
      <w:r>
        <w:rPr>
          <w:rStyle w:val="FootnoteReference"/>
        </w:rPr>
        <w:footnoteReference w:id="47"/>
      </w:r>
      <w:r>
        <w:t xml:space="preserve"> </w:t>
      </w:r>
    </w:p>
    <w:p w14:paraId="1EBC1906" w14:textId="77777777" w:rsidR="006C6A88" w:rsidRDefault="006C6A88" w:rsidP="006C6A88">
      <w:pPr>
        <w:ind w:firstLine="720"/>
      </w:pPr>
    </w:p>
    <w:p w14:paraId="3118BCD1" w14:textId="147725D5" w:rsidR="006C6A88" w:rsidRDefault="00417F94" w:rsidP="00F46DFD">
      <w:pPr>
        <w:ind w:firstLine="720"/>
      </w:pPr>
      <w:r>
        <w:t xml:space="preserve">Taken together and viewed in the light most favorable to Parent, the </w:t>
      </w:r>
      <w:r w:rsidR="0024780B">
        <w:t>record</w:t>
      </w:r>
      <w:r w:rsidR="00F46DFD">
        <w:t xml:space="preserve"> cannot</w:t>
      </w:r>
      <w:r>
        <w:t xml:space="preserve"> support a finding</w:t>
      </w:r>
      <w:r w:rsidR="00F46DFD">
        <w:t>, by a preponderance of the evidence, that bullying as defined by the Policy occurred. To the extent Parent’s report of one incident triggered the District’s obligations under the Policy,</w:t>
      </w:r>
      <w:r w:rsidR="006C6A88">
        <w:t xml:space="preserve"> the evidence shows that the school </w:t>
      </w:r>
      <w:r w:rsidR="00F165B8">
        <w:t>investigated</w:t>
      </w:r>
      <w:r w:rsidR="006C6A88">
        <w:t xml:space="preserve"> the allegations on that day and again in January. </w:t>
      </w:r>
      <w:r w:rsidR="006C6A88" w:rsidRPr="00DE6365">
        <w:t>Thus,</w:t>
      </w:r>
      <w:r w:rsidR="00F46DFD">
        <w:t xml:space="preserve"> viewing the evidence, </w:t>
      </w:r>
      <w:r w:rsidR="006C6A88" w:rsidRPr="00DE6365">
        <w:t xml:space="preserve">and </w:t>
      </w:r>
      <w:r w:rsidR="006C6A88">
        <w:t xml:space="preserve">any </w:t>
      </w:r>
      <w:r w:rsidR="003C2865">
        <w:t xml:space="preserve">reasonable </w:t>
      </w:r>
      <w:r w:rsidR="006C6A88" w:rsidRPr="00DE6365">
        <w:t xml:space="preserve">inferences I may draw therefrom, in the light most favorable to Parent, </w:t>
      </w:r>
      <w:r w:rsidR="00F46DFD">
        <w:t xml:space="preserve">I find it </w:t>
      </w:r>
      <w:r w:rsidR="006C6A88" w:rsidRPr="00DE6365">
        <w:t xml:space="preserve">insufficient for her to establish, by a preponderance of the evidence, that the District had </w:t>
      </w:r>
      <w:r w:rsidR="00F165B8">
        <w:t xml:space="preserve">(or even should have had) </w:t>
      </w:r>
      <w:r w:rsidR="006C6A88" w:rsidRPr="00DE6365">
        <w:t xml:space="preserve">knowledge of bullying under the legal threshold that would have triggered its obligations under the </w:t>
      </w:r>
      <w:r w:rsidR="00F46DFD">
        <w:t>P</w:t>
      </w:r>
      <w:r w:rsidR="006C6A88" w:rsidRPr="00DE6365">
        <w:t>olicy.</w:t>
      </w:r>
      <w:r w:rsidR="006C6A88">
        <w:rPr>
          <w:rStyle w:val="FootnoteReference"/>
        </w:rPr>
        <w:footnoteReference w:id="48"/>
      </w:r>
      <w:r w:rsidR="006C6A88">
        <w:t xml:space="preserve"> </w:t>
      </w:r>
      <w:r w:rsidR="006C6A88" w:rsidRPr="00DE6365">
        <w:t xml:space="preserve">Consequently, I do not reach the question of whether the District discriminated against Stewart </w:t>
      </w:r>
      <w:r w:rsidR="00F46DFD">
        <w:t xml:space="preserve">in violation of § 504 </w:t>
      </w:r>
      <w:r w:rsidR="006C6A88" w:rsidRPr="00DE6365">
        <w:t xml:space="preserve">or denied him </w:t>
      </w:r>
      <w:r w:rsidR="00F46DFD">
        <w:t xml:space="preserve">a </w:t>
      </w:r>
      <w:r w:rsidR="006C6A88" w:rsidRPr="00DE6365">
        <w:t xml:space="preserve">FAPE, by </w:t>
      </w:r>
      <w:r w:rsidR="00F46DFD">
        <w:t>failing to follow policies and procedures to investigate and address bullying concerns</w:t>
      </w:r>
      <w:r w:rsidR="002309B7">
        <w:t xml:space="preserve"> or convene a Team meeting to review the IEP and propose changes,</w:t>
      </w:r>
      <w:r w:rsidR="00F46DFD">
        <w:t xml:space="preserve"> between October 2019 and January 2020. </w:t>
      </w:r>
      <w:r w:rsidR="006C6A88">
        <w:t>The District is entitled to a directed verdict on the bullying claims</w:t>
      </w:r>
      <w:r w:rsidR="002309B7">
        <w:t xml:space="preserve">, </w:t>
      </w:r>
      <w:proofErr w:type="gramStart"/>
      <w:r w:rsidR="002309B7" w:rsidRPr="00DE6365">
        <w:t>A(</w:t>
      </w:r>
      <w:proofErr w:type="gramEnd"/>
      <w:r w:rsidR="002309B7" w:rsidRPr="00DE6365">
        <w:t>1), B(2), and B(3)</w:t>
      </w:r>
      <w:r w:rsidR="002309B7">
        <w:t>.</w:t>
      </w:r>
    </w:p>
    <w:p w14:paraId="152EB15E" w14:textId="3B572BC1" w:rsidR="002309B7" w:rsidRDefault="002309B7" w:rsidP="00F46DFD">
      <w:pPr>
        <w:ind w:firstLine="720"/>
      </w:pPr>
    </w:p>
    <w:p w14:paraId="1C7BE41E" w14:textId="41196AE5" w:rsidR="006C6A88" w:rsidRPr="002309B7" w:rsidRDefault="002309B7" w:rsidP="002309B7">
      <w:pPr>
        <w:ind w:firstLine="720"/>
        <w:rPr>
          <w:u w:val="single"/>
        </w:rPr>
      </w:pPr>
      <w:r>
        <w:t xml:space="preserve">2. </w:t>
      </w:r>
      <w:r>
        <w:tab/>
      </w:r>
      <w:r>
        <w:rPr>
          <w:u w:val="single"/>
        </w:rPr>
        <w:t>School Resource Officer Claims</w:t>
      </w:r>
    </w:p>
    <w:p w14:paraId="57EB1B34" w14:textId="77777777" w:rsidR="006C6A88" w:rsidRDefault="006C6A88" w:rsidP="006C6A88">
      <w:pPr>
        <w:rPr>
          <w:color w:val="000000" w:themeColor="text1"/>
        </w:rPr>
      </w:pPr>
    </w:p>
    <w:p w14:paraId="57F46A79" w14:textId="1CB393CD" w:rsidR="002309B7" w:rsidRDefault="002309B7" w:rsidP="00D2031F">
      <w:pPr>
        <w:ind w:firstLine="720"/>
        <w:rPr>
          <w:color w:val="000000" w:themeColor="text1"/>
        </w:rPr>
      </w:pPr>
      <w:r>
        <w:rPr>
          <w:color w:val="000000" w:themeColor="text1"/>
        </w:rPr>
        <w:t>Parent claims that by involving the school resource officer (SRO) in responding to Stewart’s dysregulation in January 2020, ABRSD discriminated against him in violation of §504 and failed to implement the IEP then in place, dated March 28, 2019 to March 27, 2020</w:t>
      </w:r>
      <w:r w:rsidR="003C2865">
        <w:rPr>
          <w:color w:val="000000" w:themeColor="text1"/>
        </w:rPr>
        <w:t xml:space="preserve"> (2019-2020 IEP)</w:t>
      </w:r>
      <w:r>
        <w:rPr>
          <w:color w:val="000000" w:themeColor="text1"/>
        </w:rPr>
        <w:t>. To g</w:t>
      </w:r>
      <w:r w:rsidR="006C6A88">
        <w:rPr>
          <w:color w:val="000000" w:themeColor="text1"/>
        </w:rPr>
        <w:t>rant the District</w:t>
      </w:r>
      <w:r>
        <w:rPr>
          <w:color w:val="000000" w:themeColor="text1"/>
        </w:rPr>
        <w:t xml:space="preserve">’s </w:t>
      </w:r>
      <w:r>
        <w:rPr>
          <w:i/>
          <w:iCs/>
          <w:color w:val="000000" w:themeColor="text1"/>
        </w:rPr>
        <w:t>Motion</w:t>
      </w:r>
      <w:r w:rsidR="006C6A88">
        <w:rPr>
          <w:color w:val="000000" w:themeColor="text1"/>
        </w:rPr>
        <w:t xml:space="preserve"> </w:t>
      </w:r>
      <w:r>
        <w:rPr>
          <w:color w:val="000000" w:themeColor="text1"/>
        </w:rPr>
        <w:t xml:space="preserve">as to these </w:t>
      </w:r>
      <w:r w:rsidR="006C6A88">
        <w:rPr>
          <w:color w:val="000000" w:themeColor="text1"/>
        </w:rPr>
        <w:t>claims, I must</w:t>
      </w:r>
      <w:r>
        <w:rPr>
          <w:color w:val="000000" w:themeColor="text1"/>
        </w:rPr>
        <w:t xml:space="preserve"> construe the evidence in the light most favorable to Parent, including all</w:t>
      </w:r>
      <w:r w:rsidR="003C2865">
        <w:rPr>
          <w:color w:val="000000" w:themeColor="text1"/>
        </w:rPr>
        <w:t xml:space="preserve"> reasonable</w:t>
      </w:r>
      <w:r>
        <w:rPr>
          <w:color w:val="000000" w:themeColor="text1"/>
        </w:rPr>
        <w:t xml:space="preserve"> inference that must be drawn therefrom, and determine that it is insufficient to support a verdict </w:t>
      </w:r>
      <w:r w:rsidR="0024780B">
        <w:rPr>
          <w:color w:val="000000" w:themeColor="text1"/>
        </w:rPr>
        <w:t xml:space="preserve">in her favor </w:t>
      </w:r>
      <w:r>
        <w:rPr>
          <w:color w:val="000000" w:themeColor="text1"/>
        </w:rPr>
        <w:t>on these claims, by a preponderance of the evidence.</w:t>
      </w:r>
      <w:r>
        <w:rPr>
          <w:rStyle w:val="FootnoteReference"/>
          <w:color w:val="000000" w:themeColor="text1"/>
        </w:rPr>
        <w:footnoteReference w:id="49"/>
      </w:r>
    </w:p>
    <w:p w14:paraId="6DF20982" w14:textId="77777777" w:rsidR="00D2031F" w:rsidRDefault="00D2031F" w:rsidP="00D2031F">
      <w:pPr>
        <w:ind w:firstLine="720"/>
        <w:rPr>
          <w:color w:val="000000" w:themeColor="text1"/>
        </w:rPr>
      </w:pPr>
    </w:p>
    <w:p w14:paraId="5ACC339C" w14:textId="5DF3E62B" w:rsidR="00F165B8" w:rsidRDefault="00F165B8" w:rsidP="006C6A88">
      <w:pPr>
        <w:ind w:firstLine="720"/>
        <w:rPr>
          <w:color w:val="000000" w:themeColor="text1"/>
        </w:rPr>
      </w:pPr>
      <w:r>
        <w:rPr>
          <w:color w:val="000000" w:themeColor="text1"/>
        </w:rPr>
        <w:t xml:space="preserve">Parents entered into evidence a Memorandum of Understanding (MOU) developed between ABRSD </w:t>
      </w:r>
      <w:r w:rsidR="006C6A88" w:rsidRPr="00DE6365">
        <w:rPr>
          <w:color w:val="000000" w:themeColor="text1"/>
        </w:rPr>
        <w:t xml:space="preserve">and the Acton </w:t>
      </w:r>
      <w:r>
        <w:rPr>
          <w:color w:val="000000" w:themeColor="text1"/>
        </w:rPr>
        <w:t>P</w:t>
      </w:r>
      <w:r w:rsidR="006C6A88" w:rsidRPr="00DE6365">
        <w:rPr>
          <w:color w:val="000000" w:themeColor="text1"/>
        </w:rPr>
        <w:t xml:space="preserve">olice </w:t>
      </w:r>
      <w:r>
        <w:rPr>
          <w:color w:val="000000" w:themeColor="text1"/>
        </w:rPr>
        <w:t>D</w:t>
      </w:r>
      <w:r w:rsidR="006C6A88" w:rsidRPr="00DE6365">
        <w:rPr>
          <w:color w:val="000000" w:themeColor="text1"/>
        </w:rPr>
        <w:t>epartment, under which SROs are established to foster “positive relationships with student, faculty, staff</w:t>
      </w:r>
      <w:r w:rsidR="006C6A88">
        <w:rPr>
          <w:color w:val="000000" w:themeColor="text1"/>
        </w:rPr>
        <w:t xml:space="preserve"> a</w:t>
      </w:r>
      <w:r w:rsidR="006C6A88" w:rsidRPr="00DE6365">
        <w:rPr>
          <w:color w:val="000000" w:themeColor="text1"/>
        </w:rPr>
        <w:t>nd parents.”</w:t>
      </w:r>
      <w:r w:rsidR="006C6A88" w:rsidRPr="00DE6365">
        <w:rPr>
          <w:rStyle w:val="FootnoteReference"/>
          <w:color w:val="000000" w:themeColor="text1"/>
        </w:rPr>
        <w:footnoteReference w:id="50"/>
      </w:r>
      <w:r w:rsidR="006C6A88" w:rsidRPr="00DE6365">
        <w:rPr>
          <w:color w:val="000000" w:themeColor="text1"/>
        </w:rPr>
        <w:t xml:space="preserve"> </w:t>
      </w:r>
      <w:r>
        <w:rPr>
          <w:color w:val="000000" w:themeColor="text1"/>
        </w:rPr>
        <w:t>Pursuant to</w:t>
      </w:r>
      <w:r w:rsidR="006C6A88">
        <w:rPr>
          <w:color w:val="000000" w:themeColor="text1"/>
        </w:rPr>
        <w:t xml:space="preserve"> the MOU,</w:t>
      </w:r>
      <w:r>
        <w:rPr>
          <w:color w:val="000000" w:themeColor="text1"/>
        </w:rPr>
        <w:t xml:space="preserve"> </w:t>
      </w:r>
      <w:r w:rsidR="006C6A88" w:rsidRPr="00DE6365">
        <w:rPr>
          <w:color w:val="000000" w:themeColor="text1"/>
        </w:rPr>
        <w:t>SROs are not to interfere in “no</w:t>
      </w:r>
      <w:r w:rsidR="006C6A88">
        <w:rPr>
          <w:color w:val="000000" w:themeColor="text1"/>
        </w:rPr>
        <w:t>n</w:t>
      </w:r>
      <w:r w:rsidR="006C6A88" w:rsidRPr="00DE6365">
        <w:rPr>
          <w:color w:val="000000" w:themeColor="text1"/>
        </w:rPr>
        <w:t>-violent infractions of school rules and policies not amounting to criminal or delinquent conduct such as tardiness, dress code violations, and disruptive or disrespectful behaviors</w:t>
      </w:r>
      <w:r w:rsidR="00CF4429">
        <w:rPr>
          <w:color w:val="000000" w:themeColor="text1"/>
        </w:rPr>
        <w:t xml:space="preserve"> . . . except, as asked or needed, to </w:t>
      </w:r>
      <w:r w:rsidR="006C6A88" w:rsidRPr="00DE6365">
        <w:rPr>
          <w:color w:val="000000" w:themeColor="text1"/>
        </w:rPr>
        <w:t>support school staff in maintaining a safe school environment.</w:t>
      </w:r>
      <w:r w:rsidR="00CF4429">
        <w:rPr>
          <w:color w:val="000000" w:themeColor="text1"/>
        </w:rPr>
        <w:t>”</w:t>
      </w:r>
      <w:r w:rsidR="006C6A88" w:rsidRPr="00DE6365">
        <w:rPr>
          <w:rStyle w:val="FootnoteReference"/>
          <w:color w:val="000000" w:themeColor="text1"/>
        </w:rPr>
        <w:footnoteReference w:id="51"/>
      </w:r>
      <w:r w:rsidR="006C6A88" w:rsidRPr="00DE6365">
        <w:rPr>
          <w:color w:val="000000" w:themeColor="text1"/>
        </w:rPr>
        <w:t xml:space="preserve"> </w:t>
      </w:r>
    </w:p>
    <w:p w14:paraId="729B3C58" w14:textId="77777777" w:rsidR="00F165B8" w:rsidRDefault="00F165B8" w:rsidP="006C6A88">
      <w:pPr>
        <w:ind w:firstLine="720"/>
        <w:rPr>
          <w:color w:val="000000" w:themeColor="text1"/>
        </w:rPr>
      </w:pPr>
    </w:p>
    <w:p w14:paraId="717F7E97" w14:textId="32D61908" w:rsidR="006C6A88" w:rsidRDefault="006C6A88" w:rsidP="006C6A88">
      <w:pPr>
        <w:ind w:firstLine="720"/>
        <w:rPr>
          <w:color w:val="000000" w:themeColor="text1"/>
        </w:rPr>
      </w:pPr>
      <w:r>
        <w:rPr>
          <w:color w:val="000000" w:themeColor="text1"/>
        </w:rPr>
        <w:lastRenderedPageBreak/>
        <w:t>Parent c</w:t>
      </w:r>
      <w:r w:rsidR="00F165B8">
        <w:rPr>
          <w:color w:val="000000" w:themeColor="text1"/>
        </w:rPr>
        <w:t>ontends that</w:t>
      </w:r>
      <w:r w:rsidR="00CF4429">
        <w:rPr>
          <w:color w:val="000000" w:themeColor="text1"/>
        </w:rPr>
        <w:t xml:space="preserve"> on January 7, 8 and 9, 2020,</w:t>
      </w:r>
      <w:r w:rsidRPr="00DE6365">
        <w:rPr>
          <w:color w:val="000000" w:themeColor="text1"/>
        </w:rPr>
        <w:t xml:space="preserve"> the SRO</w:t>
      </w:r>
      <w:r>
        <w:rPr>
          <w:color w:val="000000" w:themeColor="text1"/>
        </w:rPr>
        <w:t xml:space="preserve">, </w:t>
      </w:r>
      <w:r w:rsidRPr="00DE6365">
        <w:rPr>
          <w:color w:val="000000" w:themeColor="text1"/>
        </w:rPr>
        <w:t xml:space="preserve">Detective </w:t>
      </w:r>
      <w:r w:rsidR="00F165B8">
        <w:rPr>
          <w:color w:val="000000" w:themeColor="text1"/>
        </w:rPr>
        <w:t xml:space="preserve">Tyler </w:t>
      </w:r>
      <w:r w:rsidRPr="00DE6365">
        <w:rPr>
          <w:color w:val="000000" w:themeColor="text1"/>
        </w:rPr>
        <w:t>Russell</w:t>
      </w:r>
      <w:r>
        <w:rPr>
          <w:color w:val="000000" w:themeColor="text1"/>
        </w:rPr>
        <w:t>,</w:t>
      </w:r>
      <w:r w:rsidRPr="00DE6365">
        <w:rPr>
          <w:color w:val="000000" w:themeColor="text1"/>
        </w:rPr>
        <w:t xml:space="preserve"> was called to assist</w:t>
      </w:r>
      <w:r>
        <w:rPr>
          <w:color w:val="000000" w:themeColor="text1"/>
        </w:rPr>
        <w:t xml:space="preserve"> with Stewart’s dysregulatio</w:t>
      </w:r>
      <w:r w:rsidR="00CF4429">
        <w:rPr>
          <w:color w:val="000000" w:themeColor="text1"/>
        </w:rPr>
        <w:t>n</w:t>
      </w:r>
      <w:r w:rsidR="00F165B8">
        <w:rPr>
          <w:color w:val="000000" w:themeColor="text1"/>
        </w:rPr>
        <w:t xml:space="preserve"> </w:t>
      </w:r>
      <w:r w:rsidRPr="00DE6365">
        <w:rPr>
          <w:color w:val="000000" w:themeColor="text1"/>
        </w:rPr>
        <w:t xml:space="preserve">in violation of </w:t>
      </w:r>
      <w:r>
        <w:rPr>
          <w:color w:val="000000" w:themeColor="text1"/>
        </w:rPr>
        <w:t>§5</w:t>
      </w:r>
      <w:r w:rsidRPr="00DE6365">
        <w:rPr>
          <w:color w:val="000000" w:themeColor="text1"/>
        </w:rPr>
        <w:t xml:space="preserve">04, because of Stewart’s disability. Additionally, Parent </w:t>
      </w:r>
      <w:r w:rsidR="00F165B8">
        <w:rPr>
          <w:color w:val="000000" w:themeColor="text1"/>
        </w:rPr>
        <w:t>claims</w:t>
      </w:r>
      <w:r w:rsidRPr="00DE6365">
        <w:rPr>
          <w:color w:val="000000" w:themeColor="text1"/>
        </w:rPr>
        <w:t xml:space="preserve"> that the use of the </w:t>
      </w:r>
      <w:r w:rsidRPr="4AB26279">
        <w:rPr>
          <w:color w:val="000000" w:themeColor="text1"/>
        </w:rPr>
        <w:t xml:space="preserve">SRO by </w:t>
      </w:r>
      <w:r w:rsidR="003C2865">
        <w:rPr>
          <w:color w:val="000000" w:themeColor="text1"/>
        </w:rPr>
        <w:t>ABRSD</w:t>
      </w:r>
      <w:r w:rsidRPr="4AB26279">
        <w:rPr>
          <w:color w:val="000000" w:themeColor="text1"/>
        </w:rPr>
        <w:t xml:space="preserve"> in response to Stewart’s dysregulation denied Stewart a FAPE</w:t>
      </w:r>
      <w:r w:rsidRPr="00DE6365">
        <w:rPr>
          <w:color w:val="000000" w:themeColor="text1"/>
        </w:rPr>
        <w:t>.</w:t>
      </w:r>
      <w:r>
        <w:rPr>
          <w:color w:val="000000" w:themeColor="text1"/>
        </w:rPr>
        <w:t xml:space="preserve"> </w:t>
      </w:r>
      <w:proofErr w:type="gramStart"/>
      <w:r>
        <w:rPr>
          <w:color w:val="000000" w:themeColor="text1"/>
        </w:rPr>
        <w:t>In particular, Parent</w:t>
      </w:r>
      <w:proofErr w:type="gramEnd"/>
      <w:r>
        <w:rPr>
          <w:color w:val="000000" w:themeColor="text1"/>
        </w:rPr>
        <w:t xml:space="preserve"> alleges that</w:t>
      </w:r>
      <w:r w:rsidR="00F165B8">
        <w:rPr>
          <w:color w:val="000000" w:themeColor="text1"/>
        </w:rPr>
        <w:t xml:space="preserve"> ABRSD failed to follow Stewart’s</w:t>
      </w:r>
      <w:r>
        <w:rPr>
          <w:color w:val="000000" w:themeColor="text1"/>
        </w:rPr>
        <w:t xml:space="preserve"> IEP because the use of the SRO was incongruous with the “positive behavior support plan” called for in </w:t>
      </w:r>
      <w:r w:rsidR="003C2865">
        <w:rPr>
          <w:color w:val="000000" w:themeColor="text1"/>
        </w:rPr>
        <w:t xml:space="preserve">his </w:t>
      </w:r>
      <w:r>
        <w:rPr>
          <w:color w:val="000000" w:themeColor="text1"/>
        </w:rPr>
        <w:t xml:space="preserve">IEP. Parent did not </w:t>
      </w:r>
      <w:r w:rsidR="00F165B8">
        <w:rPr>
          <w:color w:val="000000" w:themeColor="text1"/>
        </w:rPr>
        <w:t>specify</w:t>
      </w:r>
      <w:r>
        <w:rPr>
          <w:color w:val="000000" w:themeColor="text1"/>
        </w:rPr>
        <w:t xml:space="preserve"> </w:t>
      </w:r>
      <w:r w:rsidR="00F165B8">
        <w:rPr>
          <w:color w:val="000000" w:themeColor="text1"/>
        </w:rPr>
        <w:t xml:space="preserve">which </w:t>
      </w:r>
      <w:r>
        <w:rPr>
          <w:color w:val="000000" w:themeColor="text1"/>
        </w:rPr>
        <w:t xml:space="preserve">portions of the IEP she </w:t>
      </w:r>
      <w:r w:rsidR="00F165B8">
        <w:rPr>
          <w:color w:val="000000" w:themeColor="text1"/>
        </w:rPr>
        <w:t xml:space="preserve">believed </w:t>
      </w:r>
      <w:r>
        <w:rPr>
          <w:color w:val="000000" w:themeColor="text1"/>
        </w:rPr>
        <w:t>were not</w:t>
      </w:r>
      <w:r w:rsidR="00F165B8">
        <w:rPr>
          <w:color w:val="000000" w:themeColor="text1"/>
        </w:rPr>
        <w:t xml:space="preserve"> being</w:t>
      </w:r>
      <w:r>
        <w:rPr>
          <w:color w:val="000000" w:themeColor="text1"/>
        </w:rPr>
        <w:t xml:space="preserve"> implemented, instead relying on general claims of failure to implement</w:t>
      </w:r>
      <w:r w:rsidR="00381EE7">
        <w:rPr>
          <w:color w:val="000000" w:themeColor="text1"/>
        </w:rPr>
        <w:t xml:space="preserve"> both</w:t>
      </w:r>
      <w:r>
        <w:rPr>
          <w:color w:val="000000" w:themeColor="text1"/>
        </w:rPr>
        <w:t xml:space="preserve"> the IEP as a whole</w:t>
      </w:r>
      <w:r w:rsidR="00381EE7">
        <w:rPr>
          <w:color w:val="000000" w:themeColor="text1"/>
        </w:rPr>
        <w:t xml:space="preserve"> and</w:t>
      </w:r>
      <w:r w:rsidR="00F165B8">
        <w:rPr>
          <w:color w:val="000000" w:themeColor="text1"/>
        </w:rPr>
        <w:t xml:space="preserve"> Stewart’s</w:t>
      </w:r>
      <w:r>
        <w:rPr>
          <w:color w:val="000000" w:themeColor="text1"/>
        </w:rPr>
        <w:t xml:space="preserve"> behavior support plan</w:t>
      </w:r>
      <w:r w:rsidR="009315C8">
        <w:rPr>
          <w:color w:val="000000" w:themeColor="text1"/>
        </w:rPr>
        <w:t xml:space="preserve"> (BSP)</w:t>
      </w:r>
      <w:r>
        <w:rPr>
          <w:color w:val="000000" w:themeColor="text1"/>
        </w:rPr>
        <w:t>.</w:t>
      </w:r>
    </w:p>
    <w:p w14:paraId="43286BDA" w14:textId="77777777" w:rsidR="006C6A88" w:rsidRDefault="006C6A88" w:rsidP="006C6A88">
      <w:pPr>
        <w:rPr>
          <w:color w:val="0070C0"/>
        </w:rPr>
      </w:pPr>
    </w:p>
    <w:p w14:paraId="33839C45" w14:textId="77777777" w:rsidR="001D108A" w:rsidRDefault="00F165B8" w:rsidP="006C6A88">
      <w:pPr>
        <w:ind w:firstLine="720"/>
        <w:rPr>
          <w:color w:val="000000" w:themeColor="text1"/>
        </w:rPr>
      </w:pPr>
      <w:r>
        <w:t>For P</w:t>
      </w:r>
      <w:r w:rsidR="006C6A88" w:rsidRPr="008A2694">
        <w:t>arent’s FAPE claim, as it relates to the use of the SRO</w:t>
      </w:r>
      <w:r w:rsidR="006C6A88">
        <w:t>,</w:t>
      </w:r>
      <w:r w:rsidR="006C6A88" w:rsidRPr="008A2694">
        <w:t xml:space="preserve"> to survive </w:t>
      </w:r>
      <w:r w:rsidR="006C6A88">
        <w:t xml:space="preserve">a </w:t>
      </w:r>
      <w:r w:rsidR="006C6A88" w:rsidRPr="008A2694">
        <w:t>directed verdict</w:t>
      </w:r>
      <w:r w:rsidR="006C6A88">
        <w:t>,</w:t>
      </w:r>
      <w:r w:rsidR="006C6A88" w:rsidRPr="008A2694">
        <w:t xml:space="preserve"> I must</w:t>
      </w:r>
      <w:r>
        <w:t xml:space="preserve"> construe all the evidence, and any inferences that may be drawn therefrom, in her favor, and determine that </w:t>
      </w:r>
      <w:r w:rsidR="006C6A88">
        <w:t>she could establish, by a preponderance of the evidence</w:t>
      </w:r>
      <w:r>
        <w:t>,</w:t>
      </w:r>
      <w:r w:rsidR="006C6A88">
        <w:t xml:space="preserve"> that the involvement of the SRO constituted a material failure to implement </w:t>
      </w:r>
      <w:r>
        <w:t>Stewart’s</w:t>
      </w:r>
      <w:r w:rsidR="006C6A88">
        <w:t xml:space="preserve"> IEP.</w:t>
      </w:r>
      <w:r w:rsidR="006C6A88" w:rsidRPr="00443FD2">
        <w:rPr>
          <w:vertAlign w:val="superscript"/>
        </w:rPr>
        <w:footnoteReference w:id="52"/>
      </w:r>
      <w:r w:rsidR="00F529ED">
        <w:t xml:space="preserve"> For Parent’s claim under §504 to survive the District’s </w:t>
      </w:r>
      <w:r w:rsidR="00F529ED">
        <w:rPr>
          <w:i/>
          <w:iCs/>
        </w:rPr>
        <w:t>Motion</w:t>
      </w:r>
      <w:r w:rsidR="00F529ED">
        <w:t xml:space="preserve">, I must view the evidence in the same way and determine whether that evidence is sufficient for me to determine, by a preponderance of the evidence, that </w:t>
      </w:r>
      <w:r w:rsidR="001D108A">
        <w:t>ABRSD</w:t>
      </w:r>
      <w:r w:rsidR="001D108A" w:rsidRPr="00B87940">
        <w:rPr>
          <w:color w:val="000000" w:themeColor="text1"/>
        </w:rPr>
        <w:t xml:space="preserve"> acted with bad faith or gross misjudgment</w:t>
      </w:r>
      <w:r w:rsidR="001D108A">
        <w:rPr>
          <w:color w:val="000000" w:themeColor="text1"/>
        </w:rPr>
        <w:t xml:space="preserve"> in involving the SRO in Stewart’s dysregulation during January 2020.</w:t>
      </w:r>
      <w:r w:rsidR="001D108A" w:rsidRPr="00B87940">
        <w:rPr>
          <w:rStyle w:val="FootnoteReference"/>
          <w:color w:val="000000" w:themeColor="text1"/>
        </w:rPr>
        <w:footnoteReference w:id="53"/>
      </w:r>
      <w:r w:rsidR="001D108A">
        <w:rPr>
          <w:color w:val="000000" w:themeColor="text1"/>
        </w:rPr>
        <w:t xml:space="preserve"> </w:t>
      </w:r>
    </w:p>
    <w:p w14:paraId="63C7A741" w14:textId="77777777" w:rsidR="001D108A" w:rsidRDefault="001D108A" w:rsidP="006C6A88">
      <w:pPr>
        <w:ind w:firstLine="720"/>
        <w:rPr>
          <w:color w:val="000000" w:themeColor="text1"/>
        </w:rPr>
      </w:pPr>
    </w:p>
    <w:p w14:paraId="00BE73EC" w14:textId="029649DF" w:rsidR="006C6A88" w:rsidRPr="008A2694" w:rsidRDefault="001D108A" w:rsidP="006C6A88">
      <w:pPr>
        <w:ind w:firstLine="720"/>
        <w:rPr>
          <w:color w:val="0070C0"/>
        </w:rPr>
      </w:pPr>
      <w:r>
        <w:rPr>
          <w:color w:val="000000" w:themeColor="text1"/>
        </w:rPr>
        <w:t>Parent’s allegations focus on events that occurred on three separate dates in January 2020. I examine each in turn, based on the evidence viewed in the light most favorable to Parent.</w:t>
      </w:r>
      <w:r w:rsidRPr="00B87940">
        <w:rPr>
          <w:color w:val="000000" w:themeColor="text1"/>
        </w:rPr>
        <w:t xml:space="preserve"> </w:t>
      </w:r>
    </w:p>
    <w:p w14:paraId="2571E387" w14:textId="77777777" w:rsidR="006C6A88" w:rsidRPr="00DE6365" w:rsidRDefault="006C6A88" w:rsidP="006C6A88">
      <w:pPr>
        <w:rPr>
          <w:color w:val="000000" w:themeColor="text1"/>
        </w:rPr>
      </w:pPr>
    </w:p>
    <w:p w14:paraId="1D326DC4" w14:textId="77777777" w:rsidR="006C6A88" w:rsidRPr="00DE6365" w:rsidRDefault="006C6A88" w:rsidP="006C6A88">
      <w:pPr>
        <w:pStyle w:val="ListParagraph"/>
        <w:numPr>
          <w:ilvl w:val="1"/>
          <w:numId w:val="16"/>
        </w:numPr>
        <w:ind w:left="1710" w:hanging="630"/>
        <w:rPr>
          <w:color w:val="000000" w:themeColor="text1"/>
          <w:u w:val="single"/>
        </w:rPr>
      </w:pPr>
      <w:r w:rsidRPr="00DE6365">
        <w:rPr>
          <w:color w:val="000000" w:themeColor="text1"/>
          <w:u w:val="single"/>
        </w:rPr>
        <w:t>January 7</w:t>
      </w:r>
      <w:r w:rsidRPr="00DE6365">
        <w:rPr>
          <w:color w:val="000000" w:themeColor="text1"/>
          <w:u w:val="single"/>
          <w:vertAlign w:val="superscript"/>
        </w:rPr>
        <w:t xml:space="preserve">th </w:t>
      </w:r>
      <w:r w:rsidRPr="00DE6365">
        <w:rPr>
          <w:color w:val="000000" w:themeColor="text1"/>
          <w:u w:val="single"/>
        </w:rPr>
        <w:t xml:space="preserve"> </w:t>
      </w:r>
    </w:p>
    <w:p w14:paraId="32A9AE44" w14:textId="77777777" w:rsidR="006C6A88" w:rsidRPr="00DE6365" w:rsidRDefault="006C6A88" w:rsidP="006C6A88">
      <w:pPr>
        <w:pStyle w:val="ListParagraph"/>
        <w:ind w:left="1710"/>
        <w:rPr>
          <w:color w:val="000000" w:themeColor="text1"/>
          <w:u w:val="single"/>
        </w:rPr>
      </w:pPr>
    </w:p>
    <w:p w14:paraId="3C34A468" w14:textId="6CA75E21" w:rsidR="00944470" w:rsidRDefault="001D108A" w:rsidP="008C7B22">
      <w:pPr>
        <w:ind w:firstLine="720"/>
        <w:rPr>
          <w:color w:val="000000" w:themeColor="text1"/>
        </w:rPr>
      </w:pPr>
      <w:r>
        <w:rPr>
          <w:color w:val="000000" w:themeColor="text1"/>
        </w:rPr>
        <w:t>On</w:t>
      </w:r>
      <w:r w:rsidR="006C6A88">
        <w:rPr>
          <w:color w:val="000000" w:themeColor="text1"/>
        </w:rPr>
        <w:t xml:space="preserve"> January 7, 2020, </w:t>
      </w:r>
      <w:r>
        <w:rPr>
          <w:color w:val="000000" w:themeColor="text1"/>
        </w:rPr>
        <w:t>Parent drove Stewart to school He refused to leave the car to enter the school building</w:t>
      </w:r>
      <w:r w:rsidR="00D145AC">
        <w:rPr>
          <w:color w:val="000000" w:themeColor="text1"/>
        </w:rPr>
        <w:t xml:space="preserve"> for over two hours. Parent alleges that the SRO was called to the scene </w:t>
      </w:r>
      <w:r w:rsidR="003C2865">
        <w:rPr>
          <w:color w:val="000000" w:themeColor="text1"/>
        </w:rPr>
        <w:t>to intimidate</w:t>
      </w:r>
      <w:r w:rsidR="00D145AC">
        <w:rPr>
          <w:color w:val="000000" w:themeColor="text1"/>
        </w:rPr>
        <w:t xml:space="preserve"> Stewart. She framed the situation as a tardiness issue; under the MOU, without more, SRO involvement would not be proper. </w:t>
      </w:r>
    </w:p>
    <w:p w14:paraId="1194EEFD" w14:textId="77777777" w:rsidR="00D145AC" w:rsidRDefault="00D145AC" w:rsidP="006C6A88">
      <w:pPr>
        <w:ind w:firstLine="720"/>
        <w:rPr>
          <w:color w:val="000000" w:themeColor="text1"/>
        </w:rPr>
      </w:pPr>
    </w:p>
    <w:p w14:paraId="3BD054FF" w14:textId="34D8ED83" w:rsidR="006C6A88" w:rsidRDefault="001D108A" w:rsidP="003C2865">
      <w:pPr>
        <w:ind w:firstLine="720"/>
        <w:rPr>
          <w:color w:val="000000" w:themeColor="text1"/>
        </w:rPr>
      </w:pPr>
      <w:r>
        <w:rPr>
          <w:color w:val="000000" w:themeColor="text1"/>
        </w:rPr>
        <w:t xml:space="preserve"> </w:t>
      </w:r>
      <w:r w:rsidR="00D145AC">
        <w:rPr>
          <w:color w:val="000000" w:themeColor="text1"/>
        </w:rPr>
        <w:t>The evidence, however, relays a different story, even viewed in the light most favorable to Parent. When Stewart would not exit Parent’s care, she</w:t>
      </w:r>
      <w:r>
        <w:rPr>
          <w:color w:val="000000" w:themeColor="text1"/>
        </w:rPr>
        <w:t xml:space="preserve"> requested help from </w:t>
      </w:r>
      <w:r w:rsidR="006C6A88">
        <w:rPr>
          <w:color w:val="000000" w:themeColor="text1"/>
        </w:rPr>
        <w:t xml:space="preserve">Mr. </w:t>
      </w:r>
      <w:proofErr w:type="spellStart"/>
      <w:r w:rsidR="006C6A88">
        <w:rPr>
          <w:color w:val="000000" w:themeColor="text1"/>
        </w:rPr>
        <w:t>Amitrano</w:t>
      </w:r>
      <w:proofErr w:type="spellEnd"/>
      <w:r>
        <w:rPr>
          <w:color w:val="000000" w:themeColor="text1"/>
        </w:rPr>
        <w:t>.</w:t>
      </w:r>
      <w:r>
        <w:rPr>
          <w:rStyle w:val="FootnoteReference"/>
          <w:color w:val="000000" w:themeColor="text1"/>
        </w:rPr>
        <w:footnoteReference w:id="54"/>
      </w:r>
      <w:r>
        <w:rPr>
          <w:color w:val="000000" w:themeColor="text1"/>
        </w:rPr>
        <w:t xml:space="preserve"> </w:t>
      </w:r>
      <w:r w:rsidR="003C2865">
        <w:rPr>
          <w:color w:val="000000" w:themeColor="text1"/>
        </w:rPr>
        <w:t xml:space="preserve">The involvement of Mr. </w:t>
      </w:r>
      <w:proofErr w:type="spellStart"/>
      <w:r w:rsidR="003C2865">
        <w:rPr>
          <w:color w:val="000000" w:themeColor="text1"/>
        </w:rPr>
        <w:t>Amitrano</w:t>
      </w:r>
      <w:proofErr w:type="spellEnd"/>
      <w:r w:rsidR="003C2865">
        <w:rPr>
          <w:color w:val="000000" w:themeColor="text1"/>
        </w:rPr>
        <w:t>, a “preferred” person</w:t>
      </w:r>
      <w:r w:rsidR="00944470">
        <w:rPr>
          <w:color w:val="000000" w:themeColor="text1"/>
        </w:rPr>
        <w:t xml:space="preserve"> when Stewart </w:t>
      </w:r>
      <w:proofErr w:type="gramStart"/>
      <w:r w:rsidR="003C2865">
        <w:rPr>
          <w:color w:val="000000" w:themeColor="text1"/>
        </w:rPr>
        <w:t xml:space="preserve">experiences </w:t>
      </w:r>
      <w:r w:rsidR="00944470">
        <w:rPr>
          <w:color w:val="000000" w:themeColor="text1"/>
        </w:rPr>
        <w:t>difficulty</w:t>
      </w:r>
      <w:proofErr w:type="gramEnd"/>
      <w:r w:rsidR="003C2865">
        <w:rPr>
          <w:color w:val="000000" w:themeColor="text1"/>
        </w:rPr>
        <w:t>,</w:t>
      </w:r>
      <w:r w:rsidR="00944470">
        <w:rPr>
          <w:color w:val="000000" w:themeColor="text1"/>
        </w:rPr>
        <w:t xml:space="preserve"> </w:t>
      </w:r>
      <w:r w:rsidR="003C2865">
        <w:rPr>
          <w:color w:val="000000" w:themeColor="text1"/>
        </w:rPr>
        <w:t>i</w:t>
      </w:r>
      <w:r w:rsidR="00944470">
        <w:rPr>
          <w:color w:val="000000" w:themeColor="text1"/>
        </w:rPr>
        <w:t>s one strategy used by ABRSD on January 7, 2020.</w:t>
      </w:r>
      <w:r w:rsidR="00944470">
        <w:rPr>
          <w:rStyle w:val="FootnoteReference"/>
          <w:color w:val="000000" w:themeColor="text1"/>
        </w:rPr>
        <w:footnoteReference w:id="55"/>
      </w:r>
      <w:r w:rsidR="003C2865">
        <w:rPr>
          <w:color w:val="000000" w:themeColor="text1"/>
        </w:rPr>
        <w:t xml:space="preserve"> </w:t>
      </w:r>
      <w:r>
        <w:rPr>
          <w:color w:val="000000" w:themeColor="text1"/>
        </w:rPr>
        <w:t xml:space="preserve">Neither he nor </w:t>
      </w:r>
      <w:r w:rsidR="006C6A88">
        <w:rPr>
          <w:color w:val="000000" w:themeColor="text1"/>
        </w:rPr>
        <w:t xml:space="preserve">Ms. Turner, the school counselor, </w:t>
      </w:r>
      <w:r w:rsidR="002B227F">
        <w:rPr>
          <w:color w:val="000000" w:themeColor="text1"/>
        </w:rPr>
        <w:t xml:space="preserve">succeeded in getting </w:t>
      </w:r>
      <w:r w:rsidR="009315C8">
        <w:rPr>
          <w:color w:val="000000" w:themeColor="text1"/>
        </w:rPr>
        <w:t xml:space="preserve">Stewart </w:t>
      </w:r>
      <w:r w:rsidR="002B227F">
        <w:rPr>
          <w:color w:val="000000" w:themeColor="text1"/>
        </w:rPr>
        <w:t>to leave the car</w:t>
      </w:r>
      <w:r w:rsidR="006C6A88">
        <w:rPr>
          <w:color w:val="000000" w:themeColor="text1"/>
        </w:rPr>
        <w:t xml:space="preserve">. </w:t>
      </w:r>
      <w:r w:rsidR="002B227F">
        <w:rPr>
          <w:color w:val="000000" w:themeColor="text1"/>
        </w:rPr>
        <w:t xml:space="preserve">According to a report in evidence, Stewart told </w:t>
      </w:r>
      <w:r w:rsidR="006C6A88">
        <w:rPr>
          <w:color w:val="000000" w:themeColor="text1"/>
        </w:rPr>
        <w:t xml:space="preserve">Mr. </w:t>
      </w:r>
      <w:proofErr w:type="spellStart"/>
      <w:r w:rsidR="006C6A88">
        <w:rPr>
          <w:color w:val="000000" w:themeColor="text1"/>
        </w:rPr>
        <w:t>A</w:t>
      </w:r>
      <w:r w:rsidR="002B227F">
        <w:rPr>
          <w:color w:val="000000" w:themeColor="text1"/>
        </w:rPr>
        <w:t>mitrano</w:t>
      </w:r>
      <w:proofErr w:type="spellEnd"/>
      <w:r w:rsidR="002B227F">
        <w:rPr>
          <w:color w:val="000000" w:themeColor="text1"/>
        </w:rPr>
        <w:t xml:space="preserve"> that </w:t>
      </w:r>
      <w:r w:rsidR="006C6A88">
        <w:rPr>
          <w:color w:val="000000" w:themeColor="text1"/>
        </w:rPr>
        <w:t xml:space="preserve">he did not want to go into school because of the kids playing in the front circle. Parent moved her car to a different location and Stewart still refused to exit. </w:t>
      </w:r>
      <w:r w:rsidR="006C6A88" w:rsidRPr="00DE6365">
        <w:rPr>
          <w:color w:val="000000" w:themeColor="text1"/>
        </w:rPr>
        <w:t xml:space="preserve">While the testimony diverges </w:t>
      </w:r>
      <w:r w:rsidR="006C6A88">
        <w:rPr>
          <w:color w:val="000000" w:themeColor="text1"/>
        </w:rPr>
        <w:t xml:space="preserve">as to </w:t>
      </w:r>
      <w:r w:rsidR="006C6A88" w:rsidRPr="00DE6365">
        <w:rPr>
          <w:color w:val="000000" w:themeColor="text1"/>
        </w:rPr>
        <w:t>whether Stewart had Parent’s car keys</w:t>
      </w:r>
      <w:r w:rsidR="00636FB1">
        <w:rPr>
          <w:color w:val="000000" w:themeColor="text1"/>
        </w:rPr>
        <w:t xml:space="preserve">, and/or Mother had a </w:t>
      </w:r>
      <w:r w:rsidR="00636FB1">
        <w:rPr>
          <w:color w:val="000000" w:themeColor="text1"/>
        </w:rPr>
        <w:lastRenderedPageBreak/>
        <w:t>second set of keys</w:t>
      </w:r>
      <w:r w:rsidR="006C6A88" w:rsidRPr="00DE6365">
        <w:rPr>
          <w:color w:val="000000" w:themeColor="text1"/>
        </w:rPr>
        <w:t>, the school operated under the belief that at one point Stewart took his mother’s keys and locked himself in the car.</w:t>
      </w:r>
      <w:r w:rsidR="006C6A88" w:rsidRPr="00DE6365">
        <w:rPr>
          <w:rStyle w:val="FootnoteReference"/>
          <w:color w:val="000000" w:themeColor="text1"/>
        </w:rPr>
        <w:footnoteReference w:id="56"/>
      </w:r>
      <w:r w:rsidR="006C6A88" w:rsidRPr="00DE6365">
        <w:rPr>
          <w:color w:val="000000" w:themeColor="text1"/>
        </w:rPr>
        <w:t xml:space="preserve"> </w:t>
      </w:r>
      <w:r w:rsidR="002B227F">
        <w:rPr>
          <w:color w:val="000000" w:themeColor="text1"/>
        </w:rPr>
        <w:t>Parent acknowledged at Hearing that Stewart was pushing, hitting, and kicking her,</w:t>
      </w:r>
      <w:r w:rsidR="002B227F">
        <w:rPr>
          <w:rStyle w:val="FootnoteReference"/>
          <w:color w:val="000000" w:themeColor="text1"/>
        </w:rPr>
        <w:footnoteReference w:id="57"/>
      </w:r>
      <w:r w:rsidR="002B227F">
        <w:rPr>
          <w:color w:val="000000" w:themeColor="text1"/>
        </w:rPr>
        <w:t xml:space="preserve"> but she testified that she did not remember whether he hit ABRSD staff members.</w:t>
      </w:r>
      <w:r w:rsidR="002B227F">
        <w:rPr>
          <w:rStyle w:val="FootnoteReference"/>
          <w:color w:val="000000" w:themeColor="text1"/>
        </w:rPr>
        <w:footnoteReference w:id="58"/>
      </w:r>
      <w:r w:rsidR="00B85F33">
        <w:rPr>
          <w:color w:val="000000" w:themeColor="text1"/>
        </w:rPr>
        <w:t xml:space="preserve"> </w:t>
      </w:r>
      <w:r w:rsidR="003C2865">
        <w:rPr>
          <w:color w:val="000000" w:themeColor="text1"/>
        </w:rPr>
        <w:t xml:space="preserve">In a </w:t>
      </w:r>
      <w:r w:rsidR="0058153F">
        <w:rPr>
          <w:color w:val="000000" w:themeColor="text1"/>
        </w:rPr>
        <w:t xml:space="preserve">document </w:t>
      </w:r>
      <w:r w:rsidR="003C2865">
        <w:rPr>
          <w:color w:val="000000" w:themeColor="text1"/>
        </w:rPr>
        <w:t xml:space="preserve">submitted </w:t>
      </w:r>
      <w:r w:rsidR="009315C8">
        <w:rPr>
          <w:color w:val="000000" w:themeColor="text1"/>
        </w:rPr>
        <w:t xml:space="preserve">by </w:t>
      </w:r>
      <w:r w:rsidR="003C2865">
        <w:rPr>
          <w:color w:val="000000" w:themeColor="text1"/>
        </w:rPr>
        <w:t xml:space="preserve">Parent, </w:t>
      </w:r>
      <w:r w:rsidR="006C6A88">
        <w:rPr>
          <w:color w:val="000000" w:themeColor="text1"/>
        </w:rPr>
        <w:t xml:space="preserve">Mr. </w:t>
      </w:r>
      <w:proofErr w:type="spellStart"/>
      <w:r w:rsidR="006C6A88">
        <w:rPr>
          <w:color w:val="000000" w:themeColor="text1"/>
        </w:rPr>
        <w:t>Amitrano</w:t>
      </w:r>
      <w:proofErr w:type="spellEnd"/>
      <w:r w:rsidR="006C6A88">
        <w:rPr>
          <w:color w:val="000000" w:themeColor="text1"/>
        </w:rPr>
        <w:t xml:space="preserve"> </w:t>
      </w:r>
      <w:r w:rsidR="00B85F33">
        <w:rPr>
          <w:color w:val="000000" w:themeColor="text1"/>
        </w:rPr>
        <w:t>reported that Stewart was throwing objects out of the car and kicking him, as well as Ms. Turner and Stewart’s special education teacher</w:t>
      </w:r>
      <w:r w:rsidR="009315C8">
        <w:rPr>
          <w:color w:val="000000" w:themeColor="text1"/>
        </w:rPr>
        <w:t>,</w:t>
      </w:r>
      <w:r w:rsidR="00B85F33">
        <w:rPr>
          <w:color w:val="000000" w:themeColor="text1"/>
        </w:rPr>
        <w:t xml:space="preserve"> Chelsea </w:t>
      </w:r>
      <w:proofErr w:type="spellStart"/>
      <w:r w:rsidR="00B85F33">
        <w:rPr>
          <w:color w:val="000000" w:themeColor="text1"/>
        </w:rPr>
        <w:t>Medvedeff</w:t>
      </w:r>
      <w:proofErr w:type="spellEnd"/>
      <w:r w:rsidR="00D145AC">
        <w:rPr>
          <w:color w:val="000000" w:themeColor="text1"/>
        </w:rPr>
        <w:t>, who attempted to prompt Stewart by tapping on the car window</w:t>
      </w:r>
      <w:r w:rsidR="00944470">
        <w:rPr>
          <w:color w:val="000000" w:themeColor="text1"/>
        </w:rPr>
        <w:t>; tapping is another neutral prompting and communication method ABRSD would use with Stewart</w:t>
      </w:r>
      <w:r w:rsidR="00B85F33">
        <w:rPr>
          <w:color w:val="000000" w:themeColor="text1"/>
        </w:rPr>
        <w:t>.</w:t>
      </w:r>
      <w:r w:rsidR="00B85F33">
        <w:rPr>
          <w:rStyle w:val="FootnoteReference"/>
          <w:color w:val="000000" w:themeColor="text1"/>
        </w:rPr>
        <w:footnoteReference w:id="59"/>
      </w:r>
      <w:r w:rsidR="00944470">
        <w:rPr>
          <w:color w:val="000000" w:themeColor="text1"/>
        </w:rPr>
        <w:t xml:space="preserve"> </w:t>
      </w:r>
      <w:r w:rsidR="006C6A88">
        <w:rPr>
          <w:color w:val="000000" w:themeColor="text1"/>
        </w:rPr>
        <w:t xml:space="preserve">Ms. </w:t>
      </w:r>
      <w:proofErr w:type="spellStart"/>
      <w:r w:rsidR="006C6A88">
        <w:rPr>
          <w:color w:val="000000" w:themeColor="text1"/>
        </w:rPr>
        <w:t>Medvedeff</w:t>
      </w:r>
      <w:proofErr w:type="spellEnd"/>
      <w:r w:rsidR="006C6A88">
        <w:rPr>
          <w:color w:val="000000" w:themeColor="text1"/>
        </w:rPr>
        <w:t xml:space="preserve"> testified that Stewart unlocked the door, kicked her, and then locked the door again.</w:t>
      </w:r>
      <w:r w:rsidR="006C6A88">
        <w:rPr>
          <w:rStyle w:val="FootnoteReference"/>
          <w:color w:val="000000" w:themeColor="text1"/>
        </w:rPr>
        <w:footnoteReference w:id="60"/>
      </w:r>
      <w:r w:rsidR="006C6A88">
        <w:rPr>
          <w:color w:val="000000" w:themeColor="text1"/>
        </w:rPr>
        <w:t xml:space="preserve"> </w:t>
      </w:r>
      <w:r w:rsidR="0058153F">
        <w:rPr>
          <w:color w:val="000000" w:themeColor="text1"/>
        </w:rPr>
        <w:t>She</w:t>
      </w:r>
      <w:r w:rsidR="006C6A88">
        <w:rPr>
          <w:color w:val="000000" w:themeColor="text1"/>
        </w:rPr>
        <w:t xml:space="preserve"> attempted to</w:t>
      </w:r>
      <w:r w:rsidR="0058153F">
        <w:rPr>
          <w:color w:val="000000" w:themeColor="text1"/>
        </w:rPr>
        <w:t xml:space="preserve"> prompt him neutrally</w:t>
      </w:r>
      <w:r w:rsidR="006C6A88">
        <w:rPr>
          <w:color w:val="000000" w:themeColor="text1"/>
        </w:rPr>
        <w:t xml:space="preserve"> to unlock the door for 15 minutes, but was unsuccessful</w:t>
      </w:r>
      <w:r w:rsidR="00B85F33">
        <w:rPr>
          <w:color w:val="000000" w:themeColor="text1"/>
        </w:rPr>
        <w:t>; he was ultimately in the car outside of the school for over two hours</w:t>
      </w:r>
      <w:r w:rsidR="006C6A88">
        <w:rPr>
          <w:color w:val="000000" w:themeColor="text1"/>
        </w:rPr>
        <w:t>.</w:t>
      </w:r>
      <w:r w:rsidR="006C6A88">
        <w:rPr>
          <w:rStyle w:val="FootnoteReference"/>
          <w:color w:val="000000" w:themeColor="text1"/>
        </w:rPr>
        <w:footnoteReference w:id="61"/>
      </w:r>
      <w:r w:rsidR="00B85F33">
        <w:rPr>
          <w:color w:val="000000" w:themeColor="text1"/>
        </w:rPr>
        <w:t xml:space="preserve"> </w:t>
      </w:r>
      <w:r w:rsidR="00D145AC">
        <w:rPr>
          <w:color w:val="000000" w:themeColor="text1"/>
        </w:rPr>
        <w:t xml:space="preserve">As staff members’ prompting strategies failed to convince Stewart to exit the car, </w:t>
      </w:r>
      <w:r w:rsidR="006C6A88">
        <w:rPr>
          <w:color w:val="000000" w:themeColor="text1"/>
        </w:rPr>
        <w:t xml:space="preserve">Mr. </w:t>
      </w:r>
      <w:proofErr w:type="spellStart"/>
      <w:r w:rsidR="006C6A88" w:rsidRPr="00DE6365">
        <w:rPr>
          <w:color w:val="000000" w:themeColor="text1"/>
        </w:rPr>
        <w:t>Amitrano</w:t>
      </w:r>
      <w:proofErr w:type="spellEnd"/>
      <w:r w:rsidR="006C6A88" w:rsidRPr="00DE6365">
        <w:rPr>
          <w:color w:val="000000" w:themeColor="text1"/>
        </w:rPr>
        <w:t xml:space="preserve"> told Parent</w:t>
      </w:r>
      <w:r w:rsidR="00B85F33">
        <w:rPr>
          <w:color w:val="000000" w:themeColor="text1"/>
        </w:rPr>
        <w:t xml:space="preserve"> that </w:t>
      </w:r>
      <w:r w:rsidR="006C6A88" w:rsidRPr="00DE6365">
        <w:rPr>
          <w:color w:val="000000" w:themeColor="text1"/>
        </w:rPr>
        <w:t xml:space="preserve">in </w:t>
      </w:r>
      <w:r w:rsidR="006C6A88">
        <w:rPr>
          <w:color w:val="000000" w:themeColor="text1"/>
        </w:rPr>
        <w:t xml:space="preserve">similar situations, </w:t>
      </w:r>
      <w:r w:rsidR="00B85F33">
        <w:rPr>
          <w:color w:val="000000" w:themeColor="text1"/>
        </w:rPr>
        <w:t xml:space="preserve">District personnel </w:t>
      </w:r>
      <w:r w:rsidR="006C6A88" w:rsidRPr="00DE6365">
        <w:rPr>
          <w:color w:val="000000" w:themeColor="text1"/>
        </w:rPr>
        <w:t xml:space="preserve">usually call the SRO , and </w:t>
      </w:r>
      <w:r w:rsidR="006C6A88">
        <w:rPr>
          <w:color w:val="000000" w:themeColor="text1"/>
        </w:rPr>
        <w:t xml:space="preserve">he understood at the time that </w:t>
      </w:r>
      <w:r w:rsidR="006C6A88" w:rsidRPr="00DE6365">
        <w:rPr>
          <w:color w:val="000000" w:themeColor="text1"/>
        </w:rPr>
        <w:t>mother agreed</w:t>
      </w:r>
      <w:r w:rsidR="006C6A88">
        <w:rPr>
          <w:color w:val="000000" w:themeColor="text1"/>
        </w:rPr>
        <w:t xml:space="preserve"> with this course of action</w:t>
      </w:r>
      <w:r w:rsidR="006C6A88" w:rsidRPr="00DE6365">
        <w:rPr>
          <w:color w:val="000000" w:themeColor="text1"/>
        </w:rPr>
        <w:t>.</w:t>
      </w:r>
      <w:r w:rsidR="006C6A88" w:rsidRPr="00DE6365">
        <w:rPr>
          <w:rStyle w:val="FootnoteReference"/>
          <w:color w:val="000000" w:themeColor="text1"/>
        </w:rPr>
        <w:footnoteReference w:id="62"/>
      </w:r>
      <w:r w:rsidR="00D145AC">
        <w:rPr>
          <w:color w:val="000000" w:themeColor="text1"/>
        </w:rPr>
        <w:t xml:space="preserve"> Eventually Mr. </w:t>
      </w:r>
      <w:proofErr w:type="spellStart"/>
      <w:r w:rsidR="00D145AC">
        <w:rPr>
          <w:color w:val="000000" w:themeColor="text1"/>
        </w:rPr>
        <w:t>Amitrano</w:t>
      </w:r>
      <w:proofErr w:type="spellEnd"/>
      <w:r w:rsidR="00D145AC">
        <w:rPr>
          <w:color w:val="000000" w:themeColor="text1"/>
        </w:rPr>
        <w:t xml:space="preserve"> contacted Detective Russell,</w:t>
      </w:r>
      <w:r w:rsidR="00636FB1">
        <w:rPr>
          <w:color w:val="000000" w:themeColor="text1"/>
        </w:rPr>
        <w:t xml:space="preserve"> as Stewart was continuing to aggress toward staff, who were concerned that Stewart was locked in the car. Detective Russell was also unsuccessful in getting Stewart out of the car. Ultimately, </w:t>
      </w:r>
      <w:r w:rsidR="0058153F">
        <w:rPr>
          <w:color w:val="000000" w:themeColor="text1"/>
        </w:rPr>
        <w:t>Stewart</w:t>
      </w:r>
      <w:r w:rsidR="00636FB1">
        <w:rPr>
          <w:color w:val="000000" w:themeColor="text1"/>
        </w:rPr>
        <w:t xml:space="preserve"> exited the car to go to the bathroom and spent the remainder of the day in school.</w:t>
      </w:r>
      <w:r w:rsidR="00636FB1">
        <w:rPr>
          <w:rStyle w:val="FootnoteReference"/>
          <w:color w:val="000000" w:themeColor="text1"/>
        </w:rPr>
        <w:footnoteReference w:id="63"/>
      </w:r>
    </w:p>
    <w:p w14:paraId="178DAB99" w14:textId="30FCDA82" w:rsidR="00636FB1" w:rsidRDefault="00636FB1" w:rsidP="00636FB1">
      <w:pPr>
        <w:ind w:firstLine="720"/>
        <w:rPr>
          <w:color w:val="000000" w:themeColor="text1"/>
        </w:rPr>
      </w:pPr>
    </w:p>
    <w:p w14:paraId="5E75A060" w14:textId="1F4DFAF8" w:rsidR="00944470" w:rsidRDefault="00636FB1" w:rsidP="00944470">
      <w:pPr>
        <w:ind w:firstLine="720"/>
        <w:rPr>
          <w:color w:val="000000" w:themeColor="text1"/>
        </w:rPr>
      </w:pPr>
      <w:r>
        <w:rPr>
          <w:color w:val="000000" w:themeColor="text1"/>
        </w:rPr>
        <w:t>Viewed in the light most favorable to Parent, the evidence and inferences that may be drawn therefore establish that Stewart spent two hours inside Parent’s car</w:t>
      </w:r>
      <w:r w:rsidR="00E179F8">
        <w:rPr>
          <w:color w:val="000000" w:themeColor="text1"/>
        </w:rPr>
        <w:t xml:space="preserve"> in front of the school</w:t>
      </w:r>
      <w:r>
        <w:rPr>
          <w:color w:val="000000" w:themeColor="text1"/>
        </w:rPr>
        <w:t>, refusing to exit, though he was not locked in. Parent requested assistance from school staff, who were unable to get him to leave the car; instead, he kicked them, pushed and hit his mother, and slammed the door shut repeat</w:t>
      </w:r>
      <w:r w:rsidR="00E179F8">
        <w:rPr>
          <w:color w:val="000000" w:themeColor="text1"/>
        </w:rPr>
        <w:t>e</w:t>
      </w:r>
      <w:r>
        <w:rPr>
          <w:color w:val="000000" w:themeColor="text1"/>
        </w:rPr>
        <w:t xml:space="preserve">dly. All of this occurred before ABRSD contacted the SRO for what they viewed as </w:t>
      </w:r>
      <w:r w:rsidR="00E179F8">
        <w:rPr>
          <w:color w:val="000000" w:themeColor="text1"/>
        </w:rPr>
        <w:t xml:space="preserve">an acceptable reason: </w:t>
      </w:r>
      <w:r w:rsidR="006C6A88" w:rsidRPr="00DE6365">
        <w:rPr>
          <w:color w:val="000000" w:themeColor="text1"/>
        </w:rPr>
        <w:t>to “support school staff in maintaining a safe school environment.”</w:t>
      </w:r>
      <w:r w:rsidR="006C6A88" w:rsidRPr="003A2C40">
        <w:rPr>
          <w:rStyle w:val="FootnoteReference"/>
          <w:color w:val="000000" w:themeColor="text1"/>
        </w:rPr>
        <w:t xml:space="preserve"> </w:t>
      </w:r>
      <w:r w:rsidR="006C6A88" w:rsidRPr="00DE6365">
        <w:rPr>
          <w:rStyle w:val="FootnoteReference"/>
          <w:color w:val="000000" w:themeColor="text1"/>
        </w:rPr>
        <w:footnoteReference w:id="64"/>
      </w:r>
      <w:r w:rsidR="00E179F8">
        <w:rPr>
          <w:color w:val="000000" w:themeColor="text1"/>
        </w:rPr>
        <w:t xml:space="preserve"> Parent’s assertion that the SRO was called to intim</w:t>
      </w:r>
      <w:r w:rsidR="0058153F">
        <w:rPr>
          <w:color w:val="000000" w:themeColor="text1"/>
        </w:rPr>
        <w:t>id</w:t>
      </w:r>
      <w:r w:rsidR="00E179F8">
        <w:rPr>
          <w:color w:val="000000" w:themeColor="text1"/>
        </w:rPr>
        <w:t>ate Stewart is nothing more than “mere speculation and conjecture,” which is insufficient to</w:t>
      </w:r>
      <w:r w:rsidR="00944470">
        <w:rPr>
          <w:color w:val="000000" w:themeColor="text1"/>
        </w:rPr>
        <w:t xml:space="preserve"> defeat the District’s </w:t>
      </w:r>
      <w:r w:rsidR="00944470">
        <w:rPr>
          <w:i/>
          <w:iCs/>
          <w:color w:val="000000" w:themeColor="text1"/>
        </w:rPr>
        <w:t>Motion</w:t>
      </w:r>
      <w:r w:rsidR="00944470">
        <w:rPr>
          <w:color w:val="000000" w:themeColor="text1"/>
        </w:rPr>
        <w:t>.</w:t>
      </w:r>
      <w:r w:rsidR="00944470">
        <w:rPr>
          <w:rStyle w:val="FootnoteReference"/>
          <w:color w:val="000000" w:themeColor="text1"/>
        </w:rPr>
        <w:footnoteReference w:id="65"/>
      </w:r>
      <w:r w:rsidR="00E179F8">
        <w:rPr>
          <w:color w:val="000000" w:themeColor="text1"/>
        </w:rPr>
        <w:t xml:space="preserve">  </w:t>
      </w:r>
      <w:r w:rsidR="00944470">
        <w:rPr>
          <w:color w:val="000000" w:themeColor="text1"/>
        </w:rPr>
        <w:t xml:space="preserve">Together, this </w:t>
      </w:r>
      <w:r w:rsidR="00E179F8">
        <w:rPr>
          <w:color w:val="000000" w:themeColor="text1"/>
        </w:rPr>
        <w:t>evidence</w:t>
      </w:r>
      <w:r w:rsidR="00944470">
        <w:rPr>
          <w:color w:val="000000" w:themeColor="text1"/>
        </w:rPr>
        <w:t xml:space="preserve"> and the reasonable inferences to be drawn from, construed most favorably to Parent,</w:t>
      </w:r>
      <w:r w:rsidR="00E179F8">
        <w:rPr>
          <w:color w:val="000000" w:themeColor="text1"/>
        </w:rPr>
        <w:t xml:space="preserve"> is insufficient for </w:t>
      </w:r>
      <w:r w:rsidR="00944470">
        <w:rPr>
          <w:color w:val="000000" w:themeColor="text1"/>
        </w:rPr>
        <w:t>her</w:t>
      </w:r>
      <w:r w:rsidR="00E179F8">
        <w:rPr>
          <w:color w:val="000000" w:themeColor="text1"/>
        </w:rPr>
        <w:t xml:space="preserve"> to establish, by a preponderance of the evidence, that ABRSD’s </w:t>
      </w:r>
      <w:r w:rsidR="006C6A88" w:rsidRPr="00DE6365">
        <w:rPr>
          <w:color w:val="000000" w:themeColor="text1"/>
        </w:rPr>
        <w:t>involvement of the SRO when Stewart was dysregulated on January</w:t>
      </w:r>
      <w:r w:rsidR="00E179F8">
        <w:rPr>
          <w:color w:val="000000" w:themeColor="text1"/>
        </w:rPr>
        <w:t xml:space="preserve"> 7, 2020</w:t>
      </w:r>
      <w:r w:rsidR="006C6A88" w:rsidRPr="00DE6365">
        <w:rPr>
          <w:color w:val="000000" w:themeColor="text1"/>
        </w:rPr>
        <w:t xml:space="preserve"> was tied to his disability</w:t>
      </w:r>
      <w:r w:rsidR="006C6A88">
        <w:rPr>
          <w:color w:val="000000" w:themeColor="text1"/>
        </w:rPr>
        <w:t xml:space="preserve"> or was motivated by bad faith or gross misconduct.</w:t>
      </w:r>
      <w:r w:rsidR="006C6A88">
        <w:rPr>
          <w:rStyle w:val="FootnoteReference"/>
          <w:color w:val="000000" w:themeColor="text1"/>
        </w:rPr>
        <w:footnoteReference w:id="66"/>
      </w:r>
      <w:r w:rsidR="00E179F8">
        <w:rPr>
          <w:color w:val="000000" w:themeColor="text1"/>
        </w:rPr>
        <w:t xml:space="preserve"> </w:t>
      </w:r>
    </w:p>
    <w:p w14:paraId="609AC836" w14:textId="77777777" w:rsidR="00944470" w:rsidRDefault="00944470" w:rsidP="00944470">
      <w:pPr>
        <w:ind w:firstLine="720"/>
        <w:rPr>
          <w:color w:val="000000" w:themeColor="text1"/>
        </w:rPr>
      </w:pPr>
    </w:p>
    <w:p w14:paraId="00EDF091" w14:textId="778AC0DE" w:rsidR="006C6A88" w:rsidRDefault="00E179F8" w:rsidP="009315C8">
      <w:pPr>
        <w:ind w:firstLine="720"/>
        <w:rPr>
          <w:color w:val="000000" w:themeColor="text1"/>
        </w:rPr>
      </w:pPr>
      <w:r>
        <w:rPr>
          <w:color w:val="000000" w:themeColor="text1"/>
        </w:rPr>
        <w:t xml:space="preserve">Furthermore, this evidence, viewed in the light most favorable to Parent, does not support a finding, by the preponderance of the evidence, that the District’s involvement of the SRO on this date constituted a material failure to implement </w:t>
      </w:r>
      <w:r w:rsidR="0058153F">
        <w:rPr>
          <w:color w:val="000000" w:themeColor="text1"/>
        </w:rPr>
        <w:t>Stewart’s</w:t>
      </w:r>
      <w:r>
        <w:rPr>
          <w:color w:val="000000" w:themeColor="text1"/>
        </w:rPr>
        <w:t xml:space="preserve"> IEP</w:t>
      </w:r>
      <w:r>
        <w:rPr>
          <w:i/>
          <w:iCs/>
          <w:color w:val="000000" w:themeColor="text1"/>
        </w:rPr>
        <w:t>.</w:t>
      </w:r>
      <w:r w:rsidR="006C6A88" w:rsidRPr="00A506BA">
        <w:rPr>
          <w:vertAlign w:val="superscript"/>
        </w:rPr>
        <w:t xml:space="preserve"> </w:t>
      </w:r>
      <w:r w:rsidR="006C6A88" w:rsidRPr="00443FD2">
        <w:rPr>
          <w:vertAlign w:val="superscript"/>
        </w:rPr>
        <w:footnoteReference w:id="67"/>
      </w:r>
      <w:r w:rsidR="006C6A88">
        <w:rPr>
          <w:color w:val="000000" w:themeColor="text1"/>
        </w:rPr>
        <w:t xml:space="preserve"> Parent</w:t>
      </w:r>
      <w:r w:rsidR="00944470">
        <w:rPr>
          <w:color w:val="000000" w:themeColor="text1"/>
        </w:rPr>
        <w:t xml:space="preserve"> provided no evidence as to how ABRD’s involvement of Detective Russell on January 7, 2020 constituted a </w:t>
      </w:r>
      <w:r w:rsidR="00944470">
        <w:rPr>
          <w:color w:val="000000" w:themeColor="text1"/>
        </w:rPr>
        <w:lastRenderedPageBreak/>
        <w:t xml:space="preserve">violation of any </w:t>
      </w:r>
      <w:r w:rsidR="00E16397">
        <w:rPr>
          <w:color w:val="000000" w:themeColor="text1"/>
        </w:rPr>
        <w:t xml:space="preserve">specific provision </w:t>
      </w:r>
      <w:r w:rsidR="00944470">
        <w:rPr>
          <w:color w:val="000000" w:themeColor="text1"/>
        </w:rPr>
        <w:t>of Stewart’s IEP</w:t>
      </w:r>
      <w:r w:rsidR="00E16397">
        <w:rPr>
          <w:color w:val="000000" w:themeColor="text1"/>
        </w:rPr>
        <w:t>, much less a material one</w:t>
      </w:r>
      <w:r w:rsidR="00944470">
        <w:rPr>
          <w:color w:val="000000" w:themeColor="text1"/>
        </w:rPr>
        <w:t xml:space="preserve">. </w:t>
      </w:r>
      <w:r w:rsidR="00E16397">
        <w:rPr>
          <w:color w:val="000000" w:themeColor="text1"/>
        </w:rPr>
        <w:t xml:space="preserve">In fact, Ms. </w:t>
      </w:r>
      <w:proofErr w:type="spellStart"/>
      <w:r w:rsidR="00E16397">
        <w:rPr>
          <w:color w:val="000000" w:themeColor="text1"/>
        </w:rPr>
        <w:t>Medvedeff</w:t>
      </w:r>
      <w:proofErr w:type="spellEnd"/>
      <w:r w:rsidR="00E16397">
        <w:rPr>
          <w:color w:val="000000" w:themeColor="text1"/>
        </w:rPr>
        <w:t xml:space="preserve"> demonstrated that the District utilized positive behavior intervention strategies</w:t>
      </w:r>
      <w:r w:rsidR="009315C8">
        <w:rPr>
          <w:color w:val="000000" w:themeColor="text1"/>
        </w:rPr>
        <w:t>, as called for by his IEP and BSP,</w:t>
      </w:r>
      <w:r w:rsidR="00E16397">
        <w:rPr>
          <w:color w:val="000000" w:themeColor="text1"/>
        </w:rPr>
        <w:t xml:space="preserve"> in attempting to coax Stewart to exit Parent’s car.</w:t>
      </w:r>
      <w:r w:rsidR="009315C8">
        <w:rPr>
          <w:rStyle w:val="FootnoteReference"/>
          <w:color w:val="000000" w:themeColor="text1"/>
        </w:rPr>
        <w:footnoteReference w:id="68"/>
      </w:r>
      <w:r w:rsidR="00E16397">
        <w:rPr>
          <w:color w:val="000000" w:themeColor="text1"/>
        </w:rPr>
        <w:t xml:space="preserve"> </w:t>
      </w:r>
    </w:p>
    <w:p w14:paraId="44AB05A2" w14:textId="77777777" w:rsidR="00E16397" w:rsidRDefault="00E16397" w:rsidP="006C6A88">
      <w:pPr>
        <w:ind w:firstLine="720"/>
        <w:rPr>
          <w:color w:val="000000" w:themeColor="text1"/>
        </w:rPr>
      </w:pPr>
    </w:p>
    <w:p w14:paraId="4332A87E" w14:textId="77777777" w:rsidR="006C6A88" w:rsidRPr="00DE6365" w:rsidRDefault="006C6A88" w:rsidP="006C6A88">
      <w:pPr>
        <w:pStyle w:val="ListParagraph"/>
        <w:numPr>
          <w:ilvl w:val="1"/>
          <w:numId w:val="16"/>
        </w:numPr>
        <w:ind w:left="1800" w:hanging="720"/>
        <w:rPr>
          <w:color w:val="000000" w:themeColor="text1"/>
          <w:u w:val="single"/>
        </w:rPr>
      </w:pPr>
      <w:r w:rsidRPr="00DE6365">
        <w:rPr>
          <w:color w:val="000000" w:themeColor="text1"/>
          <w:u w:val="single"/>
        </w:rPr>
        <w:t>January 8</w:t>
      </w:r>
      <w:r w:rsidRPr="00DE6365">
        <w:rPr>
          <w:color w:val="000000" w:themeColor="text1"/>
          <w:u w:val="single"/>
          <w:vertAlign w:val="superscript"/>
        </w:rPr>
        <w:t>th</w:t>
      </w:r>
      <w:r w:rsidRPr="00DE6365">
        <w:rPr>
          <w:color w:val="000000" w:themeColor="text1"/>
          <w:u w:val="single"/>
        </w:rPr>
        <w:t xml:space="preserve"> </w:t>
      </w:r>
    </w:p>
    <w:p w14:paraId="0976BDFF" w14:textId="77777777" w:rsidR="006C6A88" w:rsidRPr="00DE6365" w:rsidRDefault="006C6A88" w:rsidP="006C6A88">
      <w:pPr>
        <w:rPr>
          <w:color w:val="000000" w:themeColor="text1"/>
        </w:rPr>
      </w:pPr>
    </w:p>
    <w:p w14:paraId="55727FBB" w14:textId="47570D32" w:rsidR="006C6A88" w:rsidRPr="00801938" w:rsidRDefault="00E16397" w:rsidP="00801938">
      <w:pPr>
        <w:ind w:firstLine="720"/>
        <w:rPr>
          <w:color w:val="000000" w:themeColor="text1"/>
        </w:rPr>
      </w:pPr>
      <w:r>
        <w:rPr>
          <w:color w:val="000000" w:themeColor="text1"/>
        </w:rPr>
        <w:t>Parent alleges that Detective Russell’s involvement in Stewart’s dysregulation on J</w:t>
      </w:r>
      <w:r w:rsidR="00E36EE3">
        <w:rPr>
          <w:color w:val="000000" w:themeColor="text1"/>
        </w:rPr>
        <w:t>anuary</w:t>
      </w:r>
      <w:r>
        <w:rPr>
          <w:color w:val="000000" w:themeColor="text1"/>
        </w:rPr>
        <w:t xml:space="preserve"> 8, 2020 constituted a violation of § 504 and a failure to implement his IEP. The evidence before me as to this date demonstrates that at the time Stewart became dysregulated, Detective Russell was at the Merriam School teaching a class to sixth grader</w:t>
      </w:r>
      <w:r w:rsidR="0058153F">
        <w:rPr>
          <w:color w:val="000000" w:themeColor="text1"/>
        </w:rPr>
        <w:t>s.</w:t>
      </w:r>
      <w:r w:rsidR="006C6A88">
        <w:rPr>
          <w:rStyle w:val="FootnoteReference"/>
          <w:color w:val="000000" w:themeColor="text1"/>
        </w:rPr>
        <w:footnoteReference w:id="69"/>
      </w:r>
      <w:r w:rsidR="006C6A88">
        <w:rPr>
          <w:color w:val="000000" w:themeColor="text1"/>
        </w:rPr>
        <w:t xml:space="preserve"> </w:t>
      </w:r>
      <w:r>
        <w:rPr>
          <w:color w:val="000000" w:themeColor="text1"/>
        </w:rPr>
        <w:t xml:space="preserve">After </w:t>
      </w:r>
      <w:r w:rsidR="0058153F">
        <w:rPr>
          <w:color w:val="000000" w:themeColor="text1"/>
        </w:rPr>
        <w:t>Stewart</w:t>
      </w:r>
      <w:r>
        <w:rPr>
          <w:color w:val="000000" w:themeColor="text1"/>
        </w:rPr>
        <w:t xml:space="preserve"> failed to respond to a requested prompt to either ask for more breakfast time or transition to class, </w:t>
      </w:r>
      <w:r w:rsidR="0058153F">
        <w:rPr>
          <w:color w:val="000000" w:themeColor="text1"/>
        </w:rPr>
        <w:t>he</w:t>
      </w:r>
      <w:r>
        <w:rPr>
          <w:color w:val="000000" w:themeColor="text1"/>
        </w:rPr>
        <w:t xml:space="preserve"> began</w:t>
      </w:r>
      <w:r w:rsidR="006C6A88">
        <w:rPr>
          <w:color w:val="000000" w:themeColor="text1"/>
        </w:rPr>
        <w:t xml:space="preserve"> </w:t>
      </w:r>
      <w:r w:rsidR="006C6A88" w:rsidRPr="00E4789A">
        <w:rPr>
          <w:color w:val="000000" w:themeColor="text1"/>
        </w:rPr>
        <w:t>engaging in non-compliance</w:t>
      </w:r>
      <w:r w:rsidR="0058153F">
        <w:rPr>
          <w:color w:val="000000" w:themeColor="text1"/>
        </w:rPr>
        <w:t xml:space="preserve">, </w:t>
      </w:r>
      <w:r w:rsidR="006C6A88" w:rsidRPr="00E4789A">
        <w:rPr>
          <w:color w:val="000000" w:themeColor="text1"/>
        </w:rPr>
        <w:t>self-injurious behaviors</w:t>
      </w:r>
      <w:r w:rsidR="006C6A88">
        <w:rPr>
          <w:color w:val="000000" w:themeColor="text1"/>
        </w:rPr>
        <w:t>, a</w:t>
      </w:r>
      <w:r w:rsidR="0058153F">
        <w:rPr>
          <w:color w:val="000000" w:themeColor="text1"/>
        </w:rPr>
        <w:t xml:space="preserve">nd </w:t>
      </w:r>
      <w:r w:rsidR="006C6A88">
        <w:rPr>
          <w:color w:val="000000" w:themeColor="text1"/>
        </w:rPr>
        <w:t>property destruction (</w:t>
      </w:r>
      <w:r w:rsidR="00E36EE3">
        <w:rPr>
          <w:color w:val="000000" w:themeColor="text1"/>
        </w:rPr>
        <w:t>flipping a table and throwing chairs</w:t>
      </w:r>
      <w:r w:rsidR="006C6A88">
        <w:rPr>
          <w:color w:val="000000" w:themeColor="text1"/>
        </w:rPr>
        <w:t>)</w:t>
      </w:r>
      <w:r>
        <w:rPr>
          <w:color w:val="000000" w:themeColor="text1"/>
        </w:rPr>
        <w:t>.</w:t>
      </w:r>
      <w:r w:rsidR="006C6A88">
        <w:rPr>
          <w:rStyle w:val="FootnoteReference"/>
          <w:color w:val="000000" w:themeColor="text1"/>
        </w:rPr>
        <w:footnoteReference w:id="70"/>
      </w:r>
      <w:r w:rsidR="006C6A88">
        <w:rPr>
          <w:color w:val="000000" w:themeColor="text1"/>
        </w:rPr>
        <w:t xml:space="preserve"> </w:t>
      </w:r>
      <w:r w:rsidR="0058153F">
        <w:rPr>
          <w:color w:val="000000" w:themeColor="text1"/>
        </w:rPr>
        <w:t>Stewart</w:t>
      </w:r>
      <w:r w:rsidR="006C6A88">
        <w:rPr>
          <w:color w:val="000000" w:themeColor="text1"/>
        </w:rPr>
        <w:t xml:space="preserve"> also eloped outside of the building at one point before returning </w:t>
      </w:r>
      <w:r w:rsidR="0058153F">
        <w:rPr>
          <w:color w:val="000000" w:themeColor="text1"/>
        </w:rPr>
        <w:t>of his own volition</w:t>
      </w:r>
      <w:r w:rsidR="006C6A88">
        <w:rPr>
          <w:color w:val="000000" w:themeColor="text1"/>
        </w:rPr>
        <w:t>.</w:t>
      </w:r>
      <w:r w:rsidR="006C6A88">
        <w:rPr>
          <w:rStyle w:val="FootnoteReference"/>
          <w:color w:val="000000" w:themeColor="text1"/>
        </w:rPr>
        <w:footnoteReference w:id="71"/>
      </w:r>
      <w:r w:rsidR="006C6A88">
        <w:rPr>
          <w:color w:val="000000" w:themeColor="text1"/>
        </w:rPr>
        <w:t xml:space="preserve"> </w:t>
      </w:r>
      <w:r w:rsidR="006C6A88" w:rsidRPr="00DE6365">
        <w:rPr>
          <w:color w:val="000000" w:themeColor="text1"/>
        </w:rPr>
        <w:t xml:space="preserve">Detective Russell </w:t>
      </w:r>
      <w:r w:rsidR="006C6A88">
        <w:rPr>
          <w:color w:val="000000" w:themeColor="text1"/>
        </w:rPr>
        <w:t xml:space="preserve">was contacted after Stewart had returned to the building into Mr. </w:t>
      </w:r>
      <w:proofErr w:type="spellStart"/>
      <w:r w:rsidR="006C6A88">
        <w:rPr>
          <w:color w:val="000000" w:themeColor="text1"/>
        </w:rPr>
        <w:t>Amitrano’s</w:t>
      </w:r>
      <w:proofErr w:type="spellEnd"/>
      <w:r w:rsidR="006C6A88">
        <w:rPr>
          <w:color w:val="000000" w:themeColor="text1"/>
        </w:rPr>
        <w:t xml:space="preserve"> office</w:t>
      </w:r>
      <w:r>
        <w:rPr>
          <w:color w:val="000000" w:themeColor="text1"/>
        </w:rPr>
        <w:t>.</w:t>
      </w:r>
      <w:r w:rsidR="006C6A88">
        <w:rPr>
          <w:color w:val="000000" w:themeColor="text1"/>
        </w:rPr>
        <w:t xml:space="preserve"> Detective Russell </w:t>
      </w:r>
      <w:r w:rsidR="006C6A88" w:rsidRPr="00DE6365">
        <w:rPr>
          <w:color w:val="000000" w:themeColor="text1"/>
        </w:rPr>
        <w:t xml:space="preserve">testified that he did not enter the room in which the dysregulation was occurring, nor did he help the </w:t>
      </w:r>
      <w:r w:rsidR="006C6A88">
        <w:rPr>
          <w:color w:val="000000" w:themeColor="text1"/>
        </w:rPr>
        <w:t>support</w:t>
      </w:r>
      <w:r w:rsidR="006C6A88" w:rsidRPr="00DE6365">
        <w:rPr>
          <w:color w:val="000000" w:themeColor="text1"/>
        </w:rPr>
        <w:t xml:space="preserve"> team outside during Stewart’s elopement.</w:t>
      </w:r>
      <w:r>
        <w:rPr>
          <w:color w:val="000000" w:themeColor="text1"/>
        </w:rPr>
        <w:t xml:space="preserve"> Mother offered no evidence to contr</w:t>
      </w:r>
      <w:r w:rsidR="00E36EE3">
        <w:rPr>
          <w:color w:val="000000" w:themeColor="text1"/>
        </w:rPr>
        <w:t>adict</w:t>
      </w:r>
      <w:r>
        <w:rPr>
          <w:color w:val="000000" w:themeColor="text1"/>
        </w:rPr>
        <w:t xml:space="preserve"> th</w:t>
      </w:r>
      <w:r w:rsidR="00801938">
        <w:rPr>
          <w:color w:val="000000" w:themeColor="text1"/>
        </w:rPr>
        <w:t>is testimony and evidence, which</w:t>
      </w:r>
      <w:r w:rsidR="006C6A88" w:rsidRPr="00DE6365">
        <w:rPr>
          <w:color w:val="000000" w:themeColor="text1"/>
        </w:rPr>
        <w:t xml:space="preserve"> </w:t>
      </w:r>
      <w:r w:rsidR="00801938">
        <w:rPr>
          <w:color w:val="000000" w:themeColor="text1"/>
        </w:rPr>
        <w:t>s</w:t>
      </w:r>
      <w:r w:rsidR="006C6A88">
        <w:rPr>
          <w:color w:val="000000" w:themeColor="text1"/>
        </w:rPr>
        <w:t xml:space="preserve">uggests </w:t>
      </w:r>
      <w:r w:rsidR="006C6A88" w:rsidRPr="00DE6365">
        <w:rPr>
          <w:color w:val="000000" w:themeColor="text1"/>
        </w:rPr>
        <w:t xml:space="preserve">that Detective Russell was </w:t>
      </w:r>
      <w:r w:rsidR="00801938">
        <w:rPr>
          <w:color w:val="000000" w:themeColor="text1"/>
        </w:rPr>
        <w:t>not</w:t>
      </w:r>
      <w:r w:rsidR="006C6A88" w:rsidRPr="00DE6365">
        <w:rPr>
          <w:color w:val="000000" w:themeColor="text1"/>
        </w:rPr>
        <w:t xml:space="preserve"> involved in the events that transpired</w:t>
      </w:r>
      <w:r w:rsidR="0058153F">
        <w:rPr>
          <w:color w:val="000000" w:themeColor="text1"/>
        </w:rPr>
        <w:t xml:space="preserve"> </w:t>
      </w:r>
      <w:r w:rsidR="006C6A88" w:rsidRPr="00DE6365">
        <w:rPr>
          <w:color w:val="000000" w:themeColor="text1"/>
        </w:rPr>
        <w:t xml:space="preserve">on January 8, 2020. For these reasons, I find that </w:t>
      </w:r>
      <w:r w:rsidR="00801938">
        <w:rPr>
          <w:color w:val="000000" w:themeColor="text1"/>
        </w:rPr>
        <w:t xml:space="preserve">even viewing the evidence in the light most favorable to Parent and drawing all reasonable inferences therefrom, </w:t>
      </w:r>
      <w:r w:rsidR="006C6A88" w:rsidRPr="00DE6365">
        <w:rPr>
          <w:color w:val="000000" w:themeColor="text1"/>
        </w:rPr>
        <w:t xml:space="preserve">Parent cannot, by a preponderance of the evidence, establish that the involvement of Detective Russell in Stewart’s dysregulation on this date was due to Stewart’s disability, </w:t>
      </w:r>
      <w:r w:rsidR="006C6A88">
        <w:rPr>
          <w:color w:val="000000" w:themeColor="text1"/>
        </w:rPr>
        <w:t>or</w:t>
      </w:r>
      <w:r w:rsidR="006C6A88" w:rsidRPr="00DE6365">
        <w:rPr>
          <w:color w:val="000000" w:themeColor="text1"/>
        </w:rPr>
        <w:t xml:space="preserve"> that </w:t>
      </w:r>
      <w:r w:rsidR="00801938">
        <w:rPr>
          <w:color w:val="000000" w:themeColor="text1"/>
        </w:rPr>
        <w:t xml:space="preserve">ABRSD </w:t>
      </w:r>
      <w:r w:rsidR="006C6A88" w:rsidRPr="00DE6365">
        <w:rPr>
          <w:color w:val="000000" w:themeColor="text1"/>
        </w:rPr>
        <w:t>discriminated against Stewart by calling the SRO</w:t>
      </w:r>
      <w:r w:rsidR="00801938">
        <w:rPr>
          <w:color w:val="000000" w:themeColor="text1"/>
        </w:rPr>
        <w:t xml:space="preserve">.  As above, Parent points to no provision of Stewart’s IEP that the District failed to follow by calling Detective Russell, who did not engage with Stewart on this date. As such, the evidence, viewed in the light most favorable to Parent, does not support a </w:t>
      </w:r>
      <w:r w:rsidR="006C6A88">
        <w:rPr>
          <w:color w:val="000000" w:themeColor="text1"/>
        </w:rPr>
        <w:t>find</w:t>
      </w:r>
      <w:r w:rsidR="00801938">
        <w:rPr>
          <w:color w:val="000000" w:themeColor="text1"/>
        </w:rPr>
        <w:t>ing</w:t>
      </w:r>
      <w:r w:rsidR="006C6A88">
        <w:rPr>
          <w:color w:val="000000" w:themeColor="text1"/>
        </w:rPr>
        <w:t xml:space="preserve"> that the District’s actions in contacting Detective Russell on</w:t>
      </w:r>
      <w:r w:rsidR="00801938">
        <w:rPr>
          <w:color w:val="000000" w:themeColor="text1"/>
        </w:rPr>
        <w:t xml:space="preserve"> this date </w:t>
      </w:r>
      <w:r w:rsidR="006C6A88">
        <w:rPr>
          <w:color w:val="000000" w:themeColor="text1"/>
        </w:rPr>
        <w:t>constitute</w:t>
      </w:r>
      <w:r w:rsidR="00801938">
        <w:rPr>
          <w:color w:val="000000" w:themeColor="text1"/>
        </w:rPr>
        <w:t>d</w:t>
      </w:r>
      <w:r w:rsidR="006C6A88">
        <w:rPr>
          <w:color w:val="000000" w:themeColor="text1"/>
        </w:rPr>
        <w:t xml:space="preserve"> a </w:t>
      </w:r>
      <w:r w:rsidR="00801938">
        <w:rPr>
          <w:color w:val="000000" w:themeColor="text1"/>
        </w:rPr>
        <w:t xml:space="preserve">material </w:t>
      </w:r>
      <w:r w:rsidR="006C6A88">
        <w:rPr>
          <w:color w:val="000000" w:themeColor="text1"/>
        </w:rPr>
        <w:t>failure to implement Stewart’s IEP.</w:t>
      </w:r>
      <w:r w:rsidR="006C6A88" w:rsidRPr="00443FD2">
        <w:rPr>
          <w:vertAlign w:val="superscript"/>
        </w:rPr>
        <w:footnoteReference w:id="72"/>
      </w:r>
      <w:r w:rsidR="0058153F">
        <w:rPr>
          <w:color w:val="000000" w:themeColor="text1"/>
        </w:rPr>
        <w:t xml:space="preserve"> </w:t>
      </w:r>
    </w:p>
    <w:p w14:paraId="249B0339" w14:textId="77777777" w:rsidR="006C6A88" w:rsidRPr="00DE6365" w:rsidRDefault="006C6A88" w:rsidP="006C6A88">
      <w:pPr>
        <w:rPr>
          <w:color w:val="000000" w:themeColor="text1"/>
        </w:rPr>
      </w:pPr>
    </w:p>
    <w:p w14:paraId="69D776D3" w14:textId="77777777" w:rsidR="006C6A88" w:rsidRDefault="006C6A88" w:rsidP="006C6A88">
      <w:pPr>
        <w:pStyle w:val="ListParagraph"/>
        <w:numPr>
          <w:ilvl w:val="1"/>
          <w:numId w:val="16"/>
        </w:numPr>
        <w:ind w:left="1800" w:hanging="720"/>
        <w:rPr>
          <w:color w:val="000000" w:themeColor="text1"/>
          <w:u w:val="single"/>
        </w:rPr>
      </w:pPr>
      <w:r w:rsidRPr="00DE6365">
        <w:rPr>
          <w:color w:val="000000" w:themeColor="text1"/>
          <w:u w:val="single"/>
        </w:rPr>
        <w:t>January 9</w:t>
      </w:r>
      <w:r w:rsidRPr="00DE6365">
        <w:rPr>
          <w:color w:val="000000" w:themeColor="text1"/>
          <w:u w:val="single"/>
          <w:vertAlign w:val="superscript"/>
        </w:rPr>
        <w:t>th</w:t>
      </w:r>
      <w:r w:rsidRPr="00DE6365">
        <w:rPr>
          <w:color w:val="000000" w:themeColor="text1"/>
          <w:u w:val="single"/>
        </w:rPr>
        <w:t xml:space="preserve"> </w:t>
      </w:r>
    </w:p>
    <w:p w14:paraId="09F663AF" w14:textId="77777777" w:rsidR="006C6A88" w:rsidRPr="00E06797" w:rsidRDefault="006C6A88" w:rsidP="006C6A88">
      <w:pPr>
        <w:rPr>
          <w:color w:val="000000" w:themeColor="text1"/>
        </w:rPr>
      </w:pPr>
    </w:p>
    <w:p w14:paraId="63A8085D" w14:textId="77777777" w:rsidR="0058153F" w:rsidRDefault="00801938" w:rsidP="00156313">
      <w:pPr>
        <w:ind w:firstLine="720"/>
        <w:rPr>
          <w:color w:val="000000" w:themeColor="text1"/>
        </w:rPr>
      </w:pPr>
      <w:r>
        <w:rPr>
          <w:color w:val="000000" w:themeColor="text1"/>
        </w:rPr>
        <w:t>Parent and ABRSD have offered conflicting accounts of the events of January 9, 2020. Among other things, Parent contend</w:t>
      </w:r>
      <w:r w:rsidR="0058153F">
        <w:rPr>
          <w:color w:val="000000" w:themeColor="text1"/>
        </w:rPr>
        <w:t>s</w:t>
      </w:r>
      <w:r>
        <w:rPr>
          <w:color w:val="000000" w:themeColor="text1"/>
        </w:rPr>
        <w:t xml:space="preserve"> – and has offered some evidence to support her contentions – that Detective Russell was contacted by District staff to assist in managing Stewart’s dysregulation; that Detective Russell participated in a Safety Care restraint, despite not being trained in Safety Care; and that Stewart was impacted negatively by this restraint. Viewing the evidence in the light most favorable to Parent, and drawing all reasonable inferences therefrom, I cannot determine </w:t>
      </w:r>
      <w:r w:rsidR="00156313">
        <w:rPr>
          <w:color w:val="000000" w:themeColor="text1"/>
        </w:rPr>
        <w:t xml:space="preserve">at this stage that Parent will be unable to establish, by a preponderance of the evidence, that ABRSD’s involvement of the SRO in managing Stewart’s dysregulation on January 9, 2020 constituted a violation of </w:t>
      </w:r>
      <w:r w:rsidR="006C6A88" w:rsidRPr="4AB26279">
        <w:rPr>
          <w:color w:val="000000" w:themeColor="text1"/>
        </w:rPr>
        <w:t xml:space="preserve">§504 or a </w:t>
      </w:r>
      <w:r w:rsidR="00156313">
        <w:rPr>
          <w:color w:val="000000" w:themeColor="text1"/>
        </w:rPr>
        <w:t>material failure to implement</w:t>
      </w:r>
      <w:r w:rsidR="006C6A88" w:rsidRPr="4AB26279">
        <w:rPr>
          <w:color w:val="000000" w:themeColor="text1"/>
        </w:rPr>
        <w:t xml:space="preserve"> Stewart</w:t>
      </w:r>
      <w:r w:rsidR="00156313">
        <w:rPr>
          <w:color w:val="000000" w:themeColor="text1"/>
        </w:rPr>
        <w:t>’s IEP</w:t>
      </w:r>
      <w:r w:rsidR="006C6A88" w:rsidRPr="4AB26279">
        <w:rPr>
          <w:color w:val="000000" w:themeColor="text1"/>
        </w:rPr>
        <w:t xml:space="preserve">. </w:t>
      </w:r>
    </w:p>
    <w:p w14:paraId="338ECD29" w14:textId="77777777" w:rsidR="0058153F" w:rsidRDefault="0058153F" w:rsidP="00156313">
      <w:pPr>
        <w:ind w:firstLine="720"/>
        <w:rPr>
          <w:color w:val="000000" w:themeColor="text1"/>
        </w:rPr>
      </w:pPr>
    </w:p>
    <w:p w14:paraId="55274D9B" w14:textId="0042D501" w:rsidR="0058153F" w:rsidRDefault="006C6A88" w:rsidP="00156313">
      <w:pPr>
        <w:ind w:firstLine="720"/>
        <w:rPr>
          <w:color w:val="000000" w:themeColor="text1"/>
        </w:rPr>
      </w:pPr>
      <w:r w:rsidRPr="4AB26279">
        <w:rPr>
          <w:color w:val="000000" w:themeColor="text1"/>
        </w:rPr>
        <w:lastRenderedPageBreak/>
        <w:t>Theref</w:t>
      </w:r>
      <w:r w:rsidR="0058153F">
        <w:rPr>
          <w:color w:val="000000" w:themeColor="text1"/>
        </w:rPr>
        <w:t>ore</w:t>
      </w:r>
      <w:r w:rsidRPr="4AB26279">
        <w:rPr>
          <w:color w:val="000000" w:themeColor="text1"/>
        </w:rPr>
        <w:t xml:space="preserve"> the District</w:t>
      </w:r>
      <w:r w:rsidR="0058153F">
        <w:rPr>
          <w:color w:val="000000" w:themeColor="text1"/>
        </w:rPr>
        <w:t xml:space="preserve">’s </w:t>
      </w:r>
      <w:r w:rsidR="0058153F">
        <w:rPr>
          <w:i/>
          <w:iCs/>
          <w:color w:val="000000" w:themeColor="text1"/>
        </w:rPr>
        <w:t>Motion</w:t>
      </w:r>
      <w:r w:rsidR="0058153F">
        <w:rPr>
          <w:color w:val="000000" w:themeColor="text1"/>
        </w:rPr>
        <w:t xml:space="preserve"> is denied as to the SRO claims, </w:t>
      </w:r>
      <w:proofErr w:type="gramStart"/>
      <w:r w:rsidR="0058153F">
        <w:rPr>
          <w:color w:val="000000" w:themeColor="text1"/>
        </w:rPr>
        <w:t>A(</w:t>
      </w:r>
      <w:proofErr w:type="gramEnd"/>
      <w:r w:rsidR="0058153F">
        <w:rPr>
          <w:color w:val="000000" w:themeColor="text1"/>
        </w:rPr>
        <w:t>3) and B(1)(a), but only as to the events of January 9, 2020. The District is entitled to directed verdict on these claims as to the events of January 7 and 8, 2020.</w:t>
      </w:r>
    </w:p>
    <w:p w14:paraId="18F0EC81" w14:textId="1EF2446F" w:rsidR="00156313" w:rsidRDefault="006C6A88" w:rsidP="0058153F">
      <w:pPr>
        <w:ind w:firstLine="720"/>
        <w:rPr>
          <w:color w:val="000000" w:themeColor="text1"/>
        </w:rPr>
      </w:pPr>
      <w:r w:rsidRPr="4AB26279">
        <w:rPr>
          <w:color w:val="000000" w:themeColor="text1"/>
        </w:rPr>
        <w:t xml:space="preserve"> </w:t>
      </w:r>
    </w:p>
    <w:p w14:paraId="413D6DA7" w14:textId="19BDBFC0" w:rsidR="00156313" w:rsidRPr="00156313" w:rsidRDefault="00156313" w:rsidP="00156313">
      <w:pPr>
        <w:ind w:firstLine="720"/>
        <w:rPr>
          <w:color w:val="000000" w:themeColor="text1"/>
          <w:u w:val="single"/>
        </w:rPr>
      </w:pPr>
      <w:r>
        <w:rPr>
          <w:color w:val="000000" w:themeColor="text1"/>
        </w:rPr>
        <w:t>3.</w:t>
      </w:r>
      <w:r>
        <w:rPr>
          <w:color w:val="000000" w:themeColor="text1"/>
        </w:rPr>
        <w:tab/>
      </w:r>
      <w:r>
        <w:rPr>
          <w:color w:val="000000" w:themeColor="text1"/>
          <w:u w:val="single"/>
        </w:rPr>
        <w:t>Inappropriate Consequence Claims</w:t>
      </w:r>
    </w:p>
    <w:p w14:paraId="4C91AE82" w14:textId="77777777" w:rsidR="006C6A88" w:rsidRDefault="006C6A88" w:rsidP="006C6A88">
      <w:pPr>
        <w:rPr>
          <w:b/>
          <w:bCs/>
        </w:rPr>
      </w:pPr>
    </w:p>
    <w:p w14:paraId="53ED8FD2" w14:textId="2450B479" w:rsidR="00230F13" w:rsidRDefault="00230F13" w:rsidP="006C6A88">
      <w:pPr>
        <w:ind w:firstLine="720"/>
      </w:pPr>
      <w:r>
        <w:t>Parent c</w:t>
      </w:r>
      <w:r w:rsidR="0058153F">
        <w:t>ontends</w:t>
      </w:r>
      <w:r>
        <w:t xml:space="preserve"> that</w:t>
      </w:r>
      <w:r w:rsidR="00E36EE3">
        <w:t xml:space="preserve"> between December 2019 and January 2020,</w:t>
      </w:r>
      <w:r>
        <w:t xml:space="preserve"> ABRSD discriminated against Stewart in violation of §504, and failed to implement his 2019-2020 IEP</w:t>
      </w:r>
      <w:r w:rsidR="008C7B22">
        <w:t>, by failing to utilize positive behavior interventions and instead imposing inappropriate consequences for manifestations of Stewart’s disabilit</w:t>
      </w:r>
      <w:r w:rsidR="00E36EE3">
        <w:t>y</w:t>
      </w:r>
      <w:r w:rsidR="008C7B22">
        <w:t>.</w:t>
      </w:r>
    </w:p>
    <w:p w14:paraId="2F0899C6" w14:textId="78001260" w:rsidR="008C7B22" w:rsidRDefault="008C7B22" w:rsidP="006C6A88">
      <w:pPr>
        <w:ind w:firstLine="720"/>
      </w:pPr>
    </w:p>
    <w:p w14:paraId="35CDD7B9" w14:textId="1A8C7357" w:rsidR="008C7B22" w:rsidRDefault="008C7B22" w:rsidP="006C6A88">
      <w:pPr>
        <w:ind w:firstLine="720"/>
      </w:pPr>
      <w:r>
        <w:t>Parent testified that</w:t>
      </w:r>
      <w:r w:rsidR="0058153F">
        <w:t xml:space="preserve"> </w:t>
      </w:r>
      <w:proofErr w:type="gramStart"/>
      <w:r w:rsidR="0058153F">
        <w:t>as a result of</w:t>
      </w:r>
      <w:proofErr w:type="gramEnd"/>
      <w:r w:rsidR="0058153F">
        <w:t xml:space="preserve"> his behavior, which arises from his disability,</w:t>
      </w:r>
      <w:r>
        <w:t xml:space="preserve"> Stewart was removed from the classroom, prevented from accessing her, prevented from using the bathroom, and required to clean the classroom</w:t>
      </w:r>
      <w:r w:rsidR="0058153F">
        <w:t xml:space="preserve">. </w:t>
      </w:r>
      <w:r>
        <w:t>Much of this testimony has been refuted by the District’s witnesses and Exhibits. I cannot conclude, however, that the evidence and the reasonable inferences that may be drawn therefrom</w:t>
      </w:r>
      <w:r w:rsidR="0058153F">
        <w:t>, construed favorably</w:t>
      </w:r>
      <w:r>
        <w:t xml:space="preserve"> to Parent, is insufficient for me to find, by a preponderance of the evidence at the completion of the case, that ABRSD’s actions in responding to Stewart’s behavioral dysregulation constituted a violation of </w:t>
      </w:r>
    </w:p>
    <w:p w14:paraId="0BE08F44" w14:textId="5B000AF2" w:rsidR="006C6A88" w:rsidRDefault="006C6A88" w:rsidP="008C7B22">
      <w:pPr>
        <w:rPr>
          <w:color w:val="000000" w:themeColor="text1"/>
        </w:rPr>
      </w:pPr>
      <w:r>
        <w:t xml:space="preserve">§504 or </w:t>
      </w:r>
      <w:r w:rsidR="008C7B22">
        <w:t xml:space="preserve">a failure to implement his 2020-2021 IEP. </w:t>
      </w:r>
      <w:r>
        <w:rPr>
          <w:color w:val="000000" w:themeColor="text1"/>
        </w:rPr>
        <w:t>Therefore, the District is not entitled to a directed verdict for the inappropriate consequences claims</w:t>
      </w:r>
      <w:r w:rsidR="008C7B22">
        <w:rPr>
          <w:color w:val="000000" w:themeColor="text1"/>
        </w:rPr>
        <w:t xml:space="preserve">, </w:t>
      </w:r>
      <w:proofErr w:type="gramStart"/>
      <w:r w:rsidR="008C7B22">
        <w:rPr>
          <w:color w:val="000000" w:themeColor="text1"/>
        </w:rPr>
        <w:t>A</w:t>
      </w:r>
      <w:r w:rsidR="006F1BD6">
        <w:rPr>
          <w:color w:val="000000" w:themeColor="text1"/>
        </w:rPr>
        <w:t>(</w:t>
      </w:r>
      <w:proofErr w:type="gramEnd"/>
      <w:r w:rsidR="006F1BD6">
        <w:rPr>
          <w:color w:val="000000" w:themeColor="text1"/>
        </w:rPr>
        <w:t>4) and B(1)(c).</w:t>
      </w:r>
    </w:p>
    <w:p w14:paraId="2BB0D81B" w14:textId="3A5F56C1" w:rsidR="006F1BD6" w:rsidRDefault="006F1BD6" w:rsidP="008C7B22">
      <w:pPr>
        <w:rPr>
          <w:color w:val="000000" w:themeColor="text1"/>
        </w:rPr>
      </w:pPr>
    </w:p>
    <w:p w14:paraId="769006DF" w14:textId="6A7281E1" w:rsidR="006F1BD6" w:rsidRPr="006F1BD6" w:rsidRDefault="006F1BD6" w:rsidP="008C7B22">
      <w:pPr>
        <w:rPr>
          <w:u w:val="single"/>
        </w:rPr>
      </w:pPr>
      <w:r>
        <w:tab/>
        <w:t>4.</w:t>
      </w:r>
      <w:r>
        <w:tab/>
      </w:r>
      <w:r>
        <w:rPr>
          <w:u w:val="single"/>
        </w:rPr>
        <w:t>Construction Rejection Claim</w:t>
      </w:r>
    </w:p>
    <w:p w14:paraId="40E4D59B" w14:textId="77777777" w:rsidR="006C6A88" w:rsidRPr="00DE6365" w:rsidRDefault="006C6A88" w:rsidP="006C6A88">
      <w:pPr>
        <w:pStyle w:val="ListParagraph"/>
        <w:ind w:left="1080"/>
        <w:rPr>
          <w:i/>
          <w:iCs/>
        </w:rPr>
      </w:pPr>
    </w:p>
    <w:p w14:paraId="4533D332" w14:textId="4D48876B" w:rsidR="005F6879" w:rsidRDefault="005F6879" w:rsidP="006C6A88">
      <w:pPr>
        <w:ind w:firstLine="720"/>
        <w:rPr>
          <w:color w:val="000000" w:themeColor="text1"/>
        </w:rPr>
      </w:pPr>
      <w:r>
        <w:rPr>
          <w:color w:val="000000" w:themeColor="text1"/>
        </w:rPr>
        <w:t>Although Parent acknowledges that she initially accepted the 2019-2020 IEP</w:t>
      </w:r>
      <w:r w:rsidR="007F6CCA">
        <w:rPr>
          <w:color w:val="000000" w:themeColor="text1"/>
        </w:rPr>
        <w:t xml:space="preserve"> and never explicitly rejected it</w:t>
      </w:r>
      <w:r>
        <w:rPr>
          <w:color w:val="000000" w:themeColor="text1"/>
        </w:rPr>
        <w:t>, Parent contends that requesting a Team meeting, providing notes from a doctor excusing Stewart from school, and reporting to a police officer who came to her home that she intended to move Stewart to a different school, together, constitute constructive rejection of Stewart’s 2019-2020 IEP.</w:t>
      </w:r>
      <w:r w:rsidR="007F6CCA">
        <w:rPr>
          <w:rStyle w:val="FootnoteReference"/>
          <w:color w:val="000000" w:themeColor="text1"/>
        </w:rPr>
        <w:footnoteReference w:id="73"/>
      </w:r>
      <w:r>
        <w:rPr>
          <w:color w:val="000000" w:themeColor="text1"/>
        </w:rPr>
        <w:t xml:space="preserve"> As such, she should be able to challenge the contents of that IEP, not just its imp</w:t>
      </w:r>
      <w:r w:rsidR="007F6CCA">
        <w:rPr>
          <w:color w:val="000000" w:themeColor="text1"/>
        </w:rPr>
        <w:t>l</w:t>
      </w:r>
      <w:r>
        <w:rPr>
          <w:color w:val="000000" w:themeColor="text1"/>
        </w:rPr>
        <w:t>ementation.</w:t>
      </w:r>
      <w:r w:rsidR="007F6CCA">
        <w:rPr>
          <w:color w:val="000000" w:themeColor="text1"/>
        </w:rPr>
        <w:t xml:space="preserve"> The evidence before me establishes that a </w:t>
      </w:r>
      <w:r w:rsidR="007F6CCA">
        <w:t>T</w:t>
      </w:r>
      <w:r w:rsidR="007F6CCA" w:rsidRPr="00DE6365">
        <w:t>eam meeting</w:t>
      </w:r>
      <w:r w:rsidR="007F6CCA">
        <w:t xml:space="preserve"> was</w:t>
      </w:r>
      <w:r w:rsidR="007F6CCA" w:rsidRPr="00DE6365">
        <w:t xml:space="preserve"> held in November 2019, at Parent’s request, and</w:t>
      </w:r>
      <w:r w:rsidR="007F6CCA">
        <w:t xml:space="preserve"> another was held in</w:t>
      </w:r>
      <w:r w:rsidR="007F6CCA" w:rsidRPr="00DE6365">
        <w:t xml:space="preserve"> March 2020</w:t>
      </w:r>
      <w:r w:rsidR="007F6CCA">
        <w:t xml:space="preserve">. No </w:t>
      </w:r>
      <w:r w:rsidR="007F6CCA" w:rsidRPr="00DE6365">
        <w:t xml:space="preserve">evidence </w:t>
      </w:r>
      <w:r w:rsidR="007F6CCA">
        <w:t>was presented that Parent informed the Team either verbally, at these meetings, or in writing, that she was rescinding her acceptance of, and/or rejecting, the 2019-2020 IEP. Moreover, t</w:t>
      </w:r>
      <w:r w:rsidR="007F6CCA" w:rsidRPr="00DE6365">
        <w:t>he evidence offered in connection with Parent’s choice to keep Stewart out of school (i.e., the letters and testimony from the pediatrician) do not reference Stewart’s IEP goals or services as the rationale for keeping Stewart home</w:t>
      </w:r>
      <w:r w:rsidR="007F6CCA">
        <w:t xml:space="preserve">, nor did </w:t>
      </w:r>
      <w:r w:rsidR="002148B4">
        <w:t>Parent</w:t>
      </w:r>
      <w:r w:rsidR="007F6CCA">
        <w:t xml:space="preserve"> appear to report to the Acton police officer that she would not send Stewart back to the Merriam </w:t>
      </w:r>
      <w:r w:rsidR="00E36EE3">
        <w:t xml:space="preserve">School </w:t>
      </w:r>
      <w:r w:rsidR="007F6CCA">
        <w:t xml:space="preserve">because of </w:t>
      </w:r>
      <w:r w:rsidR="00E36EE3">
        <w:t>his</w:t>
      </w:r>
      <w:r w:rsidR="007F6CCA">
        <w:t xml:space="preserve"> IEP or his </w:t>
      </w:r>
      <w:r w:rsidR="007F6CCA" w:rsidRPr="00A37B2B">
        <w:t>special education needs.</w:t>
      </w:r>
      <w:r w:rsidR="007F6CCA" w:rsidRPr="00A37B2B">
        <w:rPr>
          <w:rStyle w:val="FootnoteReference"/>
        </w:rPr>
        <w:footnoteReference w:id="74"/>
      </w:r>
    </w:p>
    <w:p w14:paraId="5E8A4CDB" w14:textId="77777777" w:rsidR="005F6879" w:rsidRDefault="005F6879" w:rsidP="006C6A88">
      <w:pPr>
        <w:ind w:firstLine="720"/>
        <w:rPr>
          <w:color w:val="000000" w:themeColor="text1"/>
        </w:rPr>
      </w:pPr>
    </w:p>
    <w:p w14:paraId="2068CB3E" w14:textId="02EE786D" w:rsidR="006C6A88" w:rsidRPr="00DB0256" w:rsidRDefault="00E36EE3" w:rsidP="00DB0256">
      <w:pPr>
        <w:ind w:firstLine="720"/>
        <w:rPr>
          <w:rFonts w:eastAsiaTheme="minorEastAsia"/>
        </w:rPr>
      </w:pPr>
      <w:r>
        <w:rPr>
          <w:rFonts w:eastAsiaTheme="minorEastAsia"/>
          <w:color w:val="000000" w:themeColor="text1"/>
        </w:rPr>
        <w:t>G</w:t>
      </w:r>
      <w:r w:rsidR="00160C3D">
        <w:rPr>
          <w:rFonts w:eastAsiaTheme="minorEastAsia"/>
        </w:rPr>
        <w:t>enerally, to express discontent with an IEP, parents may reject the IEP in whole or in part; request a meeting to discuss the rejected portions of the IEP or its overall adequacy; or, if mutually agreed upon, accepted an amended proposal.</w:t>
      </w:r>
      <w:r w:rsidR="00160C3D">
        <w:rPr>
          <w:rStyle w:val="FootnoteReference"/>
          <w:rFonts w:eastAsiaTheme="minorEastAsia"/>
        </w:rPr>
        <w:footnoteReference w:id="75"/>
      </w:r>
      <w:r w:rsidR="00DB0256">
        <w:rPr>
          <w:rFonts w:eastAsiaTheme="minorEastAsia"/>
        </w:rPr>
        <w:t xml:space="preserve"> This may occur at any time prior to the expiration of the IEP. BSEA </w:t>
      </w:r>
      <w:r w:rsidR="00DB0256">
        <w:t>H</w:t>
      </w:r>
      <w:r w:rsidR="006C6A88">
        <w:t xml:space="preserve">earing </w:t>
      </w:r>
      <w:r w:rsidR="00DB0256">
        <w:t>O</w:t>
      </w:r>
      <w:r w:rsidR="006C6A88">
        <w:t xml:space="preserve">fficers have concluded that </w:t>
      </w:r>
      <w:proofErr w:type="gramStart"/>
      <w:r w:rsidR="006C6A88">
        <w:t>in particular instances</w:t>
      </w:r>
      <w:proofErr w:type="gramEnd"/>
      <w:r w:rsidR="006C6A88">
        <w:t xml:space="preserve"> explicit rejection of an IEP is not required. </w:t>
      </w:r>
      <w:r>
        <w:t xml:space="preserve">This inquiry is fact-intensive. </w:t>
      </w:r>
      <w:r w:rsidR="006C6A88">
        <w:t>C</w:t>
      </w:r>
      <w:r w:rsidR="006C6A88" w:rsidRPr="00DE6365">
        <w:t xml:space="preserve">onstructive rejection has been </w:t>
      </w:r>
      <w:r w:rsidR="006C6A88" w:rsidRPr="00DE6365">
        <w:lastRenderedPageBreak/>
        <w:t xml:space="preserve">found where </w:t>
      </w:r>
      <w:r w:rsidR="005F6879">
        <w:t xml:space="preserve">parents </w:t>
      </w:r>
      <w:r w:rsidR="006C6A88" w:rsidRPr="00DE6365">
        <w:t xml:space="preserve">notified </w:t>
      </w:r>
      <w:r w:rsidR="005F6879">
        <w:t>a di</w:t>
      </w:r>
      <w:r w:rsidR="006C6A88" w:rsidRPr="00DE6365">
        <w:t xml:space="preserve">strict of their intent to enroll </w:t>
      </w:r>
      <w:r w:rsidR="005F6879">
        <w:t>their child</w:t>
      </w:r>
      <w:r w:rsidR="006C6A88" w:rsidRPr="00DE6365">
        <w:t xml:space="preserve"> at an alternative placement</w:t>
      </w:r>
      <w:r w:rsidR="005F6879">
        <w:t xml:space="preserve"> and</w:t>
      </w:r>
      <w:r w:rsidR="006C6A88" w:rsidRPr="00DE6365">
        <w:t xml:space="preserve"> hold the </w:t>
      </w:r>
      <w:r w:rsidR="005F6879">
        <w:t xml:space="preserve">district </w:t>
      </w:r>
      <w:r w:rsidR="006C6A88">
        <w:t xml:space="preserve">financially </w:t>
      </w:r>
      <w:r w:rsidR="006C6A88" w:rsidRPr="00DE6365">
        <w:t>responsible</w:t>
      </w:r>
      <w:r w:rsidR="006C6A88">
        <w:t xml:space="preserve"> for such placement</w:t>
      </w:r>
      <w:r w:rsidR="006C6A88" w:rsidRPr="00DE6365">
        <w:t>, and the subsequent enrollment of the student in another school.</w:t>
      </w:r>
      <w:r w:rsidR="006C6A88" w:rsidRPr="00DE6365">
        <w:rPr>
          <w:rStyle w:val="FootnoteReference"/>
        </w:rPr>
        <w:footnoteReference w:id="76"/>
      </w:r>
      <w:r w:rsidR="006C6A88" w:rsidRPr="00DB0256">
        <w:rPr>
          <w:vertAlign w:val="superscript"/>
        </w:rPr>
        <w:t>,</w:t>
      </w:r>
      <w:r w:rsidR="007F6CCA" w:rsidRPr="00DE6365">
        <w:t xml:space="preserve"> </w:t>
      </w:r>
      <w:r w:rsidR="006C6A88" w:rsidRPr="00DE6365">
        <w:t>Alternatively, constructive rejection was not found where parents raised concerns about the student’s IEP and ultimately decided to home school the student, in the absence of formally withdrawing the student from school.</w:t>
      </w:r>
      <w:r w:rsidR="006C6A88" w:rsidRPr="00DE6365">
        <w:rPr>
          <w:rStyle w:val="FootnoteReference"/>
        </w:rPr>
        <w:footnoteReference w:id="77"/>
      </w:r>
    </w:p>
    <w:p w14:paraId="6F49D280" w14:textId="77777777" w:rsidR="006C6A88" w:rsidRDefault="006C6A88" w:rsidP="006C6A88">
      <w:pPr>
        <w:ind w:firstLine="720"/>
      </w:pPr>
    </w:p>
    <w:p w14:paraId="7E1D758D" w14:textId="02B21D0B" w:rsidR="006C6A88" w:rsidRPr="00DE6365" w:rsidRDefault="007F6CCA" w:rsidP="00D625C5">
      <w:pPr>
        <w:ind w:firstLine="720"/>
      </w:pPr>
      <w:r>
        <w:t>The evidence before me and the inferences I may draw therefrom, viewed in the light most favorable to Parent, demonstrates that the District was aware, prior to the expiration of the 2019-2020 IEP, that Parent wanted Stewart to change schools</w:t>
      </w:r>
      <w:r w:rsidR="00D625C5">
        <w:t xml:space="preserve">, and that Stewart was missing school. Parent did not communicate to the District that either of these actions was linked to Stewart’s special education or related services. It would not be reasonable to infer that these actions constituted a rejection of the IEP. As such, the evidence is insufficient to me to find, by a preponderance of the evidence, that Parent rejected the IEP constructively during its term. The </w:t>
      </w:r>
      <w:r w:rsidR="006C6A88">
        <w:t xml:space="preserve">District is entitled to a directed verdict on </w:t>
      </w:r>
      <w:r w:rsidR="00D625C5">
        <w:t>claim (C)</w:t>
      </w:r>
      <w:r w:rsidR="006C6A88">
        <w:t>.</w:t>
      </w:r>
    </w:p>
    <w:p w14:paraId="4B33A892" w14:textId="77777777" w:rsidR="006C6A88" w:rsidRPr="00DE6365" w:rsidRDefault="006C6A88" w:rsidP="006C6A88">
      <w:pPr>
        <w:rPr>
          <w:i/>
          <w:iCs/>
          <w:color w:val="0070C0"/>
        </w:rPr>
      </w:pPr>
    </w:p>
    <w:p w14:paraId="17D6B6BE" w14:textId="77777777" w:rsidR="006C6A88" w:rsidRPr="00C6716C" w:rsidRDefault="006C6A88" w:rsidP="006C6A88">
      <w:r w:rsidRPr="00C6716C">
        <w:t xml:space="preserve">IV.      </w:t>
      </w:r>
      <w:r w:rsidRPr="00C6716C">
        <w:rPr>
          <w:u w:val="single"/>
        </w:rPr>
        <w:t>CONCLUSION</w:t>
      </w:r>
    </w:p>
    <w:p w14:paraId="232D585D" w14:textId="77777777" w:rsidR="006C6A88" w:rsidRPr="00DE6365" w:rsidRDefault="006C6A88" w:rsidP="006C6A88">
      <w:pPr>
        <w:ind w:left="-90"/>
      </w:pPr>
    </w:p>
    <w:p w14:paraId="1DA3AA40" w14:textId="77777777" w:rsidR="006C6A88" w:rsidRPr="00DE6365" w:rsidRDefault="006C6A88" w:rsidP="006C6A88">
      <w:pPr>
        <w:pStyle w:val="ListParagraph"/>
        <w:numPr>
          <w:ilvl w:val="0"/>
          <w:numId w:val="18"/>
        </w:numPr>
        <w:ind w:left="1440" w:hanging="810"/>
      </w:pPr>
      <w:r w:rsidRPr="00DE6365">
        <w:t xml:space="preserve">For the reasons above, the District’s </w:t>
      </w:r>
      <w:r w:rsidRPr="00DE6365">
        <w:rPr>
          <w:i/>
          <w:iCs/>
        </w:rPr>
        <w:t xml:space="preserve">Motion for Directed Verdict </w:t>
      </w:r>
      <w:r w:rsidRPr="00DE6365">
        <w:t>is GRANTED as to “the bullying claims” (</w:t>
      </w:r>
      <w:proofErr w:type="gramStart"/>
      <w:r w:rsidRPr="00DE6365">
        <w:t>A(</w:t>
      </w:r>
      <w:proofErr w:type="gramEnd"/>
      <w:r w:rsidRPr="00DE6365">
        <w:t>1), B(2), B(3)), and for claim C “the constructive rejection claim.”</w:t>
      </w:r>
    </w:p>
    <w:p w14:paraId="2AC71126" w14:textId="77777777" w:rsidR="006C6A88" w:rsidRPr="00DE6365" w:rsidRDefault="006C6A88" w:rsidP="006C6A88">
      <w:pPr>
        <w:pStyle w:val="ListParagraph"/>
        <w:ind w:left="1440"/>
      </w:pPr>
    </w:p>
    <w:p w14:paraId="31E9A59D" w14:textId="50F9B7D9" w:rsidR="006C6A88" w:rsidRPr="00DE6365" w:rsidRDefault="006C6A88" w:rsidP="006C6A88">
      <w:pPr>
        <w:pStyle w:val="ListParagraph"/>
        <w:numPr>
          <w:ilvl w:val="0"/>
          <w:numId w:val="18"/>
        </w:numPr>
        <w:ind w:left="1440" w:hanging="810"/>
      </w:pPr>
      <w:r w:rsidRPr="00DE6365">
        <w:t xml:space="preserve">The District’s </w:t>
      </w:r>
      <w:r w:rsidRPr="00B754C5">
        <w:rPr>
          <w:i/>
          <w:iCs/>
        </w:rPr>
        <w:t>Motion for Directed Verdict</w:t>
      </w:r>
      <w:r w:rsidRPr="00DE6365">
        <w:t xml:space="preserve"> is entered IN PART for </w:t>
      </w:r>
      <w:r>
        <w:t xml:space="preserve">the “SRO </w:t>
      </w:r>
      <w:r w:rsidRPr="00DE6365">
        <w:t>claims</w:t>
      </w:r>
      <w:r>
        <w:t>”</w:t>
      </w:r>
      <w:r w:rsidRPr="00DE6365">
        <w:t xml:space="preserve"> </w:t>
      </w:r>
      <w:proofErr w:type="gramStart"/>
      <w:r w:rsidRPr="00DE6365">
        <w:t>A(</w:t>
      </w:r>
      <w:proofErr w:type="gramEnd"/>
      <w:r w:rsidRPr="00DE6365">
        <w:t xml:space="preserve">3) and B(1)(A), </w:t>
      </w:r>
      <w:r>
        <w:t>as to the incidents on January 7, 2020 a</w:t>
      </w:r>
      <w:r w:rsidR="00E36EE3">
        <w:t>n</w:t>
      </w:r>
      <w:r>
        <w:t xml:space="preserve">d January 8, 2020, but not as to claims </w:t>
      </w:r>
      <w:r w:rsidRPr="00DE6365">
        <w:t xml:space="preserve">regarding January 9, 2020. </w:t>
      </w:r>
    </w:p>
    <w:p w14:paraId="6B834476" w14:textId="77777777" w:rsidR="006C6A88" w:rsidRPr="00DE6365" w:rsidRDefault="006C6A88" w:rsidP="006C6A88">
      <w:pPr>
        <w:pStyle w:val="ListParagraph"/>
        <w:ind w:left="1440"/>
      </w:pPr>
    </w:p>
    <w:p w14:paraId="25E64733" w14:textId="170EF0E7" w:rsidR="006C6A88" w:rsidRDefault="006C6A88" w:rsidP="006C6A88">
      <w:pPr>
        <w:pStyle w:val="ListParagraph"/>
        <w:numPr>
          <w:ilvl w:val="0"/>
          <w:numId w:val="18"/>
        </w:numPr>
        <w:ind w:left="1440" w:hanging="810"/>
      </w:pPr>
      <w:r w:rsidRPr="00DE6365">
        <w:t xml:space="preserve">The District’s </w:t>
      </w:r>
      <w:r w:rsidRPr="00B754C5">
        <w:rPr>
          <w:i/>
          <w:iCs/>
        </w:rPr>
        <w:t>Motion for Directed Verdict</w:t>
      </w:r>
      <w:r w:rsidRPr="00DE6365">
        <w:t xml:space="preserve"> is DENIED </w:t>
      </w:r>
      <w:r>
        <w:t xml:space="preserve">with </w:t>
      </w:r>
      <w:r w:rsidRPr="00DE6365">
        <w:t xml:space="preserve">regard to claims </w:t>
      </w:r>
      <w:proofErr w:type="gramStart"/>
      <w:r w:rsidRPr="00DE6365">
        <w:t>A(</w:t>
      </w:r>
      <w:proofErr w:type="gramEnd"/>
      <w:r w:rsidRPr="00DE6365">
        <w:t>4) and B(1)(c), “the inappropriate consequences claims.”</w:t>
      </w:r>
    </w:p>
    <w:p w14:paraId="1C1D6D89" w14:textId="77777777" w:rsidR="00DB0256" w:rsidRPr="00DE6365" w:rsidRDefault="00DB0256" w:rsidP="00DB0256">
      <w:pPr>
        <w:pStyle w:val="ListParagraph"/>
        <w:ind w:left="1440"/>
      </w:pPr>
    </w:p>
    <w:p w14:paraId="0E462B66" w14:textId="77777777" w:rsidR="006C6A88" w:rsidRDefault="006C6A88" w:rsidP="006C6A88"/>
    <w:p w14:paraId="34FBA08D" w14:textId="77777777" w:rsidR="006C6A88" w:rsidRPr="00DE6365" w:rsidRDefault="006C6A88" w:rsidP="006C6A88">
      <w:pPr>
        <w:rPr>
          <w:b/>
          <w:bCs/>
        </w:rPr>
      </w:pPr>
      <w:r w:rsidRPr="00DE6365">
        <w:rPr>
          <w:b/>
          <w:bCs/>
        </w:rPr>
        <w:t xml:space="preserve">ORDER </w:t>
      </w:r>
    </w:p>
    <w:p w14:paraId="344B196A" w14:textId="77777777" w:rsidR="006C6A88" w:rsidRPr="00DE6365" w:rsidRDefault="006C6A88" w:rsidP="006C6A88">
      <w:pPr>
        <w:rPr>
          <w:b/>
          <w:bCs/>
        </w:rPr>
      </w:pPr>
    </w:p>
    <w:p w14:paraId="401AC954" w14:textId="794EAB1B" w:rsidR="006C6A88" w:rsidRDefault="006C6A88" w:rsidP="006C6A88">
      <w:r w:rsidRPr="00DE6365">
        <w:t xml:space="preserve">This matter is continued to June 7, 2021 for </w:t>
      </w:r>
      <w:r w:rsidR="00DB0256">
        <w:t>Hearing on the</w:t>
      </w:r>
      <w:r w:rsidRPr="00DE6365">
        <w:t xml:space="preserve"> </w:t>
      </w:r>
      <w:r w:rsidR="00DB0256">
        <w:t>following</w:t>
      </w:r>
      <w:r w:rsidRPr="00DE6365">
        <w:t xml:space="preserve"> claims: </w:t>
      </w:r>
    </w:p>
    <w:p w14:paraId="5A0727B6" w14:textId="5F8B6986" w:rsidR="00DB0256" w:rsidRDefault="00DB0256" w:rsidP="006C6A88"/>
    <w:p w14:paraId="025C35EA" w14:textId="4889713A" w:rsidR="00DB0256" w:rsidRDefault="00DB0256" w:rsidP="00DB0256">
      <w:pPr>
        <w:ind w:left="990" w:hanging="270"/>
      </w:pPr>
      <w:r>
        <w:t>A.</w:t>
      </w:r>
      <w:r>
        <w:tab/>
      </w:r>
      <w:r>
        <w:tab/>
        <w:t xml:space="preserve">Whether Acton-Boxborough discriminated against Stewart in violation of §504 of </w:t>
      </w:r>
      <w:r>
        <w:tab/>
        <w:t>the Rehabilitation Act of 1973, through:</w:t>
      </w:r>
    </w:p>
    <w:p w14:paraId="5BC98EFE" w14:textId="5E7F86B4" w:rsidR="00DB0256" w:rsidRDefault="00DB0256" w:rsidP="00DB0256">
      <w:pPr>
        <w:ind w:left="990" w:hanging="270"/>
      </w:pPr>
    </w:p>
    <w:p w14:paraId="5D5F9ED3" w14:textId="04C401DD" w:rsidR="00DB0256" w:rsidRDefault="00DB0256" w:rsidP="00DB0256">
      <w:pPr>
        <w:ind w:left="1440" w:hanging="450"/>
      </w:pPr>
      <w:r>
        <w:t>(2)</w:t>
      </w:r>
      <w:r>
        <w:tab/>
      </w:r>
      <w:r w:rsidRPr="00DE6365">
        <w:t>changes in Stewart’s IEP services (addition of 1:1 aide, removal from general education classes) without parental consent between January and March 2020;</w:t>
      </w:r>
    </w:p>
    <w:p w14:paraId="73D21404" w14:textId="5D56CCDF" w:rsidR="00DB0256" w:rsidRDefault="00DB0256" w:rsidP="00DB0256">
      <w:pPr>
        <w:ind w:left="990" w:hanging="270"/>
      </w:pPr>
    </w:p>
    <w:p w14:paraId="65FE64BF" w14:textId="2006D26A" w:rsidR="00DB0256" w:rsidRDefault="00DB0256" w:rsidP="00DB0256">
      <w:pPr>
        <w:ind w:left="1440" w:hanging="450"/>
      </w:pPr>
      <w:r>
        <w:lastRenderedPageBreak/>
        <w:t xml:space="preserve">(3) </w:t>
      </w:r>
      <w:r>
        <w:tab/>
        <w:t>involvement of the SRO in responding to Stewart’s dysregulation on January 9, 2020; and/or</w:t>
      </w:r>
    </w:p>
    <w:p w14:paraId="649EEF94" w14:textId="4059E219" w:rsidR="00DB0256" w:rsidRDefault="00DB0256" w:rsidP="00DB0256">
      <w:pPr>
        <w:ind w:left="990" w:hanging="270"/>
      </w:pPr>
    </w:p>
    <w:p w14:paraId="5343B10C" w14:textId="11A41ADD" w:rsidR="00DB0256" w:rsidRDefault="00DB0256" w:rsidP="00DB0256">
      <w:pPr>
        <w:ind w:left="1440" w:hanging="450"/>
      </w:pPr>
      <w:r>
        <w:t xml:space="preserve">(4) </w:t>
      </w:r>
      <w:r>
        <w:tab/>
        <w:t>imposition of inappropriate consequences and punishment (i.e., cleaning the classroom, removal from classroom, disallowing bathroom use, preventing access to mother) for manifestations of Stewart’s disability (i.e., behavioral dysregulation) between December 2019 and January 2020;</w:t>
      </w:r>
    </w:p>
    <w:p w14:paraId="76F89D38" w14:textId="3AB46741" w:rsidR="00DB0256" w:rsidRDefault="00DB0256" w:rsidP="00DB0256">
      <w:pPr>
        <w:ind w:left="990" w:hanging="270"/>
      </w:pPr>
    </w:p>
    <w:p w14:paraId="6A4419A8" w14:textId="77777777" w:rsidR="00DB0256" w:rsidRDefault="00DB0256" w:rsidP="00DB0256">
      <w:pPr>
        <w:ind w:left="1440" w:hanging="720"/>
      </w:pPr>
      <w:r>
        <w:t>B.</w:t>
      </w:r>
      <w:r>
        <w:tab/>
        <w:t>Whether</w:t>
      </w:r>
      <w:r w:rsidRPr="00DE6365">
        <w:t xml:space="preserve"> Acton-Boxborough denied Stewart a FAPE in violation of the Individuals with Disabilities Education Act by </w:t>
      </w:r>
    </w:p>
    <w:p w14:paraId="7FA8A84D" w14:textId="77777777" w:rsidR="00DB0256" w:rsidRDefault="00DB0256" w:rsidP="00DB0256">
      <w:pPr>
        <w:ind w:left="1440" w:hanging="720"/>
      </w:pPr>
    </w:p>
    <w:p w14:paraId="2F0D38C0" w14:textId="5FA75AEA" w:rsidR="00DB0256" w:rsidRDefault="00DB0256" w:rsidP="00DB0256">
      <w:pPr>
        <w:ind w:left="1440" w:hanging="450"/>
      </w:pPr>
      <w:r w:rsidRPr="00DE6365">
        <w:t xml:space="preserve">(1) </w:t>
      </w:r>
      <w:r>
        <w:tab/>
      </w:r>
      <w:r w:rsidRPr="00DE6365">
        <w:t xml:space="preserve">failing to implement an accepted, expired IEP dated March 28, 2019 to March 27, 2020 through </w:t>
      </w:r>
    </w:p>
    <w:p w14:paraId="1DCF847E" w14:textId="77777777" w:rsidR="00DB0256" w:rsidRDefault="00DB0256" w:rsidP="00DB0256">
      <w:pPr>
        <w:ind w:left="1440" w:hanging="450"/>
      </w:pPr>
    </w:p>
    <w:p w14:paraId="3E8B3109" w14:textId="3257998D" w:rsidR="00DB0256" w:rsidRDefault="00DB0256" w:rsidP="00DB0256">
      <w:pPr>
        <w:ind w:left="1440"/>
      </w:pPr>
      <w:r>
        <w:t xml:space="preserve">(a) </w:t>
      </w:r>
      <w:r>
        <w:tab/>
        <w:t>use of the SRO in response to Stewart’s dysregulation on January 9, 2020;</w:t>
      </w:r>
    </w:p>
    <w:p w14:paraId="76D4F444" w14:textId="77777777" w:rsidR="00DB0256" w:rsidRDefault="00DB0256" w:rsidP="00DB0256">
      <w:pPr>
        <w:ind w:left="1440"/>
      </w:pPr>
    </w:p>
    <w:p w14:paraId="72F73257" w14:textId="65AA8831" w:rsidR="00DB0256" w:rsidRDefault="00DB0256" w:rsidP="00DB0256">
      <w:pPr>
        <w:ind w:left="2160" w:hanging="720"/>
      </w:pPr>
      <w:r w:rsidRPr="00DE6365">
        <w:t xml:space="preserve">(b) </w:t>
      </w:r>
      <w:r>
        <w:tab/>
      </w:r>
      <w:r w:rsidRPr="00DE6365">
        <w:t>alteration of IEP services without the consent of his parent/guardian (i.e., assignment of 1:1 aide, pull-out from general education classes) between December 2019 and March 2020</w:t>
      </w:r>
      <w:r>
        <w:t>;</w:t>
      </w:r>
    </w:p>
    <w:p w14:paraId="53E1192D" w14:textId="7D8FADC8" w:rsidR="00DB0256" w:rsidRDefault="00DB0256" w:rsidP="00DB0256">
      <w:pPr>
        <w:ind w:left="1440"/>
      </w:pPr>
    </w:p>
    <w:p w14:paraId="0C0ADB14" w14:textId="317DA68D" w:rsidR="00DB0256" w:rsidRDefault="00DB0256" w:rsidP="00B706D5">
      <w:pPr>
        <w:ind w:left="2160" w:hanging="720"/>
      </w:pPr>
      <w:r>
        <w:t xml:space="preserve">(c)  </w:t>
      </w:r>
      <w:r>
        <w:tab/>
        <w:t xml:space="preserve">failure to utilize positive behavior interventions and instead imposing inappropriate </w:t>
      </w:r>
      <w:r w:rsidR="00B706D5">
        <w:t>consequences and punishment (</w:t>
      </w:r>
      <w:proofErr w:type="gramStart"/>
      <w:r w:rsidR="00B706D5">
        <w:t>i.e.</w:t>
      </w:r>
      <w:proofErr w:type="gramEnd"/>
      <w:r w:rsidR="00B706D5">
        <w:t xml:space="preserve"> cleaning the classroom, removal from classroom, disallowing bathroom use, preventing access to mother) on Stewart between December 2019 and January 2020</w:t>
      </w:r>
    </w:p>
    <w:p w14:paraId="65FB8E45" w14:textId="77777777" w:rsidR="00B706D5" w:rsidRDefault="00B706D5" w:rsidP="00B706D5">
      <w:pPr>
        <w:pStyle w:val="NoSpacing"/>
      </w:pPr>
    </w:p>
    <w:p w14:paraId="1DCBF671" w14:textId="243C40D7" w:rsidR="00E71824" w:rsidRDefault="006C6A88" w:rsidP="00B706D5">
      <w:pPr>
        <w:pStyle w:val="NoSpacing"/>
        <w:ind w:firstLine="720"/>
      </w:pPr>
      <w:r w:rsidRPr="00DE6365">
        <w:t>D</w:t>
      </w:r>
      <w:r w:rsidR="00B706D5">
        <w:t>.</w:t>
      </w:r>
      <w:r w:rsidR="00B706D5">
        <w:tab/>
      </w:r>
      <w:r>
        <w:t xml:space="preserve"> </w:t>
      </w:r>
      <w:r w:rsidRPr="00DE6365">
        <w:t>If the answer to (A)</w:t>
      </w:r>
      <w:r w:rsidR="00DB0256">
        <w:t xml:space="preserve"> or</w:t>
      </w:r>
      <w:r w:rsidRPr="00DE6365">
        <w:t xml:space="preserve"> (B) is yes, what is the appropriate remedy?</w:t>
      </w:r>
    </w:p>
    <w:p w14:paraId="5AAADC06" w14:textId="77777777" w:rsidR="00DB0256" w:rsidRPr="001A5086" w:rsidRDefault="00DB0256" w:rsidP="00DB0256">
      <w:pPr>
        <w:pStyle w:val="NoSpacing"/>
        <w:ind w:left="1710"/>
      </w:pPr>
    </w:p>
    <w:p w14:paraId="148C5D8E" w14:textId="77777777" w:rsidR="00796BD8" w:rsidRDefault="00796BD8" w:rsidP="006C6A88"/>
    <w:p w14:paraId="1B3B29E2" w14:textId="7F3104D7" w:rsidR="00796BD8" w:rsidRDefault="00796BD8" w:rsidP="006C6A88">
      <w:r w:rsidRPr="00C42532">
        <w:t>By the Hearing Officer</w:t>
      </w:r>
      <w:r>
        <w:t>:</w:t>
      </w:r>
      <w:r w:rsidRPr="00CC2007">
        <w:rPr>
          <w:rStyle w:val="FootnoteReference"/>
        </w:rPr>
        <w:footnoteReference w:id="78"/>
      </w:r>
    </w:p>
    <w:p w14:paraId="1693B1A1" w14:textId="77777777" w:rsidR="005F681A" w:rsidRPr="006B69D4" w:rsidRDefault="005F681A" w:rsidP="006C6A88"/>
    <w:p w14:paraId="47C294A0" w14:textId="77777777" w:rsidR="00796BD8" w:rsidRPr="00CD2E74" w:rsidRDefault="00796BD8" w:rsidP="006C6A88">
      <w:pPr>
        <w:rPr>
          <w:rFonts w:ascii="Freestyle Script" w:hAnsi="Freestyle Script"/>
          <w:sz w:val="32"/>
          <w:szCs w:val="32"/>
        </w:rPr>
      </w:pPr>
      <w:r w:rsidRPr="00CD2E74">
        <w:rPr>
          <w:u w:val="single"/>
        </w:rPr>
        <w:t>/s</w:t>
      </w:r>
      <w:proofErr w:type="gramStart"/>
      <w:r w:rsidRPr="00CD2E74">
        <w:rPr>
          <w:u w:val="single"/>
        </w:rPr>
        <w:t xml:space="preserve">/  </w:t>
      </w:r>
      <w:r w:rsidRPr="00CD2E74">
        <w:rPr>
          <w:rFonts w:ascii="Freestyle Script" w:hAnsi="Freestyle Script"/>
          <w:sz w:val="32"/>
          <w:szCs w:val="32"/>
          <w:u w:val="single"/>
        </w:rPr>
        <w:t>Amy</w:t>
      </w:r>
      <w:proofErr w:type="gramEnd"/>
      <w:r w:rsidRPr="00CD2E74">
        <w:rPr>
          <w:rFonts w:ascii="Freestyle Script" w:hAnsi="Freestyle Script"/>
          <w:sz w:val="32"/>
          <w:szCs w:val="32"/>
          <w:u w:val="single"/>
        </w:rPr>
        <w:t xml:space="preserve"> M. Reichbach</w:t>
      </w:r>
    </w:p>
    <w:p w14:paraId="3A387BE5" w14:textId="69C664D7" w:rsidR="001A5086" w:rsidRPr="005F681A" w:rsidRDefault="001A5086" w:rsidP="006C6A88">
      <w:pPr>
        <w:tabs>
          <w:tab w:val="left" w:pos="4084"/>
        </w:tabs>
      </w:pPr>
      <w:r w:rsidRPr="001A5086">
        <w:t xml:space="preserve">Dated: </w:t>
      </w:r>
      <w:r w:rsidR="006C6A88">
        <w:t xml:space="preserve">June </w:t>
      </w:r>
      <w:r w:rsidR="00B706D5">
        <w:t>7</w:t>
      </w:r>
      <w:r w:rsidR="00796BD8">
        <w:t>, 2021</w:t>
      </w:r>
      <w:r w:rsidRPr="001A5086">
        <w:rPr>
          <w:b/>
        </w:rPr>
        <w:tab/>
      </w:r>
      <w:r w:rsidRPr="001A5086">
        <w:rPr>
          <w:b/>
        </w:rPr>
        <w:tab/>
      </w:r>
    </w:p>
    <w:p w14:paraId="23F5CA5F" w14:textId="77777777" w:rsidR="001A5086" w:rsidRPr="001A5086" w:rsidRDefault="001A5086" w:rsidP="006C6A88">
      <w:pPr>
        <w:pStyle w:val="NoSpacing"/>
      </w:pPr>
    </w:p>
    <w:p w14:paraId="346B793D" w14:textId="34BA1415" w:rsidR="00806940" w:rsidRPr="001A5086" w:rsidRDefault="00806940" w:rsidP="006C6A88">
      <w:pPr>
        <w:pStyle w:val="ListParagraph"/>
        <w:ind w:left="1800"/>
      </w:pPr>
    </w:p>
    <w:p w14:paraId="15A354F6" w14:textId="77777777" w:rsidR="006C6A88" w:rsidRPr="001A5086" w:rsidRDefault="006C6A88" w:rsidP="006C6A88">
      <w:pPr>
        <w:pStyle w:val="ListParagraph"/>
        <w:ind w:left="1800"/>
      </w:pPr>
    </w:p>
    <w:sectPr w:rsidR="006C6A88" w:rsidRPr="001A5086" w:rsidSect="009435C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9EC3" w14:textId="77777777" w:rsidR="0042686E" w:rsidRDefault="0042686E" w:rsidP="00957D05">
      <w:r>
        <w:separator/>
      </w:r>
    </w:p>
  </w:endnote>
  <w:endnote w:type="continuationSeparator" w:id="0">
    <w:p w14:paraId="0337D7FD" w14:textId="77777777" w:rsidR="0042686E" w:rsidRDefault="0042686E" w:rsidP="0095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4237211"/>
      <w:docPartObj>
        <w:docPartGallery w:val="Page Numbers (Bottom of Page)"/>
        <w:docPartUnique/>
      </w:docPartObj>
    </w:sdtPr>
    <w:sdtEndPr>
      <w:rPr>
        <w:rStyle w:val="PageNumber"/>
      </w:rPr>
    </w:sdtEndPr>
    <w:sdtContent>
      <w:p w14:paraId="560EF078" w14:textId="307D74A5" w:rsidR="00AD082A" w:rsidRDefault="00AD082A" w:rsidP="00B313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259E1" w14:textId="77777777" w:rsidR="00AD082A" w:rsidRDefault="00AD0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037241"/>
      <w:docPartObj>
        <w:docPartGallery w:val="Page Numbers (Bottom of Page)"/>
        <w:docPartUnique/>
      </w:docPartObj>
    </w:sdtPr>
    <w:sdtEndPr>
      <w:rPr>
        <w:rStyle w:val="PageNumber"/>
      </w:rPr>
    </w:sdtEndPr>
    <w:sdtContent>
      <w:p w14:paraId="3465ED66" w14:textId="712A14D2" w:rsidR="00AD082A" w:rsidRDefault="00AD082A" w:rsidP="00B313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36E116" w14:textId="77777777" w:rsidR="00AD082A" w:rsidRDefault="00AD0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FB24" w14:textId="77777777" w:rsidR="0042686E" w:rsidRDefault="0042686E" w:rsidP="00957D05">
      <w:r>
        <w:separator/>
      </w:r>
    </w:p>
  </w:footnote>
  <w:footnote w:type="continuationSeparator" w:id="0">
    <w:p w14:paraId="1A4AD6D0" w14:textId="77777777" w:rsidR="0042686E" w:rsidRDefault="0042686E" w:rsidP="00957D05">
      <w:r>
        <w:continuationSeparator/>
      </w:r>
    </w:p>
  </w:footnote>
  <w:footnote w:id="1">
    <w:p w14:paraId="5EAA9A4F" w14:textId="77777777" w:rsidR="00957D05" w:rsidRPr="003F1A88" w:rsidRDefault="00957D05" w:rsidP="00BF01D4">
      <w:pPr>
        <w:pStyle w:val="NoSpacing"/>
        <w:rPr>
          <w:sz w:val="20"/>
          <w:szCs w:val="20"/>
        </w:rPr>
      </w:pPr>
      <w:r w:rsidRPr="005A3805">
        <w:rPr>
          <w:rStyle w:val="FootnoteReference"/>
          <w:sz w:val="20"/>
          <w:szCs w:val="20"/>
        </w:rPr>
        <w:footnoteRef/>
      </w:r>
      <w:r w:rsidRPr="005A3805">
        <w:rPr>
          <w:sz w:val="20"/>
          <w:szCs w:val="20"/>
        </w:rPr>
        <w:t xml:space="preserve"> “Stewart” is a pseudonym chosen by the Hearing Officer to protect the privacy of the Student in documents available to the public.</w:t>
      </w:r>
    </w:p>
  </w:footnote>
  <w:footnote w:id="2">
    <w:p w14:paraId="0F6365E4" w14:textId="35EB159C" w:rsidR="005F47D2" w:rsidRDefault="005F47D2">
      <w:pPr>
        <w:pStyle w:val="FootnoteText"/>
      </w:pPr>
      <w:r w:rsidRPr="003F1A88">
        <w:rPr>
          <w:rStyle w:val="FootnoteReference"/>
          <w:sz w:val="20"/>
          <w:szCs w:val="20"/>
        </w:rPr>
        <w:footnoteRef/>
      </w:r>
      <w:r w:rsidRPr="003F1A88">
        <w:rPr>
          <w:sz w:val="20"/>
          <w:szCs w:val="20"/>
        </w:rPr>
        <w:t xml:space="preserve"> Those claims </w:t>
      </w:r>
      <w:r w:rsidR="003F1A88" w:rsidRPr="003F1A88">
        <w:rPr>
          <w:sz w:val="20"/>
          <w:szCs w:val="20"/>
        </w:rPr>
        <w:t>on which Acton-Boxborough Regional School District (ABRSD or the District) did not move for directed verdict are not listed here.</w:t>
      </w:r>
    </w:p>
  </w:footnote>
  <w:footnote w:id="3">
    <w:p w14:paraId="73D13B0E" w14:textId="7B1DC2E4" w:rsidR="00C86EFC" w:rsidRPr="00C86EFC" w:rsidRDefault="00037E68">
      <w:pPr>
        <w:pStyle w:val="FootnoteText"/>
        <w:rPr>
          <w:sz w:val="20"/>
          <w:szCs w:val="20"/>
        </w:rPr>
      </w:pPr>
      <w:r>
        <w:rPr>
          <w:rStyle w:val="FootnoteReference"/>
        </w:rPr>
        <w:footnoteRef/>
      </w:r>
      <w:r>
        <w:t xml:space="preserve"> </w:t>
      </w:r>
      <w:r w:rsidRPr="00A06FA5">
        <w:rPr>
          <w:sz w:val="20"/>
          <w:szCs w:val="20"/>
        </w:rPr>
        <w:t xml:space="preserve">Although ABRSD did not supply a basis for its </w:t>
      </w:r>
      <w:r w:rsidRPr="00A06FA5">
        <w:rPr>
          <w:i/>
          <w:iCs/>
          <w:sz w:val="20"/>
          <w:szCs w:val="20"/>
        </w:rPr>
        <w:t xml:space="preserve">Motion for Directed Verdict (Motion), </w:t>
      </w:r>
      <w:r w:rsidR="002C03D5">
        <w:rPr>
          <w:sz w:val="20"/>
          <w:szCs w:val="20"/>
        </w:rPr>
        <w:t xml:space="preserve">801 CMR 1.01(g)(7)(1), applicable to Bureau of Special Education (BSEA) proceedings, permits a Respondent to move to dismiss </w:t>
      </w:r>
      <w:r w:rsidR="0013161F">
        <w:rPr>
          <w:sz w:val="20"/>
          <w:szCs w:val="20"/>
        </w:rPr>
        <w:t>a</w:t>
      </w:r>
      <w:r w:rsidR="002C03D5">
        <w:rPr>
          <w:sz w:val="20"/>
          <w:szCs w:val="20"/>
        </w:rPr>
        <w:t xml:space="preserve"> case, upon completion of the presentation of the Petitioner’s evidence, on the ground that upon the evidence, or the law, or both, the Petitioner has not established her case. For guidance in interpreting and applying this standard, I turn to the Rules of Civil Procedure. Mass. R. Civ. P. 50(a) provides that “a party may move for directed verdict at the close of the evidence offered by an opponent.” </w:t>
      </w:r>
      <w:r w:rsidR="00C86EFC">
        <w:rPr>
          <w:sz w:val="20"/>
          <w:szCs w:val="20"/>
        </w:rPr>
        <w:t xml:space="preserve">The language in </w:t>
      </w:r>
      <w:r w:rsidR="002C03D5">
        <w:rPr>
          <w:sz w:val="20"/>
          <w:szCs w:val="20"/>
        </w:rPr>
        <w:t>Fed. R. Civ. P. 50(a) has been upd</w:t>
      </w:r>
      <w:r w:rsidR="00C86EFC">
        <w:rPr>
          <w:sz w:val="20"/>
          <w:szCs w:val="20"/>
        </w:rPr>
        <w:t>ated from “directed verdict” to”</w:t>
      </w:r>
      <w:r w:rsidR="002C03D5">
        <w:rPr>
          <w:sz w:val="20"/>
          <w:szCs w:val="20"/>
        </w:rPr>
        <w:t xml:space="preserve"> judgment as a matter of law</w:t>
      </w:r>
      <w:r w:rsidR="00C86EFC">
        <w:rPr>
          <w:sz w:val="20"/>
          <w:szCs w:val="20"/>
        </w:rPr>
        <w:t>,” but essentially permits entry of judgment against a party that has been fully heard on an issue if the f</w:t>
      </w:r>
      <w:r w:rsidR="005F47D2">
        <w:rPr>
          <w:sz w:val="20"/>
          <w:szCs w:val="20"/>
        </w:rPr>
        <w:t>inder of fact</w:t>
      </w:r>
      <w:r w:rsidR="00C86EFC">
        <w:rPr>
          <w:sz w:val="20"/>
          <w:szCs w:val="20"/>
        </w:rPr>
        <w:t xml:space="preserve"> “would not have a legally sufficient basis to find for the party on that issue.”</w:t>
      </w:r>
    </w:p>
  </w:footnote>
  <w:footnote w:id="4">
    <w:p w14:paraId="379770BD" w14:textId="4D169F53" w:rsidR="00A06FA5" w:rsidRPr="00CC6C0E" w:rsidRDefault="00A06FA5">
      <w:pPr>
        <w:pStyle w:val="FootnoteText"/>
        <w:rPr>
          <w:sz w:val="20"/>
          <w:szCs w:val="20"/>
        </w:rPr>
      </w:pPr>
      <w:r w:rsidRPr="00A06FA5">
        <w:rPr>
          <w:rStyle w:val="FootnoteReference"/>
          <w:sz w:val="20"/>
          <w:szCs w:val="20"/>
        </w:rPr>
        <w:footnoteRef/>
      </w:r>
      <w:r w:rsidRPr="00A06FA5">
        <w:rPr>
          <w:sz w:val="20"/>
          <w:szCs w:val="20"/>
        </w:rPr>
        <w:t xml:space="preserve"> </w:t>
      </w:r>
      <w:proofErr w:type="spellStart"/>
      <w:r w:rsidRPr="00A06FA5">
        <w:rPr>
          <w:i/>
          <w:iCs/>
          <w:sz w:val="20"/>
          <w:szCs w:val="20"/>
        </w:rPr>
        <w:t>Alholm</w:t>
      </w:r>
      <w:proofErr w:type="spellEnd"/>
      <w:r w:rsidRPr="00A06FA5">
        <w:rPr>
          <w:i/>
          <w:iCs/>
          <w:sz w:val="20"/>
          <w:szCs w:val="20"/>
        </w:rPr>
        <w:t xml:space="preserve"> v. Wareham</w:t>
      </w:r>
      <w:r w:rsidRPr="00A06FA5">
        <w:rPr>
          <w:sz w:val="20"/>
          <w:szCs w:val="20"/>
        </w:rPr>
        <w:t xml:space="preserve">, 371 Mass. 621, 627 (1976) (citing </w:t>
      </w:r>
      <w:proofErr w:type="spellStart"/>
      <w:r w:rsidRPr="00A06FA5">
        <w:rPr>
          <w:i/>
          <w:iCs/>
          <w:sz w:val="20"/>
          <w:szCs w:val="20"/>
        </w:rPr>
        <w:t>DiMarzo</w:t>
      </w:r>
      <w:proofErr w:type="spellEnd"/>
      <w:r w:rsidRPr="00A06FA5">
        <w:rPr>
          <w:i/>
          <w:iCs/>
          <w:sz w:val="20"/>
          <w:szCs w:val="20"/>
        </w:rPr>
        <w:t xml:space="preserve"> v. S. &amp; P. Realty Corp.</w:t>
      </w:r>
      <w:r w:rsidRPr="00A06FA5">
        <w:rPr>
          <w:sz w:val="20"/>
          <w:szCs w:val="20"/>
        </w:rPr>
        <w:t xml:space="preserve">, 364 Mass. 510, 514 </w:t>
      </w:r>
      <w:r w:rsidRPr="00CC6C0E">
        <w:rPr>
          <w:sz w:val="20"/>
          <w:szCs w:val="20"/>
        </w:rPr>
        <w:t>(1974)</w:t>
      </w:r>
      <w:r w:rsidR="0013161F">
        <w:rPr>
          <w:sz w:val="20"/>
          <w:szCs w:val="20"/>
        </w:rPr>
        <w:t>)</w:t>
      </w:r>
      <w:r w:rsidRPr="00CC6C0E">
        <w:rPr>
          <w:sz w:val="20"/>
          <w:szCs w:val="20"/>
        </w:rPr>
        <w:t xml:space="preserve">; see </w:t>
      </w:r>
      <w:r w:rsidRPr="00CC6C0E">
        <w:rPr>
          <w:i/>
          <w:iCs/>
          <w:sz w:val="20"/>
          <w:szCs w:val="20"/>
        </w:rPr>
        <w:t>Grant v. Carlisle</w:t>
      </w:r>
      <w:r w:rsidRPr="00CC6C0E">
        <w:rPr>
          <w:sz w:val="20"/>
          <w:szCs w:val="20"/>
        </w:rPr>
        <w:t>, 328 Mass. 25, 27 (1951).</w:t>
      </w:r>
    </w:p>
  </w:footnote>
  <w:footnote w:id="5">
    <w:p w14:paraId="6896D3E7" w14:textId="5EE8F713" w:rsidR="006C6A88" w:rsidRPr="00B64C82" w:rsidRDefault="006C6A88" w:rsidP="002C553D">
      <w:pPr>
        <w:pStyle w:val="FootnoteText"/>
        <w:rPr>
          <w:sz w:val="20"/>
          <w:szCs w:val="20"/>
        </w:rPr>
      </w:pPr>
      <w:r w:rsidRPr="002C553D">
        <w:rPr>
          <w:rStyle w:val="FootnoteReference"/>
          <w:sz w:val="20"/>
          <w:szCs w:val="20"/>
        </w:rPr>
        <w:footnoteRef/>
      </w:r>
      <w:r w:rsidRPr="002C553D">
        <w:rPr>
          <w:sz w:val="20"/>
          <w:szCs w:val="20"/>
        </w:rPr>
        <w:t xml:space="preserve"> 361 Mass. </w:t>
      </w:r>
      <w:r w:rsidRPr="00B64C82">
        <w:rPr>
          <w:sz w:val="20"/>
          <w:szCs w:val="20"/>
        </w:rPr>
        <w:t>341, 343 (1972) (</w:t>
      </w:r>
      <w:r w:rsidR="00CC6C0E" w:rsidRPr="00B64C82">
        <w:rPr>
          <w:sz w:val="20"/>
          <w:szCs w:val="20"/>
        </w:rPr>
        <w:t xml:space="preserve">internal </w:t>
      </w:r>
      <w:r w:rsidRPr="00B64C82">
        <w:rPr>
          <w:sz w:val="20"/>
          <w:szCs w:val="20"/>
        </w:rPr>
        <w:t>citations omitted).</w:t>
      </w:r>
    </w:p>
  </w:footnote>
  <w:footnote w:id="6">
    <w:p w14:paraId="7D4C24AC" w14:textId="68C28823" w:rsidR="006C6A88" w:rsidRPr="00B64C82" w:rsidRDefault="006C6A88" w:rsidP="002C553D">
      <w:pPr>
        <w:rPr>
          <w:sz w:val="20"/>
          <w:szCs w:val="20"/>
        </w:rPr>
      </w:pPr>
      <w:r w:rsidRPr="00B64C82">
        <w:rPr>
          <w:rStyle w:val="FootnoteReference"/>
          <w:sz w:val="20"/>
          <w:szCs w:val="20"/>
        </w:rPr>
        <w:footnoteRef/>
      </w:r>
      <w:r w:rsidRPr="00B64C82">
        <w:rPr>
          <w:sz w:val="20"/>
          <w:szCs w:val="20"/>
        </w:rPr>
        <w:t xml:space="preserve"> </w:t>
      </w:r>
      <w:proofErr w:type="spellStart"/>
      <w:r w:rsidRPr="00B64C82">
        <w:rPr>
          <w:i/>
          <w:iCs/>
          <w:sz w:val="20"/>
          <w:szCs w:val="20"/>
        </w:rPr>
        <w:t>Alholm</w:t>
      </w:r>
      <w:proofErr w:type="spellEnd"/>
      <w:r w:rsidR="00CC6C0E" w:rsidRPr="00B64C82">
        <w:rPr>
          <w:sz w:val="20"/>
          <w:szCs w:val="20"/>
        </w:rPr>
        <w:t xml:space="preserve">, </w:t>
      </w:r>
      <w:r w:rsidRPr="00B64C82">
        <w:rPr>
          <w:sz w:val="20"/>
          <w:szCs w:val="20"/>
        </w:rPr>
        <w:t xml:space="preserve">371 Mass. </w:t>
      </w:r>
      <w:r w:rsidR="00CC6C0E" w:rsidRPr="00B64C82">
        <w:rPr>
          <w:sz w:val="20"/>
          <w:szCs w:val="20"/>
        </w:rPr>
        <w:t xml:space="preserve">at </w:t>
      </w:r>
      <w:r w:rsidRPr="00B64C82">
        <w:rPr>
          <w:sz w:val="20"/>
          <w:szCs w:val="20"/>
        </w:rPr>
        <w:t>627</w:t>
      </w:r>
      <w:r w:rsidR="00CC6C0E" w:rsidRPr="00B64C82">
        <w:rPr>
          <w:sz w:val="20"/>
          <w:szCs w:val="20"/>
        </w:rPr>
        <w:t>, 628</w:t>
      </w:r>
      <w:r w:rsidRPr="00B64C82">
        <w:rPr>
          <w:sz w:val="20"/>
          <w:szCs w:val="20"/>
        </w:rPr>
        <w:t xml:space="preserve"> (</w:t>
      </w:r>
      <w:r w:rsidR="00CC6C0E" w:rsidRPr="00B64C82">
        <w:rPr>
          <w:sz w:val="20"/>
          <w:szCs w:val="20"/>
        </w:rPr>
        <w:t xml:space="preserve">internal </w:t>
      </w:r>
      <w:r w:rsidRPr="00B64C82">
        <w:rPr>
          <w:sz w:val="20"/>
          <w:szCs w:val="20"/>
        </w:rPr>
        <w:t>citations omitted).</w:t>
      </w:r>
    </w:p>
  </w:footnote>
  <w:footnote w:id="7">
    <w:p w14:paraId="3DCD27BD" w14:textId="074008EF" w:rsidR="00B64C82" w:rsidRPr="00D775BF" w:rsidRDefault="00B64C82" w:rsidP="00B64C82">
      <w:pPr>
        <w:pStyle w:val="FootnoteText"/>
      </w:pPr>
      <w:r w:rsidRPr="00B64C82">
        <w:rPr>
          <w:rStyle w:val="FootnoteReference"/>
          <w:sz w:val="20"/>
          <w:szCs w:val="20"/>
        </w:rPr>
        <w:footnoteRef/>
      </w:r>
      <w:r w:rsidRPr="00B64C82">
        <w:rPr>
          <w:sz w:val="20"/>
          <w:szCs w:val="20"/>
        </w:rPr>
        <w:t xml:space="preserve"> See </w:t>
      </w:r>
      <w:r w:rsidRPr="00B64C82">
        <w:rPr>
          <w:i/>
          <w:sz w:val="20"/>
          <w:szCs w:val="20"/>
        </w:rPr>
        <w:t xml:space="preserve">Schaffer v. </w:t>
      </w:r>
      <w:proofErr w:type="spellStart"/>
      <w:r w:rsidRPr="00B64C82">
        <w:rPr>
          <w:i/>
          <w:sz w:val="20"/>
          <w:szCs w:val="20"/>
        </w:rPr>
        <w:t>Weast</w:t>
      </w:r>
      <w:proofErr w:type="spellEnd"/>
      <w:r w:rsidRPr="00B64C82">
        <w:rPr>
          <w:sz w:val="20"/>
          <w:szCs w:val="20"/>
        </w:rPr>
        <w:t>, 546 U.S. 49, 62 (2005).</w:t>
      </w:r>
      <w:r w:rsidRPr="00D775BF">
        <w:t xml:space="preserve"> </w:t>
      </w:r>
    </w:p>
  </w:footnote>
  <w:footnote w:id="8">
    <w:p w14:paraId="6D27DFEE" w14:textId="10456385" w:rsidR="006C6A88" w:rsidRPr="002C553D" w:rsidRDefault="006C6A88" w:rsidP="002C553D">
      <w:pPr>
        <w:pStyle w:val="FootnoteText"/>
        <w:rPr>
          <w:sz w:val="20"/>
          <w:szCs w:val="20"/>
        </w:rPr>
      </w:pPr>
      <w:r w:rsidRPr="002C553D">
        <w:rPr>
          <w:rStyle w:val="FootnoteReference"/>
          <w:sz w:val="20"/>
          <w:szCs w:val="20"/>
        </w:rPr>
        <w:footnoteRef/>
      </w:r>
      <w:r w:rsidRPr="002C553D">
        <w:rPr>
          <w:sz w:val="20"/>
          <w:szCs w:val="20"/>
        </w:rPr>
        <w:t xml:space="preserve"> </w:t>
      </w:r>
      <w:r w:rsidRPr="002C553D">
        <w:rPr>
          <w:i/>
          <w:iCs/>
          <w:sz w:val="20"/>
          <w:szCs w:val="20"/>
        </w:rPr>
        <w:t>Elizabeth R.L and Worcester Public Schools</w:t>
      </w:r>
      <w:r w:rsidRPr="002C553D">
        <w:rPr>
          <w:sz w:val="20"/>
          <w:szCs w:val="20"/>
        </w:rPr>
        <w:t>, BSEA # 06-2557 (Sherwood</w:t>
      </w:r>
      <w:r w:rsidR="00037E68" w:rsidRPr="002C553D">
        <w:rPr>
          <w:sz w:val="20"/>
          <w:szCs w:val="20"/>
        </w:rPr>
        <w:t xml:space="preserve"> </w:t>
      </w:r>
      <w:r w:rsidRPr="002C553D">
        <w:rPr>
          <w:sz w:val="20"/>
          <w:szCs w:val="20"/>
        </w:rPr>
        <w:t>2006)</w:t>
      </w:r>
      <w:r w:rsidR="00037E68" w:rsidRPr="002C553D">
        <w:rPr>
          <w:sz w:val="20"/>
          <w:szCs w:val="20"/>
        </w:rPr>
        <w:t xml:space="preserve">; see </w:t>
      </w:r>
      <w:r w:rsidR="00037E68" w:rsidRPr="002C553D">
        <w:rPr>
          <w:i/>
          <w:iCs/>
          <w:sz w:val="20"/>
          <w:szCs w:val="20"/>
        </w:rPr>
        <w:t>Student and Worcester Public Schools</w:t>
      </w:r>
      <w:r w:rsidR="00037E68" w:rsidRPr="002C553D">
        <w:rPr>
          <w:sz w:val="20"/>
          <w:szCs w:val="20"/>
        </w:rPr>
        <w:t>, BSEA # 09-4367 (Figueroa 2009) (decision-maker may grant a motion for directed verdict “only if the evidence, viewed in the light most favorable to the non-moving party, points so ‘strongly and overwhelmingly’ in favor of the moving party, that a reasonable person could conclude only in favor of that moving party” (</w:t>
      </w:r>
      <w:r w:rsidR="00C86EFC" w:rsidRPr="002C553D">
        <w:rPr>
          <w:sz w:val="20"/>
          <w:szCs w:val="20"/>
        </w:rPr>
        <w:t>internal citations omitted).</w:t>
      </w:r>
    </w:p>
  </w:footnote>
  <w:footnote w:id="9">
    <w:p w14:paraId="2DC69AA2" w14:textId="77777777" w:rsidR="006C6A88" w:rsidRPr="002C553D" w:rsidRDefault="006C6A88" w:rsidP="002C553D">
      <w:pPr>
        <w:pStyle w:val="FootnoteText"/>
        <w:rPr>
          <w:sz w:val="20"/>
          <w:szCs w:val="20"/>
        </w:rPr>
      </w:pPr>
      <w:r w:rsidRPr="002C553D">
        <w:rPr>
          <w:rStyle w:val="FootnoteReference"/>
          <w:sz w:val="20"/>
          <w:szCs w:val="20"/>
        </w:rPr>
        <w:footnoteRef/>
      </w:r>
      <w:r w:rsidRPr="002C553D">
        <w:rPr>
          <w:sz w:val="20"/>
          <w:szCs w:val="20"/>
        </w:rPr>
        <w:t xml:space="preserve"> Section 504 of the Rehabilitation Act of 1973, as amended, 29 U.S.C. 794.</w:t>
      </w:r>
    </w:p>
  </w:footnote>
  <w:footnote w:id="10">
    <w:p w14:paraId="3727055B" w14:textId="4FAC1169" w:rsidR="006C6A88" w:rsidRPr="002C553D" w:rsidRDefault="006C6A88" w:rsidP="002C553D">
      <w:pPr>
        <w:pStyle w:val="FootnoteText"/>
        <w:rPr>
          <w:sz w:val="20"/>
          <w:szCs w:val="20"/>
        </w:rPr>
      </w:pPr>
      <w:r w:rsidRPr="002C553D">
        <w:rPr>
          <w:rStyle w:val="FootnoteReference"/>
          <w:sz w:val="20"/>
          <w:szCs w:val="20"/>
        </w:rPr>
        <w:footnoteRef/>
      </w:r>
      <w:r w:rsidRPr="002C553D">
        <w:rPr>
          <w:sz w:val="20"/>
          <w:szCs w:val="20"/>
        </w:rPr>
        <w:t xml:space="preserve"> </w:t>
      </w:r>
      <w:r w:rsidRPr="002C553D">
        <w:rPr>
          <w:i/>
          <w:iCs/>
          <w:sz w:val="20"/>
          <w:szCs w:val="20"/>
        </w:rPr>
        <w:t>Darian v. University of Mass.,</w:t>
      </w:r>
      <w:r w:rsidRPr="002C553D">
        <w:rPr>
          <w:sz w:val="20"/>
          <w:szCs w:val="20"/>
        </w:rPr>
        <w:t xml:space="preserve"> 980 F. Supp. 77, 84-85 (D. Mass. 1997) (</w:t>
      </w:r>
      <w:r w:rsidR="005028F7" w:rsidRPr="002C553D">
        <w:rPr>
          <w:sz w:val="20"/>
          <w:szCs w:val="20"/>
        </w:rPr>
        <w:t xml:space="preserve">internal </w:t>
      </w:r>
      <w:r w:rsidRPr="002C553D">
        <w:rPr>
          <w:sz w:val="20"/>
          <w:szCs w:val="20"/>
        </w:rPr>
        <w:t>citations omitted).</w:t>
      </w:r>
    </w:p>
  </w:footnote>
  <w:footnote w:id="11">
    <w:p w14:paraId="6F0538FD" w14:textId="77777777" w:rsidR="006C6A88" w:rsidRPr="002C553D" w:rsidRDefault="006C6A88" w:rsidP="002C553D">
      <w:pPr>
        <w:pStyle w:val="NoSpacing"/>
        <w:rPr>
          <w:sz w:val="20"/>
          <w:szCs w:val="20"/>
        </w:rPr>
      </w:pPr>
      <w:r w:rsidRPr="002C553D">
        <w:rPr>
          <w:rStyle w:val="FootnoteReference"/>
          <w:sz w:val="20"/>
          <w:szCs w:val="20"/>
        </w:rPr>
        <w:footnoteRef/>
      </w:r>
      <w:r w:rsidRPr="002C553D">
        <w:rPr>
          <w:sz w:val="20"/>
          <w:szCs w:val="20"/>
        </w:rPr>
        <w:t xml:space="preserve"> </w:t>
      </w:r>
      <w:r w:rsidRPr="002C553D">
        <w:rPr>
          <w:i/>
          <w:iCs/>
          <w:sz w:val="20"/>
          <w:szCs w:val="20"/>
        </w:rPr>
        <w:t xml:space="preserve">Id </w:t>
      </w:r>
      <w:r w:rsidRPr="002C553D">
        <w:rPr>
          <w:sz w:val="20"/>
          <w:szCs w:val="20"/>
        </w:rPr>
        <w:t>at 85.</w:t>
      </w:r>
    </w:p>
  </w:footnote>
  <w:footnote w:id="12">
    <w:p w14:paraId="3668464F" w14:textId="0F5A7AB4" w:rsidR="006C6A88" w:rsidRPr="002C553D" w:rsidRDefault="006C6A88" w:rsidP="002C553D">
      <w:pPr>
        <w:pStyle w:val="FootnoteText"/>
        <w:rPr>
          <w:sz w:val="20"/>
          <w:szCs w:val="20"/>
        </w:rPr>
      </w:pPr>
      <w:r w:rsidRPr="002C553D">
        <w:rPr>
          <w:rStyle w:val="FootnoteReference"/>
          <w:sz w:val="20"/>
          <w:szCs w:val="20"/>
        </w:rPr>
        <w:footnoteRef/>
      </w:r>
      <w:r w:rsidRPr="002C553D">
        <w:rPr>
          <w:sz w:val="20"/>
          <w:szCs w:val="20"/>
        </w:rPr>
        <w:t xml:space="preserve"> </w:t>
      </w:r>
      <w:r w:rsidRPr="002C553D">
        <w:rPr>
          <w:rStyle w:val="NoSpacingChar"/>
          <w:i/>
          <w:iCs/>
        </w:rPr>
        <w:t>Wenger v. Canastota Cent. Sch. Dist.,</w:t>
      </w:r>
      <w:r w:rsidRPr="002C553D">
        <w:rPr>
          <w:rStyle w:val="NoSpacingChar"/>
        </w:rPr>
        <w:t xml:space="preserve"> 979 F. Supp. 147, 152 (N.D.N.Y. 1997) (</w:t>
      </w:r>
      <w:r w:rsidR="005028F7" w:rsidRPr="002C553D">
        <w:rPr>
          <w:rStyle w:val="NoSpacingChar"/>
        </w:rPr>
        <w:t>internal citations omitted</w:t>
      </w:r>
      <w:r w:rsidRPr="002C553D">
        <w:rPr>
          <w:rStyle w:val="NoSpacingChar"/>
        </w:rPr>
        <w:t>).</w:t>
      </w:r>
    </w:p>
  </w:footnote>
  <w:footnote w:id="13">
    <w:p w14:paraId="595E1D0A" w14:textId="64864590" w:rsidR="006C6A88" w:rsidRPr="00D63D8B" w:rsidRDefault="006C6A88" w:rsidP="002C553D">
      <w:pPr>
        <w:pStyle w:val="FootnoteText"/>
        <w:rPr>
          <w:sz w:val="20"/>
          <w:szCs w:val="20"/>
        </w:rPr>
      </w:pPr>
      <w:r w:rsidRPr="002C553D">
        <w:rPr>
          <w:rStyle w:val="FootnoteReference"/>
          <w:sz w:val="20"/>
          <w:szCs w:val="20"/>
        </w:rPr>
        <w:footnoteRef/>
      </w:r>
      <w:r w:rsidRPr="002C553D">
        <w:rPr>
          <w:sz w:val="20"/>
          <w:szCs w:val="20"/>
        </w:rPr>
        <w:t xml:space="preserve"> </w:t>
      </w:r>
      <w:r w:rsidRPr="002C553D">
        <w:rPr>
          <w:i/>
          <w:iCs/>
          <w:sz w:val="20"/>
          <w:szCs w:val="20"/>
          <w:bdr w:val="none" w:sz="0" w:space="0" w:color="auto" w:frame="1"/>
        </w:rPr>
        <w:t>Nickerson-</w:t>
      </w:r>
      <w:proofErr w:type="spellStart"/>
      <w:r w:rsidRPr="002C553D">
        <w:rPr>
          <w:i/>
          <w:iCs/>
          <w:sz w:val="20"/>
          <w:szCs w:val="20"/>
          <w:bdr w:val="none" w:sz="0" w:space="0" w:color="auto" w:frame="1"/>
        </w:rPr>
        <w:t>Reti</w:t>
      </w:r>
      <w:proofErr w:type="spellEnd"/>
      <w:r w:rsidRPr="002C553D">
        <w:rPr>
          <w:i/>
          <w:iCs/>
          <w:sz w:val="20"/>
          <w:szCs w:val="20"/>
          <w:shd w:val="clear" w:color="auto" w:fill="FFFFFF"/>
        </w:rPr>
        <w:t> v. </w:t>
      </w:r>
      <w:r w:rsidRPr="002C553D">
        <w:rPr>
          <w:i/>
          <w:iCs/>
          <w:sz w:val="20"/>
          <w:szCs w:val="20"/>
          <w:bdr w:val="none" w:sz="0" w:space="0" w:color="auto" w:frame="1"/>
        </w:rPr>
        <w:t>Lexington Pub. Sch</w:t>
      </w:r>
      <w:r w:rsidRPr="002C553D">
        <w:rPr>
          <w:sz w:val="20"/>
          <w:szCs w:val="20"/>
          <w:shd w:val="clear" w:color="auto" w:fill="FFFFFF"/>
        </w:rPr>
        <w:t xml:space="preserve">, 893 F. Supp. 2d 276, </w:t>
      </w:r>
      <w:r w:rsidR="002C553D" w:rsidRPr="002C553D">
        <w:rPr>
          <w:sz w:val="20"/>
          <w:szCs w:val="20"/>
          <w:shd w:val="clear" w:color="auto" w:fill="FFFFFF"/>
        </w:rPr>
        <w:t>300</w:t>
      </w:r>
      <w:r w:rsidRPr="002C553D">
        <w:rPr>
          <w:sz w:val="20"/>
          <w:szCs w:val="20"/>
          <w:shd w:val="clear" w:color="auto" w:fill="FFFFFF"/>
        </w:rPr>
        <w:t xml:space="preserve"> (D. Mass. 2012) (</w:t>
      </w:r>
      <w:r w:rsidR="002C553D" w:rsidRPr="002C553D">
        <w:rPr>
          <w:sz w:val="20"/>
          <w:szCs w:val="20"/>
          <w:shd w:val="clear" w:color="auto" w:fill="FFFFFF"/>
        </w:rPr>
        <w:t xml:space="preserve">internal </w:t>
      </w:r>
      <w:r w:rsidRPr="002C553D">
        <w:rPr>
          <w:rStyle w:val="NoSpacingChar"/>
        </w:rPr>
        <w:t>citations omitted)</w:t>
      </w:r>
      <w:r w:rsidR="00523213">
        <w:rPr>
          <w:rStyle w:val="NoSpacingChar"/>
        </w:rPr>
        <w:t xml:space="preserve">; see </w:t>
      </w:r>
      <w:r w:rsidR="00523213" w:rsidRPr="00523213">
        <w:rPr>
          <w:rStyle w:val="NoSpacingChar"/>
          <w:i/>
          <w:iCs/>
        </w:rPr>
        <w:t>Monahan v. Nebraska</w:t>
      </w:r>
      <w:r w:rsidR="00523213" w:rsidRPr="00523213">
        <w:rPr>
          <w:rStyle w:val="NoSpacingChar"/>
        </w:rPr>
        <w:t xml:space="preserve">, 687 F.2d 1164, 1171 (8th Cir. 1982) (“either bad faith or gross misjudgment should be found before a §504 violation can be made out, at least in the context of education of handicapped children”); </w:t>
      </w:r>
      <w:proofErr w:type="spellStart"/>
      <w:r w:rsidR="00523213" w:rsidRPr="00523213">
        <w:rPr>
          <w:i/>
          <w:sz w:val="20"/>
          <w:szCs w:val="20"/>
        </w:rPr>
        <w:t>K.D.v</w:t>
      </w:r>
      <w:proofErr w:type="spellEnd"/>
      <w:r w:rsidR="00523213" w:rsidRPr="00523213">
        <w:rPr>
          <w:i/>
          <w:sz w:val="20"/>
          <w:szCs w:val="20"/>
        </w:rPr>
        <w:t>. Starr</w:t>
      </w:r>
      <w:r w:rsidR="00523213" w:rsidRPr="00523213">
        <w:rPr>
          <w:sz w:val="20"/>
          <w:szCs w:val="20"/>
        </w:rPr>
        <w:t xml:space="preserve">, 55 F. Supp. 3d 782, 788 (D. Md.  2014) (in context of education of handicapped </w:t>
      </w:r>
      <w:r w:rsidR="00523213" w:rsidRPr="00D63D8B">
        <w:rPr>
          <w:sz w:val="20"/>
          <w:szCs w:val="20"/>
        </w:rPr>
        <w:t>children, “a finding of discrimination based on disability requires a showing of bad faith or gross misjudgment by the school system”).</w:t>
      </w:r>
    </w:p>
  </w:footnote>
  <w:footnote w:id="14">
    <w:p w14:paraId="6A1E293C" w14:textId="207DBD2E" w:rsidR="00A529B4" w:rsidRPr="001F2ADD" w:rsidRDefault="00A529B4" w:rsidP="00A529B4">
      <w:pPr>
        <w:pStyle w:val="FootnoteText"/>
        <w:rPr>
          <w:sz w:val="20"/>
          <w:szCs w:val="20"/>
        </w:rPr>
      </w:pPr>
      <w:r w:rsidRPr="00D63D8B">
        <w:rPr>
          <w:rStyle w:val="FootnoteReference"/>
          <w:sz w:val="20"/>
          <w:szCs w:val="20"/>
        </w:rPr>
        <w:footnoteRef/>
      </w:r>
      <w:r w:rsidR="00D63D8B" w:rsidRPr="00D63D8B">
        <w:rPr>
          <w:sz w:val="20"/>
          <w:szCs w:val="20"/>
        </w:rPr>
        <w:t xml:space="preserve"> BSEA </w:t>
      </w:r>
      <w:r w:rsidR="002148B4">
        <w:rPr>
          <w:sz w:val="20"/>
          <w:szCs w:val="20"/>
        </w:rPr>
        <w:t>#</w:t>
      </w:r>
      <w:r w:rsidR="00D63D8B" w:rsidRPr="00D63D8B">
        <w:rPr>
          <w:sz w:val="20"/>
          <w:szCs w:val="20"/>
        </w:rPr>
        <w:t>170888 (Reichbach 2017), quoting</w:t>
      </w:r>
      <w:r w:rsidRPr="00D63D8B">
        <w:rPr>
          <w:sz w:val="20"/>
          <w:szCs w:val="20"/>
        </w:rPr>
        <w:t xml:space="preserve"> </w:t>
      </w:r>
      <w:r w:rsidR="00D63D8B" w:rsidRPr="00D63D8B">
        <w:rPr>
          <w:i/>
          <w:iCs/>
          <w:sz w:val="20"/>
          <w:szCs w:val="20"/>
        </w:rPr>
        <w:t xml:space="preserve">B.M. ex rel. </w:t>
      </w:r>
      <w:r w:rsidRPr="00D63D8B">
        <w:rPr>
          <w:i/>
          <w:sz w:val="20"/>
          <w:szCs w:val="20"/>
        </w:rPr>
        <w:t>Miller</w:t>
      </w:r>
      <w:r w:rsidR="00D63D8B" w:rsidRPr="00D63D8B">
        <w:rPr>
          <w:i/>
          <w:sz w:val="20"/>
          <w:szCs w:val="20"/>
        </w:rPr>
        <w:t xml:space="preserve"> v. S. Callaway R-II Sch. Dist.</w:t>
      </w:r>
      <w:r w:rsidRPr="00D63D8B">
        <w:rPr>
          <w:i/>
          <w:sz w:val="20"/>
          <w:szCs w:val="20"/>
        </w:rPr>
        <w:t xml:space="preserve">, </w:t>
      </w:r>
      <w:r w:rsidRPr="00D63D8B">
        <w:rPr>
          <w:sz w:val="20"/>
          <w:szCs w:val="20"/>
        </w:rPr>
        <w:t xml:space="preserve">732 F.3d </w:t>
      </w:r>
      <w:r w:rsidR="00D63D8B" w:rsidRPr="00D63D8B">
        <w:rPr>
          <w:sz w:val="20"/>
          <w:szCs w:val="20"/>
        </w:rPr>
        <w:t>882,</w:t>
      </w:r>
      <w:r w:rsidRPr="00D63D8B">
        <w:rPr>
          <w:sz w:val="20"/>
          <w:szCs w:val="20"/>
        </w:rPr>
        <w:t xml:space="preserve"> 887</w:t>
      </w:r>
      <w:r w:rsidR="00D63D8B" w:rsidRPr="00D63D8B">
        <w:rPr>
          <w:sz w:val="20"/>
          <w:szCs w:val="20"/>
        </w:rPr>
        <w:t xml:space="preserve"> (8th Cir. 2013)</w:t>
      </w:r>
      <w:r w:rsidRPr="00D63D8B">
        <w:rPr>
          <w:sz w:val="20"/>
          <w:szCs w:val="20"/>
        </w:rPr>
        <w:t xml:space="preserve"> (internal citations omitted)</w:t>
      </w:r>
      <w:r w:rsidR="00D63D8B" w:rsidRPr="00D63D8B">
        <w:rPr>
          <w:sz w:val="20"/>
          <w:szCs w:val="20"/>
        </w:rPr>
        <w:t>; see</w:t>
      </w:r>
      <w:r w:rsidRPr="00D63D8B">
        <w:rPr>
          <w:i/>
          <w:sz w:val="20"/>
          <w:szCs w:val="20"/>
        </w:rPr>
        <w:t xml:space="preserve"> Monahan</w:t>
      </w:r>
      <w:r w:rsidRPr="00D63D8B">
        <w:rPr>
          <w:sz w:val="20"/>
          <w:szCs w:val="20"/>
        </w:rPr>
        <w:t xml:space="preserve">, 687 F.2d at 1171 (stating that there is no discrimination </w:t>
      </w:r>
      <w:r w:rsidRPr="001F2ADD">
        <w:rPr>
          <w:sz w:val="20"/>
          <w:szCs w:val="20"/>
        </w:rPr>
        <w:t>under Section 504 “[s]o long as the state officials involved have exercised professional judgment, in such a way as not to depart grossly from accepted standards among educational professionals”).</w:t>
      </w:r>
    </w:p>
  </w:footnote>
  <w:footnote w:id="15">
    <w:p w14:paraId="5D5BE61A" w14:textId="3BB27BE8" w:rsidR="00A529B4" w:rsidRPr="001F2ADD" w:rsidRDefault="00A529B4" w:rsidP="00A529B4">
      <w:pPr>
        <w:pStyle w:val="FootnoteText"/>
        <w:rPr>
          <w:sz w:val="20"/>
          <w:szCs w:val="20"/>
        </w:rPr>
      </w:pPr>
      <w:r w:rsidRPr="001F2ADD">
        <w:rPr>
          <w:rStyle w:val="FootnoteReference"/>
          <w:sz w:val="20"/>
          <w:szCs w:val="20"/>
        </w:rPr>
        <w:footnoteRef/>
      </w:r>
      <w:r w:rsidRPr="001F2ADD">
        <w:rPr>
          <w:sz w:val="20"/>
          <w:szCs w:val="20"/>
        </w:rPr>
        <w:t xml:space="preserve"> </w:t>
      </w:r>
      <w:r w:rsidR="00D63D8B" w:rsidRPr="001F2ADD">
        <w:rPr>
          <w:i/>
          <w:sz w:val="20"/>
          <w:szCs w:val="20"/>
        </w:rPr>
        <w:t xml:space="preserve">Miller, </w:t>
      </w:r>
      <w:r w:rsidR="00D63D8B" w:rsidRPr="001F2ADD">
        <w:rPr>
          <w:sz w:val="20"/>
          <w:szCs w:val="20"/>
        </w:rPr>
        <w:t>732 F.3d at 88</w:t>
      </w:r>
      <w:r w:rsidR="00D16A76" w:rsidRPr="001F2ADD">
        <w:rPr>
          <w:sz w:val="20"/>
          <w:szCs w:val="20"/>
        </w:rPr>
        <w:t>7-88</w:t>
      </w:r>
      <w:r w:rsidR="00D63D8B" w:rsidRPr="001F2ADD">
        <w:rPr>
          <w:sz w:val="20"/>
          <w:szCs w:val="20"/>
        </w:rPr>
        <w:t>.</w:t>
      </w:r>
    </w:p>
  </w:footnote>
  <w:footnote w:id="16">
    <w:p w14:paraId="29974DCF" w14:textId="77777777" w:rsidR="00A529B4" w:rsidRPr="001F2ADD" w:rsidRDefault="00A529B4" w:rsidP="00A529B4">
      <w:pPr>
        <w:pStyle w:val="FootnoteText"/>
        <w:rPr>
          <w:sz w:val="20"/>
          <w:szCs w:val="20"/>
        </w:rPr>
      </w:pPr>
      <w:r w:rsidRPr="001F2ADD">
        <w:rPr>
          <w:rStyle w:val="FootnoteReference"/>
          <w:sz w:val="20"/>
          <w:szCs w:val="20"/>
        </w:rPr>
        <w:footnoteRef/>
      </w:r>
      <w:r w:rsidRPr="001F2ADD">
        <w:rPr>
          <w:sz w:val="20"/>
          <w:szCs w:val="20"/>
        </w:rPr>
        <w:t xml:space="preserve"> See </w:t>
      </w:r>
      <w:r w:rsidRPr="001F2ADD">
        <w:rPr>
          <w:i/>
          <w:sz w:val="20"/>
          <w:szCs w:val="20"/>
        </w:rPr>
        <w:t xml:space="preserve">D.N. ex rel. Christina Nolen v. Louisa </w:t>
      </w:r>
      <w:proofErr w:type="spellStart"/>
      <w:r w:rsidRPr="001F2ADD">
        <w:rPr>
          <w:i/>
          <w:sz w:val="20"/>
          <w:szCs w:val="20"/>
        </w:rPr>
        <w:t>Cnty</w:t>
      </w:r>
      <w:proofErr w:type="spellEnd"/>
      <w:r w:rsidRPr="001F2ADD">
        <w:rPr>
          <w:i/>
          <w:sz w:val="20"/>
          <w:szCs w:val="20"/>
        </w:rPr>
        <w:t>. Public Sch.</w:t>
      </w:r>
      <w:r w:rsidRPr="001F2ADD">
        <w:rPr>
          <w:sz w:val="20"/>
          <w:szCs w:val="20"/>
        </w:rPr>
        <w:t>, 156 F. Supp. 3d 767, 776 (W.D. Va. 2016).</w:t>
      </w:r>
    </w:p>
  </w:footnote>
  <w:footnote w:id="17">
    <w:p w14:paraId="2C90DA4A" w14:textId="3ACB5259" w:rsidR="00A529B4" w:rsidRPr="001F2ADD" w:rsidRDefault="00A529B4" w:rsidP="00A529B4">
      <w:pPr>
        <w:pStyle w:val="FootnoteText"/>
        <w:rPr>
          <w:sz w:val="20"/>
          <w:szCs w:val="20"/>
        </w:rPr>
      </w:pPr>
      <w:r w:rsidRPr="001F2ADD">
        <w:rPr>
          <w:rStyle w:val="FootnoteReference"/>
          <w:sz w:val="20"/>
          <w:szCs w:val="20"/>
        </w:rPr>
        <w:footnoteRef/>
      </w:r>
      <w:r w:rsidRPr="001F2ADD">
        <w:rPr>
          <w:sz w:val="20"/>
          <w:szCs w:val="20"/>
        </w:rPr>
        <w:t xml:space="preserve"> See</w:t>
      </w:r>
      <w:r w:rsidRPr="001F2ADD">
        <w:rPr>
          <w:i/>
          <w:sz w:val="20"/>
          <w:szCs w:val="20"/>
        </w:rPr>
        <w:t xml:space="preserve"> Doe</w:t>
      </w:r>
      <w:r w:rsidR="001F2ADD" w:rsidRPr="001F2ADD">
        <w:rPr>
          <w:i/>
          <w:sz w:val="20"/>
          <w:szCs w:val="20"/>
        </w:rPr>
        <w:t xml:space="preserve"> v. Pleasant Valley Sch. Dist.</w:t>
      </w:r>
      <w:r w:rsidRPr="001F2ADD">
        <w:rPr>
          <w:sz w:val="20"/>
          <w:szCs w:val="20"/>
        </w:rPr>
        <w:t>, 2017 WL 8792704 at</w:t>
      </w:r>
      <w:r w:rsidR="001F2ADD" w:rsidRPr="001F2ADD">
        <w:rPr>
          <w:sz w:val="20"/>
          <w:szCs w:val="20"/>
        </w:rPr>
        <w:t xml:space="preserve"> *</w:t>
      </w:r>
      <w:r w:rsidRPr="001F2ADD">
        <w:rPr>
          <w:sz w:val="20"/>
          <w:szCs w:val="20"/>
        </w:rPr>
        <w:t xml:space="preserve"> 4</w:t>
      </w:r>
      <w:r w:rsidR="001F2ADD" w:rsidRPr="001F2ADD">
        <w:rPr>
          <w:sz w:val="20"/>
          <w:szCs w:val="20"/>
        </w:rPr>
        <w:t xml:space="preserve"> (S.D. I</w:t>
      </w:r>
      <w:r w:rsidR="00FD2EAA">
        <w:rPr>
          <w:sz w:val="20"/>
          <w:szCs w:val="20"/>
        </w:rPr>
        <w:t>A</w:t>
      </w:r>
      <w:r w:rsidR="0005127D">
        <w:rPr>
          <w:sz w:val="20"/>
          <w:szCs w:val="20"/>
        </w:rPr>
        <w:t xml:space="preserve"> 2017</w:t>
      </w:r>
      <w:r w:rsidR="001F2ADD" w:rsidRPr="001F2ADD">
        <w:rPr>
          <w:sz w:val="20"/>
          <w:szCs w:val="20"/>
        </w:rPr>
        <w:t>) (unpublished).</w:t>
      </w:r>
    </w:p>
  </w:footnote>
  <w:footnote w:id="18">
    <w:p w14:paraId="764F48A9" w14:textId="64BC1A45" w:rsidR="00E74C08" w:rsidRPr="00E74C08" w:rsidRDefault="00E74C08">
      <w:pPr>
        <w:pStyle w:val="FootnoteText"/>
      </w:pPr>
      <w:r w:rsidRPr="001F2ADD">
        <w:rPr>
          <w:rStyle w:val="FootnoteReference"/>
          <w:sz w:val="20"/>
          <w:szCs w:val="20"/>
        </w:rPr>
        <w:footnoteRef/>
      </w:r>
      <w:r w:rsidR="001F2ADD" w:rsidRPr="001F2ADD">
        <w:rPr>
          <w:sz w:val="20"/>
          <w:szCs w:val="20"/>
        </w:rPr>
        <w:t xml:space="preserve"> See </w:t>
      </w:r>
      <w:r w:rsidR="001F2ADD" w:rsidRPr="001F2ADD">
        <w:rPr>
          <w:i/>
          <w:sz w:val="20"/>
          <w:szCs w:val="20"/>
        </w:rPr>
        <w:t xml:space="preserve">Miller, </w:t>
      </w:r>
      <w:r w:rsidR="001F2ADD" w:rsidRPr="001F2ADD">
        <w:rPr>
          <w:sz w:val="20"/>
          <w:szCs w:val="20"/>
        </w:rPr>
        <w:t>732 F.3d at 887-88.</w:t>
      </w:r>
      <w:r w:rsidR="00230F13">
        <w:rPr>
          <w:sz w:val="20"/>
          <w:szCs w:val="20"/>
        </w:rPr>
        <w:t xml:space="preserve"> </w:t>
      </w:r>
    </w:p>
  </w:footnote>
  <w:footnote w:id="19">
    <w:p w14:paraId="10C3F773" w14:textId="5995C4AA" w:rsidR="00A529B4" w:rsidRPr="008E553E" w:rsidRDefault="00A529B4" w:rsidP="00A529B4">
      <w:pPr>
        <w:pStyle w:val="FootnoteText"/>
        <w:rPr>
          <w:sz w:val="20"/>
          <w:szCs w:val="20"/>
        </w:rPr>
      </w:pPr>
      <w:r w:rsidRPr="008E553E">
        <w:rPr>
          <w:rStyle w:val="FootnoteReference"/>
          <w:sz w:val="20"/>
          <w:szCs w:val="20"/>
        </w:rPr>
        <w:footnoteRef/>
      </w:r>
      <w:r w:rsidRPr="008E553E">
        <w:rPr>
          <w:sz w:val="20"/>
          <w:szCs w:val="20"/>
        </w:rPr>
        <w:t xml:space="preserve"> See </w:t>
      </w:r>
      <w:r w:rsidRPr="008E553E">
        <w:rPr>
          <w:i/>
          <w:sz w:val="20"/>
          <w:szCs w:val="20"/>
        </w:rPr>
        <w:t>Bess</w:t>
      </w:r>
      <w:r w:rsidR="00FD2EAA" w:rsidRPr="008E553E">
        <w:rPr>
          <w:i/>
          <w:sz w:val="20"/>
          <w:szCs w:val="20"/>
        </w:rPr>
        <w:t xml:space="preserve"> v. Kanawha</w:t>
      </w:r>
      <w:r w:rsidR="008E553E" w:rsidRPr="008E553E">
        <w:rPr>
          <w:iCs/>
          <w:sz w:val="20"/>
          <w:szCs w:val="20"/>
        </w:rPr>
        <w:t>,</w:t>
      </w:r>
      <w:r w:rsidRPr="008E553E">
        <w:rPr>
          <w:sz w:val="20"/>
          <w:szCs w:val="20"/>
        </w:rPr>
        <w:t xml:space="preserve"> 2009 WL 3062974 at *10</w:t>
      </w:r>
      <w:r w:rsidR="00FD2EAA" w:rsidRPr="008E553E">
        <w:rPr>
          <w:sz w:val="20"/>
          <w:szCs w:val="20"/>
        </w:rPr>
        <w:t xml:space="preserve"> (S.D.</w:t>
      </w:r>
      <w:r w:rsidR="008E553E" w:rsidRPr="008E553E">
        <w:rPr>
          <w:sz w:val="20"/>
          <w:szCs w:val="20"/>
        </w:rPr>
        <w:t xml:space="preserve"> </w:t>
      </w:r>
      <w:r w:rsidR="00FD2EAA" w:rsidRPr="008E553E">
        <w:rPr>
          <w:sz w:val="20"/>
          <w:szCs w:val="20"/>
        </w:rPr>
        <w:t>W.V.</w:t>
      </w:r>
      <w:r w:rsidR="008E553E" w:rsidRPr="008E553E">
        <w:rPr>
          <w:sz w:val="20"/>
          <w:szCs w:val="20"/>
        </w:rPr>
        <w:t xml:space="preserve"> 2009)</w:t>
      </w:r>
      <w:r w:rsidR="00E25679">
        <w:rPr>
          <w:sz w:val="20"/>
          <w:szCs w:val="20"/>
        </w:rPr>
        <w:t>.</w:t>
      </w:r>
    </w:p>
  </w:footnote>
  <w:footnote w:id="20">
    <w:p w14:paraId="09890637" w14:textId="649637F4" w:rsidR="00FD2EAA" w:rsidRPr="008E553E" w:rsidRDefault="00FD2EAA">
      <w:pPr>
        <w:pStyle w:val="FootnoteText"/>
        <w:rPr>
          <w:sz w:val="20"/>
          <w:szCs w:val="20"/>
        </w:rPr>
      </w:pPr>
      <w:r w:rsidRPr="008E553E">
        <w:rPr>
          <w:rStyle w:val="FootnoteReference"/>
          <w:sz w:val="20"/>
          <w:szCs w:val="20"/>
        </w:rPr>
        <w:footnoteRef/>
      </w:r>
      <w:r w:rsidRPr="008E553E">
        <w:rPr>
          <w:sz w:val="20"/>
          <w:szCs w:val="20"/>
        </w:rPr>
        <w:t xml:space="preserve"> See </w:t>
      </w:r>
      <w:r w:rsidRPr="008E553E">
        <w:rPr>
          <w:i/>
          <w:iCs/>
          <w:sz w:val="20"/>
          <w:szCs w:val="20"/>
        </w:rPr>
        <w:t>McKay v. Winthrop Bd. of Educ.</w:t>
      </w:r>
      <w:r w:rsidRPr="008E553E">
        <w:rPr>
          <w:sz w:val="20"/>
          <w:szCs w:val="20"/>
        </w:rPr>
        <w:t>, Civil No. 96-131-B, 1997 U.S. Dist. LEXIS 23372, at *4, *5 (D. Me. 1997) (unpublished).</w:t>
      </w:r>
    </w:p>
  </w:footnote>
  <w:footnote w:id="21">
    <w:p w14:paraId="48F8A9E1" w14:textId="61A6A27F" w:rsidR="00A529B4" w:rsidRPr="00E25679" w:rsidRDefault="00A529B4" w:rsidP="00A529B4">
      <w:pPr>
        <w:pStyle w:val="FootnoteText"/>
        <w:rPr>
          <w:sz w:val="20"/>
          <w:szCs w:val="20"/>
        </w:rPr>
      </w:pPr>
      <w:r w:rsidRPr="008E553E">
        <w:rPr>
          <w:rStyle w:val="FootnoteReference"/>
          <w:sz w:val="20"/>
          <w:szCs w:val="20"/>
        </w:rPr>
        <w:footnoteRef/>
      </w:r>
      <w:r w:rsidRPr="008E553E">
        <w:rPr>
          <w:sz w:val="20"/>
          <w:szCs w:val="20"/>
        </w:rPr>
        <w:t xml:space="preserve"> See</w:t>
      </w:r>
      <w:r w:rsidRPr="008E553E">
        <w:rPr>
          <w:i/>
          <w:sz w:val="20"/>
          <w:szCs w:val="20"/>
        </w:rPr>
        <w:t xml:space="preserve"> </w:t>
      </w:r>
      <w:proofErr w:type="spellStart"/>
      <w:r w:rsidRPr="008E553E">
        <w:rPr>
          <w:i/>
          <w:sz w:val="20"/>
          <w:szCs w:val="20"/>
        </w:rPr>
        <w:t>Zdrowsk</w:t>
      </w:r>
      <w:r w:rsidR="0005127D">
        <w:rPr>
          <w:i/>
          <w:sz w:val="20"/>
          <w:szCs w:val="20"/>
        </w:rPr>
        <w:t>i</w:t>
      </w:r>
      <w:proofErr w:type="spellEnd"/>
      <w:r w:rsidR="0005127D">
        <w:rPr>
          <w:i/>
          <w:sz w:val="20"/>
          <w:szCs w:val="20"/>
        </w:rPr>
        <w:t xml:space="preserve"> v. </w:t>
      </w:r>
      <w:proofErr w:type="spellStart"/>
      <w:r w:rsidR="0005127D">
        <w:rPr>
          <w:i/>
          <w:sz w:val="20"/>
          <w:szCs w:val="20"/>
        </w:rPr>
        <w:t>Rieck</w:t>
      </w:r>
      <w:proofErr w:type="spellEnd"/>
      <w:r w:rsidR="0005127D">
        <w:rPr>
          <w:iCs/>
          <w:sz w:val="20"/>
          <w:szCs w:val="20"/>
        </w:rPr>
        <w:t>,</w:t>
      </w:r>
      <w:r w:rsidRPr="008E553E">
        <w:rPr>
          <w:sz w:val="20"/>
          <w:szCs w:val="20"/>
        </w:rPr>
        <w:t xml:space="preserve"> 119 F.Supp.3d </w:t>
      </w:r>
      <w:r w:rsidR="0005127D">
        <w:rPr>
          <w:sz w:val="20"/>
          <w:szCs w:val="20"/>
        </w:rPr>
        <w:t xml:space="preserve">643, </w:t>
      </w:r>
      <w:r w:rsidRPr="008E553E">
        <w:rPr>
          <w:sz w:val="20"/>
          <w:szCs w:val="20"/>
        </w:rPr>
        <w:t>667-68</w:t>
      </w:r>
      <w:r w:rsidR="0005127D">
        <w:rPr>
          <w:sz w:val="20"/>
          <w:szCs w:val="20"/>
        </w:rPr>
        <w:t xml:space="preserve"> (E.D. MI</w:t>
      </w:r>
      <w:r w:rsidRPr="008E553E">
        <w:rPr>
          <w:sz w:val="20"/>
          <w:szCs w:val="20"/>
        </w:rPr>
        <w:t xml:space="preserve"> </w:t>
      </w:r>
      <w:r w:rsidR="0005127D">
        <w:rPr>
          <w:sz w:val="20"/>
          <w:szCs w:val="20"/>
        </w:rPr>
        <w:t xml:space="preserve">2015) </w:t>
      </w:r>
      <w:r w:rsidRPr="008E553E">
        <w:rPr>
          <w:sz w:val="20"/>
          <w:szCs w:val="20"/>
        </w:rPr>
        <w:t>(</w:t>
      </w:r>
      <w:r w:rsidR="0005127D">
        <w:rPr>
          <w:sz w:val="20"/>
          <w:szCs w:val="20"/>
        </w:rPr>
        <w:t xml:space="preserve">granting </w:t>
      </w:r>
      <w:proofErr w:type="spellStart"/>
      <w:r w:rsidR="0005127D">
        <w:rPr>
          <w:sz w:val="20"/>
          <w:szCs w:val="20"/>
        </w:rPr>
        <w:t>distirict’s</w:t>
      </w:r>
      <w:proofErr w:type="spellEnd"/>
      <w:r w:rsidR="0005127D">
        <w:rPr>
          <w:sz w:val="20"/>
          <w:szCs w:val="20"/>
        </w:rPr>
        <w:t xml:space="preserve"> motion for summary judgment because even in light most favorable to parents, a teacher dragging a student down the hallway a single time using a hold other than the one recommended for struggling students did not constitute a</w:t>
      </w:r>
      <w:r w:rsidRPr="008E553E">
        <w:rPr>
          <w:sz w:val="20"/>
          <w:szCs w:val="20"/>
        </w:rPr>
        <w:t xml:space="preserve"> </w:t>
      </w:r>
      <w:r w:rsidR="0005127D">
        <w:rPr>
          <w:sz w:val="20"/>
          <w:szCs w:val="20"/>
        </w:rPr>
        <w:t xml:space="preserve">violation of §504 </w:t>
      </w:r>
      <w:r w:rsidRPr="008E553E">
        <w:rPr>
          <w:sz w:val="20"/>
          <w:szCs w:val="20"/>
        </w:rPr>
        <w:t xml:space="preserve">where teacher explained </w:t>
      </w:r>
      <w:r w:rsidR="0005127D">
        <w:rPr>
          <w:sz w:val="20"/>
          <w:szCs w:val="20"/>
        </w:rPr>
        <w:t>she took such action</w:t>
      </w:r>
      <w:r w:rsidRPr="008E553E">
        <w:rPr>
          <w:sz w:val="20"/>
          <w:szCs w:val="20"/>
        </w:rPr>
        <w:t xml:space="preserve"> to prevent additional stress and harm to student). The court also held that the </w:t>
      </w:r>
      <w:r w:rsidR="0005127D">
        <w:rPr>
          <w:sz w:val="20"/>
          <w:szCs w:val="20"/>
        </w:rPr>
        <w:t>failure to replace a c</w:t>
      </w:r>
      <w:r w:rsidRPr="008E553E">
        <w:rPr>
          <w:sz w:val="20"/>
          <w:szCs w:val="20"/>
        </w:rPr>
        <w:t xml:space="preserve">lassroom aide did not exemplify bad faith or gross </w:t>
      </w:r>
      <w:r w:rsidRPr="00E25679">
        <w:rPr>
          <w:sz w:val="20"/>
          <w:szCs w:val="20"/>
        </w:rPr>
        <w:t xml:space="preserve">misjudgment </w:t>
      </w:r>
      <w:r w:rsidR="0005127D" w:rsidRPr="00E25679">
        <w:rPr>
          <w:sz w:val="20"/>
          <w:szCs w:val="20"/>
        </w:rPr>
        <w:t xml:space="preserve">where, among other things, </w:t>
      </w:r>
      <w:r w:rsidRPr="00E25679">
        <w:rPr>
          <w:sz w:val="20"/>
          <w:szCs w:val="20"/>
        </w:rPr>
        <w:t xml:space="preserve">no aide was required under the student’s IEP. See </w:t>
      </w:r>
      <w:r w:rsidRPr="00E25679">
        <w:rPr>
          <w:i/>
          <w:sz w:val="20"/>
          <w:szCs w:val="20"/>
        </w:rPr>
        <w:t>id.</w:t>
      </w:r>
      <w:r w:rsidRPr="00E25679">
        <w:rPr>
          <w:sz w:val="20"/>
          <w:szCs w:val="20"/>
        </w:rPr>
        <w:t xml:space="preserve"> at 668. </w:t>
      </w:r>
    </w:p>
  </w:footnote>
  <w:footnote w:id="22">
    <w:p w14:paraId="34F38643" w14:textId="77777777" w:rsidR="008E553E" w:rsidRPr="00E25679" w:rsidRDefault="008E553E" w:rsidP="008E553E">
      <w:pPr>
        <w:pStyle w:val="FootnoteText"/>
        <w:rPr>
          <w:sz w:val="20"/>
          <w:szCs w:val="20"/>
        </w:rPr>
      </w:pPr>
      <w:r w:rsidRPr="00E25679">
        <w:rPr>
          <w:rStyle w:val="FootnoteReference"/>
          <w:sz w:val="20"/>
          <w:szCs w:val="20"/>
        </w:rPr>
        <w:footnoteRef/>
      </w:r>
      <w:r w:rsidRPr="00E25679">
        <w:rPr>
          <w:sz w:val="20"/>
          <w:szCs w:val="20"/>
        </w:rPr>
        <w:t xml:space="preserve"> 20 U.S.C. §1400 (d)(1)(A).</w:t>
      </w:r>
    </w:p>
  </w:footnote>
  <w:footnote w:id="23">
    <w:p w14:paraId="7D7278DA" w14:textId="27722ACD" w:rsidR="008E553E" w:rsidRPr="00C56A3F" w:rsidRDefault="008E553E" w:rsidP="008E553E">
      <w:pPr>
        <w:pStyle w:val="FootnoteText"/>
      </w:pPr>
      <w:r w:rsidRPr="00E25679">
        <w:rPr>
          <w:rStyle w:val="FootnoteReference"/>
          <w:sz w:val="20"/>
          <w:szCs w:val="20"/>
        </w:rPr>
        <w:footnoteRef/>
      </w:r>
      <w:r w:rsidRPr="00E25679">
        <w:rPr>
          <w:sz w:val="20"/>
          <w:szCs w:val="20"/>
        </w:rPr>
        <w:t xml:space="preserve"> </w:t>
      </w:r>
      <w:proofErr w:type="spellStart"/>
      <w:r w:rsidRPr="00E25679">
        <w:rPr>
          <w:i/>
          <w:iCs/>
          <w:sz w:val="20"/>
          <w:szCs w:val="20"/>
        </w:rPr>
        <w:t>Endrew</w:t>
      </w:r>
      <w:proofErr w:type="spellEnd"/>
      <w:r w:rsidRPr="00E25679">
        <w:rPr>
          <w:i/>
          <w:iCs/>
          <w:sz w:val="20"/>
          <w:szCs w:val="20"/>
        </w:rPr>
        <w:t xml:space="preserve"> F. v. Douglas </w:t>
      </w:r>
      <w:proofErr w:type="spellStart"/>
      <w:r w:rsidRPr="00E25679">
        <w:rPr>
          <w:i/>
          <w:iCs/>
          <w:sz w:val="20"/>
          <w:szCs w:val="20"/>
        </w:rPr>
        <w:t>Cty</w:t>
      </w:r>
      <w:proofErr w:type="spellEnd"/>
      <w:r w:rsidRPr="00E25679">
        <w:rPr>
          <w:i/>
          <w:iCs/>
          <w:sz w:val="20"/>
          <w:szCs w:val="20"/>
        </w:rPr>
        <w:t>. Reg’l Sch. Dist.</w:t>
      </w:r>
      <w:r w:rsidRPr="00E25679">
        <w:rPr>
          <w:sz w:val="20"/>
          <w:szCs w:val="20"/>
        </w:rPr>
        <w:t xml:space="preserve">, 137 S. Ct. 988, 999 (2017); </w:t>
      </w:r>
      <w:r w:rsidRPr="00E25679">
        <w:rPr>
          <w:i/>
          <w:iCs/>
          <w:sz w:val="20"/>
          <w:szCs w:val="20"/>
        </w:rPr>
        <w:t>D.B.  v. Esposito</w:t>
      </w:r>
      <w:r w:rsidRPr="00E25679">
        <w:rPr>
          <w:sz w:val="20"/>
          <w:szCs w:val="20"/>
        </w:rPr>
        <w:t>, 675 F.3d 26, 34 (1st Cir. 2012).</w:t>
      </w:r>
      <w:r w:rsidRPr="00E25679">
        <w:t xml:space="preserve"> </w:t>
      </w:r>
    </w:p>
  </w:footnote>
  <w:footnote w:id="24">
    <w:p w14:paraId="2B932C19"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137 S. Ct. at 994 (internal quotation marks omitted), citing 20 U.S.C. §§1414(d)(1)(A)(i)(I)-(III).</w:t>
      </w:r>
    </w:p>
  </w:footnote>
  <w:footnote w:id="25">
    <w:p w14:paraId="480F79F2"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w:t>
      </w:r>
      <w:proofErr w:type="spellStart"/>
      <w:r w:rsidRPr="002309B7">
        <w:rPr>
          <w:i/>
          <w:iCs/>
          <w:color w:val="000000"/>
          <w:sz w:val="20"/>
          <w:szCs w:val="20"/>
        </w:rPr>
        <w:t>Endrew</w:t>
      </w:r>
      <w:proofErr w:type="spellEnd"/>
      <w:r w:rsidRPr="002309B7">
        <w:rPr>
          <w:i/>
          <w:iCs/>
          <w:color w:val="000000"/>
          <w:sz w:val="20"/>
          <w:szCs w:val="20"/>
        </w:rPr>
        <w:t xml:space="preserve"> F., </w:t>
      </w:r>
      <w:r w:rsidRPr="002309B7">
        <w:rPr>
          <w:color w:val="000000"/>
          <w:sz w:val="20"/>
          <w:szCs w:val="20"/>
        </w:rPr>
        <w:t>137 S. Ct. at 999.</w:t>
      </w:r>
    </w:p>
  </w:footnote>
  <w:footnote w:id="26">
    <w:p w14:paraId="14C621F7"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w:t>
      </w:r>
      <w:r w:rsidRPr="002309B7">
        <w:rPr>
          <w:i/>
          <w:iCs/>
          <w:sz w:val="20"/>
          <w:szCs w:val="20"/>
        </w:rPr>
        <w:t>Id</w:t>
      </w:r>
      <w:r w:rsidRPr="002309B7">
        <w:rPr>
          <w:sz w:val="20"/>
          <w:szCs w:val="20"/>
        </w:rPr>
        <w:t>. at 1000.</w:t>
      </w:r>
    </w:p>
  </w:footnote>
  <w:footnote w:id="27">
    <w:p w14:paraId="1011CD89"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w:t>
      </w:r>
      <w:r w:rsidRPr="002309B7">
        <w:rPr>
          <w:i/>
          <w:sz w:val="20"/>
          <w:szCs w:val="20"/>
        </w:rPr>
        <w:t xml:space="preserve"> C.D. v. Natick</w:t>
      </w:r>
      <w:r w:rsidRPr="002309B7">
        <w:rPr>
          <w:sz w:val="20"/>
          <w:szCs w:val="20"/>
        </w:rPr>
        <w:t xml:space="preserve"> </w:t>
      </w:r>
      <w:r w:rsidRPr="002309B7">
        <w:rPr>
          <w:i/>
          <w:sz w:val="20"/>
          <w:szCs w:val="20"/>
        </w:rPr>
        <w:t>Pub. Sch. Dist.</w:t>
      </w:r>
      <w:r w:rsidRPr="002309B7">
        <w:rPr>
          <w:sz w:val="20"/>
          <w:szCs w:val="20"/>
        </w:rPr>
        <w:t>, 924 F.3d 621, 624-25 (1st Cir. 2019) (cert denied).</w:t>
      </w:r>
    </w:p>
  </w:footnote>
  <w:footnote w:id="28">
    <w:p w14:paraId="1606BB37"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603 CMR 28.05(4)(b) (IEP must be “designed to enable the student to progress effectively in the content areas of the general curriculum”).</w:t>
      </w:r>
    </w:p>
  </w:footnote>
  <w:footnote w:id="29">
    <w:p w14:paraId="1B48FA89"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w:t>
      </w:r>
      <w:r w:rsidRPr="002309B7">
        <w:rPr>
          <w:i/>
          <w:sz w:val="20"/>
          <w:szCs w:val="20"/>
        </w:rPr>
        <w:t xml:space="preserve">Roland M., </w:t>
      </w:r>
      <w:r w:rsidRPr="002309B7">
        <w:rPr>
          <w:sz w:val="20"/>
          <w:szCs w:val="20"/>
        </w:rPr>
        <w:t>910 F.2d at 992 (internal quotations and citations omitted).</w:t>
      </w:r>
    </w:p>
  </w:footnote>
  <w:footnote w:id="30">
    <w:p w14:paraId="59C00D2B" w14:textId="77777777" w:rsidR="008E553E" w:rsidRPr="002309B7" w:rsidRDefault="008E553E" w:rsidP="00F165B8">
      <w:pPr>
        <w:pStyle w:val="FootnoteText"/>
        <w:rPr>
          <w:sz w:val="20"/>
          <w:szCs w:val="20"/>
        </w:rPr>
      </w:pPr>
      <w:r w:rsidRPr="002309B7">
        <w:rPr>
          <w:rStyle w:val="FootnoteReference"/>
          <w:sz w:val="20"/>
          <w:szCs w:val="20"/>
        </w:rPr>
        <w:footnoteRef/>
      </w:r>
      <w:r w:rsidRPr="002309B7">
        <w:rPr>
          <w:sz w:val="20"/>
          <w:szCs w:val="20"/>
        </w:rPr>
        <w:t xml:space="preserve"> </w:t>
      </w:r>
      <w:r w:rsidRPr="002309B7">
        <w:rPr>
          <w:i/>
          <w:sz w:val="20"/>
          <w:szCs w:val="20"/>
        </w:rPr>
        <w:t xml:space="preserve">C.G. ex rel. A.S. v. Five Town </w:t>
      </w:r>
      <w:proofErr w:type="spellStart"/>
      <w:r w:rsidRPr="002309B7">
        <w:rPr>
          <w:i/>
          <w:sz w:val="20"/>
          <w:szCs w:val="20"/>
        </w:rPr>
        <w:t>Comty</w:t>
      </w:r>
      <w:proofErr w:type="spellEnd"/>
      <w:r w:rsidRPr="002309B7">
        <w:rPr>
          <w:i/>
          <w:sz w:val="20"/>
          <w:szCs w:val="20"/>
        </w:rPr>
        <w:t>. Sch. Dist.,</w:t>
      </w:r>
      <w:r w:rsidRPr="002309B7">
        <w:rPr>
          <w:sz w:val="20"/>
          <w:szCs w:val="20"/>
        </w:rPr>
        <w:t xml:space="preserve"> 513 F.3d 279, 285 (1st Cir. 2008); see 20 USC §1412(a)(5)(A); 34 CFR 300.114(a)(2)(i); MGL c 71 B, §§ 2, 3; 603 CMR 28.06(2)(c).</w:t>
      </w:r>
    </w:p>
  </w:footnote>
  <w:footnote w:id="31">
    <w:p w14:paraId="0D483369" w14:textId="26B98F5A" w:rsidR="006C6A88" w:rsidRPr="002309B7" w:rsidRDefault="006C6A88" w:rsidP="00F165B8">
      <w:pPr>
        <w:pStyle w:val="FootnoteText"/>
        <w:rPr>
          <w:sz w:val="20"/>
          <w:szCs w:val="20"/>
        </w:rPr>
      </w:pPr>
      <w:r w:rsidRPr="002309B7">
        <w:rPr>
          <w:rStyle w:val="FootnoteReference"/>
          <w:sz w:val="20"/>
          <w:szCs w:val="20"/>
        </w:rPr>
        <w:footnoteRef/>
      </w:r>
      <w:r w:rsidRPr="002309B7">
        <w:rPr>
          <w:sz w:val="20"/>
          <w:szCs w:val="20"/>
        </w:rPr>
        <w:t xml:space="preserve"> </w:t>
      </w:r>
      <w:r w:rsidRPr="002309B7">
        <w:rPr>
          <w:i/>
          <w:sz w:val="20"/>
          <w:szCs w:val="20"/>
        </w:rPr>
        <w:t xml:space="preserve">Colón-Vazquez v. </w:t>
      </w:r>
      <w:proofErr w:type="spellStart"/>
      <w:r w:rsidRPr="002309B7">
        <w:rPr>
          <w:i/>
          <w:sz w:val="20"/>
          <w:szCs w:val="20"/>
        </w:rPr>
        <w:t>Dep’t</w:t>
      </w:r>
      <w:proofErr w:type="spellEnd"/>
      <w:r w:rsidRPr="002309B7">
        <w:rPr>
          <w:i/>
          <w:sz w:val="20"/>
          <w:szCs w:val="20"/>
        </w:rPr>
        <w:t xml:space="preserve"> of Educ</w:t>
      </w:r>
      <w:r w:rsidRPr="002309B7">
        <w:rPr>
          <w:sz w:val="20"/>
          <w:szCs w:val="20"/>
        </w:rPr>
        <w:t>., 46 F. Supp. 3d 132, 144 (D. P.R. 2014).</w:t>
      </w:r>
    </w:p>
  </w:footnote>
  <w:footnote w:id="32">
    <w:p w14:paraId="78C23B78" w14:textId="3ACF7767" w:rsidR="006C6A88" w:rsidRPr="00A3500E" w:rsidRDefault="006C6A88" w:rsidP="00F165B8">
      <w:pPr>
        <w:pStyle w:val="FootnoteText"/>
      </w:pPr>
      <w:r w:rsidRPr="002309B7">
        <w:rPr>
          <w:rStyle w:val="FootnoteReference"/>
          <w:sz w:val="20"/>
          <w:szCs w:val="20"/>
        </w:rPr>
        <w:footnoteRef/>
      </w:r>
      <w:r w:rsidRPr="002309B7">
        <w:rPr>
          <w:sz w:val="20"/>
          <w:szCs w:val="20"/>
        </w:rPr>
        <w:t xml:space="preserve"> See </w:t>
      </w:r>
      <w:r w:rsidRPr="002309B7">
        <w:rPr>
          <w:i/>
          <w:sz w:val="20"/>
          <w:szCs w:val="20"/>
        </w:rPr>
        <w:t>Doe v. Hampden-Wilbraham Reg’l Sch. Dist.</w:t>
      </w:r>
      <w:r w:rsidRPr="002309B7">
        <w:rPr>
          <w:sz w:val="20"/>
          <w:szCs w:val="20"/>
        </w:rPr>
        <w:t>, 715 F. Supp. 2d 185, 198 (D. Mass. 2010)</w:t>
      </w:r>
      <w:r w:rsidR="006274BA" w:rsidRPr="002309B7">
        <w:rPr>
          <w:sz w:val="20"/>
          <w:szCs w:val="20"/>
        </w:rPr>
        <w:t xml:space="preserve">; see also </w:t>
      </w:r>
      <w:r w:rsidRPr="002309B7">
        <w:rPr>
          <w:i/>
          <w:sz w:val="20"/>
          <w:szCs w:val="20"/>
        </w:rPr>
        <w:t>Ross v. Framingham Sch.</w:t>
      </w:r>
      <w:r w:rsidRPr="002309B7">
        <w:rPr>
          <w:sz w:val="20"/>
          <w:szCs w:val="20"/>
        </w:rPr>
        <w:t xml:space="preserve"> </w:t>
      </w:r>
      <w:r w:rsidRPr="002309B7">
        <w:rPr>
          <w:i/>
          <w:sz w:val="20"/>
          <w:szCs w:val="20"/>
        </w:rPr>
        <w:t>Comm.</w:t>
      </w:r>
      <w:r w:rsidRPr="002309B7">
        <w:rPr>
          <w:sz w:val="20"/>
          <w:szCs w:val="20"/>
        </w:rPr>
        <w:t>, 44 F. Supp. 2d 104, 118 (D. Mass. 1999) (“when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33">
    <w:p w14:paraId="48901383" w14:textId="6487A137" w:rsidR="006C6A88" w:rsidRPr="006163DC" w:rsidRDefault="006C6A88" w:rsidP="00F165B8">
      <w:pPr>
        <w:pStyle w:val="FootnoteText"/>
        <w:rPr>
          <w:i/>
          <w:sz w:val="20"/>
          <w:szCs w:val="20"/>
        </w:rPr>
      </w:pPr>
      <w:r w:rsidRPr="006163DC">
        <w:rPr>
          <w:rStyle w:val="FootnoteReference"/>
          <w:sz w:val="20"/>
          <w:szCs w:val="20"/>
        </w:rPr>
        <w:footnoteRef/>
      </w:r>
      <w:r w:rsidRPr="006163DC">
        <w:rPr>
          <w:sz w:val="20"/>
          <w:szCs w:val="20"/>
        </w:rPr>
        <w:t xml:space="preserve"> </w:t>
      </w:r>
      <w:r w:rsidRPr="006163DC">
        <w:rPr>
          <w:i/>
          <w:sz w:val="20"/>
          <w:szCs w:val="20"/>
        </w:rPr>
        <w:t>Colón-Vazquez</w:t>
      </w:r>
      <w:r w:rsidRPr="006163DC">
        <w:rPr>
          <w:sz w:val="20"/>
          <w:szCs w:val="20"/>
        </w:rPr>
        <w:t>, 46 F. Supp. 3d at 14</w:t>
      </w:r>
      <w:r w:rsidR="00E25679">
        <w:rPr>
          <w:sz w:val="20"/>
          <w:szCs w:val="20"/>
        </w:rPr>
        <w:t>3-44</w:t>
      </w:r>
      <w:r w:rsidRPr="006163DC">
        <w:rPr>
          <w:sz w:val="20"/>
          <w:szCs w:val="20"/>
        </w:rPr>
        <w:t xml:space="preserve"> (Under </w:t>
      </w:r>
      <w:r w:rsidRPr="006163DC">
        <w:rPr>
          <w:i/>
          <w:sz w:val="20"/>
          <w:szCs w:val="20"/>
        </w:rPr>
        <w:t xml:space="preserve">Houston </w:t>
      </w:r>
      <w:proofErr w:type="spellStart"/>
      <w:r w:rsidRPr="006163DC">
        <w:rPr>
          <w:i/>
          <w:sz w:val="20"/>
          <w:szCs w:val="20"/>
        </w:rPr>
        <w:t>Indep</w:t>
      </w:r>
      <w:proofErr w:type="spellEnd"/>
      <w:r w:rsidRPr="006163DC">
        <w:rPr>
          <w:i/>
          <w:sz w:val="20"/>
          <w:szCs w:val="20"/>
        </w:rPr>
        <w:t>. Sch. Dist. v. Bobby R.</w:t>
      </w:r>
      <w:r w:rsidRPr="006163DC">
        <w:rPr>
          <w:sz w:val="20"/>
          <w:szCs w:val="20"/>
        </w:rPr>
        <w:t xml:space="preserve">, “to prevail on a claim under the IDEA, a party challenging the implementation of an IEP must show more than a </w:t>
      </w:r>
      <w:r w:rsidRPr="006163DC">
        <w:rPr>
          <w:i/>
          <w:sz w:val="20"/>
          <w:szCs w:val="20"/>
        </w:rPr>
        <w:t>de minimis</w:t>
      </w:r>
      <w:r w:rsidRPr="006163DC">
        <w:rPr>
          <w:sz w:val="20"/>
          <w:szCs w:val="20"/>
        </w:rPr>
        <w:t xml:space="preserve"> failure to implement all elements of that IEP, and, instead, must demonstrate that the school board or other authorities failed to implement substantial or significant provisions of the IEP”) (citing 200 F.3d 341, 349) (5th Cir. 2000), </w:t>
      </w:r>
      <w:r w:rsidRPr="006163DC">
        <w:rPr>
          <w:i/>
          <w:sz w:val="20"/>
          <w:szCs w:val="20"/>
        </w:rPr>
        <w:t>cert denied</w:t>
      </w:r>
      <w:r w:rsidRPr="006163DC">
        <w:rPr>
          <w:sz w:val="20"/>
          <w:szCs w:val="20"/>
        </w:rPr>
        <w:t>, 531 U.S. 817 (2000)).</w:t>
      </w:r>
    </w:p>
  </w:footnote>
  <w:footnote w:id="34">
    <w:p w14:paraId="5A495444" w14:textId="75FAA804" w:rsidR="006C6A88" w:rsidRPr="006163DC" w:rsidRDefault="006C6A88" w:rsidP="006163DC">
      <w:pPr>
        <w:pStyle w:val="FootnoteText"/>
        <w:rPr>
          <w:sz w:val="20"/>
          <w:szCs w:val="20"/>
        </w:rPr>
      </w:pPr>
      <w:r w:rsidRPr="006163DC">
        <w:rPr>
          <w:rStyle w:val="FootnoteReference"/>
          <w:sz w:val="20"/>
          <w:szCs w:val="20"/>
        </w:rPr>
        <w:footnoteRef/>
      </w:r>
      <w:r w:rsidRPr="006163DC">
        <w:rPr>
          <w:sz w:val="20"/>
          <w:szCs w:val="20"/>
        </w:rPr>
        <w:t xml:space="preserve"> </w:t>
      </w:r>
      <w:r w:rsidRPr="006163DC">
        <w:rPr>
          <w:i/>
          <w:sz w:val="20"/>
          <w:szCs w:val="20"/>
        </w:rPr>
        <w:t>Id</w:t>
      </w:r>
      <w:r w:rsidRPr="006163DC">
        <w:rPr>
          <w:sz w:val="20"/>
          <w:szCs w:val="20"/>
        </w:rPr>
        <w:t xml:space="preserve">. (citing and quoting </w:t>
      </w:r>
      <w:r w:rsidRPr="006163DC">
        <w:rPr>
          <w:i/>
          <w:sz w:val="20"/>
          <w:szCs w:val="20"/>
        </w:rPr>
        <w:t xml:space="preserve">Van </w:t>
      </w:r>
      <w:proofErr w:type="spellStart"/>
      <w:r w:rsidRPr="006163DC">
        <w:rPr>
          <w:i/>
          <w:sz w:val="20"/>
          <w:szCs w:val="20"/>
        </w:rPr>
        <w:t>Duyn</w:t>
      </w:r>
      <w:proofErr w:type="spellEnd"/>
      <w:r w:rsidRPr="006163DC">
        <w:rPr>
          <w:i/>
          <w:sz w:val="20"/>
          <w:szCs w:val="20"/>
        </w:rPr>
        <w:t xml:space="preserve"> v. Baker Sch. Dist</w:t>
      </w:r>
      <w:r w:rsidRPr="006163DC">
        <w:rPr>
          <w:sz w:val="20"/>
          <w:szCs w:val="20"/>
        </w:rPr>
        <w:t xml:space="preserve">., 502 F.3d 811, 822 (9th Cir. 2007) and </w:t>
      </w:r>
      <w:proofErr w:type="spellStart"/>
      <w:r w:rsidRPr="006163DC">
        <w:rPr>
          <w:i/>
          <w:sz w:val="20"/>
          <w:szCs w:val="20"/>
        </w:rPr>
        <w:t>Garmany</w:t>
      </w:r>
      <w:proofErr w:type="spellEnd"/>
      <w:r w:rsidRPr="006163DC">
        <w:rPr>
          <w:i/>
          <w:sz w:val="20"/>
          <w:szCs w:val="20"/>
        </w:rPr>
        <w:t xml:space="preserve"> v. District of Columbia</w:t>
      </w:r>
      <w:r w:rsidRPr="006163DC">
        <w:rPr>
          <w:sz w:val="20"/>
          <w:szCs w:val="20"/>
        </w:rPr>
        <w:t xml:space="preserve">, 935 F. Supp. 2d 177, 181 (D. D.C. 2013) (internal citations and quotation marks omitted)); see </w:t>
      </w:r>
      <w:r w:rsidRPr="006163DC">
        <w:rPr>
          <w:i/>
          <w:sz w:val="20"/>
          <w:szCs w:val="20"/>
        </w:rPr>
        <w:t xml:space="preserve">Van </w:t>
      </w:r>
      <w:proofErr w:type="spellStart"/>
      <w:r w:rsidRPr="006163DC">
        <w:rPr>
          <w:i/>
          <w:sz w:val="20"/>
          <w:szCs w:val="20"/>
        </w:rPr>
        <w:t>Duyn</w:t>
      </w:r>
      <w:proofErr w:type="spellEnd"/>
      <w:r w:rsidRPr="006163DC">
        <w:rPr>
          <w:i/>
          <w:sz w:val="20"/>
          <w:szCs w:val="20"/>
          <w:u w:val="single"/>
        </w:rPr>
        <w:t>,</w:t>
      </w:r>
      <w:r w:rsidRPr="006163DC">
        <w:rPr>
          <w:sz w:val="20"/>
          <w:szCs w:val="20"/>
        </w:rPr>
        <w:t xml:space="preserve"> 502 F.3d at 815 (“We hold that when a school district does not perform exactly as called for by the IEP, the district does not violate the IDEA unless it is shown to have materially failed to implement the child’s IEP”).</w:t>
      </w:r>
    </w:p>
  </w:footnote>
  <w:footnote w:id="35">
    <w:p w14:paraId="4A32A013" w14:textId="076BBCE5" w:rsidR="006C6A88" w:rsidRPr="00A3500E" w:rsidRDefault="006C6A88" w:rsidP="006163DC">
      <w:pPr>
        <w:pStyle w:val="FootnoteText"/>
      </w:pPr>
      <w:r w:rsidRPr="006163DC">
        <w:rPr>
          <w:rStyle w:val="FootnoteReference"/>
          <w:sz w:val="20"/>
          <w:szCs w:val="20"/>
        </w:rPr>
        <w:footnoteRef/>
      </w:r>
      <w:r w:rsidRPr="006163DC">
        <w:rPr>
          <w:sz w:val="20"/>
          <w:szCs w:val="20"/>
        </w:rPr>
        <w:t xml:space="preserve"> See </w:t>
      </w:r>
      <w:r w:rsidRPr="006163DC">
        <w:rPr>
          <w:i/>
          <w:sz w:val="20"/>
          <w:szCs w:val="20"/>
        </w:rPr>
        <w:t xml:space="preserve">Van </w:t>
      </w:r>
      <w:proofErr w:type="spellStart"/>
      <w:r w:rsidRPr="006163DC">
        <w:rPr>
          <w:i/>
          <w:sz w:val="20"/>
          <w:szCs w:val="20"/>
        </w:rPr>
        <w:t>Duyn</w:t>
      </w:r>
      <w:proofErr w:type="spellEnd"/>
      <w:r w:rsidR="00E25679">
        <w:rPr>
          <w:sz w:val="20"/>
          <w:szCs w:val="20"/>
        </w:rPr>
        <w:t xml:space="preserve">, </w:t>
      </w:r>
      <w:r w:rsidRPr="006163DC">
        <w:rPr>
          <w:sz w:val="20"/>
          <w:szCs w:val="20"/>
        </w:rPr>
        <w:t xml:space="preserve">502 F.3d at 815; </w:t>
      </w:r>
      <w:r w:rsidRPr="006163DC">
        <w:rPr>
          <w:i/>
          <w:sz w:val="20"/>
          <w:szCs w:val="20"/>
        </w:rPr>
        <w:t>Neosho R-V Sch. Dist. v. Clark</w:t>
      </w:r>
      <w:r w:rsidRPr="006163DC">
        <w:rPr>
          <w:sz w:val="20"/>
          <w:szCs w:val="20"/>
        </w:rPr>
        <w:t>, 315 F.3d 1022, 1027 n.3 (8th Cir. 2003) (noting that courts cannot conclude that an IEP is reasonably calculated to provide a free appropriate public education where “there is evidence that the school actually failed to implement an essential element of the IEP that was necessary for the child to receive an educational benefit”);</w:t>
      </w:r>
      <w:r w:rsidRPr="006163DC">
        <w:rPr>
          <w:i/>
          <w:sz w:val="20"/>
          <w:szCs w:val="20"/>
        </w:rPr>
        <w:t xml:space="preserve"> Bobby R.</w:t>
      </w:r>
      <w:r w:rsidRPr="006163DC">
        <w:rPr>
          <w:sz w:val="20"/>
          <w:szCs w:val="20"/>
        </w:rPr>
        <w:t xml:space="preserve">, 200 F.3d at 349; </w:t>
      </w:r>
      <w:proofErr w:type="spellStart"/>
      <w:r w:rsidRPr="006163DC">
        <w:rPr>
          <w:i/>
          <w:sz w:val="20"/>
          <w:szCs w:val="20"/>
        </w:rPr>
        <w:t>Garmany</w:t>
      </w:r>
      <w:proofErr w:type="spellEnd"/>
      <w:r w:rsidRPr="006163DC">
        <w:rPr>
          <w:sz w:val="20"/>
          <w:szCs w:val="20"/>
        </w:rPr>
        <w:t xml:space="preserve">, 935 F. Supp. 2d at 181. See also </w:t>
      </w:r>
      <w:r w:rsidRPr="006163DC">
        <w:rPr>
          <w:i/>
          <w:iCs/>
          <w:sz w:val="20"/>
          <w:szCs w:val="20"/>
        </w:rPr>
        <w:t>L.J. by N.N.J., v. Sch. Bd. of Broward County,</w:t>
      </w:r>
      <w:r w:rsidRPr="006163DC">
        <w:rPr>
          <w:sz w:val="20"/>
          <w:szCs w:val="20"/>
        </w:rPr>
        <w:t xml:space="preserve"> 927 F.3d 1203, 1211 (11th Cir. 2019) (“[W]e </w:t>
      </w:r>
      <w:proofErr w:type="gramStart"/>
      <w:r w:rsidRPr="006163DC">
        <w:rPr>
          <w:sz w:val="20"/>
          <w:szCs w:val="20"/>
        </w:rPr>
        <w:t>conclude</w:t>
      </w:r>
      <w:proofErr w:type="gramEnd"/>
      <w:r w:rsidRPr="006163DC">
        <w:rPr>
          <w:sz w:val="20"/>
          <w:szCs w:val="20"/>
        </w:rPr>
        <w:t xml:space="preserve"> that to prevail in a failure-to-implement case, a plaintiff must demonstrate that the school has materially failed to implement a child's IEP. And to do that, the plaintiff must prove more than a minor or technical gap between the plan and reality; </w:t>
      </w:r>
      <w:r w:rsidRPr="006163DC">
        <w:rPr>
          <w:i/>
          <w:iCs/>
          <w:sz w:val="20"/>
          <w:szCs w:val="20"/>
        </w:rPr>
        <w:t>de minimis</w:t>
      </w:r>
      <w:r w:rsidRPr="006163DC">
        <w:rPr>
          <w:sz w:val="20"/>
          <w:szCs w:val="20"/>
        </w:rPr>
        <w:t> shortfalls are not enough. A material implementation failure occurs only when a school has failed to implement substantial or significant provisions of a child's IEP.”)</w:t>
      </w:r>
    </w:p>
  </w:footnote>
  <w:footnote w:id="36">
    <w:p w14:paraId="1333DDE9" w14:textId="30E9BD81" w:rsidR="006C6A88" w:rsidRPr="002309B7" w:rsidRDefault="006C6A88" w:rsidP="00F165B8">
      <w:pPr>
        <w:pStyle w:val="FootnoteText"/>
        <w:rPr>
          <w:color w:val="000000" w:themeColor="text1"/>
          <w:sz w:val="20"/>
          <w:szCs w:val="20"/>
        </w:rPr>
      </w:pPr>
      <w:r w:rsidRPr="002309B7">
        <w:rPr>
          <w:rStyle w:val="FootnoteReference"/>
          <w:color w:val="000000" w:themeColor="text1"/>
          <w:sz w:val="20"/>
          <w:szCs w:val="20"/>
        </w:rPr>
        <w:footnoteRef/>
      </w:r>
      <w:r w:rsidRPr="002309B7">
        <w:rPr>
          <w:color w:val="000000" w:themeColor="text1"/>
          <w:sz w:val="20"/>
          <w:szCs w:val="20"/>
        </w:rPr>
        <w:t xml:space="preserve"> </w:t>
      </w:r>
      <w:proofErr w:type="spellStart"/>
      <w:r w:rsidR="000A7C5E">
        <w:rPr>
          <w:color w:val="000000" w:themeColor="text1"/>
          <w:sz w:val="20"/>
          <w:szCs w:val="20"/>
        </w:rPr>
        <w:t>Exh</w:t>
      </w:r>
      <w:proofErr w:type="spellEnd"/>
      <w:r w:rsidR="000A7C5E">
        <w:rPr>
          <w:color w:val="000000" w:themeColor="text1"/>
          <w:sz w:val="20"/>
          <w:szCs w:val="20"/>
        </w:rPr>
        <w:t xml:space="preserve">. </w:t>
      </w:r>
      <w:r w:rsidRPr="002309B7">
        <w:rPr>
          <w:color w:val="000000" w:themeColor="text1"/>
          <w:sz w:val="20"/>
          <w:szCs w:val="20"/>
        </w:rPr>
        <w:t>P-4</w:t>
      </w:r>
      <w:r w:rsidR="00FC7C86" w:rsidRPr="002309B7">
        <w:rPr>
          <w:color w:val="000000" w:themeColor="text1"/>
          <w:sz w:val="20"/>
          <w:szCs w:val="20"/>
        </w:rPr>
        <w:t>.</w:t>
      </w:r>
      <w:r w:rsidRPr="002309B7">
        <w:rPr>
          <w:color w:val="000000" w:themeColor="text1"/>
          <w:sz w:val="20"/>
          <w:szCs w:val="20"/>
        </w:rPr>
        <w:t xml:space="preserve"> </w:t>
      </w:r>
    </w:p>
  </w:footnote>
  <w:footnote w:id="37">
    <w:p w14:paraId="47D4E16D" w14:textId="77777777" w:rsidR="006C6A88" w:rsidRPr="002309B7" w:rsidRDefault="006C6A88" w:rsidP="00F165B8">
      <w:pPr>
        <w:pStyle w:val="FootnoteText"/>
        <w:rPr>
          <w:sz w:val="20"/>
          <w:szCs w:val="20"/>
        </w:rPr>
      </w:pPr>
      <w:r w:rsidRPr="002309B7">
        <w:rPr>
          <w:rStyle w:val="FootnoteReference"/>
          <w:color w:val="000000" w:themeColor="text1"/>
          <w:sz w:val="20"/>
          <w:szCs w:val="20"/>
        </w:rPr>
        <w:footnoteRef/>
      </w:r>
      <w:r w:rsidRPr="002309B7">
        <w:rPr>
          <w:color w:val="000000" w:themeColor="text1"/>
          <w:sz w:val="20"/>
          <w:szCs w:val="20"/>
        </w:rPr>
        <w:t xml:space="preserve"> </w:t>
      </w:r>
      <w:r w:rsidRPr="002309B7">
        <w:rPr>
          <w:i/>
          <w:iCs/>
          <w:color w:val="000000" w:themeColor="text1"/>
          <w:sz w:val="20"/>
          <w:szCs w:val="20"/>
        </w:rPr>
        <w:t>Id.</w:t>
      </w:r>
    </w:p>
  </w:footnote>
  <w:footnote w:id="38">
    <w:p w14:paraId="4CD8EBC3" w14:textId="77777777" w:rsidR="006C6A88" w:rsidRPr="002309B7" w:rsidRDefault="006C6A88" w:rsidP="00F165B8">
      <w:pPr>
        <w:pStyle w:val="FootnoteText"/>
        <w:rPr>
          <w:i/>
          <w:iCs/>
          <w:sz w:val="20"/>
          <w:szCs w:val="20"/>
        </w:rPr>
      </w:pPr>
      <w:r w:rsidRPr="002309B7">
        <w:rPr>
          <w:rStyle w:val="FootnoteReference"/>
          <w:sz w:val="20"/>
          <w:szCs w:val="20"/>
        </w:rPr>
        <w:footnoteRef/>
      </w:r>
      <w:r w:rsidRPr="002309B7">
        <w:rPr>
          <w:sz w:val="20"/>
          <w:szCs w:val="20"/>
        </w:rPr>
        <w:t xml:space="preserve"> </w:t>
      </w:r>
      <w:r w:rsidRPr="002309B7">
        <w:rPr>
          <w:i/>
          <w:iCs/>
          <w:sz w:val="20"/>
          <w:szCs w:val="20"/>
        </w:rPr>
        <w:t>Id.</w:t>
      </w:r>
    </w:p>
  </w:footnote>
  <w:footnote w:id="39">
    <w:p w14:paraId="38D97786" w14:textId="30D1CF42" w:rsidR="006C6A88" w:rsidRPr="000A7C5E" w:rsidRDefault="006C6A88" w:rsidP="00F165B8">
      <w:pPr>
        <w:pStyle w:val="FootnoteText"/>
        <w:rPr>
          <w:sz w:val="20"/>
          <w:szCs w:val="20"/>
        </w:rPr>
      </w:pPr>
      <w:r w:rsidRPr="002309B7">
        <w:rPr>
          <w:rStyle w:val="FootnoteReference"/>
          <w:sz w:val="20"/>
          <w:szCs w:val="20"/>
        </w:rPr>
        <w:footnoteRef/>
      </w:r>
      <w:r w:rsidRPr="002309B7">
        <w:rPr>
          <w:sz w:val="20"/>
          <w:szCs w:val="20"/>
        </w:rPr>
        <w:t xml:space="preserve"> </w:t>
      </w:r>
      <w:proofErr w:type="spellStart"/>
      <w:r w:rsidR="000A7C5E">
        <w:rPr>
          <w:sz w:val="20"/>
          <w:szCs w:val="20"/>
        </w:rPr>
        <w:t>Exh</w:t>
      </w:r>
      <w:proofErr w:type="spellEnd"/>
      <w:r w:rsidR="000A7C5E">
        <w:rPr>
          <w:sz w:val="20"/>
          <w:szCs w:val="20"/>
        </w:rPr>
        <w:t xml:space="preserve">. </w:t>
      </w:r>
      <w:r w:rsidRPr="002309B7">
        <w:rPr>
          <w:sz w:val="20"/>
          <w:szCs w:val="20"/>
        </w:rPr>
        <w:t>P-84</w:t>
      </w:r>
      <w:r w:rsidR="00FC7C86" w:rsidRPr="002309B7">
        <w:rPr>
          <w:sz w:val="20"/>
          <w:szCs w:val="20"/>
        </w:rPr>
        <w:t>.</w:t>
      </w:r>
    </w:p>
  </w:footnote>
  <w:footnote w:id="40">
    <w:p w14:paraId="09CB27CD" w14:textId="09F78874" w:rsidR="006C6A88" w:rsidRPr="000A7C5E" w:rsidRDefault="006C6A88" w:rsidP="00F165B8">
      <w:pPr>
        <w:pStyle w:val="FootnoteText"/>
        <w:rPr>
          <w:sz w:val="20"/>
          <w:szCs w:val="20"/>
        </w:rPr>
      </w:pPr>
      <w:r w:rsidRPr="000A7C5E">
        <w:rPr>
          <w:rStyle w:val="FootnoteReference"/>
          <w:sz w:val="20"/>
          <w:szCs w:val="20"/>
        </w:rPr>
        <w:footnoteRef/>
      </w:r>
      <w:r w:rsidRPr="000A7C5E">
        <w:rPr>
          <w:sz w:val="20"/>
          <w:szCs w:val="20"/>
        </w:rPr>
        <w:t xml:space="preserve"> Tr</w:t>
      </w:r>
      <w:r w:rsidR="00FC7C86" w:rsidRPr="000A7C5E">
        <w:rPr>
          <w:sz w:val="20"/>
          <w:szCs w:val="20"/>
        </w:rPr>
        <w:t>. Vol. 1</w:t>
      </w:r>
      <w:r w:rsidRPr="000A7C5E">
        <w:rPr>
          <w:sz w:val="20"/>
          <w:szCs w:val="20"/>
        </w:rPr>
        <w:t>, 185:</w:t>
      </w:r>
      <w:r w:rsidR="000A7C5E">
        <w:rPr>
          <w:sz w:val="20"/>
          <w:szCs w:val="20"/>
        </w:rPr>
        <w:t>6-17</w:t>
      </w:r>
      <w:r w:rsidRPr="000A7C5E">
        <w:rPr>
          <w:sz w:val="20"/>
          <w:szCs w:val="20"/>
        </w:rPr>
        <w:t>.</w:t>
      </w:r>
    </w:p>
  </w:footnote>
  <w:footnote w:id="41">
    <w:p w14:paraId="0BA89BDA" w14:textId="3B5DFF3A" w:rsidR="003F1A88" w:rsidRDefault="003F1A88">
      <w:pPr>
        <w:pStyle w:val="FootnoteText"/>
      </w:pPr>
      <w:r w:rsidRPr="000A7C5E">
        <w:rPr>
          <w:rStyle w:val="FootnoteReference"/>
          <w:sz w:val="20"/>
          <w:szCs w:val="20"/>
        </w:rPr>
        <w:footnoteRef/>
      </w:r>
      <w:r w:rsidRPr="000A7C5E">
        <w:rPr>
          <w:sz w:val="20"/>
          <w:szCs w:val="20"/>
        </w:rPr>
        <w:t xml:space="preserve"> Parent submitted an email she wrote to the school on October 29, 2019 advising that Stewart did not want to take the bus one morning because “some kids said something to him,” however, this email was sent within one week of the reported bullying incident and it is  not clear whether Parent and Stewart are referring to that incident or whether it involved the same student; ultimately, Stewart did take the bus home that day. (P-</w:t>
      </w:r>
      <w:r w:rsidR="000A7C5E" w:rsidRPr="000A7C5E">
        <w:rPr>
          <w:sz w:val="20"/>
          <w:szCs w:val="20"/>
        </w:rPr>
        <w:t>87)</w:t>
      </w:r>
    </w:p>
  </w:footnote>
  <w:footnote w:id="42">
    <w:p w14:paraId="38B3CFF8" w14:textId="475D5245" w:rsidR="00FC7C86" w:rsidRPr="002309B7" w:rsidRDefault="00FC7C86" w:rsidP="00F165B8">
      <w:pPr>
        <w:pStyle w:val="FootnoteText"/>
        <w:rPr>
          <w:sz w:val="20"/>
          <w:szCs w:val="20"/>
        </w:rPr>
      </w:pPr>
      <w:r w:rsidRPr="002309B7">
        <w:rPr>
          <w:rStyle w:val="FootnoteReference"/>
          <w:sz w:val="20"/>
          <w:szCs w:val="20"/>
        </w:rPr>
        <w:footnoteRef/>
      </w:r>
      <w:r w:rsidRPr="002309B7">
        <w:rPr>
          <w:sz w:val="20"/>
          <w:szCs w:val="20"/>
        </w:rPr>
        <w:t xml:space="preserve"> Tr. Vol 1,</w:t>
      </w:r>
      <w:r w:rsidR="000A7C5E">
        <w:rPr>
          <w:sz w:val="20"/>
          <w:szCs w:val="20"/>
        </w:rPr>
        <w:t xml:space="preserve"> 227:1-24,</w:t>
      </w:r>
      <w:r w:rsidRPr="002309B7">
        <w:rPr>
          <w:sz w:val="20"/>
          <w:szCs w:val="20"/>
        </w:rPr>
        <w:t xml:space="preserve"> 228:1</w:t>
      </w:r>
      <w:r w:rsidR="000A7C5E">
        <w:rPr>
          <w:sz w:val="20"/>
          <w:szCs w:val="20"/>
        </w:rPr>
        <w:t>-16</w:t>
      </w:r>
      <w:r w:rsidRPr="002309B7">
        <w:rPr>
          <w:sz w:val="20"/>
          <w:szCs w:val="20"/>
        </w:rPr>
        <w:t>.</w:t>
      </w:r>
    </w:p>
  </w:footnote>
  <w:footnote w:id="43">
    <w:p w14:paraId="653E2C4B" w14:textId="4128B4F5" w:rsidR="00FC7C86" w:rsidRPr="002309B7" w:rsidRDefault="00FC7C86" w:rsidP="00F165B8">
      <w:pPr>
        <w:pStyle w:val="FootnoteText"/>
        <w:rPr>
          <w:sz w:val="20"/>
          <w:szCs w:val="20"/>
        </w:rPr>
      </w:pPr>
      <w:r w:rsidRPr="002309B7">
        <w:rPr>
          <w:rStyle w:val="FootnoteReference"/>
          <w:sz w:val="20"/>
          <w:szCs w:val="20"/>
        </w:rPr>
        <w:footnoteRef/>
      </w:r>
      <w:r w:rsidRPr="002309B7">
        <w:rPr>
          <w:sz w:val="20"/>
          <w:szCs w:val="20"/>
        </w:rPr>
        <w:t xml:space="preserve"> </w:t>
      </w:r>
      <w:proofErr w:type="spellStart"/>
      <w:r w:rsidR="0024780B">
        <w:rPr>
          <w:sz w:val="20"/>
          <w:szCs w:val="20"/>
        </w:rPr>
        <w:t>Exh</w:t>
      </w:r>
      <w:proofErr w:type="spellEnd"/>
      <w:r w:rsidR="0024780B">
        <w:rPr>
          <w:sz w:val="20"/>
          <w:szCs w:val="20"/>
        </w:rPr>
        <w:t xml:space="preserve">. </w:t>
      </w:r>
      <w:r w:rsidR="00417F94" w:rsidRPr="002309B7">
        <w:rPr>
          <w:sz w:val="20"/>
          <w:szCs w:val="20"/>
        </w:rPr>
        <w:t xml:space="preserve">S-58; </w:t>
      </w:r>
      <w:r w:rsidRPr="002309B7">
        <w:rPr>
          <w:sz w:val="20"/>
          <w:szCs w:val="20"/>
        </w:rPr>
        <w:t>Tr. Vol 1, 236</w:t>
      </w:r>
      <w:r w:rsidR="000A7C5E">
        <w:rPr>
          <w:sz w:val="20"/>
          <w:szCs w:val="20"/>
        </w:rPr>
        <w:t>-243</w:t>
      </w:r>
      <w:r w:rsidR="00417F94" w:rsidRPr="002309B7">
        <w:rPr>
          <w:sz w:val="20"/>
          <w:szCs w:val="20"/>
        </w:rPr>
        <w:t>.</w:t>
      </w:r>
    </w:p>
  </w:footnote>
  <w:footnote w:id="44">
    <w:p w14:paraId="6858BE88" w14:textId="6A446BEF" w:rsidR="006C6A88" w:rsidRPr="0024780B" w:rsidRDefault="006C6A88" w:rsidP="006C6A88">
      <w:pPr>
        <w:pStyle w:val="FootnoteText"/>
        <w:rPr>
          <w:sz w:val="20"/>
          <w:szCs w:val="20"/>
        </w:rPr>
      </w:pPr>
      <w:r w:rsidRPr="0024780B">
        <w:rPr>
          <w:rStyle w:val="FootnoteReference"/>
          <w:sz w:val="20"/>
          <w:szCs w:val="20"/>
        </w:rPr>
        <w:footnoteRef/>
      </w:r>
      <w:r w:rsidRPr="0024780B">
        <w:rPr>
          <w:sz w:val="20"/>
          <w:szCs w:val="20"/>
        </w:rPr>
        <w:t xml:space="preserve"> </w:t>
      </w:r>
      <w:proofErr w:type="spellStart"/>
      <w:r w:rsidR="000A7C5E" w:rsidRPr="0024780B">
        <w:rPr>
          <w:sz w:val="20"/>
          <w:szCs w:val="20"/>
        </w:rPr>
        <w:t>Exh</w:t>
      </w:r>
      <w:proofErr w:type="spellEnd"/>
      <w:r w:rsidR="000A7C5E" w:rsidRPr="0024780B">
        <w:rPr>
          <w:sz w:val="20"/>
          <w:szCs w:val="20"/>
        </w:rPr>
        <w:t xml:space="preserve">. </w:t>
      </w:r>
      <w:r w:rsidRPr="0024780B">
        <w:rPr>
          <w:sz w:val="20"/>
          <w:szCs w:val="20"/>
        </w:rPr>
        <w:t>P-34</w:t>
      </w:r>
      <w:r w:rsidR="0024780B" w:rsidRPr="0024780B">
        <w:rPr>
          <w:sz w:val="20"/>
          <w:szCs w:val="20"/>
        </w:rPr>
        <w:t>, P-84.</w:t>
      </w:r>
    </w:p>
  </w:footnote>
  <w:footnote w:id="45">
    <w:p w14:paraId="2F925DCB" w14:textId="4A5F5534" w:rsidR="006C6A88" w:rsidRPr="00F165B8" w:rsidRDefault="006C6A88" w:rsidP="006C6A88">
      <w:pPr>
        <w:pStyle w:val="FootnoteText"/>
        <w:rPr>
          <w:sz w:val="20"/>
          <w:szCs w:val="20"/>
        </w:rPr>
      </w:pPr>
      <w:r w:rsidRPr="00F165B8">
        <w:rPr>
          <w:rStyle w:val="FootnoteReference"/>
          <w:sz w:val="20"/>
          <w:szCs w:val="20"/>
        </w:rPr>
        <w:footnoteRef/>
      </w:r>
      <w:r w:rsidRPr="00F165B8">
        <w:rPr>
          <w:sz w:val="20"/>
          <w:szCs w:val="20"/>
        </w:rPr>
        <w:t xml:space="preserve"> </w:t>
      </w:r>
      <w:proofErr w:type="spellStart"/>
      <w:r w:rsidR="0024780B">
        <w:rPr>
          <w:sz w:val="20"/>
          <w:szCs w:val="20"/>
        </w:rPr>
        <w:t>Exh</w:t>
      </w:r>
      <w:proofErr w:type="spellEnd"/>
      <w:r w:rsidR="0024780B">
        <w:rPr>
          <w:sz w:val="20"/>
          <w:szCs w:val="20"/>
        </w:rPr>
        <w:t xml:space="preserve">. </w:t>
      </w:r>
      <w:r w:rsidRPr="00F165B8">
        <w:rPr>
          <w:sz w:val="20"/>
          <w:szCs w:val="20"/>
        </w:rPr>
        <w:t>P-60</w:t>
      </w:r>
      <w:r w:rsidR="00FC7C86" w:rsidRPr="00F165B8">
        <w:rPr>
          <w:sz w:val="20"/>
          <w:szCs w:val="20"/>
        </w:rPr>
        <w:t>.</w:t>
      </w:r>
    </w:p>
  </w:footnote>
  <w:footnote w:id="46">
    <w:p w14:paraId="1D250E4A" w14:textId="77777777" w:rsidR="006C6A88" w:rsidRPr="00F165B8" w:rsidRDefault="006C6A88" w:rsidP="006C6A88">
      <w:pPr>
        <w:pStyle w:val="FootnoteText"/>
        <w:rPr>
          <w:i/>
          <w:iCs/>
          <w:sz w:val="20"/>
          <w:szCs w:val="20"/>
        </w:rPr>
      </w:pPr>
      <w:r w:rsidRPr="00F165B8">
        <w:rPr>
          <w:rStyle w:val="FootnoteReference"/>
          <w:sz w:val="20"/>
          <w:szCs w:val="20"/>
        </w:rPr>
        <w:footnoteRef/>
      </w:r>
      <w:r w:rsidRPr="00F165B8">
        <w:rPr>
          <w:sz w:val="20"/>
          <w:szCs w:val="20"/>
        </w:rPr>
        <w:t xml:space="preserve"> </w:t>
      </w:r>
      <w:r w:rsidRPr="00F165B8">
        <w:rPr>
          <w:i/>
          <w:iCs/>
          <w:sz w:val="20"/>
          <w:szCs w:val="20"/>
        </w:rPr>
        <w:t xml:space="preserve">Id. </w:t>
      </w:r>
    </w:p>
  </w:footnote>
  <w:footnote w:id="47">
    <w:p w14:paraId="31A1E2AF" w14:textId="77777777" w:rsidR="006C6A88" w:rsidRPr="00F165B8" w:rsidRDefault="006C6A88" w:rsidP="006C6A88">
      <w:pPr>
        <w:pStyle w:val="FootnoteText"/>
        <w:rPr>
          <w:i/>
          <w:iCs/>
          <w:sz w:val="20"/>
          <w:szCs w:val="20"/>
        </w:rPr>
      </w:pPr>
      <w:r w:rsidRPr="00F165B8">
        <w:rPr>
          <w:rStyle w:val="FootnoteReference"/>
          <w:sz w:val="20"/>
          <w:szCs w:val="20"/>
        </w:rPr>
        <w:footnoteRef/>
      </w:r>
      <w:r w:rsidRPr="00F165B8">
        <w:rPr>
          <w:sz w:val="20"/>
          <w:szCs w:val="20"/>
        </w:rPr>
        <w:t xml:space="preserve"> </w:t>
      </w:r>
      <w:r w:rsidRPr="00F165B8">
        <w:rPr>
          <w:i/>
          <w:iCs/>
          <w:sz w:val="20"/>
          <w:szCs w:val="20"/>
        </w:rPr>
        <w:t xml:space="preserve">Id. </w:t>
      </w:r>
    </w:p>
  </w:footnote>
  <w:footnote w:id="48">
    <w:p w14:paraId="67B033AE" w14:textId="1A7602F1" w:rsidR="006C6A88" w:rsidRPr="00F165B8" w:rsidRDefault="006C6A88" w:rsidP="006C6A88">
      <w:pPr>
        <w:pStyle w:val="FootnoteText"/>
        <w:rPr>
          <w:sz w:val="20"/>
          <w:szCs w:val="20"/>
        </w:rPr>
      </w:pPr>
      <w:r w:rsidRPr="00F165B8">
        <w:rPr>
          <w:rStyle w:val="FootnoteReference"/>
          <w:sz w:val="20"/>
          <w:szCs w:val="20"/>
        </w:rPr>
        <w:footnoteRef/>
      </w:r>
      <w:r w:rsidRPr="00F165B8">
        <w:rPr>
          <w:sz w:val="20"/>
          <w:szCs w:val="20"/>
        </w:rPr>
        <w:t xml:space="preserve"> M.G.L. c. 71 §37O</w:t>
      </w:r>
      <w:r w:rsidR="00FC7C86" w:rsidRPr="00F165B8">
        <w:rPr>
          <w:sz w:val="20"/>
          <w:szCs w:val="20"/>
        </w:rPr>
        <w:t>.</w:t>
      </w:r>
    </w:p>
  </w:footnote>
  <w:footnote w:id="49">
    <w:p w14:paraId="48ED2CF9" w14:textId="15F0D5EA" w:rsidR="002309B7" w:rsidRPr="00F165B8" w:rsidRDefault="002309B7">
      <w:pPr>
        <w:pStyle w:val="FootnoteText"/>
        <w:rPr>
          <w:sz w:val="20"/>
          <w:szCs w:val="20"/>
        </w:rPr>
      </w:pPr>
      <w:r w:rsidRPr="00F165B8">
        <w:rPr>
          <w:rStyle w:val="FootnoteReference"/>
          <w:sz w:val="20"/>
          <w:szCs w:val="20"/>
        </w:rPr>
        <w:footnoteRef/>
      </w:r>
      <w:r w:rsidRPr="00F165B8">
        <w:rPr>
          <w:sz w:val="20"/>
          <w:szCs w:val="20"/>
        </w:rPr>
        <w:t xml:space="preserve"> See </w:t>
      </w:r>
      <w:proofErr w:type="spellStart"/>
      <w:r w:rsidRPr="00F165B8">
        <w:rPr>
          <w:i/>
          <w:iCs/>
          <w:sz w:val="20"/>
          <w:szCs w:val="20"/>
        </w:rPr>
        <w:t>Alholm</w:t>
      </w:r>
      <w:proofErr w:type="spellEnd"/>
      <w:r w:rsidRPr="00F165B8">
        <w:rPr>
          <w:i/>
          <w:iCs/>
          <w:sz w:val="20"/>
          <w:szCs w:val="20"/>
        </w:rPr>
        <w:t xml:space="preserve"> </w:t>
      </w:r>
      <w:r w:rsidRPr="00F165B8">
        <w:rPr>
          <w:sz w:val="20"/>
          <w:szCs w:val="20"/>
        </w:rPr>
        <w:t>371 Mass. at 627</w:t>
      </w:r>
      <w:r w:rsidR="00D2031F" w:rsidRPr="00F165B8">
        <w:rPr>
          <w:sz w:val="20"/>
          <w:szCs w:val="20"/>
        </w:rPr>
        <w:t xml:space="preserve">; </w:t>
      </w:r>
      <w:r w:rsidR="00D2031F" w:rsidRPr="00F165B8">
        <w:rPr>
          <w:i/>
          <w:iCs/>
          <w:sz w:val="20"/>
          <w:szCs w:val="20"/>
        </w:rPr>
        <w:t>Elizabeth R.L.</w:t>
      </w:r>
      <w:r w:rsidR="00D2031F" w:rsidRPr="00F165B8">
        <w:rPr>
          <w:sz w:val="20"/>
          <w:szCs w:val="20"/>
        </w:rPr>
        <w:t xml:space="preserve">, </w:t>
      </w:r>
      <w:r w:rsidR="00D2031F" w:rsidRPr="00F165B8">
        <w:rPr>
          <w:i/>
          <w:iCs/>
          <w:sz w:val="20"/>
          <w:szCs w:val="20"/>
        </w:rPr>
        <w:t>supra</w:t>
      </w:r>
      <w:r w:rsidR="00D2031F" w:rsidRPr="00F165B8">
        <w:rPr>
          <w:sz w:val="20"/>
          <w:szCs w:val="20"/>
        </w:rPr>
        <w:t>.</w:t>
      </w:r>
    </w:p>
  </w:footnote>
  <w:footnote w:id="50">
    <w:p w14:paraId="4FE65447" w14:textId="4334B4A3" w:rsidR="006C6A88" w:rsidRPr="00A3500E" w:rsidRDefault="006C6A88" w:rsidP="006C6A88">
      <w:pPr>
        <w:pStyle w:val="FootnoteText"/>
      </w:pPr>
      <w:r w:rsidRPr="00F165B8">
        <w:rPr>
          <w:rStyle w:val="FootnoteReference"/>
          <w:sz w:val="20"/>
          <w:szCs w:val="20"/>
        </w:rPr>
        <w:footnoteRef/>
      </w:r>
      <w:r w:rsidRPr="00F165B8">
        <w:rPr>
          <w:sz w:val="20"/>
          <w:szCs w:val="20"/>
        </w:rPr>
        <w:t xml:space="preserve"> </w:t>
      </w:r>
      <w:proofErr w:type="spellStart"/>
      <w:r w:rsidR="0024780B">
        <w:rPr>
          <w:sz w:val="20"/>
          <w:szCs w:val="20"/>
        </w:rPr>
        <w:t>Exh</w:t>
      </w:r>
      <w:proofErr w:type="spellEnd"/>
      <w:r w:rsidR="0024780B">
        <w:rPr>
          <w:sz w:val="20"/>
          <w:szCs w:val="20"/>
        </w:rPr>
        <w:t xml:space="preserve">. </w:t>
      </w:r>
      <w:r w:rsidRPr="00F165B8">
        <w:rPr>
          <w:sz w:val="20"/>
          <w:szCs w:val="20"/>
        </w:rPr>
        <w:t>P-8</w:t>
      </w:r>
      <w:r w:rsidR="00F165B8" w:rsidRPr="00F165B8">
        <w:rPr>
          <w:sz w:val="20"/>
          <w:szCs w:val="20"/>
        </w:rPr>
        <w:t>.</w:t>
      </w:r>
    </w:p>
  </w:footnote>
  <w:footnote w:id="51">
    <w:p w14:paraId="523BF618" w14:textId="77777777" w:rsidR="006C6A88" w:rsidRPr="00B85F33" w:rsidRDefault="006C6A88" w:rsidP="00B85F33">
      <w:pPr>
        <w:pStyle w:val="FootnoteText"/>
        <w:rPr>
          <w:i/>
          <w:iCs/>
          <w:sz w:val="20"/>
          <w:szCs w:val="20"/>
        </w:rPr>
      </w:pPr>
      <w:r w:rsidRPr="00B85F33">
        <w:rPr>
          <w:rStyle w:val="FootnoteReference"/>
          <w:sz w:val="20"/>
          <w:szCs w:val="20"/>
        </w:rPr>
        <w:footnoteRef/>
      </w:r>
      <w:r w:rsidRPr="00B85F33">
        <w:rPr>
          <w:sz w:val="20"/>
          <w:szCs w:val="20"/>
        </w:rPr>
        <w:t xml:space="preserve"> </w:t>
      </w:r>
      <w:r w:rsidRPr="00B85F33">
        <w:rPr>
          <w:i/>
          <w:iCs/>
          <w:sz w:val="20"/>
          <w:szCs w:val="20"/>
        </w:rPr>
        <w:t>Id.</w:t>
      </w:r>
    </w:p>
  </w:footnote>
  <w:footnote w:id="52">
    <w:p w14:paraId="473D948A" w14:textId="228CA97F" w:rsidR="006C6A88" w:rsidRPr="006102C1" w:rsidRDefault="006C6A88" w:rsidP="00B85F33">
      <w:pPr>
        <w:pStyle w:val="FootnoteText"/>
        <w:rPr>
          <w:sz w:val="20"/>
          <w:szCs w:val="20"/>
        </w:rPr>
      </w:pPr>
      <w:r w:rsidRPr="006102C1">
        <w:rPr>
          <w:rStyle w:val="FootnoteReference"/>
          <w:sz w:val="20"/>
          <w:szCs w:val="20"/>
        </w:rPr>
        <w:footnoteRef/>
      </w:r>
      <w:r w:rsidRPr="006102C1">
        <w:rPr>
          <w:sz w:val="20"/>
          <w:szCs w:val="20"/>
        </w:rPr>
        <w:t xml:space="preserve">  </w:t>
      </w:r>
      <w:r w:rsidR="00F529ED" w:rsidRPr="006102C1">
        <w:rPr>
          <w:sz w:val="20"/>
          <w:szCs w:val="20"/>
        </w:rPr>
        <w:t xml:space="preserve">See </w:t>
      </w:r>
      <w:proofErr w:type="spellStart"/>
      <w:r w:rsidR="00F529ED" w:rsidRPr="006102C1">
        <w:rPr>
          <w:i/>
          <w:iCs/>
          <w:sz w:val="20"/>
          <w:szCs w:val="20"/>
        </w:rPr>
        <w:t>Alholm</w:t>
      </w:r>
      <w:proofErr w:type="spellEnd"/>
      <w:r w:rsidR="00F529ED" w:rsidRPr="006102C1">
        <w:rPr>
          <w:i/>
          <w:iCs/>
          <w:sz w:val="20"/>
          <w:szCs w:val="20"/>
        </w:rPr>
        <w:t xml:space="preserve"> </w:t>
      </w:r>
      <w:r w:rsidR="00F529ED" w:rsidRPr="006102C1">
        <w:rPr>
          <w:sz w:val="20"/>
          <w:szCs w:val="20"/>
        </w:rPr>
        <w:t xml:space="preserve">371 Mass. at 627; </w:t>
      </w:r>
      <w:r w:rsidR="00F529ED" w:rsidRPr="006102C1">
        <w:rPr>
          <w:i/>
          <w:iCs/>
          <w:sz w:val="20"/>
          <w:szCs w:val="20"/>
        </w:rPr>
        <w:t>Colón-Vazquez</w:t>
      </w:r>
      <w:r w:rsidR="00F529ED" w:rsidRPr="006102C1">
        <w:rPr>
          <w:sz w:val="20"/>
          <w:szCs w:val="20"/>
        </w:rPr>
        <w:t xml:space="preserve">, 46 F. Supp. 3d at </w:t>
      </w:r>
      <w:r w:rsidRPr="006102C1">
        <w:rPr>
          <w:sz w:val="20"/>
          <w:szCs w:val="20"/>
        </w:rPr>
        <w:t>143-44</w:t>
      </w:r>
      <w:r w:rsidR="00F529ED" w:rsidRPr="006102C1">
        <w:rPr>
          <w:sz w:val="20"/>
          <w:szCs w:val="20"/>
        </w:rPr>
        <w:t xml:space="preserve">; </w:t>
      </w:r>
      <w:r w:rsidRPr="006102C1">
        <w:rPr>
          <w:i/>
          <w:sz w:val="20"/>
          <w:szCs w:val="20"/>
        </w:rPr>
        <w:t xml:space="preserve">Van </w:t>
      </w:r>
      <w:proofErr w:type="spellStart"/>
      <w:r w:rsidRPr="006102C1">
        <w:rPr>
          <w:i/>
          <w:sz w:val="20"/>
          <w:szCs w:val="20"/>
        </w:rPr>
        <w:t>Duyn</w:t>
      </w:r>
      <w:proofErr w:type="spellEnd"/>
      <w:r w:rsidRPr="006102C1">
        <w:rPr>
          <w:i/>
          <w:sz w:val="20"/>
          <w:szCs w:val="20"/>
        </w:rPr>
        <w:t xml:space="preserve"> v. Baker Sch. Dist</w:t>
      </w:r>
      <w:r w:rsidRPr="006102C1">
        <w:rPr>
          <w:sz w:val="20"/>
          <w:szCs w:val="20"/>
        </w:rPr>
        <w:t xml:space="preserve">., 502 F.3d </w:t>
      </w:r>
      <w:r w:rsidR="00F529ED" w:rsidRPr="006102C1">
        <w:rPr>
          <w:sz w:val="20"/>
          <w:szCs w:val="20"/>
        </w:rPr>
        <w:t xml:space="preserve">at </w:t>
      </w:r>
      <w:r w:rsidRPr="006102C1">
        <w:rPr>
          <w:sz w:val="20"/>
          <w:szCs w:val="20"/>
        </w:rPr>
        <w:t>8</w:t>
      </w:r>
      <w:r w:rsidR="00F529ED" w:rsidRPr="006102C1">
        <w:rPr>
          <w:sz w:val="20"/>
          <w:szCs w:val="20"/>
        </w:rPr>
        <w:t>15</w:t>
      </w:r>
      <w:r w:rsidRPr="006102C1">
        <w:rPr>
          <w:sz w:val="20"/>
          <w:szCs w:val="20"/>
        </w:rPr>
        <w:t>.</w:t>
      </w:r>
    </w:p>
  </w:footnote>
  <w:footnote w:id="53">
    <w:p w14:paraId="4CE7F62B" w14:textId="7B197585" w:rsidR="001D108A" w:rsidRPr="006102C1" w:rsidRDefault="001D108A" w:rsidP="00B85F33">
      <w:pPr>
        <w:pStyle w:val="FootnoteText"/>
        <w:rPr>
          <w:sz w:val="20"/>
          <w:szCs w:val="20"/>
        </w:rPr>
      </w:pPr>
      <w:r w:rsidRPr="006102C1">
        <w:rPr>
          <w:rStyle w:val="FootnoteReference"/>
          <w:sz w:val="20"/>
          <w:szCs w:val="20"/>
        </w:rPr>
        <w:footnoteRef/>
      </w:r>
      <w:r w:rsidRPr="006102C1">
        <w:rPr>
          <w:sz w:val="20"/>
          <w:szCs w:val="20"/>
        </w:rPr>
        <w:t xml:space="preserve"> See, </w:t>
      </w:r>
      <w:r w:rsidRPr="006102C1">
        <w:rPr>
          <w:i/>
          <w:iCs/>
          <w:sz w:val="20"/>
          <w:szCs w:val="20"/>
        </w:rPr>
        <w:t>e.g.</w:t>
      </w:r>
      <w:r w:rsidRPr="006102C1">
        <w:rPr>
          <w:sz w:val="20"/>
          <w:szCs w:val="20"/>
        </w:rPr>
        <w:t xml:space="preserve">, </w:t>
      </w:r>
      <w:r w:rsidRPr="006102C1">
        <w:rPr>
          <w:i/>
          <w:iCs/>
          <w:sz w:val="20"/>
          <w:szCs w:val="20"/>
        </w:rPr>
        <w:t>Monahan</w:t>
      </w:r>
      <w:r w:rsidRPr="006102C1">
        <w:rPr>
          <w:sz w:val="20"/>
          <w:szCs w:val="20"/>
        </w:rPr>
        <w:t xml:space="preserve">, 687 F.2d at 1171; </w:t>
      </w:r>
      <w:r w:rsidRPr="006102C1">
        <w:rPr>
          <w:i/>
          <w:iCs/>
          <w:sz w:val="20"/>
          <w:szCs w:val="20"/>
        </w:rPr>
        <w:t>K.D.</w:t>
      </w:r>
      <w:r w:rsidRPr="006102C1">
        <w:rPr>
          <w:sz w:val="20"/>
          <w:szCs w:val="20"/>
        </w:rPr>
        <w:t>, 55 F. Supp. 3d at 788;</w:t>
      </w:r>
      <w:r w:rsidRPr="006102C1">
        <w:rPr>
          <w:i/>
          <w:iCs/>
          <w:sz w:val="20"/>
          <w:szCs w:val="20"/>
        </w:rPr>
        <w:t xml:space="preserve"> </w:t>
      </w:r>
      <w:r w:rsidRPr="006102C1">
        <w:rPr>
          <w:i/>
          <w:iCs/>
          <w:sz w:val="20"/>
          <w:szCs w:val="20"/>
          <w:bdr w:val="none" w:sz="0" w:space="0" w:color="auto" w:frame="1"/>
        </w:rPr>
        <w:t>Nickerson-</w:t>
      </w:r>
      <w:proofErr w:type="spellStart"/>
      <w:r w:rsidRPr="006102C1">
        <w:rPr>
          <w:i/>
          <w:iCs/>
          <w:sz w:val="20"/>
          <w:szCs w:val="20"/>
          <w:bdr w:val="none" w:sz="0" w:space="0" w:color="auto" w:frame="1"/>
        </w:rPr>
        <w:t>Reti</w:t>
      </w:r>
      <w:proofErr w:type="spellEnd"/>
      <w:r w:rsidRPr="006102C1">
        <w:rPr>
          <w:sz w:val="20"/>
          <w:szCs w:val="20"/>
          <w:shd w:val="clear" w:color="auto" w:fill="FFFFFF"/>
        </w:rPr>
        <w:t>, 893 F. Supp. 2d at 300.</w:t>
      </w:r>
      <w:r w:rsidR="00230F13" w:rsidRPr="006102C1">
        <w:rPr>
          <w:sz w:val="20"/>
          <w:szCs w:val="20"/>
          <w:shd w:val="clear" w:color="auto" w:fill="FFFFFF"/>
        </w:rPr>
        <w:t xml:space="preserve"> </w:t>
      </w:r>
      <w:r w:rsidR="00230F13" w:rsidRPr="006102C1">
        <w:rPr>
          <w:sz w:val="20"/>
          <w:szCs w:val="20"/>
        </w:rPr>
        <w:t>I note here that at ABRSD’s request, and over Parent’s objection, I excluded from the evidence a report regarding a student other than Stewart. Parent argued that this report was evidence of other options available to ABRSD to manage dysregulation. As Parent could not provide any information regarding the student involved, including whether</w:t>
      </w:r>
      <w:r w:rsidR="008C7B22" w:rsidRPr="006102C1">
        <w:rPr>
          <w:sz w:val="20"/>
          <w:szCs w:val="20"/>
        </w:rPr>
        <w:t xml:space="preserve"> he had a disability, the document was irrelevant. Moreover, it</w:t>
      </w:r>
      <w:r w:rsidR="00230F13" w:rsidRPr="006102C1">
        <w:rPr>
          <w:sz w:val="20"/>
          <w:szCs w:val="20"/>
        </w:rPr>
        <w:t xml:space="preserve"> would not have been relevant to establishing accepted professional judgment, practice, or standards for the purposes of </w:t>
      </w:r>
      <w:r w:rsidR="008C7B22" w:rsidRPr="006102C1">
        <w:rPr>
          <w:sz w:val="20"/>
          <w:szCs w:val="20"/>
        </w:rPr>
        <w:t>determining whether the District violated § 504 by involving the School Resource Officer (SRO) in managing Stewart’s dysregulation</w:t>
      </w:r>
      <w:r w:rsidR="00230F13" w:rsidRPr="006102C1">
        <w:rPr>
          <w:sz w:val="20"/>
          <w:szCs w:val="20"/>
        </w:rPr>
        <w:t xml:space="preserve">. </w:t>
      </w:r>
      <w:r w:rsidR="00CF4DE1" w:rsidRPr="006102C1">
        <w:rPr>
          <w:sz w:val="20"/>
          <w:szCs w:val="20"/>
        </w:rPr>
        <w:t>Tr. Vol 1, 35-39.</w:t>
      </w:r>
    </w:p>
  </w:footnote>
  <w:footnote w:id="54">
    <w:p w14:paraId="205386DD" w14:textId="40F78F93" w:rsidR="001D108A" w:rsidRPr="006102C1" w:rsidRDefault="001D108A" w:rsidP="00B85F33">
      <w:pPr>
        <w:pStyle w:val="FootnoteText"/>
        <w:rPr>
          <w:sz w:val="20"/>
          <w:szCs w:val="20"/>
        </w:rPr>
      </w:pPr>
      <w:r w:rsidRPr="006102C1">
        <w:rPr>
          <w:rStyle w:val="FootnoteReference"/>
          <w:sz w:val="20"/>
          <w:szCs w:val="20"/>
        </w:rPr>
        <w:footnoteRef/>
      </w:r>
      <w:r w:rsidRPr="006102C1">
        <w:rPr>
          <w:sz w:val="20"/>
          <w:szCs w:val="20"/>
        </w:rPr>
        <w:t xml:space="preserve"> Tr. Vol 1, 196:12-15. </w:t>
      </w:r>
    </w:p>
  </w:footnote>
  <w:footnote w:id="55">
    <w:p w14:paraId="248B162A" w14:textId="2F479AC4" w:rsidR="00944470" w:rsidRPr="00A3500E" w:rsidRDefault="00944470" w:rsidP="00944470">
      <w:pPr>
        <w:pStyle w:val="FootnoteText"/>
        <w:jc w:val="both"/>
      </w:pPr>
      <w:r w:rsidRPr="006102C1">
        <w:rPr>
          <w:rStyle w:val="FootnoteReference"/>
          <w:sz w:val="20"/>
          <w:szCs w:val="20"/>
        </w:rPr>
        <w:footnoteRef/>
      </w:r>
      <w:r w:rsidRPr="006102C1">
        <w:rPr>
          <w:sz w:val="20"/>
          <w:szCs w:val="20"/>
        </w:rPr>
        <w:t xml:space="preserve"> </w:t>
      </w:r>
      <w:proofErr w:type="spellStart"/>
      <w:r w:rsidR="006102C1">
        <w:rPr>
          <w:sz w:val="20"/>
          <w:szCs w:val="20"/>
        </w:rPr>
        <w:t>Exh</w:t>
      </w:r>
      <w:proofErr w:type="spellEnd"/>
      <w:r w:rsidR="006102C1">
        <w:rPr>
          <w:sz w:val="20"/>
          <w:szCs w:val="20"/>
        </w:rPr>
        <w:t xml:space="preserve">. </w:t>
      </w:r>
      <w:r w:rsidRPr="006102C1">
        <w:rPr>
          <w:sz w:val="20"/>
          <w:szCs w:val="20"/>
        </w:rPr>
        <w:t>P-83</w:t>
      </w:r>
      <w:r w:rsidR="006102C1">
        <w:rPr>
          <w:sz w:val="20"/>
          <w:szCs w:val="20"/>
        </w:rPr>
        <w:t>; Tr. Vol 2, 127:120-24</w:t>
      </w:r>
      <w:r w:rsidR="00230F13" w:rsidRPr="006102C1">
        <w:rPr>
          <w:sz w:val="20"/>
          <w:szCs w:val="20"/>
        </w:rPr>
        <w:t>.</w:t>
      </w:r>
    </w:p>
  </w:footnote>
  <w:footnote w:id="56">
    <w:p w14:paraId="20784322" w14:textId="4C3D48FB" w:rsidR="006C6A88" w:rsidRPr="00E16397" w:rsidRDefault="006C6A88" w:rsidP="00B85F33">
      <w:pPr>
        <w:pStyle w:val="FootnoteText"/>
        <w:rPr>
          <w:sz w:val="20"/>
          <w:szCs w:val="20"/>
        </w:rPr>
      </w:pPr>
      <w:r w:rsidRPr="00E16397">
        <w:rPr>
          <w:rStyle w:val="FootnoteReference"/>
          <w:sz w:val="20"/>
          <w:szCs w:val="20"/>
        </w:rPr>
        <w:footnoteRef/>
      </w:r>
      <w:r w:rsidRPr="00E16397">
        <w:rPr>
          <w:sz w:val="20"/>
          <w:szCs w:val="20"/>
        </w:rPr>
        <w:t xml:space="preserve"> </w:t>
      </w:r>
      <w:proofErr w:type="spellStart"/>
      <w:r w:rsidR="009315C8">
        <w:rPr>
          <w:sz w:val="20"/>
          <w:szCs w:val="20"/>
        </w:rPr>
        <w:t>Exh</w:t>
      </w:r>
      <w:proofErr w:type="spellEnd"/>
      <w:r w:rsidR="009315C8">
        <w:rPr>
          <w:sz w:val="20"/>
          <w:szCs w:val="20"/>
        </w:rPr>
        <w:t xml:space="preserve">. </w:t>
      </w:r>
      <w:r w:rsidRPr="00E16397">
        <w:rPr>
          <w:sz w:val="20"/>
          <w:szCs w:val="20"/>
        </w:rPr>
        <w:t>P-46</w:t>
      </w:r>
      <w:r w:rsidR="009315C8">
        <w:rPr>
          <w:sz w:val="20"/>
          <w:szCs w:val="20"/>
        </w:rPr>
        <w:t>.</w:t>
      </w:r>
    </w:p>
  </w:footnote>
  <w:footnote w:id="57">
    <w:p w14:paraId="75125F70" w14:textId="66E0D7BE" w:rsidR="002B227F" w:rsidRPr="00E16397" w:rsidRDefault="002B227F" w:rsidP="00B85F33">
      <w:pPr>
        <w:pStyle w:val="FootnoteText"/>
        <w:rPr>
          <w:sz w:val="20"/>
          <w:szCs w:val="20"/>
        </w:rPr>
      </w:pPr>
      <w:r w:rsidRPr="00E16397">
        <w:rPr>
          <w:rStyle w:val="FootnoteReference"/>
          <w:sz w:val="20"/>
          <w:szCs w:val="20"/>
        </w:rPr>
        <w:footnoteRef/>
      </w:r>
      <w:r w:rsidRPr="00E16397">
        <w:rPr>
          <w:sz w:val="20"/>
          <w:szCs w:val="20"/>
        </w:rPr>
        <w:t xml:space="preserve"> Tr. Vol 1, 196:</w:t>
      </w:r>
      <w:r w:rsidR="00B85F33" w:rsidRPr="00E16397">
        <w:rPr>
          <w:sz w:val="20"/>
          <w:szCs w:val="20"/>
        </w:rPr>
        <w:t>16-24, 197:1-10</w:t>
      </w:r>
      <w:r w:rsidRPr="00E16397">
        <w:rPr>
          <w:sz w:val="20"/>
          <w:szCs w:val="20"/>
        </w:rPr>
        <w:t>.</w:t>
      </w:r>
    </w:p>
  </w:footnote>
  <w:footnote w:id="58">
    <w:p w14:paraId="176B00D5" w14:textId="7F4FFE4B" w:rsidR="002B227F" w:rsidRPr="00E16397" w:rsidRDefault="002B227F" w:rsidP="00B85F33">
      <w:pPr>
        <w:pStyle w:val="FootnoteText"/>
        <w:rPr>
          <w:sz w:val="20"/>
          <w:szCs w:val="20"/>
        </w:rPr>
      </w:pPr>
      <w:r w:rsidRPr="00E16397">
        <w:rPr>
          <w:rStyle w:val="FootnoteReference"/>
          <w:sz w:val="20"/>
          <w:szCs w:val="20"/>
        </w:rPr>
        <w:footnoteRef/>
      </w:r>
      <w:r w:rsidRPr="00E16397">
        <w:rPr>
          <w:sz w:val="20"/>
          <w:szCs w:val="20"/>
        </w:rPr>
        <w:t xml:space="preserve"> </w:t>
      </w:r>
      <w:r w:rsidR="00B85F33" w:rsidRPr="00E16397">
        <w:rPr>
          <w:sz w:val="20"/>
          <w:szCs w:val="20"/>
        </w:rPr>
        <w:t>Tr. Vol 1, 197:15-23.</w:t>
      </w:r>
    </w:p>
  </w:footnote>
  <w:footnote w:id="59">
    <w:p w14:paraId="38F04338" w14:textId="0245A478" w:rsidR="00B85F33" w:rsidRPr="00E16397" w:rsidRDefault="00B85F33" w:rsidP="00B85F33">
      <w:pPr>
        <w:pStyle w:val="FootnoteText"/>
        <w:rPr>
          <w:sz w:val="20"/>
          <w:szCs w:val="20"/>
        </w:rPr>
      </w:pPr>
      <w:r w:rsidRPr="00E16397">
        <w:rPr>
          <w:rStyle w:val="FootnoteReference"/>
          <w:sz w:val="20"/>
          <w:szCs w:val="20"/>
        </w:rPr>
        <w:footnoteRef/>
      </w:r>
      <w:r w:rsidRPr="00E16397">
        <w:rPr>
          <w:sz w:val="20"/>
          <w:szCs w:val="20"/>
        </w:rPr>
        <w:t xml:space="preserve"> </w:t>
      </w:r>
      <w:proofErr w:type="spellStart"/>
      <w:r w:rsidR="009315C8">
        <w:rPr>
          <w:sz w:val="20"/>
          <w:szCs w:val="20"/>
        </w:rPr>
        <w:t>Exh</w:t>
      </w:r>
      <w:proofErr w:type="spellEnd"/>
      <w:r w:rsidR="009315C8">
        <w:rPr>
          <w:sz w:val="20"/>
          <w:szCs w:val="20"/>
        </w:rPr>
        <w:t xml:space="preserve">. </w:t>
      </w:r>
      <w:r w:rsidRPr="00E16397">
        <w:rPr>
          <w:sz w:val="20"/>
          <w:szCs w:val="20"/>
        </w:rPr>
        <w:t>P-46</w:t>
      </w:r>
      <w:r w:rsidR="00D145AC" w:rsidRPr="00E16397">
        <w:rPr>
          <w:sz w:val="20"/>
          <w:szCs w:val="20"/>
        </w:rPr>
        <w:t>; Tr. Vol 2, 151:9-</w:t>
      </w:r>
      <w:r w:rsidR="00944470" w:rsidRPr="00E16397">
        <w:rPr>
          <w:sz w:val="20"/>
          <w:szCs w:val="20"/>
        </w:rPr>
        <w:t>20.</w:t>
      </w:r>
    </w:p>
  </w:footnote>
  <w:footnote w:id="60">
    <w:p w14:paraId="5BB13947" w14:textId="19FD76F2" w:rsidR="006C6A88" w:rsidRPr="00E16397" w:rsidRDefault="006C6A88" w:rsidP="00F529ED">
      <w:pPr>
        <w:pStyle w:val="FootnoteText"/>
        <w:rPr>
          <w:sz w:val="20"/>
          <w:szCs w:val="20"/>
        </w:rPr>
      </w:pPr>
      <w:r w:rsidRPr="00E16397">
        <w:rPr>
          <w:rStyle w:val="FootnoteReference"/>
          <w:sz w:val="20"/>
          <w:szCs w:val="20"/>
        </w:rPr>
        <w:footnoteRef/>
      </w:r>
      <w:r w:rsidRPr="00E16397">
        <w:rPr>
          <w:sz w:val="20"/>
          <w:szCs w:val="20"/>
        </w:rPr>
        <w:t xml:space="preserve"> </w:t>
      </w:r>
      <w:r w:rsidR="00B85F33" w:rsidRPr="00E16397">
        <w:rPr>
          <w:sz w:val="20"/>
          <w:szCs w:val="20"/>
        </w:rPr>
        <w:t>Tr. Vol 2, 151:4-20.</w:t>
      </w:r>
    </w:p>
  </w:footnote>
  <w:footnote w:id="61">
    <w:p w14:paraId="38EF478A" w14:textId="24601CB6" w:rsidR="006C6A88" w:rsidRPr="00E16397" w:rsidRDefault="006C6A88" w:rsidP="00F529ED">
      <w:pPr>
        <w:pStyle w:val="FootnoteText"/>
        <w:rPr>
          <w:sz w:val="20"/>
          <w:szCs w:val="20"/>
        </w:rPr>
      </w:pPr>
      <w:r w:rsidRPr="00E16397">
        <w:rPr>
          <w:rStyle w:val="FootnoteReference"/>
          <w:sz w:val="20"/>
          <w:szCs w:val="20"/>
        </w:rPr>
        <w:footnoteRef/>
      </w:r>
      <w:r w:rsidRPr="00E16397">
        <w:rPr>
          <w:sz w:val="20"/>
          <w:szCs w:val="20"/>
        </w:rPr>
        <w:t xml:space="preserve"> </w:t>
      </w:r>
      <w:proofErr w:type="spellStart"/>
      <w:r w:rsidR="009315C8">
        <w:rPr>
          <w:sz w:val="20"/>
          <w:szCs w:val="20"/>
        </w:rPr>
        <w:t>Exh</w:t>
      </w:r>
      <w:proofErr w:type="spellEnd"/>
      <w:r w:rsidR="009315C8">
        <w:rPr>
          <w:sz w:val="20"/>
          <w:szCs w:val="20"/>
        </w:rPr>
        <w:t xml:space="preserve">. </w:t>
      </w:r>
      <w:r w:rsidRPr="00E16397">
        <w:rPr>
          <w:sz w:val="20"/>
          <w:szCs w:val="20"/>
        </w:rPr>
        <w:t>P-57</w:t>
      </w:r>
      <w:r w:rsidR="00B85F33" w:rsidRPr="00E16397">
        <w:rPr>
          <w:sz w:val="20"/>
          <w:szCs w:val="20"/>
        </w:rPr>
        <w:t>.</w:t>
      </w:r>
    </w:p>
  </w:footnote>
  <w:footnote w:id="62">
    <w:p w14:paraId="41A04F90" w14:textId="6625A205" w:rsidR="006C6A88" w:rsidRPr="00E16397" w:rsidRDefault="006C6A88" w:rsidP="00F529ED">
      <w:pPr>
        <w:pStyle w:val="FootnoteText"/>
        <w:rPr>
          <w:sz w:val="20"/>
          <w:szCs w:val="20"/>
        </w:rPr>
      </w:pPr>
      <w:r w:rsidRPr="00E16397">
        <w:rPr>
          <w:rStyle w:val="FootnoteReference"/>
          <w:sz w:val="20"/>
          <w:szCs w:val="20"/>
        </w:rPr>
        <w:footnoteRef/>
      </w:r>
      <w:r w:rsidRPr="00E16397">
        <w:rPr>
          <w:sz w:val="20"/>
          <w:szCs w:val="20"/>
        </w:rPr>
        <w:t xml:space="preserve"> </w:t>
      </w:r>
      <w:proofErr w:type="spellStart"/>
      <w:r w:rsidR="009315C8">
        <w:rPr>
          <w:sz w:val="20"/>
          <w:szCs w:val="20"/>
        </w:rPr>
        <w:t>Exh</w:t>
      </w:r>
      <w:proofErr w:type="spellEnd"/>
      <w:r w:rsidR="009315C8">
        <w:rPr>
          <w:sz w:val="20"/>
          <w:szCs w:val="20"/>
        </w:rPr>
        <w:t xml:space="preserve">. </w:t>
      </w:r>
      <w:r w:rsidRPr="00E16397">
        <w:rPr>
          <w:sz w:val="20"/>
          <w:szCs w:val="20"/>
        </w:rPr>
        <w:t>P-46</w:t>
      </w:r>
      <w:r w:rsidR="009315C8">
        <w:rPr>
          <w:sz w:val="20"/>
          <w:szCs w:val="20"/>
        </w:rPr>
        <w:t>.</w:t>
      </w:r>
    </w:p>
  </w:footnote>
  <w:footnote w:id="63">
    <w:p w14:paraId="6068104A" w14:textId="10A0BF8E" w:rsidR="00636FB1" w:rsidRPr="00E16397" w:rsidRDefault="00636FB1">
      <w:pPr>
        <w:pStyle w:val="FootnoteText"/>
        <w:rPr>
          <w:sz w:val="20"/>
          <w:szCs w:val="20"/>
        </w:rPr>
      </w:pPr>
      <w:r w:rsidRPr="00E16397">
        <w:rPr>
          <w:rStyle w:val="FootnoteReference"/>
          <w:sz w:val="20"/>
          <w:szCs w:val="20"/>
        </w:rPr>
        <w:footnoteRef/>
      </w:r>
      <w:r w:rsidRPr="00E16397">
        <w:rPr>
          <w:sz w:val="20"/>
          <w:szCs w:val="20"/>
        </w:rPr>
        <w:t xml:space="preserve"> </w:t>
      </w:r>
      <w:r w:rsidR="009315C8">
        <w:rPr>
          <w:sz w:val="20"/>
          <w:szCs w:val="20"/>
        </w:rPr>
        <w:t>Tr. Vol 2, 152:3-11 (</w:t>
      </w:r>
      <w:proofErr w:type="spellStart"/>
      <w:r w:rsidR="009315C8">
        <w:rPr>
          <w:sz w:val="20"/>
          <w:szCs w:val="20"/>
        </w:rPr>
        <w:t>Medvedeff</w:t>
      </w:r>
      <w:proofErr w:type="spellEnd"/>
      <w:r w:rsidR="009315C8">
        <w:rPr>
          <w:sz w:val="20"/>
          <w:szCs w:val="20"/>
        </w:rPr>
        <w:t>).</w:t>
      </w:r>
    </w:p>
  </w:footnote>
  <w:footnote w:id="64">
    <w:p w14:paraId="2F8BB7E1" w14:textId="01E176CB" w:rsidR="006C6A88" w:rsidRPr="005F6879" w:rsidRDefault="006C6A88" w:rsidP="006C6A88">
      <w:pPr>
        <w:pStyle w:val="FootnoteText"/>
        <w:rPr>
          <w:sz w:val="20"/>
          <w:szCs w:val="20"/>
        </w:rPr>
      </w:pPr>
      <w:r w:rsidRPr="005F6879">
        <w:rPr>
          <w:rStyle w:val="FootnoteReference"/>
          <w:sz w:val="20"/>
          <w:szCs w:val="20"/>
        </w:rPr>
        <w:footnoteRef/>
      </w:r>
      <w:r w:rsidRPr="005F6879">
        <w:rPr>
          <w:sz w:val="20"/>
          <w:szCs w:val="20"/>
        </w:rPr>
        <w:t xml:space="preserve"> </w:t>
      </w:r>
      <w:proofErr w:type="spellStart"/>
      <w:r w:rsidR="009315C8">
        <w:rPr>
          <w:sz w:val="20"/>
          <w:szCs w:val="20"/>
        </w:rPr>
        <w:t>Exh</w:t>
      </w:r>
      <w:proofErr w:type="spellEnd"/>
      <w:r w:rsidR="009315C8">
        <w:rPr>
          <w:sz w:val="20"/>
          <w:szCs w:val="20"/>
        </w:rPr>
        <w:t xml:space="preserve">. </w:t>
      </w:r>
      <w:r w:rsidRPr="005F6879">
        <w:rPr>
          <w:sz w:val="20"/>
          <w:szCs w:val="20"/>
        </w:rPr>
        <w:t>P-8</w:t>
      </w:r>
      <w:r w:rsidR="009315C8">
        <w:rPr>
          <w:sz w:val="20"/>
          <w:szCs w:val="20"/>
        </w:rPr>
        <w:t>.</w:t>
      </w:r>
    </w:p>
  </w:footnote>
  <w:footnote w:id="65">
    <w:p w14:paraId="5E958E22" w14:textId="01938480" w:rsidR="00944470" w:rsidRPr="005F6879" w:rsidRDefault="00944470">
      <w:pPr>
        <w:pStyle w:val="FootnoteText"/>
        <w:rPr>
          <w:sz w:val="20"/>
          <w:szCs w:val="20"/>
        </w:rPr>
      </w:pPr>
      <w:r w:rsidRPr="005F6879">
        <w:rPr>
          <w:rStyle w:val="FootnoteReference"/>
          <w:sz w:val="20"/>
          <w:szCs w:val="20"/>
        </w:rPr>
        <w:footnoteRef/>
      </w:r>
      <w:r w:rsidRPr="005F6879">
        <w:rPr>
          <w:sz w:val="20"/>
          <w:szCs w:val="20"/>
        </w:rPr>
        <w:t xml:space="preserve"> See </w:t>
      </w:r>
      <w:proofErr w:type="spellStart"/>
      <w:r w:rsidRPr="005F6879">
        <w:rPr>
          <w:i/>
          <w:iCs/>
          <w:sz w:val="20"/>
          <w:szCs w:val="20"/>
        </w:rPr>
        <w:t>Alholm</w:t>
      </w:r>
      <w:proofErr w:type="spellEnd"/>
      <w:r w:rsidRPr="005F6879">
        <w:rPr>
          <w:sz w:val="20"/>
          <w:szCs w:val="20"/>
        </w:rPr>
        <w:t xml:space="preserve">, 371 Mass. at 628; </w:t>
      </w:r>
      <w:proofErr w:type="spellStart"/>
      <w:r w:rsidRPr="005F6879">
        <w:rPr>
          <w:i/>
          <w:iCs/>
          <w:sz w:val="20"/>
          <w:szCs w:val="20"/>
        </w:rPr>
        <w:t>Raunela</w:t>
      </w:r>
      <w:proofErr w:type="spellEnd"/>
      <w:r w:rsidRPr="005F6879">
        <w:rPr>
          <w:sz w:val="20"/>
          <w:szCs w:val="20"/>
        </w:rPr>
        <w:t>, 361 Mass. at 28.</w:t>
      </w:r>
    </w:p>
  </w:footnote>
  <w:footnote w:id="66">
    <w:p w14:paraId="4DFC166B" w14:textId="77777777" w:rsidR="006C6A88" w:rsidRPr="005F6879" w:rsidRDefault="006C6A88" w:rsidP="006C6A88">
      <w:pPr>
        <w:pStyle w:val="FootnoteText"/>
        <w:rPr>
          <w:sz w:val="20"/>
          <w:szCs w:val="20"/>
        </w:rPr>
      </w:pPr>
      <w:r w:rsidRPr="005F6879">
        <w:rPr>
          <w:rStyle w:val="FootnoteReference"/>
          <w:sz w:val="20"/>
          <w:szCs w:val="20"/>
        </w:rPr>
        <w:footnoteRef/>
      </w:r>
      <w:r w:rsidRPr="005F6879">
        <w:rPr>
          <w:sz w:val="20"/>
          <w:szCs w:val="20"/>
        </w:rPr>
        <w:t xml:space="preserve"> </w:t>
      </w:r>
      <w:r w:rsidRPr="005F6879">
        <w:rPr>
          <w:i/>
          <w:iCs/>
          <w:color w:val="212121"/>
          <w:sz w:val="20"/>
          <w:szCs w:val="20"/>
          <w:bdr w:val="none" w:sz="0" w:space="0" w:color="auto" w:frame="1"/>
        </w:rPr>
        <w:t>Nickerson-</w:t>
      </w:r>
      <w:proofErr w:type="spellStart"/>
      <w:r w:rsidRPr="005F6879">
        <w:rPr>
          <w:i/>
          <w:iCs/>
          <w:color w:val="212121"/>
          <w:sz w:val="20"/>
          <w:szCs w:val="20"/>
          <w:bdr w:val="none" w:sz="0" w:space="0" w:color="auto" w:frame="1"/>
        </w:rPr>
        <w:t>Reti</w:t>
      </w:r>
      <w:proofErr w:type="spellEnd"/>
      <w:r w:rsidRPr="005F6879">
        <w:rPr>
          <w:i/>
          <w:iCs/>
          <w:color w:val="212121"/>
          <w:sz w:val="20"/>
          <w:szCs w:val="20"/>
          <w:shd w:val="clear" w:color="auto" w:fill="FFFFFF"/>
        </w:rPr>
        <w:t>,</w:t>
      </w:r>
      <w:r w:rsidRPr="005F6879">
        <w:rPr>
          <w:color w:val="212121"/>
          <w:sz w:val="20"/>
          <w:szCs w:val="20"/>
          <w:shd w:val="clear" w:color="auto" w:fill="FFFFFF"/>
        </w:rPr>
        <w:t xml:space="preserve"> 893 F. Supp. 2d at 299</w:t>
      </w:r>
      <w:r w:rsidRPr="005F6879">
        <w:rPr>
          <w:rStyle w:val="NoSpacingChar"/>
        </w:rPr>
        <w:t>.</w:t>
      </w:r>
    </w:p>
  </w:footnote>
  <w:footnote w:id="67">
    <w:p w14:paraId="7DC26A47" w14:textId="645C76D8" w:rsidR="006C6A88" w:rsidRPr="005F6879" w:rsidRDefault="006C6A88" w:rsidP="006C6A88">
      <w:pPr>
        <w:pStyle w:val="FootnoteText"/>
        <w:jc w:val="both"/>
        <w:rPr>
          <w:sz w:val="20"/>
          <w:szCs w:val="20"/>
        </w:rPr>
      </w:pPr>
      <w:r w:rsidRPr="005F6879">
        <w:rPr>
          <w:rStyle w:val="FootnoteReference"/>
          <w:sz w:val="20"/>
          <w:szCs w:val="20"/>
        </w:rPr>
        <w:footnoteRef/>
      </w:r>
      <w:r w:rsidRPr="005F6879">
        <w:rPr>
          <w:sz w:val="20"/>
          <w:szCs w:val="20"/>
        </w:rPr>
        <w:t xml:space="preserve"> </w:t>
      </w:r>
      <w:r w:rsidR="00E16397" w:rsidRPr="005F6879">
        <w:rPr>
          <w:iCs/>
          <w:sz w:val="20"/>
          <w:szCs w:val="20"/>
        </w:rPr>
        <w:t xml:space="preserve">See </w:t>
      </w:r>
      <w:r w:rsidR="00E16397" w:rsidRPr="005F6879">
        <w:rPr>
          <w:i/>
          <w:iCs/>
          <w:sz w:val="20"/>
          <w:szCs w:val="20"/>
        </w:rPr>
        <w:t>Colón-Vazquez</w:t>
      </w:r>
      <w:r w:rsidR="00E16397" w:rsidRPr="005F6879">
        <w:rPr>
          <w:sz w:val="20"/>
          <w:szCs w:val="20"/>
        </w:rPr>
        <w:t>, 46 F. Supp. 3d at 143-44.</w:t>
      </w:r>
    </w:p>
  </w:footnote>
  <w:footnote w:id="68">
    <w:p w14:paraId="2115F318" w14:textId="479F48AB" w:rsidR="009315C8" w:rsidRPr="00E36EE3" w:rsidRDefault="009315C8">
      <w:pPr>
        <w:pStyle w:val="FootnoteText"/>
        <w:rPr>
          <w:sz w:val="20"/>
          <w:szCs w:val="20"/>
        </w:rPr>
      </w:pPr>
      <w:r w:rsidRPr="00E36EE3">
        <w:rPr>
          <w:rStyle w:val="FootnoteReference"/>
          <w:sz w:val="20"/>
          <w:szCs w:val="20"/>
        </w:rPr>
        <w:footnoteRef/>
      </w:r>
      <w:r w:rsidRPr="00E36EE3">
        <w:rPr>
          <w:sz w:val="20"/>
          <w:szCs w:val="20"/>
        </w:rPr>
        <w:t xml:space="preserve"> </w:t>
      </w:r>
      <w:proofErr w:type="spellStart"/>
      <w:r w:rsidR="00E36EE3" w:rsidRPr="00E36EE3">
        <w:rPr>
          <w:sz w:val="20"/>
          <w:szCs w:val="20"/>
        </w:rPr>
        <w:t>Exh</w:t>
      </w:r>
      <w:proofErr w:type="spellEnd"/>
      <w:r w:rsidR="00E36EE3" w:rsidRPr="00E36EE3">
        <w:rPr>
          <w:sz w:val="20"/>
          <w:szCs w:val="20"/>
        </w:rPr>
        <w:t>. S-13, S-19.</w:t>
      </w:r>
    </w:p>
  </w:footnote>
  <w:footnote w:id="69">
    <w:p w14:paraId="36966F42" w14:textId="26EF3D9D" w:rsidR="006C6A88" w:rsidRPr="00E36EE3" w:rsidRDefault="006C6A88" w:rsidP="006C6A88">
      <w:pPr>
        <w:pStyle w:val="FootnoteText"/>
        <w:rPr>
          <w:sz w:val="20"/>
          <w:szCs w:val="20"/>
        </w:rPr>
      </w:pPr>
      <w:r w:rsidRPr="00E36EE3">
        <w:rPr>
          <w:rStyle w:val="FootnoteReference"/>
          <w:sz w:val="20"/>
          <w:szCs w:val="20"/>
        </w:rPr>
        <w:footnoteRef/>
      </w:r>
      <w:r w:rsidRPr="00E36EE3">
        <w:rPr>
          <w:sz w:val="20"/>
          <w:szCs w:val="20"/>
        </w:rPr>
        <w:t xml:space="preserve"> </w:t>
      </w:r>
      <w:r w:rsidR="00E16397" w:rsidRPr="00E36EE3">
        <w:rPr>
          <w:sz w:val="20"/>
          <w:szCs w:val="20"/>
        </w:rPr>
        <w:t>T</w:t>
      </w:r>
      <w:r w:rsidRPr="00E36EE3">
        <w:rPr>
          <w:sz w:val="20"/>
          <w:szCs w:val="20"/>
        </w:rPr>
        <w:t>r. Vol 3, 118-119.</w:t>
      </w:r>
    </w:p>
  </w:footnote>
  <w:footnote w:id="70">
    <w:p w14:paraId="10E02457" w14:textId="13E283BD" w:rsidR="006C6A88" w:rsidRPr="005F6879" w:rsidRDefault="006C6A88" w:rsidP="006C6A88">
      <w:pPr>
        <w:pStyle w:val="FootnoteText"/>
        <w:rPr>
          <w:sz w:val="20"/>
          <w:szCs w:val="20"/>
        </w:rPr>
      </w:pPr>
      <w:r w:rsidRPr="00E36EE3">
        <w:rPr>
          <w:rStyle w:val="FootnoteReference"/>
          <w:sz w:val="20"/>
          <w:szCs w:val="20"/>
        </w:rPr>
        <w:footnoteRef/>
      </w:r>
      <w:r w:rsidRPr="00E36EE3">
        <w:rPr>
          <w:sz w:val="20"/>
          <w:szCs w:val="20"/>
        </w:rPr>
        <w:t xml:space="preserve"> </w:t>
      </w:r>
      <w:r w:rsidR="00E36EE3">
        <w:rPr>
          <w:sz w:val="20"/>
          <w:szCs w:val="20"/>
        </w:rPr>
        <w:t xml:space="preserve">Ex. </w:t>
      </w:r>
      <w:r w:rsidRPr="00E36EE3">
        <w:rPr>
          <w:sz w:val="20"/>
          <w:szCs w:val="20"/>
        </w:rPr>
        <w:t>P-122</w:t>
      </w:r>
      <w:r w:rsidR="005F6879" w:rsidRPr="00E36EE3">
        <w:rPr>
          <w:sz w:val="20"/>
          <w:szCs w:val="20"/>
        </w:rPr>
        <w:t>.</w:t>
      </w:r>
    </w:p>
  </w:footnote>
  <w:footnote w:id="71">
    <w:p w14:paraId="01DEDD13" w14:textId="77777777" w:rsidR="006C6A88" w:rsidRPr="00F67DC2" w:rsidRDefault="006C6A88" w:rsidP="006C6A88">
      <w:pPr>
        <w:pStyle w:val="FootnoteText"/>
        <w:rPr>
          <w:i/>
          <w:iCs/>
        </w:rPr>
      </w:pPr>
      <w:r w:rsidRPr="005F6879">
        <w:rPr>
          <w:rStyle w:val="FootnoteReference"/>
          <w:sz w:val="20"/>
          <w:szCs w:val="20"/>
        </w:rPr>
        <w:footnoteRef/>
      </w:r>
      <w:r w:rsidRPr="005F6879">
        <w:rPr>
          <w:sz w:val="20"/>
          <w:szCs w:val="20"/>
        </w:rPr>
        <w:t xml:space="preserve"> </w:t>
      </w:r>
      <w:r w:rsidRPr="005F6879">
        <w:rPr>
          <w:i/>
          <w:iCs/>
          <w:sz w:val="20"/>
          <w:szCs w:val="20"/>
        </w:rPr>
        <w:t>Id.</w:t>
      </w:r>
    </w:p>
  </w:footnote>
  <w:footnote w:id="72">
    <w:p w14:paraId="21D065DF" w14:textId="3BA82BDA" w:rsidR="006C6A88" w:rsidRPr="005F6879" w:rsidRDefault="006C6A88" w:rsidP="006C6A88">
      <w:pPr>
        <w:pStyle w:val="FootnoteText"/>
        <w:jc w:val="both"/>
        <w:rPr>
          <w:sz w:val="20"/>
          <w:szCs w:val="20"/>
        </w:rPr>
      </w:pPr>
      <w:r w:rsidRPr="005F6879">
        <w:rPr>
          <w:rStyle w:val="FootnoteReference"/>
          <w:sz w:val="20"/>
          <w:szCs w:val="20"/>
        </w:rPr>
        <w:footnoteRef/>
      </w:r>
      <w:r w:rsidRPr="005F6879">
        <w:rPr>
          <w:sz w:val="20"/>
          <w:szCs w:val="20"/>
        </w:rPr>
        <w:t xml:space="preserve"> </w:t>
      </w:r>
      <w:r w:rsidR="005F6879" w:rsidRPr="005F6879">
        <w:rPr>
          <w:i/>
          <w:iCs/>
          <w:sz w:val="20"/>
          <w:szCs w:val="20"/>
        </w:rPr>
        <w:t>Colón-Vazquez</w:t>
      </w:r>
      <w:r w:rsidR="005F6879" w:rsidRPr="005F6879">
        <w:rPr>
          <w:sz w:val="20"/>
          <w:szCs w:val="20"/>
        </w:rPr>
        <w:t>, 46 F. Supp. 3d at 143-44.</w:t>
      </w:r>
    </w:p>
  </w:footnote>
  <w:footnote w:id="73">
    <w:p w14:paraId="5E010DF1" w14:textId="5B2E69D0" w:rsidR="007F6CCA" w:rsidRPr="00DB0256" w:rsidRDefault="007F6CCA">
      <w:pPr>
        <w:pStyle w:val="FootnoteText"/>
        <w:rPr>
          <w:sz w:val="20"/>
          <w:szCs w:val="20"/>
        </w:rPr>
      </w:pPr>
      <w:r w:rsidRPr="00DB0256">
        <w:rPr>
          <w:rStyle w:val="FootnoteReference"/>
          <w:sz w:val="20"/>
          <w:szCs w:val="20"/>
        </w:rPr>
        <w:footnoteRef/>
      </w:r>
      <w:r w:rsidRPr="00DB0256">
        <w:rPr>
          <w:sz w:val="20"/>
          <w:szCs w:val="20"/>
        </w:rPr>
        <w:t xml:space="preserve"> </w:t>
      </w:r>
      <w:proofErr w:type="spellStart"/>
      <w:r w:rsidR="00E36EE3">
        <w:rPr>
          <w:sz w:val="20"/>
          <w:szCs w:val="20"/>
        </w:rPr>
        <w:t>Exh</w:t>
      </w:r>
      <w:proofErr w:type="spellEnd"/>
      <w:r w:rsidR="00E36EE3">
        <w:rPr>
          <w:sz w:val="20"/>
          <w:szCs w:val="20"/>
        </w:rPr>
        <w:t xml:space="preserve">. </w:t>
      </w:r>
      <w:r w:rsidR="00160C3D" w:rsidRPr="00DB0256">
        <w:rPr>
          <w:sz w:val="20"/>
          <w:szCs w:val="20"/>
        </w:rPr>
        <w:t>P</w:t>
      </w:r>
      <w:r w:rsidRPr="00DB0256">
        <w:rPr>
          <w:sz w:val="20"/>
          <w:szCs w:val="20"/>
        </w:rPr>
        <w:t>-42, P-67, P-68.</w:t>
      </w:r>
    </w:p>
  </w:footnote>
  <w:footnote w:id="74">
    <w:p w14:paraId="71AD0A44" w14:textId="6ABF890D" w:rsidR="007F6CCA" w:rsidRPr="00DB0256" w:rsidRDefault="007F6CCA" w:rsidP="007F6CCA">
      <w:pPr>
        <w:pStyle w:val="FootnoteText"/>
        <w:rPr>
          <w:sz w:val="20"/>
          <w:szCs w:val="20"/>
        </w:rPr>
      </w:pPr>
      <w:r w:rsidRPr="00DB0256">
        <w:rPr>
          <w:rStyle w:val="FootnoteReference"/>
          <w:sz w:val="20"/>
          <w:szCs w:val="20"/>
        </w:rPr>
        <w:footnoteRef/>
      </w:r>
      <w:r w:rsidRPr="00DB0256">
        <w:rPr>
          <w:sz w:val="20"/>
          <w:szCs w:val="20"/>
        </w:rPr>
        <w:t xml:space="preserve"> </w:t>
      </w:r>
      <w:proofErr w:type="spellStart"/>
      <w:r w:rsidR="00E36EE3">
        <w:rPr>
          <w:sz w:val="20"/>
          <w:szCs w:val="20"/>
        </w:rPr>
        <w:t>Exh</w:t>
      </w:r>
      <w:proofErr w:type="spellEnd"/>
      <w:r w:rsidR="00E36EE3">
        <w:rPr>
          <w:sz w:val="20"/>
          <w:szCs w:val="20"/>
        </w:rPr>
        <w:t xml:space="preserve">. </w:t>
      </w:r>
      <w:r w:rsidRPr="00DB0256">
        <w:rPr>
          <w:sz w:val="20"/>
          <w:szCs w:val="20"/>
        </w:rPr>
        <w:t>P-42</w:t>
      </w:r>
      <w:r w:rsidR="00E36EE3">
        <w:rPr>
          <w:sz w:val="20"/>
          <w:szCs w:val="20"/>
        </w:rPr>
        <w:t>.</w:t>
      </w:r>
    </w:p>
  </w:footnote>
  <w:footnote w:id="75">
    <w:p w14:paraId="20A93A1A" w14:textId="543D5C0E" w:rsidR="00160C3D" w:rsidRDefault="00160C3D">
      <w:pPr>
        <w:pStyle w:val="FootnoteText"/>
      </w:pPr>
      <w:r w:rsidRPr="00DB0256">
        <w:rPr>
          <w:rStyle w:val="FootnoteReference"/>
          <w:sz w:val="20"/>
          <w:szCs w:val="20"/>
        </w:rPr>
        <w:footnoteRef/>
      </w:r>
      <w:r w:rsidRPr="00DB0256">
        <w:rPr>
          <w:sz w:val="20"/>
          <w:szCs w:val="20"/>
        </w:rPr>
        <w:t xml:space="preserve"> </w:t>
      </w:r>
      <w:r w:rsidR="00E36EE3">
        <w:rPr>
          <w:sz w:val="20"/>
          <w:szCs w:val="20"/>
        </w:rPr>
        <w:t xml:space="preserve">See </w:t>
      </w:r>
      <w:r w:rsidRPr="00DB0256">
        <w:rPr>
          <w:sz w:val="20"/>
          <w:szCs w:val="20"/>
        </w:rPr>
        <w:t>603 CMR §28.05(7)(a)</w:t>
      </w:r>
      <w:r w:rsidR="00E36EE3">
        <w:rPr>
          <w:sz w:val="20"/>
          <w:szCs w:val="20"/>
        </w:rPr>
        <w:t>.</w:t>
      </w:r>
    </w:p>
  </w:footnote>
  <w:footnote w:id="76">
    <w:p w14:paraId="788D1A7F" w14:textId="6CED8339" w:rsidR="00BF7D14" w:rsidRPr="005F6879" w:rsidRDefault="006C6A88" w:rsidP="006C6A88">
      <w:pPr>
        <w:rPr>
          <w:color w:val="000000" w:themeColor="text1"/>
          <w:sz w:val="20"/>
          <w:szCs w:val="20"/>
        </w:rPr>
      </w:pPr>
      <w:r w:rsidRPr="005F6879">
        <w:rPr>
          <w:rStyle w:val="FootnoteReference"/>
          <w:color w:val="000000" w:themeColor="text1"/>
          <w:sz w:val="20"/>
          <w:szCs w:val="20"/>
        </w:rPr>
        <w:footnoteRef/>
      </w:r>
      <w:r w:rsidRPr="005F6879">
        <w:rPr>
          <w:color w:val="000000" w:themeColor="text1"/>
          <w:sz w:val="20"/>
          <w:szCs w:val="20"/>
        </w:rPr>
        <w:t xml:space="preserve"> </w:t>
      </w:r>
      <w:r w:rsidR="00BF7D14">
        <w:rPr>
          <w:color w:val="000000" w:themeColor="text1"/>
          <w:sz w:val="20"/>
          <w:szCs w:val="20"/>
        </w:rPr>
        <w:t xml:space="preserve">See </w:t>
      </w:r>
      <w:r w:rsidRPr="00BF7D14">
        <w:rPr>
          <w:i/>
          <w:iCs/>
          <w:color w:val="000000" w:themeColor="text1"/>
          <w:sz w:val="20"/>
          <w:szCs w:val="20"/>
          <w:shd w:val="clear" w:color="auto" w:fill="FFFFFF"/>
        </w:rPr>
        <w:t>In</w:t>
      </w:r>
      <w:r w:rsidRPr="005F6879">
        <w:rPr>
          <w:i/>
          <w:iCs/>
          <w:color w:val="000000" w:themeColor="text1"/>
          <w:sz w:val="20"/>
          <w:szCs w:val="20"/>
          <w:shd w:val="clear" w:color="auto" w:fill="FFFFFF"/>
        </w:rPr>
        <w:t xml:space="preserve"> Re: Westport Community Schools and Jed</w:t>
      </w:r>
      <w:r w:rsidR="002148B4">
        <w:rPr>
          <w:color w:val="000000" w:themeColor="text1"/>
          <w:sz w:val="20"/>
          <w:szCs w:val="20"/>
        </w:rPr>
        <w:t xml:space="preserve">, BSEA </w:t>
      </w:r>
      <w:r w:rsidRPr="005F6879">
        <w:rPr>
          <w:color w:val="000000" w:themeColor="text1"/>
          <w:sz w:val="20"/>
          <w:szCs w:val="20"/>
        </w:rPr>
        <w:t>#1302922 (Oliver</w:t>
      </w:r>
      <w:r w:rsidR="005F6879">
        <w:rPr>
          <w:color w:val="000000" w:themeColor="text1"/>
          <w:sz w:val="20"/>
          <w:szCs w:val="20"/>
        </w:rPr>
        <w:t xml:space="preserve"> </w:t>
      </w:r>
      <w:r w:rsidRPr="005F6879">
        <w:rPr>
          <w:color w:val="000000" w:themeColor="text1"/>
          <w:sz w:val="20"/>
          <w:szCs w:val="20"/>
        </w:rPr>
        <w:t>2013)</w:t>
      </w:r>
      <w:r w:rsidR="005F6879">
        <w:rPr>
          <w:color w:val="000000" w:themeColor="text1"/>
          <w:sz w:val="20"/>
          <w:szCs w:val="20"/>
        </w:rPr>
        <w:t>;</w:t>
      </w:r>
      <w:r w:rsidR="00BF7D14">
        <w:rPr>
          <w:color w:val="000000" w:themeColor="text1"/>
          <w:sz w:val="20"/>
          <w:szCs w:val="20"/>
        </w:rPr>
        <w:t xml:space="preserve"> see also</w:t>
      </w:r>
      <w:r w:rsidR="005F6879">
        <w:rPr>
          <w:color w:val="000000" w:themeColor="text1"/>
          <w:sz w:val="20"/>
          <w:szCs w:val="20"/>
        </w:rPr>
        <w:t xml:space="preserve"> </w:t>
      </w:r>
      <w:r w:rsidR="005F6879" w:rsidRPr="005F6879">
        <w:rPr>
          <w:i/>
          <w:iCs/>
          <w:color w:val="000000" w:themeColor="text1"/>
          <w:sz w:val="20"/>
          <w:szCs w:val="20"/>
        </w:rPr>
        <w:t>In Re: Wachusett Regional School District</w:t>
      </w:r>
      <w:r w:rsidR="005F6879" w:rsidRPr="005F6879">
        <w:rPr>
          <w:color w:val="000000" w:themeColor="text1"/>
          <w:sz w:val="20"/>
          <w:szCs w:val="20"/>
        </w:rPr>
        <w:t>, BSEA # 01-2301 (Putney-Yaceshyn</w:t>
      </w:r>
      <w:r w:rsidR="00BF7D14">
        <w:rPr>
          <w:color w:val="000000" w:themeColor="text1"/>
          <w:sz w:val="20"/>
          <w:szCs w:val="20"/>
        </w:rPr>
        <w:t xml:space="preserve"> </w:t>
      </w:r>
      <w:r w:rsidR="005F6879" w:rsidRPr="005F6879">
        <w:rPr>
          <w:color w:val="000000" w:themeColor="text1"/>
          <w:sz w:val="20"/>
          <w:szCs w:val="20"/>
        </w:rPr>
        <w:t>2002)</w:t>
      </w:r>
      <w:r w:rsidR="00BF7D14">
        <w:rPr>
          <w:color w:val="000000" w:themeColor="text1"/>
          <w:sz w:val="20"/>
          <w:szCs w:val="20"/>
        </w:rPr>
        <w:t xml:space="preserve"> (noting that where the IEP process had been “suspended” pending the results of an independent evaluation which would enable parents to accept or reject an IEP, and parents did not reject the IEP on the IEP form, a letter they sent, along with their private placement of the student, was “akin to constructive rejection of the IEP in the context of the facts of this case”).</w:t>
      </w:r>
      <w:r w:rsidR="00BF7D14">
        <w:rPr>
          <w:snapToGrid w:val="0"/>
        </w:rPr>
        <w:t xml:space="preserve"> </w:t>
      </w:r>
    </w:p>
  </w:footnote>
  <w:footnote w:id="77">
    <w:p w14:paraId="6394D68F" w14:textId="10798205" w:rsidR="006C6A88" w:rsidRPr="005F6879" w:rsidRDefault="006C6A88" w:rsidP="006C6A88">
      <w:pPr>
        <w:rPr>
          <w:color w:val="000000" w:themeColor="text1"/>
          <w:sz w:val="20"/>
          <w:szCs w:val="20"/>
        </w:rPr>
      </w:pPr>
      <w:r w:rsidRPr="005F6879">
        <w:rPr>
          <w:rStyle w:val="FootnoteReference"/>
          <w:color w:val="000000" w:themeColor="text1"/>
          <w:sz w:val="20"/>
          <w:szCs w:val="20"/>
        </w:rPr>
        <w:footnoteRef/>
      </w:r>
      <w:r w:rsidRPr="005F6879">
        <w:rPr>
          <w:color w:val="000000" w:themeColor="text1"/>
          <w:sz w:val="20"/>
          <w:szCs w:val="20"/>
        </w:rPr>
        <w:t xml:space="preserve"> </w:t>
      </w:r>
      <w:r w:rsidRPr="005F6879">
        <w:rPr>
          <w:i/>
          <w:iCs/>
          <w:color w:val="000000" w:themeColor="text1"/>
          <w:sz w:val="20"/>
          <w:szCs w:val="20"/>
        </w:rPr>
        <w:t>In Re: Natick and Framingham Schools</w:t>
      </w:r>
      <w:r w:rsidRPr="005F6879">
        <w:rPr>
          <w:color w:val="000000" w:themeColor="text1"/>
          <w:sz w:val="20"/>
          <w:szCs w:val="20"/>
        </w:rPr>
        <w:t>, BSEA #1707648 (Berman, 2017).</w:t>
      </w:r>
    </w:p>
  </w:footnote>
  <w:footnote w:id="78">
    <w:p w14:paraId="57C6C93B" w14:textId="39270AD3" w:rsidR="00796BD8" w:rsidRPr="008472F6" w:rsidRDefault="00796BD8" w:rsidP="00796BD8">
      <w:pPr>
        <w:pStyle w:val="FootnoteText"/>
        <w:rPr>
          <w:sz w:val="20"/>
          <w:szCs w:val="20"/>
        </w:rPr>
      </w:pPr>
      <w:r w:rsidRPr="00751FBE">
        <w:rPr>
          <w:rStyle w:val="FootnoteReference"/>
          <w:sz w:val="20"/>
          <w:szCs w:val="20"/>
        </w:rPr>
        <w:footnoteRef/>
      </w:r>
      <w:r w:rsidRPr="00751FBE">
        <w:rPr>
          <w:sz w:val="20"/>
          <w:szCs w:val="20"/>
        </w:rPr>
        <w:t xml:space="preserve"> The Hearing Officer gratefully acknowledges the diligent assistance of legal intern </w:t>
      </w:r>
      <w:r w:rsidR="006C6A88">
        <w:rPr>
          <w:sz w:val="20"/>
          <w:szCs w:val="20"/>
        </w:rPr>
        <w:t>Marion Schulz</w:t>
      </w:r>
      <w:r w:rsidRPr="00751FBE">
        <w:rPr>
          <w:sz w:val="20"/>
          <w:szCs w:val="20"/>
        </w:rPr>
        <w:t xml:space="preserve"> in the </w:t>
      </w:r>
      <w:r w:rsidRPr="008472F6">
        <w:rPr>
          <w:sz w:val="20"/>
          <w:szCs w:val="20"/>
        </w:rPr>
        <w:t>preparation of this Ruling.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1B4"/>
    <w:multiLevelType w:val="hybridMultilevel"/>
    <w:tmpl w:val="2F564EE8"/>
    <w:lvl w:ilvl="0" w:tplc="975AD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81102"/>
    <w:multiLevelType w:val="hybridMultilevel"/>
    <w:tmpl w:val="34CA8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A21"/>
    <w:multiLevelType w:val="hybridMultilevel"/>
    <w:tmpl w:val="8F86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B1F4A"/>
    <w:multiLevelType w:val="hybridMultilevel"/>
    <w:tmpl w:val="B060010A"/>
    <w:lvl w:ilvl="0" w:tplc="B7A0FCB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25F60A3"/>
    <w:multiLevelType w:val="hybridMultilevel"/>
    <w:tmpl w:val="6484A8E6"/>
    <w:lvl w:ilvl="0" w:tplc="32D0BB5C">
      <w:start w:val="3"/>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EBD409E"/>
    <w:multiLevelType w:val="hybridMultilevel"/>
    <w:tmpl w:val="F6FCB310"/>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1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8351E"/>
    <w:multiLevelType w:val="hybridMultilevel"/>
    <w:tmpl w:val="1A42B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7064C"/>
    <w:multiLevelType w:val="hybridMultilevel"/>
    <w:tmpl w:val="9C24AF80"/>
    <w:lvl w:ilvl="0" w:tplc="E94C84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CD3245A"/>
    <w:multiLevelType w:val="hybridMultilevel"/>
    <w:tmpl w:val="703E8DBC"/>
    <w:lvl w:ilvl="0" w:tplc="3C4A6A90">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40751C31"/>
    <w:multiLevelType w:val="hybridMultilevel"/>
    <w:tmpl w:val="5BC62592"/>
    <w:lvl w:ilvl="0" w:tplc="0ABAF6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208B1"/>
    <w:multiLevelType w:val="hybridMultilevel"/>
    <w:tmpl w:val="E3165150"/>
    <w:lvl w:ilvl="0" w:tplc="8510333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0084CE9"/>
    <w:multiLevelType w:val="hybridMultilevel"/>
    <w:tmpl w:val="A0241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76D89"/>
    <w:multiLevelType w:val="hybridMultilevel"/>
    <w:tmpl w:val="44DAD2C8"/>
    <w:lvl w:ilvl="0" w:tplc="76006AF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63EE7477"/>
    <w:multiLevelType w:val="hybridMultilevel"/>
    <w:tmpl w:val="9C24AF80"/>
    <w:lvl w:ilvl="0" w:tplc="E94C84F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53330AC"/>
    <w:multiLevelType w:val="hybridMultilevel"/>
    <w:tmpl w:val="37C04C76"/>
    <w:lvl w:ilvl="0" w:tplc="A9E09E7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5339A"/>
    <w:multiLevelType w:val="hybridMultilevel"/>
    <w:tmpl w:val="A8846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07EA7"/>
    <w:multiLevelType w:val="hybridMultilevel"/>
    <w:tmpl w:val="7F406120"/>
    <w:lvl w:ilvl="0" w:tplc="3FD8A5BA">
      <w:start w:val="1"/>
      <w:numFmt w:val="upperRoman"/>
      <w:lvlText w:val="%1."/>
      <w:lvlJc w:val="left"/>
      <w:pPr>
        <w:ind w:left="7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FD5EE4"/>
    <w:multiLevelType w:val="multilevel"/>
    <w:tmpl w:val="25AEE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8A62FE"/>
    <w:multiLevelType w:val="hybridMultilevel"/>
    <w:tmpl w:val="E196C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A485C76"/>
    <w:multiLevelType w:val="hybridMultilevel"/>
    <w:tmpl w:val="7E6A16FA"/>
    <w:lvl w:ilvl="0" w:tplc="F0F0CEBC">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6"/>
  </w:num>
  <w:num w:numId="3">
    <w:abstractNumId w:val="15"/>
  </w:num>
  <w:num w:numId="4">
    <w:abstractNumId w:val="9"/>
  </w:num>
  <w:num w:numId="5">
    <w:abstractNumId w:val="2"/>
  </w:num>
  <w:num w:numId="6">
    <w:abstractNumId w:val="6"/>
  </w:num>
  <w:num w:numId="7">
    <w:abstractNumId w:val="5"/>
  </w:num>
  <w:num w:numId="8">
    <w:abstractNumId w:val="11"/>
  </w:num>
  <w:num w:numId="9">
    <w:abstractNumId w:val="1"/>
  </w:num>
  <w:num w:numId="10">
    <w:abstractNumId w:val="18"/>
  </w:num>
  <w:num w:numId="11">
    <w:abstractNumId w:val="3"/>
  </w:num>
  <w:num w:numId="12">
    <w:abstractNumId w:val="19"/>
  </w:num>
  <w:num w:numId="13">
    <w:abstractNumId w:val="8"/>
  </w:num>
  <w:num w:numId="14">
    <w:abstractNumId w:val="12"/>
  </w:num>
  <w:num w:numId="15">
    <w:abstractNumId w:val="4"/>
  </w:num>
  <w:num w:numId="16">
    <w:abstractNumId w:val="14"/>
  </w:num>
  <w:num w:numId="17">
    <w:abstractNumId w:val="10"/>
  </w:num>
  <w:num w:numId="18">
    <w:abstractNumId w:val="7"/>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8B"/>
    <w:rsid w:val="00006560"/>
    <w:rsid w:val="00033AB9"/>
    <w:rsid w:val="00037E68"/>
    <w:rsid w:val="000409A8"/>
    <w:rsid w:val="0005127D"/>
    <w:rsid w:val="000540F6"/>
    <w:rsid w:val="0005733E"/>
    <w:rsid w:val="00057E42"/>
    <w:rsid w:val="0007574A"/>
    <w:rsid w:val="00086B78"/>
    <w:rsid w:val="000A5FF3"/>
    <w:rsid w:val="000A7C5E"/>
    <w:rsid w:val="000C19A3"/>
    <w:rsid w:val="000D0DC3"/>
    <w:rsid w:val="000E07FF"/>
    <w:rsid w:val="000E4D04"/>
    <w:rsid w:val="000E683C"/>
    <w:rsid w:val="000F25C0"/>
    <w:rsid w:val="000F6503"/>
    <w:rsid w:val="0011789F"/>
    <w:rsid w:val="0013161F"/>
    <w:rsid w:val="00131B27"/>
    <w:rsid w:val="00143B6D"/>
    <w:rsid w:val="00156313"/>
    <w:rsid w:val="00160C3D"/>
    <w:rsid w:val="001651A2"/>
    <w:rsid w:val="00170371"/>
    <w:rsid w:val="00186FA2"/>
    <w:rsid w:val="00197D16"/>
    <w:rsid w:val="001A3084"/>
    <w:rsid w:val="001A5086"/>
    <w:rsid w:val="001C0B7E"/>
    <w:rsid w:val="001D108A"/>
    <w:rsid w:val="001D41DB"/>
    <w:rsid w:val="001F2ADD"/>
    <w:rsid w:val="0020216F"/>
    <w:rsid w:val="002148B4"/>
    <w:rsid w:val="002309B7"/>
    <w:rsid w:val="00230F13"/>
    <w:rsid w:val="00237C41"/>
    <w:rsid w:val="00240E39"/>
    <w:rsid w:val="0024780B"/>
    <w:rsid w:val="002602B8"/>
    <w:rsid w:val="002615D7"/>
    <w:rsid w:val="00264360"/>
    <w:rsid w:val="00280351"/>
    <w:rsid w:val="002A24EC"/>
    <w:rsid w:val="002B227F"/>
    <w:rsid w:val="002B41E5"/>
    <w:rsid w:val="002C03D5"/>
    <w:rsid w:val="002C229F"/>
    <w:rsid w:val="002C553D"/>
    <w:rsid w:val="002D39D3"/>
    <w:rsid w:val="002E6064"/>
    <w:rsid w:val="00324386"/>
    <w:rsid w:val="00356506"/>
    <w:rsid w:val="00381EE7"/>
    <w:rsid w:val="00382925"/>
    <w:rsid w:val="00390486"/>
    <w:rsid w:val="00392F29"/>
    <w:rsid w:val="003C2865"/>
    <w:rsid w:val="003D57C1"/>
    <w:rsid w:val="003F1A88"/>
    <w:rsid w:val="003F3E07"/>
    <w:rsid w:val="004011D3"/>
    <w:rsid w:val="00405F10"/>
    <w:rsid w:val="00413A7D"/>
    <w:rsid w:val="00417F94"/>
    <w:rsid w:val="0042686E"/>
    <w:rsid w:val="004274EF"/>
    <w:rsid w:val="00440BB6"/>
    <w:rsid w:val="00444514"/>
    <w:rsid w:val="00452324"/>
    <w:rsid w:val="004570B4"/>
    <w:rsid w:val="0046100B"/>
    <w:rsid w:val="00474FAA"/>
    <w:rsid w:val="004977A3"/>
    <w:rsid w:val="004A11FA"/>
    <w:rsid w:val="004B098F"/>
    <w:rsid w:val="004B0EF7"/>
    <w:rsid w:val="004D1AA2"/>
    <w:rsid w:val="004E21FF"/>
    <w:rsid w:val="005028F7"/>
    <w:rsid w:val="005201F7"/>
    <w:rsid w:val="005223AC"/>
    <w:rsid w:val="00523213"/>
    <w:rsid w:val="00524E09"/>
    <w:rsid w:val="0052666D"/>
    <w:rsid w:val="00531093"/>
    <w:rsid w:val="0055191B"/>
    <w:rsid w:val="00553958"/>
    <w:rsid w:val="00580839"/>
    <w:rsid w:val="0058153F"/>
    <w:rsid w:val="00582247"/>
    <w:rsid w:val="00583C13"/>
    <w:rsid w:val="00594BA3"/>
    <w:rsid w:val="005A3805"/>
    <w:rsid w:val="005C0807"/>
    <w:rsid w:val="005F47D2"/>
    <w:rsid w:val="005F681A"/>
    <w:rsid w:val="005F6879"/>
    <w:rsid w:val="006102C1"/>
    <w:rsid w:val="006163DC"/>
    <w:rsid w:val="00621539"/>
    <w:rsid w:val="00621C23"/>
    <w:rsid w:val="006227A6"/>
    <w:rsid w:val="00626048"/>
    <w:rsid w:val="006274BA"/>
    <w:rsid w:val="00636FB1"/>
    <w:rsid w:val="0064720A"/>
    <w:rsid w:val="00664696"/>
    <w:rsid w:val="00671CCB"/>
    <w:rsid w:val="00687372"/>
    <w:rsid w:val="00690693"/>
    <w:rsid w:val="006B676C"/>
    <w:rsid w:val="006C2BB5"/>
    <w:rsid w:val="006C5193"/>
    <w:rsid w:val="006C6A88"/>
    <w:rsid w:val="006E380C"/>
    <w:rsid w:val="006F1BD6"/>
    <w:rsid w:val="00700980"/>
    <w:rsid w:val="00712200"/>
    <w:rsid w:val="00720AE1"/>
    <w:rsid w:val="007453CC"/>
    <w:rsid w:val="00747EBE"/>
    <w:rsid w:val="007503B1"/>
    <w:rsid w:val="00751FBE"/>
    <w:rsid w:val="0075712E"/>
    <w:rsid w:val="00762803"/>
    <w:rsid w:val="0076338B"/>
    <w:rsid w:val="007950C3"/>
    <w:rsid w:val="007969E9"/>
    <w:rsid w:val="00796BD8"/>
    <w:rsid w:val="007B5064"/>
    <w:rsid w:val="007C514A"/>
    <w:rsid w:val="007C766D"/>
    <w:rsid w:val="007F6CCA"/>
    <w:rsid w:val="00801938"/>
    <w:rsid w:val="00806556"/>
    <w:rsid w:val="00806940"/>
    <w:rsid w:val="008108D5"/>
    <w:rsid w:val="00825054"/>
    <w:rsid w:val="008472F6"/>
    <w:rsid w:val="00872744"/>
    <w:rsid w:val="00881118"/>
    <w:rsid w:val="0089035A"/>
    <w:rsid w:val="008A4488"/>
    <w:rsid w:val="008C3EE4"/>
    <w:rsid w:val="008C7B22"/>
    <w:rsid w:val="008D2002"/>
    <w:rsid w:val="008E0D69"/>
    <w:rsid w:val="008E553E"/>
    <w:rsid w:val="008F24FD"/>
    <w:rsid w:val="009017E7"/>
    <w:rsid w:val="00905614"/>
    <w:rsid w:val="00913423"/>
    <w:rsid w:val="00914685"/>
    <w:rsid w:val="009278D7"/>
    <w:rsid w:val="00927EC4"/>
    <w:rsid w:val="00930A9C"/>
    <w:rsid w:val="009315C8"/>
    <w:rsid w:val="009435C2"/>
    <w:rsid w:val="00944470"/>
    <w:rsid w:val="00957D05"/>
    <w:rsid w:val="009639DF"/>
    <w:rsid w:val="00981749"/>
    <w:rsid w:val="00985235"/>
    <w:rsid w:val="009A6D6E"/>
    <w:rsid w:val="009B3942"/>
    <w:rsid w:val="009C20AC"/>
    <w:rsid w:val="009C60A5"/>
    <w:rsid w:val="009D34AD"/>
    <w:rsid w:val="009E1E6A"/>
    <w:rsid w:val="009E5245"/>
    <w:rsid w:val="009F60AE"/>
    <w:rsid w:val="00A06FA5"/>
    <w:rsid w:val="00A14531"/>
    <w:rsid w:val="00A25794"/>
    <w:rsid w:val="00A25E3A"/>
    <w:rsid w:val="00A504F9"/>
    <w:rsid w:val="00A529B4"/>
    <w:rsid w:val="00A622B6"/>
    <w:rsid w:val="00A71090"/>
    <w:rsid w:val="00A8239B"/>
    <w:rsid w:val="00AA6521"/>
    <w:rsid w:val="00AA7C56"/>
    <w:rsid w:val="00AD082A"/>
    <w:rsid w:val="00AE48D6"/>
    <w:rsid w:val="00AE5CD7"/>
    <w:rsid w:val="00AF4540"/>
    <w:rsid w:val="00B12E9E"/>
    <w:rsid w:val="00B35918"/>
    <w:rsid w:val="00B37589"/>
    <w:rsid w:val="00B54C8D"/>
    <w:rsid w:val="00B64C82"/>
    <w:rsid w:val="00B706D5"/>
    <w:rsid w:val="00B85F33"/>
    <w:rsid w:val="00BA6203"/>
    <w:rsid w:val="00BA6CE3"/>
    <w:rsid w:val="00BA6D39"/>
    <w:rsid w:val="00BB27D3"/>
    <w:rsid w:val="00BB7894"/>
    <w:rsid w:val="00BB7A02"/>
    <w:rsid w:val="00BD13DF"/>
    <w:rsid w:val="00BD72D1"/>
    <w:rsid w:val="00BE5C9A"/>
    <w:rsid w:val="00BE5FDA"/>
    <w:rsid w:val="00BF01D4"/>
    <w:rsid w:val="00BF3520"/>
    <w:rsid w:val="00BF77FF"/>
    <w:rsid w:val="00BF7D14"/>
    <w:rsid w:val="00C028C9"/>
    <w:rsid w:val="00C25671"/>
    <w:rsid w:val="00C4697A"/>
    <w:rsid w:val="00C601E4"/>
    <w:rsid w:val="00C65C01"/>
    <w:rsid w:val="00C86EFC"/>
    <w:rsid w:val="00CA3F33"/>
    <w:rsid w:val="00CC6C0E"/>
    <w:rsid w:val="00CD2C9B"/>
    <w:rsid w:val="00CD6EC5"/>
    <w:rsid w:val="00CE6588"/>
    <w:rsid w:val="00CF4429"/>
    <w:rsid w:val="00CF4DE1"/>
    <w:rsid w:val="00CF6A14"/>
    <w:rsid w:val="00D0507A"/>
    <w:rsid w:val="00D05939"/>
    <w:rsid w:val="00D145AC"/>
    <w:rsid w:val="00D16A76"/>
    <w:rsid w:val="00D2031F"/>
    <w:rsid w:val="00D22F85"/>
    <w:rsid w:val="00D30BAC"/>
    <w:rsid w:val="00D328F6"/>
    <w:rsid w:val="00D34063"/>
    <w:rsid w:val="00D40F6F"/>
    <w:rsid w:val="00D5510B"/>
    <w:rsid w:val="00D625C5"/>
    <w:rsid w:val="00D63D8B"/>
    <w:rsid w:val="00D72EED"/>
    <w:rsid w:val="00D73D02"/>
    <w:rsid w:val="00D81621"/>
    <w:rsid w:val="00D9257F"/>
    <w:rsid w:val="00D9797C"/>
    <w:rsid w:val="00DA291C"/>
    <w:rsid w:val="00DA4D99"/>
    <w:rsid w:val="00DA7AA0"/>
    <w:rsid w:val="00DB0256"/>
    <w:rsid w:val="00DB69EE"/>
    <w:rsid w:val="00DC07D6"/>
    <w:rsid w:val="00DC4DA8"/>
    <w:rsid w:val="00DC696E"/>
    <w:rsid w:val="00DE08CE"/>
    <w:rsid w:val="00DF1220"/>
    <w:rsid w:val="00E13603"/>
    <w:rsid w:val="00E16397"/>
    <w:rsid w:val="00E179F8"/>
    <w:rsid w:val="00E21058"/>
    <w:rsid w:val="00E25679"/>
    <w:rsid w:val="00E3320F"/>
    <w:rsid w:val="00E35A45"/>
    <w:rsid w:val="00E36EE3"/>
    <w:rsid w:val="00E52B02"/>
    <w:rsid w:val="00E71824"/>
    <w:rsid w:val="00E72039"/>
    <w:rsid w:val="00E74C08"/>
    <w:rsid w:val="00E86F5B"/>
    <w:rsid w:val="00E9703A"/>
    <w:rsid w:val="00EB7198"/>
    <w:rsid w:val="00EF1BBD"/>
    <w:rsid w:val="00F00278"/>
    <w:rsid w:val="00F103C2"/>
    <w:rsid w:val="00F13092"/>
    <w:rsid w:val="00F165B8"/>
    <w:rsid w:val="00F17CBF"/>
    <w:rsid w:val="00F46DFD"/>
    <w:rsid w:val="00F51831"/>
    <w:rsid w:val="00F529ED"/>
    <w:rsid w:val="00F602B4"/>
    <w:rsid w:val="00F64BE3"/>
    <w:rsid w:val="00F74C83"/>
    <w:rsid w:val="00F80521"/>
    <w:rsid w:val="00F84979"/>
    <w:rsid w:val="00F93859"/>
    <w:rsid w:val="00F97571"/>
    <w:rsid w:val="00F9795F"/>
    <w:rsid w:val="00FB5DED"/>
    <w:rsid w:val="00FC31D8"/>
    <w:rsid w:val="00FC7C86"/>
    <w:rsid w:val="00FD0AD0"/>
    <w:rsid w:val="00FD2EAA"/>
    <w:rsid w:val="00FD6362"/>
    <w:rsid w:val="00FD7A3F"/>
    <w:rsid w:val="00FE2627"/>
    <w:rsid w:val="00FF11A0"/>
    <w:rsid w:val="00FF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B4B9A"/>
  <w15:chartTrackingRefBased/>
  <w15:docId w15:val="{46B4C1AC-DFCC-E545-8505-191168E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12E"/>
    <w:pPr>
      <w:spacing w:before="0"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0D6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E0D6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sz w:val="22"/>
      <w:szCs w:val="22"/>
    </w:rPr>
  </w:style>
  <w:style w:type="paragraph" w:styleId="Heading3">
    <w:name w:val="heading 3"/>
    <w:basedOn w:val="Normal"/>
    <w:next w:val="Normal"/>
    <w:link w:val="Heading3Char"/>
    <w:uiPriority w:val="9"/>
    <w:semiHidden/>
    <w:unhideWhenUsed/>
    <w:qFormat/>
    <w:rsid w:val="008E0D69"/>
    <w:pPr>
      <w:pBdr>
        <w:top w:val="single" w:sz="6" w:space="2" w:color="4A66AC" w:themeColor="accent1"/>
        <w:left w:val="single" w:sz="6" w:space="2" w:color="4A66AC" w:themeColor="accent1"/>
      </w:pBdr>
      <w:spacing w:before="300"/>
      <w:outlineLvl w:val="2"/>
    </w:pPr>
    <w:rPr>
      <w:caps/>
      <w:color w:val="243255" w:themeColor="accent1" w:themeShade="7F"/>
      <w:spacing w:val="15"/>
      <w:sz w:val="22"/>
      <w:szCs w:val="22"/>
    </w:rPr>
  </w:style>
  <w:style w:type="paragraph" w:styleId="Heading4">
    <w:name w:val="heading 4"/>
    <w:basedOn w:val="Normal"/>
    <w:next w:val="Normal"/>
    <w:link w:val="Heading4Char"/>
    <w:uiPriority w:val="9"/>
    <w:semiHidden/>
    <w:unhideWhenUsed/>
    <w:qFormat/>
    <w:rsid w:val="008E0D69"/>
    <w:pPr>
      <w:pBdr>
        <w:top w:val="dotted" w:sz="6" w:space="2" w:color="4A66AC" w:themeColor="accent1"/>
        <w:left w:val="dotted" w:sz="6" w:space="2" w:color="4A66AC" w:themeColor="accent1"/>
      </w:pBdr>
      <w:spacing w:before="30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8E0D69"/>
    <w:pPr>
      <w:pBdr>
        <w:bottom w:val="single" w:sz="6" w:space="1" w:color="4A66AC" w:themeColor="accent1"/>
      </w:pBdr>
      <w:spacing w:before="30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8E0D69"/>
    <w:pPr>
      <w:pBdr>
        <w:bottom w:val="dotted" w:sz="6" w:space="1" w:color="4A66AC" w:themeColor="accent1"/>
      </w:pBdr>
      <w:spacing w:before="30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8E0D69"/>
    <w:pPr>
      <w:spacing w:before="30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8E0D69"/>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8E0D69"/>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D69"/>
    <w:rPr>
      <w:b/>
      <w:bCs/>
      <w:caps/>
      <w:color w:val="FFFFFF" w:themeColor="background1"/>
      <w:spacing w:val="15"/>
      <w:shd w:val="clear" w:color="auto" w:fill="4A66AC" w:themeFill="accent1"/>
    </w:rPr>
  </w:style>
  <w:style w:type="character" w:customStyle="1" w:styleId="Heading2Char">
    <w:name w:val="Heading 2 Char"/>
    <w:basedOn w:val="DefaultParagraphFont"/>
    <w:link w:val="Heading2"/>
    <w:uiPriority w:val="9"/>
    <w:semiHidden/>
    <w:rsid w:val="008E0D69"/>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8E0D69"/>
    <w:rPr>
      <w:caps/>
      <w:color w:val="243255" w:themeColor="accent1" w:themeShade="7F"/>
      <w:spacing w:val="15"/>
    </w:rPr>
  </w:style>
  <w:style w:type="character" w:customStyle="1" w:styleId="Heading4Char">
    <w:name w:val="Heading 4 Char"/>
    <w:basedOn w:val="DefaultParagraphFont"/>
    <w:link w:val="Heading4"/>
    <w:uiPriority w:val="9"/>
    <w:semiHidden/>
    <w:rsid w:val="008E0D69"/>
    <w:rPr>
      <w:caps/>
      <w:color w:val="374C80" w:themeColor="accent1" w:themeShade="BF"/>
      <w:spacing w:val="10"/>
    </w:rPr>
  </w:style>
  <w:style w:type="character" w:customStyle="1" w:styleId="Heading5Char">
    <w:name w:val="Heading 5 Char"/>
    <w:basedOn w:val="DefaultParagraphFont"/>
    <w:link w:val="Heading5"/>
    <w:uiPriority w:val="9"/>
    <w:semiHidden/>
    <w:rsid w:val="008E0D69"/>
    <w:rPr>
      <w:caps/>
      <w:color w:val="374C80" w:themeColor="accent1" w:themeShade="BF"/>
      <w:spacing w:val="10"/>
    </w:rPr>
  </w:style>
  <w:style w:type="character" w:customStyle="1" w:styleId="Heading6Char">
    <w:name w:val="Heading 6 Char"/>
    <w:basedOn w:val="DefaultParagraphFont"/>
    <w:link w:val="Heading6"/>
    <w:uiPriority w:val="9"/>
    <w:semiHidden/>
    <w:rsid w:val="008E0D69"/>
    <w:rPr>
      <w:caps/>
      <w:color w:val="374C80" w:themeColor="accent1" w:themeShade="BF"/>
      <w:spacing w:val="10"/>
    </w:rPr>
  </w:style>
  <w:style w:type="character" w:customStyle="1" w:styleId="Heading7Char">
    <w:name w:val="Heading 7 Char"/>
    <w:basedOn w:val="DefaultParagraphFont"/>
    <w:link w:val="Heading7"/>
    <w:uiPriority w:val="9"/>
    <w:semiHidden/>
    <w:rsid w:val="008E0D69"/>
    <w:rPr>
      <w:caps/>
      <w:color w:val="374C80" w:themeColor="accent1" w:themeShade="BF"/>
      <w:spacing w:val="10"/>
    </w:rPr>
  </w:style>
  <w:style w:type="character" w:customStyle="1" w:styleId="Heading8Char">
    <w:name w:val="Heading 8 Char"/>
    <w:basedOn w:val="DefaultParagraphFont"/>
    <w:link w:val="Heading8"/>
    <w:uiPriority w:val="9"/>
    <w:semiHidden/>
    <w:rsid w:val="008E0D69"/>
    <w:rPr>
      <w:caps/>
      <w:spacing w:val="10"/>
      <w:sz w:val="18"/>
      <w:szCs w:val="18"/>
    </w:rPr>
  </w:style>
  <w:style w:type="character" w:customStyle="1" w:styleId="Heading9Char">
    <w:name w:val="Heading 9 Char"/>
    <w:basedOn w:val="DefaultParagraphFont"/>
    <w:link w:val="Heading9"/>
    <w:uiPriority w:val="9"/>
    <w:semiHidden/>
    <w:rsid w:val="008E0D69"/>
    <w:rPr>
      <w:i/>
      <w:caps/>
      <w:spacing w:val="10"/>
      <w:sz w:val="18"/>
      <w:szCs w:val="18"/>
    </w:rPr>
  </w:style>
  <w:style w:type="paragraph" w:styleId="Title">
    <w:name w:val="Title"/>
    <w:basedOn w:val="Normal"/>
    <w:next w:val="Normal"/>
    <w:link w:val="TitleChar"/>
    <w:uiPriority w:val="10"/>
    <w:qFormat/>
    <w:rsid w:val="008E0D69"/>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8E0D69"/>
    <w:rPr>
      <w:caps/>
      <w:color w:val="4A66AC" w:themeColor="accent1"/>
      <w:spacing w:val="10"/>
      <w:kern w:val="28"/>
      <w:sz w:val="52"/>
      <w:szCs w:val="52"/>
    </w:rPr>
  </w:style>
  <w:style w:type="paragraph" w:styleId="Subtitle">
    <w:name w:val="Subtitle"/>
    <w:basedOn w:val="Normal"/>
    <w:next w:val="Normal"/>
    <w:link w:val="SubtitleChar"/>
    <w:uiPriority w:val="11"/>
    <w:qFormat/>
    <w:rsid w:val="008E0D69"/>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8E0D69"/>
    <w:rPr>
      <w:caps/>
      <w:color w:val="595959" w:themeColor="text1" w:themeTint="A6"/>
      <w:spacing w:val="10"/>
      <w:sz w:val="24"/>
      <w:szCs w:val="24"/>
    </w:rPr>
  </w:style>
  <w:style w:type="character" w:styleId="Strong">
    <w:name w:val="Strong"/>
    <w:uiPriority w:val="22"/>
    <w:qFormat/>
    <w:rsid w:val="008E0D69"/>
    <w:rPr>
      <w:b/>
      <w:bCs/>
    </w:rPr>
  </w:style>
  <w:style w:type="character" w:styleId="Emphasis">
    <w:name w:val="Emphasis"/>
    <w:uiPriority w:val="20"/>
    <w:qFormat/>
    <w:rsid w:val="008E0D69"/>
    <w:rPr>
      <w:caps/>
      <w:color w:val="243255" w:themeColor="accent1" w:themeShade="7F"/>
      <w:spacing w:val="5"/>
    </w:rPr>
  </w:style>
  <w:style w:type="paragraph" w:styleId="NoSpacing">
    <w:name w:val="No Spacing"/>
    <w:basedOn w:val="Normal"/>
    <w:link w:val="NoSpacingChar"/>
    <w:uiPriority w:val="1"/>
    <w:qFormat/>
    <w:rsid w:val="008E0D69"/>
  </w:style>
  <w:style w:type="paragraph" w:styleId="ListParagraph">
    <w:name w:val="List Paragraph"/>
    <w:basedOn w:val="Normal"/>
    <w:uiPriority w:val="34"/>
    <w:qFormat/>
    <w:rsid w:val="008E0D69"/>
    <w:pPr>
      <w:ind w:left="720"/>
      <w:contextualSpacing/>
    </w:pPr>
  </w:style>
  <w:style w:type="paragraph" w:styleId="Quote">
    <w:name w:val="Quote"/>
    <w:basedOn w:val="Normal"/>
    <w:next w:val="Normal"/>
    <w:link w:val="QuoteChar"/>
    <w:uiPriority w:val="29"/>
    <w:qFormat/>
    <w:rsid w:val="008E0D69"/>
    <w:rPr>
      <w:i/>
      <w:iCs/>
    </w:rPr>
  </w:style>
  <w:style w:type="character" w:customStyle="1" w:styleId="QuoteChar">
    <w:name w:val="Quote Char"/>
    <w:basedOn w:val="DefaultParagraphFont"/>
    <w:link w:val="Quote"/>
    <w:uiPriority w:val="29"/>
    <w:rsid w:val="008E0D69"/>
    <w:rPr>
      <w:i/>
      <w:iCs/>
      <w:sz w:val="20"/>
      <w:szCs w:val="20"/>
    </w:rPr>
  </w:style>
  <w:style w:type="paragraph" w:styleId="IntenseQuote">
    <w:name w:val="Intense Quote"/>
    <w:basedOn w:val="Normal"/>
    <w:next w:val="Normal"/>
    <w:link w:val="IntenseQuoteChar"/>
    <w:uiPriority w:val="30"/>
    <w:qFormat/>
    <w:rsid w:val="008E0D69"/>
    <w:pPr>
      <w:pBdr>
        <w:top w:val="single" w:sz="4" w:space="10" w:color="4A66AC" w:themeColor="accent1"/>
        <w:left w:val="single" w:sz="4" w:space="10" w:color="4A66AC" w:themeColor="accent1"/>
      </w:pBdr>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8E0D69"/>
    <w:rPr>
      <w:i/>
      <w:iCs/>
      <w:color w:val="4A66AC" w:themeColor="accent1"/>
      <w:sz w:val="20"/>
      <w:szCs w:val="20"/>
    </w:rPr>
  </w:style>
  <w:style w:type="character" w:styleId="SubtleEmphasis">
    <w:name w:val="Subtle Emphasis"/>
    <w:uiPriority w:val="19"/>
    <w:qFormat/>
    <w:rsid w:val="008E0D69"/>
    <w:rPr>
      <w:i/>
      <w:iCs/>
      <w:color w:val="243255" w:themeColor="accent1" w:themeShade="7F"/>
    </w:rPr>
  </w:style>
  <w:style w:type="character" w:styleId="IntenseEmphasis">
    <w:name w:val="Intense Emphasis"/>
    <w:uiPriority w:val="21"/>
    <w:qFormat/>
    <w:rsid w:val="008E0D69"/>
    <w:rPr>
      <w:b/>
      <w:bCs/>
      <w:caps/>
      <w:color w:val="243255" w:themeColor="accent1" w:themeShade="7F"/>
      <w:spacing w:val="10"/>
    </w:rPr>
  </w:style>
  <w:style w:type="character" w:styleId="SubtleReference">
    <w:name w:val="Subtle Reference"/>
    <w:uiPriority w:val="31"/>
    <w:qFormat/>
    <w:rsid w:val="008E0D69"/>
    <w:rPr>
      <w:b/>
      <w:bCs/>
      <w:color w:val="4A66AC" w:themeColor="accent1"/>
    </w:rPr>
  </w:style>
  <w:style w:type="character" w:styleId="IntenseReference">
    <w:name w:val="Intense Reference"/>
    <w:uiPriority w:val="32"/>
    <w:qFormat/>
    <w:rsid w:val="008E0D69"/>
    <w:rPr>
      <w:b/>
      <w:bCs/>
      <w:i/>
      <w:iCs/>
      <w:caps/>
      <w:color w:val="4A66AC" w:themeColor="accent1"/>
    </w:rPr>
  </w:style>
  <w:style w:type="character" w:styleId="BookTitle">
    <w:name w:val="Book Title"/>
    <w:uiPriority w:val="33"/>
    <w:qFormat/>
    <w:rsid w:val="008E0D69"/>
    <w:rPr>
      <w:b/>
      <w:bCs/>
      <w:i/>
      <w:iCs/>
      <w:spacing w:val="9"/>
    </w:rPr>
  </w:style>
  <w:style w:type="paragraph" w:styleId="TOCHeading">
    <w:name w:val="TOC Heading"/>
    <w:basedOn w:val="Heading1"/>
    <w:next w:val="Normal"/>
    <w:uiPriority w:val="39"/>
    <w:semiHidden/>
    <w:unhideWhenUsed/>
    <w:qFormat/>
    <w:rsid w:val="008E0D69"/>
    <w:pPr>
      <w:outlineLvl w:val="9"/>
    </w:pPr>
  </w:style>
  <w:style w:type="paragraph" w:styleId="Caption">
    <w:name w:val="caption"/>
    <w:basedOn w:val="Normal"/>
    <w:next w:val="Normal"/>
    <w:uiPriority w:val="35"/>
    <w:semiHidden/>
    <w:unhideWhenUsed/>
    <w:qFormat/>
    <w:rsid w:val="008E0D69"/>
    <w:rPr>
      <w:b/>
      <w:bCs/>
      <w:color w:val="374C80" w:themeColor="accent1" w:themeShade="BF"/>
      <w:sz w:val="16"/>
      <w:szCs w:val="16"/>
    </w:rPr>
  </w:style>
  <w:style w:type="character" w:customStyle="1" w:styleId="NoSpacingChar">
    <w:name w:val="No Spacing Char"/>
    <w:basedOn w:val="DefaultParagraphFont"/>
    <w:link w:val="NoSpacing"/>
    <w:uiPriority w:val="1"/>
    <w:rsid w:val="008E0D69"/>
    <w:rPr>
      <w:sz w:val="20"/>
      <w:szCs w:val="20"/>
    </w:rPr>
  </w:style>
  <w:style w:type="character" w:styleId="FootnoteReference">
    <w:name w:val="footnote reference"/>
    <w:basedOn w:val="DefaultParagraphFont"/>
    <w:uiPriority w:val="99"/>
    <w:unhideWhenUsed/>
    <w:rsid w:val="00957D05"/>
    <w:rPr>
      <w:vertAlign w:val="superscript"/>
    </w:rPr>
  </w:style>
  <w:style w:type="paragraph" w:styleId="FootnoteText">
    <w:name w:val="footnote text"/>
    <w:basedOn w:val="Normal"/>
    <w:link w:val="FootnoteTextChar"/>
    <w:uiPriority w:val="99"/>
    <w:unhideWhenUsed/>
    <w:rsid w:val="00957D05"/>
  </w:style>
  <w:style w:type="character" w:customStyle="1" w:styleId="FootnoteTextChar">
    <w:name w:val="Footnote Text Char"/>
    <w:basedOn w:val="DefaultParagraphFont"/>
    <w:link w:val="FootnoteText"/>
    <w:uiPriority w:val="99"/>
    <w:rsid w:val="00957D05"/>
    <w:rPr>
      <w:sz w:val="20"/>
      <w:szCs w:val="20"/>
    </w:rPr>
  </w:style>
  <w:style w:type="character" w:styleId="CommentReference">
    <w:name w:val="annotation reference"/>
    <w:basedOn w:val="DefaultParagraphFont"/>
    <w:uiPriority w:val="99"/>
    <w:semiHidden/>
    <w:unhideWhenUsed/>
    <w:rsid w:val="006227A6"/>
    <w:rPr>
      <w:sz w:val="16"/>
      <w:szCs w:val="16"/>
    </w:rPr>
  </w:style>
  <w:style w:type="paragraph" w:styleId="CommentText">
    <w:name w:val="annotation text"/>
    <w:basedOn w:val="Normal"/>
    <w:link w:val="CommentTextChar"/>
    <w:uiPriority w:val="99"/>
    <w:semiHidden/>
    <w:unhideWhenUsed/>
    <w:rsid w:val="006227A6"/>
  </w:style>
  <w:style w:type="character" w:customStyle="1" w:styleId="CommentTextChar">
    <w:name w:val="Comment Text Char"/>
    <w:basedOn w:val="DefaultParagraphFont"/>
    <w:link w:val="CommentText"/>
    <w:uiPriority w:val="99"/>
    <w:semiHidden/>
    <w:rsid w:val="006227A6"/>
    <w:rPr>
      <w:sz w:val="20"/>
      <w:szCs w:val="20"/>
    </w:rPr>
  </w:style>
  <w:style w:type="paragraph" w:styleId="CommentSubject">
    <w:name w:val="annotation subject"/>
    <w:basedOn w:val="CommentText"/>
    <w:next w:val="CommentText"/>
    <w:link w:val="CommentSubjectChar"/>
    <w:uiPriority w:val="99"/>
    <w:semiHidden/>
    <w:unhideWhenUsed/>
    <w:rsid w:val="006227A6"/>
    <w:rPr>
      <w:b/>
      <w:bCs/>
    </w:rPr>
  </w:style>
  <w:style w:type="character" w:customStyle="1" w:styleId="CommentSubjectChar">
    <w:name w:val="Comment Subject Char"/>
    <w:basedOn w:val="CommentTextChar"/>
    <w:link w:val="CommentSubject"/>
    <w:uiPriority w:val="99"/>
    <w:semiHidden/>
    <w:rsid w:val="006227A6"/>
    <w:rPr>
      <w:b/>
      <w:bCs/>
      <w:sz w:val="20"/>
      <w:szCs w:val="20"/>
    </w:rPr>
  </w:style>
  <w:style w:type="paragraph" w:styleId="Revision">
    <w:name w:val="Revision"/>
    <w:hidden/>
    <w:uiPriority w:val="99"/>
    <w:semiHidden/>
    <w:rsid w:val="006227A6"/>
    <w:pPr>
      <w:spacing w:before="0" w:after="0" w:line="240" w:lineRule="auto"/>
    </w:pPr>
    <w:rPr>
      <w:sz w:val="20"/>
      <w:szCs w:val="20"/>
    </w:rPr>
  </w:style>
  <w:style w:type="paragraph" w:styleId="NormalWeb">
    <w:name w:val="Normal (Web)"/>
    <w:basedOn w:val="Normal"/>
    <w:uiPriority w:val="99"/>
    <w:semiHidden/>
    <w:unhideWhenUsed/>
    <w:rsid w:val="00AE48D6"/>
  </w:style>
  <w:style w:type="paragraph" w:styleId="Footer">
    <w:name w:val="footer"/>
    <w:basedOn w:val="Normal"/>
    <w:link w:val="FooterChar"/>
    <w:uiPriority w:val="99"/>
    <w:unhideWhenUsed/>
    <w:rsid w:val="00AD082A"/>
    <w:pPr>
      <w:tabs>
        <w:tab w:val="center" w:pos="4680"/>
        <w:tab w:val="right" w:pos="9360"/>
      </w:tabs>
    </w:pPr>
  </w:style>
  <w:style w:type="character" w:customStyle="1" w:styleId="FooterChar">
    <w:name w:val="Footer Char"/>
    <w:basedOn w:val="DefaultParagraphFont"/>
    <w:link w:val="Footer"/>
    <w:uiPriority w:val="99"/>
    <w:rsid w:val="00AD082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D082A"/>
  </w:style>
  <w:style w:type="paragraph" w:styleId="BalloonText">
    <w:name w:val="Balloon Text"/>
    <w:basedOn w:val="Normal"/>
    <w:link w:val="BalloonTextChar"/>
    <w:uiPriority w:val="99"/>
    <w:semiHidden/>
    <w:unhideWhenUsed/>
    <w:rsid w:val="00583C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C13"/>
    <w:rPr>
      <w:rFonts w:ascii="Segoe UI" w:eastAsia="Times New Roman" w:hAnsi="Segoe UI" w:cs="Segoe UI"/>
      <w:sz w:val="18"/>
      <w:szCs w:val="18"/>
    </w:rPr>
  </w:style>
  <w:style w:type="paragraph" w:styleId="Header">
    <w:name w:val="header"/>
    <w:basedOn w:val="Normal"/>
    <w:link w:val="HeaderChar"/>
    <w:uiPriority w:val="99"/>
    <w:unhideWhenUsed/>
    <w:rsid w:val="00B85F33"/>
    <w:pPr>
      <w:tabs>
        <w:tab w:val="center" w:pos="4680"/>
        <w:tab w:val="right" w:pos="9360"/>
      </w:tabs>
    </w:pPr>
  </w:style>
  <w:style w:type="character" w:customStyle="1" w:styleId="HeaderChar">
    <w:name w:val="Header Char"/>
    <w:basedOn w:val="DefaultParagraphFont"/>
    <w:link w:val="Header"/>
    <w:uiPriority w:val="99"/>
    <w:rsid w:val="00B85F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6441">
      <w:bodyDiv w:val="1"/>
      <w:marLeft w:val="0"/>
      <w:marRight w:val="0"/>
      <w:marTop w:val="0"/>
      <w:marBottom w:val="0"/>
      <w:divBdr>
        <w:top w:val="none" w:sz="0" w:space="0" w:color="auto"/>
        <w:left w:val="none" w:sz="0" w:space="0" w:color="auto"/>
        <w:bottom w:val="none" w:sz="0" w:space="0" w:color="auto"/>
        <w:right w:val="none" w:sz="0" w:space="0" w:color="auto"/>
      </w:divBdr>
    </w:div>
    <w:div w:id="93982039">
      <w:bodyDiv w:val="1"/>
      <w:marLeft w:val="0"/>
      <w:marRight w:val="0"/>
      <w:marTop w:val="0"/>
      <w:marBottom w:val="0"/>
      <w:divBdr>
        <w:top w:val="none" w:sz="0" w:space="0" w:color="auto"/>
        <w:left w:val="none" w:sz="0" w:space="0" w:color="auto"/>
        <w:bottom w:val="none" w:sz="0" w:space="0" w:color="auto"/>
        <w:right w:val="none" w:sz="0" w:space="0" w:color="auto"/>
      </w:divBdr>
    </w:div>
    <w:div w:id="471483443">
      <w:bodyDiv w:val="1"/>
      <w:marLeft w:val="0"/>
      <w:marRight w:val="0"/>
      <w:marTop w:val="0"/>
      <w:marBottom w:val="0"/>
      <w:divBdr>
        <w:top w:val="none" w:sz="0" w:space="0" w:color="auto"/>
        <w:left w:val="none" w:sz="0" w:space="0" w:color="auto"/>
        <w:bottom w:val="none" w:sz="0" w:space="0" w:color="auto"/>
        <w:right w:val="none" w:sz="0" w:space="0" w:color="auto"/>
      </w:divBdr>
      <w:divsChild>
        <w:div w:id="1442067550">
          <w:marLeft w:val="0"/>
          <w:marRight w:val="0"/>
          <w:marTop w:val="0"/>
          <w:marBottom w:val="0"/>
          <w:divBdr>
            <w:top w:val="none" w:sz="0" w:space="0" w:color="auto"/>
            <w:left w:val="none" w:sz="0" w:space="0" w:color="auto"/>
            <w:bottom w:val="none" w:sz="0" w:space="0" w:color="auto"/>
            <w:right w:val="none" w:sz="0" w:space="0" w:color="auto"/>
          </w:divBdr>
          <w:divsChild>
            <w:div w:id="715736418">
              <w:marLeft w:val="0"/>
              <w:marRight w:val="0"/>
              <w:marTop w:val="0"/>
              <w:marBottom w:val="0"/>
              <w:divBdr>
                <w:top w:val="none" w:sz="0" w:space="0" w:color="auto"/>
                <w:left w:val="none" w:sz="0" w:space="0" w:color="auto"/>
                <w:bottom w:val="none" w:sz="0" w:space="0" w:color="auto"/>
                <w:right w:val="none" w:sz="0" w:space="0" w:color="auto"/>
              </w:divBdr>
              <w:divsChild>
                <w:div w:id="101387896">
                  <w:marLeft w:val="0"/>
                  <w:marRight w:val="0"/>
                  <w:marTop w:val="0"/>
                  <w:marBottom w:val="675"/>
                  <w:divBdr>
                    <w:top w:val="none" w:sz="0" w:space="0" w:color="auto"/>
                    <w:left w:val="none" w:sz="0" w:space="0" w:color="auto"/>
                    <w:bottom w:val="none" w:sz="0" w:space="0" w:color="auto"/>
                    <w:right w:val="none" w:sz="0" w:space="0" w:color="auto"/>
                  </w:divBdr>
                  <w:divsChild>
                    <w:div w:id="286545883">
                      <w:marLeft w:val="0"/>
                      <w:marRight w:val="0"/>
                      <w:marTop w:val="0"/>
                      <w:marBottom w:val="0"/>
                      <w:divBdr>
                        <w:top w:val="none" w:sz="0" w:space="0" w:color="auto"/>
                        <w:left w:val="none" w:sz="0" w:space="0" w:color="auto"/>
                        <w:bottom w:val="none" w:sz="0" w:space="0" w:color="auto"/>
                        <w:right w:val="none" w:sz="0" w:space="0" w:color="auto"/>
                      </w:divBdr>
                      <w:divsChild>
                        <w:div w:id="139292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41167">
      <w:bodyDiv w:val="1"/>
      <w:marLeft w:val="0"/>
      <w:marRight w:val="0"/>
      <w:marTop w:val="0"/>
      <w:marBottom w:val="0"/>
      <w:divBdr>
        <w:top w:val="none" w:sz="0" w:space="0" w:color="auto"/>
        <w:left w:val="none" w:sz="0" w:space="0" w:color="auto"/>
        <w:bottom w:val="none" w:sz="0" w:space="0" w:color="auto"/>
        <w:right w:val="none" w:sz="0" w:space="0" w:color="auto"/>
      </w:divBdr>
    </w:div>
    <w:div w:id="801112612">
      <w:bodyDiv w:val="1"/>
      <w:marLeft w:val="0"/>
      <w:marRight w:val="0"/>
      <w:marTop w:val="0"/>
      <w:marBottom w:val="0"/>
      <w:divBdr>
        <w:top w:val="none" w:sz="0" w:space="0" w:color="auto"/>
        <w:left w:val="none" w:sz="0" w:space="0" w:color="auto"/>
        <w:bottom w:val="none" w:sz="0" w:space="0" w:color="auto"/>
        <w:right w:val="none" w:sz="0" w:space="0" w:color="auto"/>
      </w:divBdr>
    </w:div>
    <w:div w:id="858814186">
      <w:bodyDiv w:val="1"/>
      <w:marLeft w:val="0"/>
      <w:marRight w:val="0"/>
      <w:marTop w:val="0"/>
      <w:marBottom w:val="0"/>
      <w:divBdr>
        <w:top w:val="none" w:sz="0" w:space="0" w:color="auto"/>
        <w:left w:val="none" w:sz="0" w:space="0" w:color="auto"/>
        <w:bottom w:val="none" w:sz="0" w:space="0" w:color="auto"/>
        <w:right w:val="none" w:sz="0" w:space="0" w:color="auto"/>
      </w:divBdr>
      <w:divsChild>
        <w:div w:id="528109338">
          <w:marLeft w:val="0"/>
          <w:marRight w:val="0"/>
          <w:marTop w:val="0"/>
          <w:marBottom w:val="0"/>
          <w:divBdr>
            <w:top w:val="none" w:sz="0" w:space="0" w:color="auto"/>
            <w:left w:val="none" w:sz="0" w:space="0" w:color="auto"/>
            <w:bottom w:val="none" w:sz="0" w:space="0" w:color="auto"/>
            <w:right w:val="none" w:sz="0" w:space="0" w:color="auto"/>
          </w:divBdr>
          <w:divsChild>
            <w:div w:id="1168249875">
              <w:marLeft w:val="0"/>
              <w:marRight w:val="0"/>
              <w:marTop w:val="0"/>
              <w:marBottom w:val="0"/>
              <w:divBdr>
                <w:top w:val="none" w:sz="0" w:space="0" w:color="auto"/>
                <w:left w:val="none" w:sz="0" w:space="0" w:color="auto"/>
                <w:bottom w:val="none" w:sz="0" w:space="0" w:color="auto"/>
                <w:right w:val="none" w:sz="0" w:space="0" w:color="auto"/>
              </w:divBdr>
              <w:divsChild>
                <w:div w:id="14510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78280">
      <w:bodyDiv w:val="1"/>
      <w:marLeft w:val="0"/>
      <w:marRight w:val="0"/>
      <w:marTop w:val="0"/>
      <w:marBottom w:val="0"/>
      <w:divBdr>
        <w:top w:val="none" w:sz="0" w:space="0" w:color="auto"/>
        <w:left w:val="none" w:sz="0" w:space="0" w:color="auto"/>
        <w:bottom w:val="none" w:sz="0" w:space="0" w:color="auto"/>
        <w:right w:val="none" w:sz="0" w:space="0" w:color="auto"/>
      </w:divBdr>
    </w:div>
    <w:div w:id="969826585">
      <w:bodyDiv w:val="1"/>
      <w:marLeft w:val="0"/>
      <w:marRight w:val="0"/>
      <w:marTop w:val="0"/>
      <w:marBottom w:val="0"/>
      <w:divBdr>
        <w:top w:val="none" w:sz="0" w:space="0" w:color="auto"/>
        <w:left w:val="none" w:sz="0" w:space="0" w:color="auto"/>
        <w:bottom w:val="none" w:sz="0" w:space="0" w:color="auto"/>
        <w:right w:val="none" w:sz="0" w:space="0" w:color="auto"/>
      </w:divBdr>
    </w:div>
    <w:div w:id="1645965915">
      <w:bodyDiv w:val="1"/>
      <w:marLeft w:val="0"/>
      <w:marRight w:val="0"/>
      <w:marTop w:val="0"/>
      <w:marBottom w:val="0"/>
      <w:divBdr>
        <w:top w:val="none" w:sz="0" w:space="0" w:color="auto"/>
        <w:left w:val="none" w:sz="0" w:space="0" w:color="auto"/>
        <w:bottom w:val="none" w:sz="0" w:space="0" w:color="auto"/>
        <w:right w:val="none" w:sz="0" w:space="0" w:color="auto"/>
      </w:divBdr>
    </w:div>
    <w:div w:id="19537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AE164-A478-4F00-BAF0-88AA0BFA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Erlichman, Reece (ALA)</cp:lastModifiedBy>
  <cp:revision>2</cp:revision>
  <cp:lastPrinted>2021-06-07T02:08:00Z</cp:lastPrinted>
  <dcterms:created xsi:type="dcterms:W3CDTF">2021-06-16T14:12:00Z</dcterms:created>
  <dcterms:modified xsi:type="dcterms:W3CDTF">2021-06-16T14:12:00Z</dcterms:modified>
</cp:coreProperties>
</file>