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6C" w:rsidRPr="00FA59D7" w:rsidRDefault="00902C6C" w:rsidP="00902C6C">
      <w:pPr>
        <w:spacing w:before="100" w:beforeAutospacing="1" w:after="0"/>
        <w:jc w:val="center"/>
        <w:rPr>
          <w:b/>
          <w:sz w:val="25"/>
          <w:szCs w:val="25"/>
        </w:rPr>
      </w:pPr>
      <w:bookmarkStart w:id="0" w:name="_GoBack"/>
      <w:bookmarkEnd w:id="0"/>
      <w:r w:rsidRPr="00FA59D7">
        <w:rPr>
          <w:b/>
          <w:sz w:val="25"/>
          <w:szCs w:val="25"/>
        </w:rPr>
        <w:t>COMMONWEALTH OF MASSACHUSETTS</w:t>
      </w:r>
    </w:p>
    <w:p w:rsidR="00902C6C" w:rsidRPr="00FA59D7" w:rsidRDefault="00902C6C" w:rsidP="00902C6C">
      <w:pPr>
        <w:spacing w:after="0"/>
        <w:jc w:val="center"/>
        <w:rPr>
          <w:b/>
          <w:sz w:val="25"/>
          <w:szCs w:val="25"/>
        </w:rPr>
      </w:pPr>
      <w:r w:rsidRPr="00FA59D7">
        <w:rPr>
          <w:b/>
          <w:sz w:val="25"/>
          <w:szCs w:val="25"/>
        </w:rPr>
        <w:t>DIVISION OF ADMINISTRATIVE LAW APPEALS</w:t>
      </w:r>
    </w:p>
    <w:p w:rsidR="00902C6C" w:rsidRPr="00FA59D7" w:rsidRDefault="00902C6C" w:rsidP="00902C6C">
      <w:pPr>
        <w:spacing w:after="0"/>
        <w:jc w:val="center"/>
        <w:rPr>
          <w:b/>
          <w:sz w:val="25"/>
          <w:szCs w:val="25"/>
        </w:rPr>
      </w:pPr>
      <w:r w:rsidRPr="00FA59D7">
        <w:rPr>
          <w:b/>
          <w:sz w:val="25"/>
          <w:szCs w:val="25"/>
        </w:rPr>
        <w:t>SPECIAL EDUCATION APPEALS</w:t>
      </w:r>
    </w:p>
    <w:p w:rsidR="00902C6C" w:rsidRDefault="00902C6C" w:rsidP="00902C6C">
      <w:pPr>
        <w:spacing w:after="0"/>
        <w:jc w:val="center"/>
        <w:rPr>
          <w:b/>
          <w:sz w:val="25"/>
          <w:szCs w:val="25"/>
        </w:rPr>
      </w:pPr>
    </w:p>
    <w:p w:rsidR="00902C6C" w:rsidRPr="00FA59D7" w:rsidRDefault="00902C6C" w:rsidP="00902C6C">
      <w:pPr>
        <w:spacing w:after="0"/>
        <w:jc w:val="center"/>
        <w:rPr>
          <w:b/>
          <w:sz w:val="25"/>
          <w:szCs w:val="25"/>
        </w:rPr>
      </w:pPr>
    </w:p>
    <w:p w:rsidR="00902C6C" w:rsidRPr="00FA59D7" w:rsidRDefault="00902C6C" w:rsidP="00902C6C">
      <w:pPr>
        <w:spacing w:after="0"/>
        <w:rPr>
          <w:sz w:val="25"/>
          <w:szCs w:val="25"/>
        </w:rPr>
      </w:pPr>
      <w:r w:rsidRPr="00FA59D7">
        <w:rPr>
          <w:b/>
          <w:sz w:val="25"/>
          <w:szCs w:val="25"/>
        </w:rPr>
        <w:t>In Re:</w:t>
      </w:r>
      <w:r w:rsidR="00AF41C5">
        <w:rPr>
          <w:sz w:val="25"/>
          <w:szCs w:val="25"/>
        </w:rPr>
        <w:t xml:space="preserve">  </w:t>
      </w:r>
      <w:proofErr w:type="gramStart"/>
      <w:r w:rsidR="00337269">
        <w:rPr>
          <w:sz w:val="25"/>
          <w:szCs w:val="25"/>
        </w:rPr>
        <w:t xml:space="preserve">Student </w:t>
      </w:r>
      <w:r w:rsidRPr="00FA59D7">
        <w:rPr>
          <w:sz w:val="25"/>
          <w:szCs w:val="25"/>
        </w:rPr>
        <w:t xml:space="preserve"> v</w:t>
      </w:r>
      <w:proofErr w:type="gramEnd"/>
      <w:r w:rsidRPr="00FA59D7">
        <w:rPr>
          <w:sz w:val="25"/>
          <w:szCs w:val="25"/>
        </w:rPr>
        <w:t>.</w:t>
      </w:r>
      <w:r w:rsidRPr="00FA59D7">
        <w:rPr>
          <w:sz w:val="25"/>
          <w:szCs w:val="25"/>
        </w:rPr>
        <w:tab/>
      </w:r>
      <w:r w:rsidRPr="00FA59D7">
        <w:rPr>
          <w:sz w:val="25"/>
          <w:szCs w:val="25"/>
        </w:rPr>
        <w:tab/>
      </w:r>
      <w:r w:rsidRPr="00FA59D7">
        <w:rPr>
          <w:sz w:val="25"/>
          <w:szCs w:val="25"/>
        </w:rPr>
        <w:tab/>
      </w:r>
      <w:r w:rsidRPr="00FA59D7">
        <w:rPr>
          <w:sz w:val="25"/>
          <w:szCs w:val="25"/>
        </w:rPr>
        <w:tab/>
      </w:r>
      <w:r w:rsidRPr="00FA59D7">
        <w:rPr>
          <w:sz w:val="25"/>
          <w:szCs w:val="25"/>
        </w:rPr>
        <w:tab/>
      </w:r>
      <w:r w:rsidRPr="00FA59D7">
        <w:rPr>
          <w:sz w:val="25"/>
          <w:szCs w:val="25"/>
        </w:rPr>
        <w:tab/>
      </w:r>
      <w:r w:rsidRPr="00FA59D7">
        <w:rPr>
          <w:sz w:val="25"/>
          <w:szCs w:val="25"/>
        </w:rPr>
        <w:tab/>
      </w:r>
      <w:r w:rsidRPr="00FA59D7">
        <w:rPr>
          <w:sz w:val="25"/>
          <w:szCs w:val="25"/>
        </w:rPr>
        <w:tab/>
      </w:r>
      <w:r w:rsidRPr="00FA59D7">
        <w:rPr>
          <w:b/>
          <w:sz w:val="25"/>
          <w:szCs w:val="25"/>
        </w:rPr>
        <w:t xml:space="preserve">BSEA # </w:t>
      </w:r>
      <w:r w:rsidR="00AF41C5">
        <w:rPr>
          <w:b/>
          <w:sz w:val="25"/>
          <w:szCs w:val="25"/>
        </w:rPr>
        <w:t>1303762</w:t>
      </w:r>
    </w:p>
    <w:p w:rsidR="00902C6C" w:rsidRPr="00FA59D7" w:rsidRDefault="00AF41C5" w:rsidP="00AF41C5">
      <w:pPr>
        <w:spacing w:after="0"/>
        <w:ind w:firstLine="720"/>
        <w:rPr>
          <w:sz w:val="25"/>
          <w:szCs w:val="25"/>
        </w:rPr>
      </w:pPr>
      <w:r>
        <w:rPr>
          <w:sz w:val="25"/>
          <w:szCs w:val="25"/>
        </w:rPr>
        <w:t>Bridgewater</w:t>
      </w:r>
      <w:r w:rsidR="002A1FBE">
        <w:rPr>
          <w:sz w:val="25"/>
          <w:szCs w:val="25"/>
        </w:rPr>
        <w:t>-</w:t>
      </w:r>
      <w:r>
        <w:rPr>
          <w:sz w:val="25"/>
          <w:szCs w:val="25"/>
        </w:rPr>
        <w:t xml:space="preserve">Raynham Regional </w:t>
      </w:r>
      <w:r w:rsidR="00902C6C" w:rsidRPr="00FA59D7">
        <w:rPr>
          <w:sz w:val="25"/>
          <w:szCs w:val="25"/>
        </w:rPr>
        <w:t>School</w:t>
      </w:r>
      <w:r>
        <w:rPr>
          <w:sz w:val="25"/>
          <w:szCs w:val="25"/>
        </w:rPr>
        <w:t xml:space="preserve"> District</w:t>
      </w:r>
      <w:r w:rsidR="00902C6C">
        <w:rPr>
          <w:sz w:val="25"/>
          <w:szCs w:val="25"/>
        </w:rPr>
        <w:t xml:space="preserve"> </w:t>
      </w:r>
    </w:p>
    <w:p w:rsidR="00902C6C" w:rsidRDefault="00902C6C" w:rsidP="00902C6C">
      <w:pPr>
        <w:spacing w:after="0"/>
        <w:jc w:val="center"/>
        <w:rPr>
          <w:b/>
          <w:sz w:val="25"/>
          <w:szCs w:val="25"/>
        </w:rPr>
      </w:pPr>
    </w:p>
    <w:p w:rsidR="00902C6C" w:rsidRPr="00FA59D7" w:rsidRDefault="00902C6C" w:rsidP="00902C6C">
      <w:pPr>
        <w:spacing w:after="0"/>
        <w:jc w:val="center"/>
        <w:rPr>
          <w:b/>
          <w:sz w:val="25"/>
          <w:szCs w:val="25"/>
        </w:rPr>
      </w:pPr>
      <w:r w:rsidRPr="00FA59D7">
        <w:rPr>
          <w:b/>
          <w:sz w:val="25"/>
          <w:szCs w:val="25"/>
        </w:rPr>
        <w:t xml:space="preserve">Ruling on </w:t>
      </w:r>
      <w:r w:rsidR="00287DA0">
        <w:rPr>
          <w:b/>
          <w:sz w:val="25"/>
          <w:szCs w:val="25"/>
        </w:rPr>
        <w:t>Parent</w:t>
      </w:r>
      <w:r w:rsidRPr="00FA59D7">
        <w:rPr>
          <w:b/>
          <w:sz w:val="25"/>
          <w:szCs w:val="25"/>
        </w:rPr>
        <w:t>s</w:t>
      </w:r>
      <w:r>
        <w:rPr>
          <w:b/>
          <w:sz w:val="25"/>
          <w:szCs w:val="25"/>
        </w:rPr>
        <w:t>’</w:t>
      </w:r>
      <w:r w:rsidRPr="00FA59D7">
        <w:rPr>
          <w:b/>
          <w:sz w:val="25"/>
          <w:szCs w:val="25"/>
        </w:rPr>
        <w:t xml:space="preserve"> Motion </w:t>
      </w:r>
      <w:proofErr w:type="gramStart"/>
      <w:r w:rsidR="00287DA0">
        <w:rPr>
          <w:b/>
          <w:sz w:val="25"/>
          <w:szCs w:val="25"/>
        </w:rPr>
        <w:t>For</w:t>
      </w:r>
      <w:proofErr w:type="gramEnd"/>
      <w:r w:rsidR="00287DA0">
        <w:rPr>
          <w:b/>
          <w:sz w:val="25"/>
          <w:szCs w:val="25"/>
        </w:rPr>
        <w:t xml:space="preserve"> Summary Decision</w:t>
      </w:r>
    </w:p>
    <w:p w:rsidR="00902C6C" w:rsidRPr="00FA59D7" w:rsidRDefault="00902C6C" w:rsidP="00902C6C">
      <w:pPr>
        <w:spacing w:after="0"/>
        <w:rPr>
          <w:sz w:val="25"/>
          <w:szCs w:val="25"/>
        </w:rPr>
      </w:pPr>
    </w:p>
    <w:p w:rsidR="00AF41C5" w:rsidRPr="00FA59D7" w:rsidRDefault="00AF41C5" w:rsidP="00AF41C5">
      <w:pPr>
        <w:rPr>
          <w:sz w:val="25"/>
          <w:szCs w:val="25"/>
        </w:rPr>
      </w:pPr>
      <w:r>
        <w:rPr>
          <w:sz w:val="25"/>
          <w:szCs w:val="25"/>
        </w:rPr>
        <w:t xml:space="preserve">Parents filed a Hearing </w:t>
      </w:r>
      <w:r w:rsidR="004B609E">
        <w:rPr>
          <w:sz w:val="25"/>
          <w:szCs w:val="25"/>
        </w:rPr>
        <w:t xml:space="preserve">Request </w:t>
      </w:r>
      <w:r>
        <w:rPr>
          <w:sz w:val="25"/>
          <w:szCs w:val="25"/>
        </w:rPr>
        <w:t>in t</w:t>
      </w:r>
      <w:r w:rsidR="00902C6C">
        <w:rPr>
          <w:sz w:val="25"/>
          <w:szCs w:val="25"/>
        </w:rPr>
        <w:t xml:space="preserve">he above-referenced matter </w:t>
      </w:r>
      <w:r>
        <w:rPr>
          <w:sz w:val="25"/>
          <w:szCs w:val="25"/>
        </w:rPr>
        <w:t>on December 3, 2012.  On January 4, 2013, Parents filed a Motion for Summary Decision asserting that Bridgewater</w:t>
      </w:r>
      <w:r w:rsidR="004B609E">
        <w:rPr>
          <w:sz w:val="25"/>
          <w:szCs w:val="25"/>
        </w:rPr>
        <w:t>-</w:t>
      </w:r>
      <w:r>
        <w:rPr>
          <w:sz w:val="25"/>
          <w:szCs w:val="25"/>
        </w:rPr>
        <w:t xml:space="preserve"> Raynham Regional </w:t>
      </w:r>
      <w:r w:rsidRPr="00FA59D7">
        <w:rPr>
          <w:sz w:val="25"/>
          <w:szCs w:val="25"/>
        </w:rPr>
        <w:t>School</w:t>
      </w:r>
      <w:r>
        <w:rPr>
          <w:sz w:val="25"/>
          <w:szCs w:val="25"/>
        </w:rPr>
        <w:t xml:space="preserve"> District’s (BR) process for developing Student’s IEP and placement so deficient and allegedly contrary to law that the IEP should be rendered null and void.  According to Parents, there are no genuine disputes of material facts.  As compensation for BR’s violations, Parents seek public funding for their unilateral residential placement of Student at the Landmark School for the 2012-2013 school year, and request that the BSEA enter a judgment in their favor as a matter of law pursuant to </w:t>
      </w:r>
      <w:r w:rsidR="004B609E">
        <w:rPr>
          <w:sz w:val="25"/>
          <w:szCs w:val="25"/>
        </w:rPr>
        <w:t xml:space="preserve">the </w:t>
      </w:r>
      <w:r w:rsidR="00093FA0">
        <w:rPr>
          <w:sz w:val="25"/>
          <w:szCs w:val="25"/>
        </w:rPr>
        <w:t>IDEA, Section 504 of the Rehabilitation Act of 1973, M</w:t>
      </w:r>
      <w:r w:rsidR="004B609E">
        <w:rPr>
          <w:sz w:val="25"/>
          <w:szCs w:val="25"/>
        </w:rPr>
        <w:t>.</w:t>
      </w:r>
      <w:r w:rsidR="00093FA0">
        <w:rPr>
          <w:sz w:val="25"/>
          <w:szCs w:val="25"/>
        </w:rPr>
        <w:t>G</w:t>
      </w:r>
      <w:r w:rsidR="004B609E">
        <w:rPr>
          <w:sz w:val="25"/>
          <w:szCs w:val="25"/>
        </w:rPr>
        <w:t>.</w:t>
      </w:r>
      <w:r w:rsidR="00093FA0">
        <w:rPr>
          <w:sz w:val="25"/>
          <w:szCs w:val="25"/>
        </w:rPr>
        <w:t>L</w:t>
      </w:r>
      <w:r w:rsidR="004B609E">
        <w:rPr>
          <w:sz w:val="25"/>
          <w:szCs w:val="25"/>
        </w:rPr>
        <w:t>.</w:t>
      </w:r>
      <w:r w:rsidR="00093FA0">
        <w:rPr>
          <w:sz w:val="25"/>
          <w:szCs w:val="25"/>
        </w:rPr>
        <w:t xml:space="preserve"> Chapter 71B, and the regulations promulgated under those statutes</w:t>
      </w:r>
      <w:r>
        <w:rPr>
          <w:sz w:val="25"/>
          <w:szCs w:val="25"/>
        </w:rPr>
        <w:t xml:space="preserve">. </w:t>
      </w:r>
    </w:p>
    <w:p w:rsidR="00902C6C" w:rsidRPr="00093FA0" w:rsidRDefault="00093FA0" w:rsidP="00902C6C">
      <w:pPr>
        <w:rPr>
          <w:bCs/>
          <w:sz w:val="25"/>
        </w:rPr>
      </w:pPr>
      <w:r w:rsidRPr="00093FA0">
        <w:rPr>
          <w:bCs/>
          <w:sz w:val="25"/>
        </w:rPr>
        <w:t xml:space="preserve">BR </w:t>
      </w:r>
      <w:r w:rsidR="001C4BAD">
        <w:rPr>
          <w:bCs/>
          <w:sz w:val="25"/>
        </w:rPr>
        <w:t xml:space="preserve">filed an opposition to Parents’ Motion </w:t>
      </w:r>
      <w:r w:rsidRPr="00093FA0">
        <w:rPr>
          <w:bCs/>
          <w:sz w:val="25"/>
        </w:rPr>
        <w:t>on</w:t>
      </w:r>
      <w:r w:rsidR="001C4BAD">
        <w:rPr>
          <w:bCs/>
          <w:sz w:val="25"/>
        </w:rPr>
        <w:t xml:space="preserve"> January 8, 2013, asserting that there were genuine issues of material fa</w:t>
      </w:r>
      <w:r w:rsidR="00FF13BA">
        <w:rPr>
          <w:bCs/>
          <w:sz w:val="25"/>
        </w:rPr>
        <w:t xml:space="preserve">ct raised in Parents’ complaint.  BR noted that the instant case was like other matters in which parents sought public funding after having placed their child unilaterally in a private school.   Central to the equitable relief sought by Parents, as stated in BR’s brief, was the determination of whether the IEP it proposed is inappropriate to meet Student’s needs in the least restrictive placement, which is a question of fact.  </w:t>
      </w:r>
      <w:r w:rsidR="004B609E">
        <w:rPr>
          <w:bCs/>
          <w:sz w:val="25"/>
        </w:rPr>
        <w:t xml:space="preserve">Relying on 20 USC </w:t>
      </w:r>
      <w:r w:rsidR="004B609E">
        <w:rPr>
          <w:rFonts w:cstheme="minorHAnsi"/>
          <w:bCs/>
          <w:sz w:val="25"/>
        </w:rPr>
        <w:t>§</w:t>
      </w:r>
      <w:r w:rsidR="004B609E">
        <w:rPr>
          <w:bCs/>
          <w:sz w:val="25"/>
        </w:rPr>
        <w:t>1415(f</w:t>
      </w:r>
      <w:proofErr w:type="gramStart"/>
      <w:r w:rsidR="004B609E">
        <w:rPr>
          <w:bCs/>
          <w:sz w:val="25"/>
        </w:rPr>
        <w:t>)(</w:t>
      </w:r>
      <w:proofErr w:type="gramEnd"/>
      <w:r w:rsidR="004B609E">
        <w:rPr>
          <w:bCs/>
          <w:sz w:val="25"/>
        </w:rPr>
        <w:t>3)(E)(2)(ii)</w:t>
      </w:r>
      <w:r w:rsidR="004B609E">
        <w:rPr>
          <w:rStyle w:val="FootnoteReference"/>
          <w:bCs/>
          <w:sz w:val="25"/>
        </w:rPr>
        <w:footnoteReference w:id="1"/>
      </w:r>
      <w:r w:rsidR="004B609E">
        <w:rPr>
          <w:bCs/>
          <w:sz w:val="25"/>
        </w:rPr>
        <w:t xml:space="preserve"> and several court and BSEA decisions</w:t>
      </w:r>
      <w:r w:rsidR="004B609E">
        <w:rPr>
          <w:rStyle w:val="FootnoteReference"/>
          <w:bCs/>
          <w:sz w:val="25"/>
        </w:rPr>
        <w:footnoteReference w:id="2"/>
      </w:r>
      <w:r w:rsidR="004B609E">
        <w:rPr>
          <w:bCs/>
          <w:sz w:val="25"/>
        </w:rPr>
        <w:t xml:space="preserve">, </w:t>
      </w:r>
      <w:r w:rsidR="00FF13BA">
        <w:rPr>
          <w:bCs/>
          <w:sz w:val="25"/>
        </w:rPr>
        <w:t xml:space="preserve">BR further argued that the basis for Parents’ request was an alleged procedural violation on the part of BR, which BR </w:t>
      </w:r>
      <w:r w:rsidR="00FF13BA">
        <w:rPr>
          <w:bCs/>
          <w:sz w:val="25"/>
        </w:rPr>
        <w:lastRenderedPageBreak/>
        <w:t>argued would only give rise to an award of compensatory education</w:t>
      </w:r>
      <w:r w:rsidR="006104D8">
        <w:rPr>
          <w:bCs/>
          <w:sz w:val="25"/>
        </w:rPr>
        <w:t xml:space="preserve"> as</w:t>
      </w:r>
      <w:r w:rsidR="00FF13BA">
        <w:rPr>
          <w:bCs/>
          <w:sz w:val="25"/>
        </w:rPr>
        <w:t xml:space="preserve"> an equitable relief</w:t>
      </w:r>
      <w:r w:rsidR="006104D8">
        <w:rPr>
          <w:rStyle w:val="FootnoteReference"/>
          <w:bCs/>
          <w:sz w:val="25"/>
        </w:rPr>
        <w:footnoteReference w:id="3"/>
      </w:r>
      <w:r w:rsidR="00FF13BA">
        <w:rPr>
          <w:bCs/>
          <w:sz w:val="25"/>
        </w:rPr>
        <w:t>, if Parents demonstrated that the alleged procedural violation deprived Student of a FAPE</w:t>
      </w:r>
      <w:r w:rsidR="006B1BCA">
        <w:rPr>
          <w:bCs/>
          <w:sz w:val="25"/>
        </w:rPr>
        <w:t xml:space="preserve"> or significantly impeded their participation in the decision-making process regarding Student’s education</w:t>
      </w:r>
      <w:r w:rsidR="00FF13BA">
        <w:rPr>
          <w:bCs/>
          <w:sz w:val="25"/>
        </w:rPr>
        <w:t xml:space="preserve">.  As such, </w:t>
      </w:r>
      <w:r w:rsidR="00004D55">
        <w:rPr>
          <w:bCs/>
          <w:sz w:val="25"/>
        </w:rPr>
        <w:t>BR argues that Parents’</w:t>
      </w:r>
      <w:r w:rsidR="00FF13BA">
        <w:rPr>
          <w:bCs/>
          <w:sz w:val="25"/>
        </w:rPr>
        <w:t xml:space="preserve"> request for S</w:t>
      </w:r>
      <w:r w:rsidR="001C4BAD">
        <w:rPr>
          <w:bCs/>
          <w:sz w:val="25"/>
        </w:rPr>
        <w:t xml:space="preserve">ummary </w:t>
      </w:r>
      <w:r w:rsidR="00FF13BA">
        <w:rPr>
          <w:bCs/>
          <w:sz w:val="25"/>
        </w:rPr>
        <w:t>D</w:t>
      </w:r>
      <w:r w:rsidR="001C4BAD">
        <w:rPr>
          <w:bCs/>
          <w:sz w:val="25"/>
        </w:rPr>
        <w:t>ecision should be denied.</w:t>
      </w:r>
      <w:r w:rsidRPr="00093FA0">
        <w:rPr>
          <w:bCs/>
          <w:sz w:val="25"/>
        </w:rPr>
        <w:t xml:space="preserve"> </w:t>
      </w:r>
      <w:r w:rsidR="00FF13BA">
        <w:rPr>
          <w:bCs/>
          <w:sz w:val="25"/>
        </w:rPr>
        <w:t xml:space="preserve"> </w:t>
      </w:r>
    </w:p>
    <w:p w:rsidR="00902C6C" w:rsidRDefault="00902C6C" w:rsidP="00902C6C">
      <w:pPr>
        <w:rPr>
          <w:sz w:val="25"/>
        </w:rPr>
      </w:pPr>
      <w:r>
        <w:rPr>
          <w:b/>
          <w:bCs/>
          <w:sz w:val="25"/>
        </w:rPr>
        <w:t>Ruling:</w:t>
      </w:r>
    </w:p>
    <w:p w:rsidR="00393CCF" w:rsidRDefault="00902C6C" w:rsidP="00902C6C">
      <w:pPr>
        <w:rPr>
          <w:sz w:val="25"/>
        </w:rPr>
      </w:pPr>
      <w:r>
        <w:rPr>
          <w:sz w:val="25"/>
        </w:rPr>
        <w:t>The Adjudicatory Rules of Practice and Procedure, applicable to BSEA proceedings</w:t>
      </w:r>
      <w:r>
        <w:rPr>
          <w:rStyle w:val="FootnoteReference"/>
          <w:sz w:val="25"/>
        </w:rPr>
        <w:footnoteReference w:id="4"/>
      </w:r>
      <w:r w:rsidR="004B609E">
        <w:rPr>
          <w:sz w:val="25"/>
        </w:rPr>
        <w:t>,</w:t>
      </w:r>
      <w:r>
        <w:rPr>
          <w:sz w:val="25"/>
        </w:rPr>
        <w:t xml:space="preserve"> provide that summary decisions may be granted when there is no genuine issue of fact relating to all or part of a claim or defense, and the moving party is entitled to prevail as a matter of law.</w:t>
      </w:r>
      <w:r>
        <w:rPr>
          <w:rStyle w:val="FootnoteReference"/>
          <w:sz w:val="25"/>
        </w:rPr>
        <w:footnoteReference w:id="5"/>
      </w:r>
      <w:r>
        <w:rPr>
          <w:sz w:val="25"/>
        </w:rPr>
        <w:t xml:space="preserve">  A party may obtain summary judgment if it can show that the opposing side has no reasonable expectation of proving the essential elements of his/her case.</w:t>
      </w:r>
      <w:r>
        <w:rPr>
          <w:rStyle w:val="FootnoteReference"/>
          <w:sz w:val="25"/>
        </w:rPr>
        <w:footnoteReference w:id="6"/>
      </w:r>
      <w:r>
        <w:rPr>
          <w:sz w:val="25"/>
        </w:rPr>
        <w:t xml:space="preserve">  Once the party seeking summary judgment asserts that no genuine issue of material fact exists, the burden shifts to the non-moving party to identify the facts that demonstrate that a trial-worthy issue exists. </w:t>
      </w:r>
      <w:proofErr w:type="gramStart"/>
      <w:r>
        <w:rPr>
          <w:i/>
          <w:iCs/>
          <w:sz w:val="25"/>
        </w:rPr>
        <w:t>Nat’l Amusements, Inc. v. Town of Dedham</w:t>
      </w:r>
      <w:r>
        <w:rPr>
          <w:sz w:val="25"/>
        </w:rPr>
        <w:t>, 43 F 3d 731, 735 (1</w:t>
      </w:r>
      <w:r>
        <w:rPr>
          <w:sz w:val="25"/>
          <w:vertAlign w:val="superscript"/>
        </w:rPr>
        <w:t>st</w:t>
      </w:r>
      <w:r>
        <w:rPr>
          <w:sz w:val="25"/>
        </w:rPr>
        <w:t>. Cir. 1995).</w:t>
      </w:r>
      <w:proofErr w:type="gramEnd"/>
      <w:r>
        <w:rPr>
          <w:sz w:val="25"/>
        </w:rPr>
        <w:t xml:space="preserve">  </w:t>
      </w:r>
      <w:r w:rsidR="00D97678">
        <w:rPr>
          <w:sz w:val="25"/>
        </w:rPr>
        <w:t xml:space="preserve"> Moreover</w:t>
      </w:r>
      <w:r w:rsidR="00393CCF">
        <w:rPr>
          <w:sz w:val="25"/>
        </w:rPr>
        <w:t>, “[o]</w:t>
      </w:r>
      <w:proofErr w:type="spellStart"/>
      <w:r w:rsidR="00393CCF">
        <w:rPr>
          <w:sz w:val="25"/>
        </w:rPr>
        <w:t>rdinarily</w:t>
      </w:r>
      <w:proofErr w:type="spellEnd"/>
      <w:r w:rsidR="00393CCF">
        <w:rPr>
          <w:sz w:val="25"/>
        </w:rPr>
        <w:t xml:space="preserve">, Summary Judgment is appropriate in IDEA proceedings only when the parties agree on all operative facts, supporting that agreement with documents and affidavits, and present a question of law for decision. … on a motion for summary judgment, all evidence and inferences are to be viewed in a light most favorable to the nonmoving party” </w:t>
      </w:r>
      <w:r w:rsidR="00393CCF" w:rsidRPr="00004D55">
        <w:rPr>
          <w:i/>
          <w:sz w:val="25"/>
        </w:rPr>
        <w:t>Anderson v. Liberty Lobby, Inc.</w:t>
      </w:r>
      <w:r w:rsidR="00393CCF">
        <w:rPr>
          <w:sz w:val="25"/>
        </w:rPr>
        <w:t xml:space="preserve">, 477 U.S. 242, 252 (1986).” </w:t>
      </w:r>
      <w:r w:rsidR="00393CCF" w:rsidRPr="00393CCF">
        <w:rPr>
          <w:i/>
          <w:sz w:val="25"/>
        </w:rPr>
        <w:t>In Re: Norfolk County Agr</w:t>
      </w:r>
      <w:r w:rsidR="00D97678" w:rsidRPr="00393CCF">
        <w:rPr>
          <w:i/>
          <w:sz w:val="25"/>
        </w:rPr>
        <w:t>icultural School</w:t>
      </w:r>
      <w:r w:rsidR="00D97678">
        <w:rPr>
          <w:sz w:val="25"/>
        </w:rPr>
        <w:t>, BSEA # 06-0390</w:t>
      </w:r>
      <w:r w:rsidR="00393CCF">
        <w:rPr>
          <w:sz w:val="25"/>
        </w:rPr>
        <w:t xml:space="preserve"> </w:t>
      </w:r>
      <w:r w:rsidR="00393CCF" w:rsidRPr="00004D55">
        <w:rPr>
          <w:sz w:val="25"/>
        </w:rPr>
        <w:t>(</w:t>
      </w:r>
      <w:r w:rsidR="00004D55">
        <w:rPr>
          <w:sz w:val="25"/>
        </w:rPr>
        <w:t>Berman</w:t>
      </w:r>
      <w:r w:rsidR="00393CCF" w:rsidRPr="00004D55">
        <w:rPr>
          <w:sz w:val="25"/>
        </w:rPr>
        <w:t>, 200</w:t>
      </w:r>
      <w:r w:rsidR="00004D55">
        <w:rPr>
          <w:sz w:val="25"/>
        </w:rPr>
        <w:t>5</w:t>
      </w:r>
      <w:r w:rsidR="00393CCF">
        <w:rPr>
          <w:sz w:val="25"/>
        </w:rPr>
        <w:t>)</w:t>
      </w:r>
      <w:r w:rsidR="00D97678">
        <w:rPr>
          <w:sz w:val="25"/>
        </w:rPr>
        <w:t xml:space="preserve">.  </w:t>
      </w:r>
    </w:p>
    <w:p w:rsidR="00902C6C" w:rsidRDefault="00393CCF" w:rsidP="00902C6C">
      <w:pPr>
        <w:rPr>
          <w:sz w:val="25"/>
        </w:rPr>
      </w:pPr>
      <w:r>
        <w:rPr>
          <w:sz w:val="25"/>
        </w:rPr>
        <w:t>In a</w:t>
      </w:r>
      <w:r w:rsidR="00902C6C">
        <w:rPr>
          <w:sz w:val="25"/>
        </w:rPr>
        <w:t xml:space="preserve">ddressing motions for summary decision, the First Circuit Court of Appeals </w:t>
      </w:r>
      <w:r>
        <w:rPr>
          <w:sz w:val="25"/>
        </w:rPr>
        <w:t xml:space="preserve">has </w:t>
      </w:r>
      <w:r w:rsidR="00902C6C">
        <w:rPr>
          <w:sz w:val="25"/>
        </w:rPr>
        <w:t>explained</w:t>
      </w:r>
      <w:r>
        <w:rPr>
          <w:sz w:val="25"/>
        </w:rPr>
        <w:t xml:space="preserve"> that</w:t>
      </w:r>
      <w:r w:rsidR="00902C6C">
        <w:rPr>
          <w:sz w:val="25"/>
        </w:rPr>
        <w:t xml:space="preserve">,   </w:t>
      </w:r>
    </w:p>
    <w:p w:rsidR="00902C6C" w:rsidRDefault="00902C6C" w:rsidP="00902C6C">
      <w:pPr>
        <w:ind w:left="1440"/>
        <w:rPr>
          <w:sz w:val="25"/>
        </w:rPr>
      </w:pPr>
      <w:r>
        <w:rPr>
          <w:sz w:val="25"/>
        </w:rPr>
        <w:t xml:space="preserve">This burden is discharged only if the cited disagreement relates to a genuine issue of material fact.  In this context, “genuine” means that the evidence about the fact is such that a reasonable jury could resolve the point in favor of the nonmoving party and “material” means that the fact is one that might affect the outcome of the suit under the governing law.  This requirement has sharp teeth: the [non-moving party] must present definite, competent evidence to rebut the motion.  Such evidence cannot be conjectural or </w:t>
      </w:r>
      <w:r>
        <w:rPr>
          <w:sz w:val="25"/>
        </w:rPr>
        <w:lastRenderedPageBreak/>
        <w:t>problematic; it must have substance in the sense that it limns differing versions of the truth which a fact finder must resolve at an ensuing trial. As the [United States Supreme] Court has cautioned</w:t>
      </w:r>
      <w:proofErr w:type="gramStart"/>
      <w:r>
        <w:rPr>
          <w:sz w:val="25"/>
        </w:rPr>
        <w:t>,</w:t>
      </w:r>
      <w:proofErr w:type="gramEnd"/>
      <w:r>
        <w:rPr>
          <w:sz w:val="25"/>
        </w:rPr>
        <w:t xml:space="preserve"> evidence that is merely colorable or is not significantly probative cannot deter summary judgment.  </w:t>
      </w:r>
      <w:proofErr w:type="gramStart"/>
      <w:r>
        <w:rPr>
          <w:i/>
          <w:iCs/>
          <w:sz w:val="25"/>
        </w:rPr>
        <w:t>Wynne v. Tufts University school of Medicine</w:t>
      </w:r>
      <w:r>
        <w:rPr>
          <w:sz w:val="25"/>
        </w:rPr>
        <w:t>, 976 F.2d 791, 794 (1</w:t>
      </w:r>
      <w:r>
        <w:rPr>
          <w:sz w:val="25"/>
          <w:vertAlign w:val="superscript"/>
        </w:rPr>
        <w:t>st</w:t>
      </w:r>
      <w:r>
        <w:rPr>
          <w:sz w:val="25"/>
        </w:rPr>
        <w:t xml:space="preserve"> Cir. 1992).</w:t>
      </w:r>
      <w:proofErr w:type="gramEnd"/>
      <w:r>
        <w:rPr>
          <w:rStyle w:val="FootnoteReference"/>
          <w:sz w:val="25"/>
        </w:rPr>
        <w:footnoteReference w:id="7"/>
      </w:r>
      <w:r>
        <w:rPr>
          <w:sz w:val="25"/>
        </w:rPr>
        <w:t xml:space="preserve">       </w:t>
      </w:r>
    </w:p>
    <w:p w:rsidR="00902C6C" w:rsidRPr="00902C6C" w:rsidRDefault="009D1222" w:rsidP="00902C6C">
      <w:pPr>
        <w:rPr>
          <w:rFonts w:ascii="Calibri" w:hAnsi="Calibri" w:cs="Calibri"/>
          <w:sz w:val="25"/>
        </w:rPr>
      </w:pPr>
      <w:r>
        <w:rPr>
          <w:rFonts w:ascii="Calibri" w:hAnsi="Calibri" w:cs="Calibri"/>
          <w:sz w:val="25"/>
        </w:rPr>
        <w:t xml:space="preserve">With this guidance in mind, and in consideration of the arguments offered by the Parties, I find that </w:t>
      </w:r>
      <w:r w:rsidR="006104D8">
        <w:rPr>
          <w:rFonts w:ascii="Calibri" w:hAnsi="Calibri" w:cs="Calibri"/>
          <w:sz w:val="25"/>
        </w:rPr>
        <w:t xml:space="preserve">BR is correct in that </w:t>
      </w:r>
      <w:r>
        <w:rPr>
          <w:rFonts w:ascii="Calibri" w:hAnsi="Calibri" w:cs="Calibri"/>
          <w:sz w:val="25"/>
        </w:rPr>
        <w:t>there are significant issues of material fact which are central to the determination in the instant case and as such Summary Judgment as a matter of law is not warranted.  Parents</w:t>
      </w:r>
      <w:r w:rsidR="00004D55">
        <w:rPr>
          <w:rFonts w:ascii="Calibri" w:hAnsi="Calibri" w:cs="Calibri"/>
          <w:sz w:val="25"/>
        </w:rPr>
        <w:t>’</w:t>
      </w:r>
      <w:r>
        <w:rPr>
          <w:rFonts w:ascii="Calibri" w:hAnsi="Calibri" w:cs="Calibri"/>
          <w:sz w:val="25"/>
        </w:rPr>
        <w:t xml:space="preserve"> claims will be heard at a Hearing on the merits </w:t>
      </w:r>
      <w:r w:rsidR="00F85AFC">
        <w:rPr>
          <w:rFonts w:ascii="Calibri" w:hAnsi="Calibri" w:cs="Calibri"/>
          <w:sz w:val="25"/>
        </w:rPr>
        <w:t xml:space="preserve">which date will be set at </w:t>
      </w:r>
      <w:r>
        <w:rPr>
          <w:rFonts w:ascii="Calibri" w:hAnsi="Calibri" w:cs="Calibri"/>
          <w:sz w:val="25"/>
        </w:rPr>
        <w:t>the Pre–Hearing Conference scheduled for February 14, 2013.</w:t>
      </w:r>
    </w:p>
    <w:p w:rsidR="00902C6C" w:rsidRDefault="00287DA0" w:rsidP="00902C6C">
      <w:pPr>
        <w:spacing w:after="0"/>
        <w:rPr>
          <w:sz w:val="25"/>
          <w:szCs w:val="25"/>
        </w:rPr>
      </w:pPr>
      <w:r>
        <w:rPr>
          <w:b/>
          <w:sz w:val="25"/>
          <w:szCs w:val="25"/>
        </w:rPr>
        <w:t>O</w:t>
      </w:r>
      <w:r w:rsidR="00902C6C" w:rsidRPr="00A3214C">
        <w:rPr>
          <w:b/>
          <w:sz w:val="25"/>
          <w:szCs w:val="25"/>
        </w:rPr>
        <w:t>RDERS</w:t>
      </w:r>
      <w:r w:rsidR="00902C6C">
        <w:rPr>
          <w:sz w:val="25"/>
          <w:szCs w:val="25"/>
        </w:rPr>
        <w:t>:</w:t>
      </w:r>
    </w:p>
    <w:p w:rsidR="00902C6C" w:rsidRDefault="00902C6C" w:rsidP="00902C6C">
      <w:pPr>
        <w:spacing w:after="0"/>
        <w:rPr>
          <w:sz w:val="25"/>
          <w:szCs w:val="25"/>
        </w:rPr>
      </w:pPr>
    </w:p>
    <w:p w:rsidR="00902C6C" w:rsidRDefault="009D1222" w:rsidP="00902C6C">
      <w:pPr>
        <w:pStyle w:val="ListParagraph"/>
        <w:numPr>
          <w:ilvl w:val="0"/>
          <w:numId w:val="5"/>
        </w:numPr>
        <w:spacing w:after="0"/>
        <w:rPr>
          <w:sz w:val="25"/>
          <w:szCs w:val="25"/>
        </w:rPr>
      </w:pPr>
      <w:r>
        <w:rPr>
          <w:sz w:val="25"/>
          <w:szCs w:val="25"/>
        </w:rPr>
        <w:t>Parents’ Motion for Summary Judgment is DENIED</w:t>
      </w:r>
      <w:r w:rsidR="00902C6C">
        <w:rPr>
          <w:sz w:val="25"/>
          <w:szCs w:val="25"/>
        </w:rPr>
        <w:t>.</w:t>
      </w:r>
    </w:p>
    <w:p w:rsidR="00902C6C" w:rsidRDefault="00902C6C" w:rsidP="00902C6C">
      <w:pPr>
        <w:spacing w:after="0"/>
        <w:rPr>
          <w:sz w:val="25"/>
          <w:szCs w:val="25"/>
        </w:rPr>
      </w:pPr>
    </w:p>
    <w:p w:rsidR="00902C6C" w:rsidRDefault="00902C6C" w:rsidP="00902C6C">
      <w:pPr>
        <w:spacing w:after="0"/>
        <w:rPr>
          <w:sz w:val="25"/>
          <w:szCs w:val="25"/>
        </w:rPr>
      </w:pPr>
      <w:r>
        <w:rPr>
          <w:sz w:val="25"/>
          <w:szCs w:val="25"/>
        </w:rPr>
        <w:t xml:space="preserve">So Ordered by the Hearing Officer, </w:t>
      </w:r>
    </w:p>
    <w:p w:rsidR="00902C6C" w:rsidRDefault="00902C6C" w:rsidP="00902C6C">
      <w:pPr>
        <w:spacing w:after="0"/>
        <w:rPr>
          <w:sz w:val="25"/>
          <w:szCs w:val="25"/>
        </w:rPr>
      </w:pPr>
    </w:p>
    <w:p w:rsidR="00902C6C" w:rsidRDefault="00902C6C" w:rsidP="00902C6C">
      <w:pPr>
        <w:spacing w:after="0"/>
        <w:rPr>
          <w:sz w:val="25"/>
          <w:szCs w:val="25"/>
        </w:rPr>
      </w:pPr>
    </w:p>
    <w:p w:rsidR="00902C6C" w:rsidRDefault="00902C6C" w:rsidP="00902C6C">
      <w:pPr>
        <w:spacing w:after="0"/>
        <w:rPr>
          <w:sz w:val="25"/>
          <w:szCs w:val="25"/>
        </w:rPr>
      </w:pPr>
      <w:r>
        <w:rPr>
          <w:sz w:val="25"/>
          <w:szCs w:val="25"/>
        </w:rPr>
        <w:t xml:space="preserve">______________________________________________  </w:t>
      </w:r>
    </w:p>
    <w:p w:rsidR="00902C6C" w:rsidRDefault="00902C6C" w:rsidP="00902C6C">
      <w:pPr>
        <w:spacing w:after="0"/>
        <w:rPr>
          <w:sz w:val="25"/>
          <w:szCs w:val="25"/>
        </w:rPr>
      </w:pPr>
      <w:r>
        <w:rPr>
          <w:sz w:val="25"/>
          <w:szCs w:val="25"/>
        </w:rPr>
        <w:t>Rosa I. Figueroa</w:t>
      </w:r>
    </w:p>
    <w:p w:rsidR="00902C6C" w:rsidRDefault="00902C6C" w:rsidP="00902C6C">
      <w:pPr>
        <w:spacing w:after="0"/>
        <w:rPr>
          <w:sz w:val="25"/>
          <w:szCs w:val="25"/>
        </w:rPr>
      </w:pPr>
      <w:r>
        <w:rPr>
          <w:sz w:val="25"/>
          <w:szCs w:val="25"/>
        </w:rPr>
        <w:t>Dated: January 1</w:t>
      </w:r>
      <w:r w:rsidR="009D1222">
        <w:rPr>
          <w:sz w:val="25"/>
          <w:szCs w:val="25"/>
        </w:rPr>
        <w:t>8</w:t>
      </w:r>
      <w:r>
        <w:rPr>
          <w:sz w:val="25"/>
          <w:szCs w:val="25"/>
        </w:rPr>
        <w:t>, 2013</w:t>
      </w:r>
    </w:p>
    <w:p w:rsidR="001F2D26" w:rsidRDefault="001F2D26">
      <w:pPr>
        <w:rPr>
          <w:sz w:val="25"/>
          <w:szCs w:val="25"/>
        </w:rPr>
      </w:pPr>
    </w:p>
    <w:sectPr w:rsidR="001F2D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9E" w:rsidRDefault="004B609E" w:rsidP="006660CE">
      <w:pPr>
        <w:spacing w:after="0" w:line="240" w:lineRule="auto"/>
      </w:pPr>
      <w:r>
        <w:separator/>
      </w:r>
    </w:p>
  </w:endnote>
  <w:endnote w:type="continuationSeparator" w:id="0">
    <w:p w:rsidR="004B609E" w:rsidRDefault="004B609E" w:rsidP="0066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32498"/>
      <w:docPartObj>
        <w:docPartGallery w:val="Page Numbers (Bottom of Page)"/>
        <w:docPartUnique/>
      </w:docPartObj>
    </w:sdtPr>
    <w:sdtEndPr>
      <w:rPr>
        <w:noProof/>
      </w:rPr>
    </w:sdtEndPr>
    <w:sdtContent>
      <w:p w:rsidR="004B609E" w:rsidRDefault="004B609E">
        <w:pPr>
          <w:pStyle w:val="Footer"/>
          <w:jc w:val="center"/>
        </w:pPr>
        <w:r>
          <w:fldChar w:fldCharType="begin"/>
        </w:r>
        <w:r>
          <w:instrText xml:space="preserve"> PAGE   \* MERGEFORMAT </w:instrText>
        </w:r>
        <w:r>
          <w:fldChar w:fldCharType="separate"/>
        </w:r>
        <w:r w:rsidR="00AC7AF5">
          <w:rPr>
            <w:noProof/>
          </w:rPr>
          <w:t>3</w:t>
        </w:r>
        <w:r>
          <w:rPr>
            <w:noProof/>
          </w:rPr>
          <w:fldChar w:fldCharType="end"/>
        </w:r>
      </w:p>
    </w:sdtContent>
  </w:sdt>
  <w:p w:rsidR="004B609E" w:rsidRDefault="004B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9E" w:rsidRDefault="004B609E" w:rsidP="006660CE">
      <w:pPr>
        <w:spacing w:after="0" w:line="240" w:lineRule="auto"/>
      </w:pPr>
      <w:r>
        <w:separator/>
      </w:r>
    </w:p>
  </w:footnote>
  <w:footnote w:type="continuationSeparator" w:id="0">
    <w:p w:rsidR="004B609E" w:rsidRDefault="004B609E" w:rsidP="006660CE">
      <w:pPr>
        <w:spacing w:after="0" w:line="240" w:lineRule="auto"/>
      </w:pPr>
      <w:r>
        <w:continuationSeparator/>
      </w:r>
    </w:p>
  </w:footnote>
  <w:footnote w:id="1">
    <w:p w:rsidR="004B609E" w:rsidRPr="006104D8" w:rsidRDefault="004B609E" w:rsidP="004B609E">
      <w:pPr>
        <w:pStyle w:val="FootnoteText"/>
        <w:rPr>
          <w:rFonts w:ascii="Calibri" w:hAnsi="Calibri" w:cs="Calibri"/>
        </w:rPr>
      </w:pPr>
      <w:r w:rsidRPr="006104D8">
        <w:rPr>
          <w:rStyle w:val="FootnoteReference"/>
          <w:rFonts w:ascii="Calibri" w:hAnsi="Calibri" w:cs="Calibri"/>
        </w:rPr>
        <w:footnoteRef/>
      </w:r>
      <w:r w:rsidRPr="006104D8">
        <w:rPr>
          <w:rFonts w:ascii="Calibri" w:hAnsi="Calibri" w:cs="Calibri"/>
        </w:rPr>
        <w:t xml:space="preserve">  </w:t>
      </w:r>
      <w:proofErr w:type="gramStart"/>
      <w:r w:rsidRPr="006104D8">
        <w:rPr>
          <w:rFonts w:ascii="Calibri" w:hAnsi="Calibri" w:cs="Calibri"/>
        </w:rPr>
        <w:t>“Procedural issues.</w:t>
      </w:r>
      <w:proofErr w:type="gramEnd"/>
      <w:r w:rsidRPr="006104D8">
        <w:rPr>
          <w:rFonts w:ascii="Calibri" w:hAnsi="Calibri" w:cs="Calibri"/>
        </w:rPr>
        <w:t xml:space="preserve">  In matters alleging a procedural violation, a hearing officer may find that a child did not receive a free appropriate public education only if the procedural inadequacies– </w:t>
      </w:r>
    </w:p>
    <w:p w:rsidR="004B609E" w:rsidRPr="006104D8" w:rsidRDefault="004B609E" w:rsidP="004B609E">
      <w:pPr>
        <w:pStyle w:val="FootnoteText"/>
        <w:numPr>
          <w:ilvl w:val="0"/>
          <w:numId w:val="7"/>
        </w:numPr>
        <w:rPr>
          <w:rFonts w:ascii="Calibri" w:hAnsi="Calibri" w:cs="Calibri"/>
        </w:rPr>
      </w:pPr>
      <w:r w:rsidRPr="006104D8">
        <w:rPr>
          <w:rFonts w:ascii="Calibri" w:hAnsi="Calibri" w:cs="Calibri"/>
        </w:rPr>
        <w:t>Impeded the child’s right to a free appropriate public education;</w:t>
      </w:r>
    </w:p>
    <w:p w:rsidR="004B609E" w:rsidRPr="006104D8" w:rsidRDefault="004B609E" w:rsidP="004B609E">
      <w:pPr>
        <w:pStyle w:val="FootnoteText"/>
        <w:numPr>
          <w:ilvl w:val="0"/>
          <w:numId w:val="7"/>
        </w:numPr>
        <w:rPr>
          <w:rFonts w:ascii="Calibri" w:hAnsi="Calibri" w:cs="Calibri"/>
        </w:rPr>
      </w:pPr>
      <w:r w:rsidRPr="006104D8">
        <w:rPr>
          <w:rFonts w:ascii="Calibri" w:hAnsi="Calibri" w:cs="Calibri"/>
        </w:rPr>
        <w:t>Significantly impeded the parents’ opportunity to participate in the decision–making process regarding the provision of a free appropriate public education to the parents’ child; or</w:t>
      </w:r>
    </w:p>
    <w:p w:rsidR="004B609E" w:rsidRPr="006104D8" w:rsidRDefault="004B609E" w:rsidP="004B609E">
      <w:pPr>
        <w:pStyle w:val="FootnoteText"/>
        <w:numPr>
          <w:ilvl w:val="0"/>
          <w:numId w:val="7"/>
        </w:numPr>
        <w:rPr>
          <w:rFonts w:ascii="Calibri" w:hAnsi="Calibri" w:cs="Calibri"/>
        </w:rPr>
      </w:pPr>
      <w:r w:rsidRPr="006104D8">
        <w:rPr>
          <w:rFonts w:ascii="Calibri" w:hAnsi="Calibri" w:cs="Calibri"/>
        </w:rPr>
        <w:t>Caused a deprivation of educational benefits.”</w:t>
      </w:r>
      <w:r w:rsidRPr="006104D8">
        <w:rPr>
          <w:rFonts w:ascii="Calibri" w:hAnsi="Calibri" w:cs="Calibri"/>
          <w:bCs/>
          <w:sz w:val="25"/>
        </w:rPr>
        <w:t xml:space="preserve"> </w:t>
      </w:r>
      <w:r w:rsidRPr="006104D8">
        <w:rPr>
          <w:rFonts w:ascii="Calibri" w:hAnsi="Calibri" w:cs="Calibri"/>
          <w:bCs/>
        </w:rPr>
        <w:t>20 USC §1415(f</w:t>
      </w:r>
      <w:proofErr w:type="gramStart"/>
      <w:r w:rsidRPr="006104D8">
        <w:rPr>
          <w:rFonts w:ascii="Calibri" w:hAnsi="Calibri" w:cs="Calibri"/>
          <w:bCs/>
        </w:rPr>
        <w:t>)(</w:t>
      </w:r>
      <w:proofErr w:type="gramEnd"/>
      <w:r w:rsidRPr="006104D8">
        <w:rPr>
          <w:rFonts w:ascii="Calibri" w:hAnsi="Calibri" w:cs="Calibri"/>
          <w:bCs/>
        </w:rPr>
        <w:t>3)(E)(2)(ii).</w:t>
      </w:r>
    </w:p>
  </w:footnote>
  <w:footnote w:id="2">
    <w:p w:rsidR="004B609E" w:rsidRPr="006104D8" w:rsidRDefault="004B609E" w:rsidP="004B609E">
      <w:pPr>
        <w:pStyle w:val="FootnoteText"/>
        <w:rPr>
          <w:rFonts w:ascii="Calibri" w:hAnsi="Calibri" w:cs="Calibri"/>
        </w:rPr>
      </w:pPr>
      <w:r w:rsidRPr="006104D8">
        <w:rPr>
          <w:rStyle w:val="FootnoteReference"/>
          <w:rFonts w:ascii="Calibri" w:hAnsi="Calibri" w:cs="Calibri"/>
        </w:rPr>
        <w:footnoteRef/>
      </w:r>
      <w:r w:rsidRPr="006104D8">
        <w:rPr>
          <w:rFonts w:ascii="Calibri" w:hAnsi="Calibri" w:cs="Calibri"/>
        </w:rPr>
        <w:t xml:space="preserve">   See: </w:t>
      </w:r>
      <w:r w:rsidRPr="006104D8">
        <w:rPr>
          <w:rFonts w:ascii="Calibri" w:hAnsi="Calibri" w:cs="Calibri"/>
          <w:i/>
        </w:rPr>
        <w:t>Roland M. v. Concord Sch. Comm</w:t>
      </w:r>
      <w:r w:rsidRPr="006104D8">
        <w:rPr>
          <w:rFonts w:ascii="Calibri" w:hAnsi="Calibri" w:cs="Calibri"/>
        </w:rPr>
        <w:t>., 910 F.2d 983, 994-95 (1</w:t>
      </w:r>
      <w:r w:rsidRPr="006104D8">
        <w:rPr>
          <w:rFonts w:ascii="Calibri" w:hAnsi="Calibri" w:cs="Calibri"/>
          <w:vertAlign w:val="superscript"/>
        </w:rPr>
        <w:t>st</w:t>
      </w:r>
      <w:r w:rsidRPr="006104D8">
        <w:rPr>
          <w:rFonts w:ascii="Calibri" w:hAnsi="Calibri" w:cs="Calibri"/>
        </w:rPr>
        <w:t xml:space="preserve"> Cir. 1990); </w:t>
      </w:r>
      <w:r w:rsidRPr="006104D8">
        <w:rPr>
          <w:rFonts w:ascii="Calibri" w:hAnsi="Calibri" w:cs="Calibri"/>
          <w:i/>
        </w:rPr>
        <w:t>Burlington v. Mass. Dept. of Education</w:t>
      </w:r>
      <w:r w:rsidRPr="006104D8">
        <w:rPr>
          <w:rFonts w:ascii="Calibri" w:hAnsi="Calibri" w:cs="Calibri"/>
        </w:rPr>
        <w:t>, 736 F.2d 773, 788 (1</w:t>
      </w:r>
      <w:r w:rsidRPr="006104D8">
        <w:rPr>
          <w:rFonts w:ascii="Calibri" w:hAnsi="Calibri" w:cs="Calibri"/>
          <w:vertAlign w:val="superscript"/>
        </w:rPr>
        <w:t>st</w:t>
      </w:r>
      <w:r w:rsidRPr="006104D8">
        <w:rPr>
          <w:rFonts w:ascii="Calibri" w:hAnsi="Calibri" w:cs="Calibri"/>
        </w:rPr>
        <w:t xml:space="preserve"> Cir. 1984); </w:t>
      </w:r>
      <w:r w:rsidRPr="006104D8">
        <w:rPr>
          <w:rFonts w:ascii="Calibri" w:hAnsi="Calibri" w:cs="Calibri"/>
          <w:i/>
        </w:rPr>
        <w:t>In Re: Zelda v. Bridgewater-Raynham Public Schools and Bristol County Agricultural School</w:t>
      </w:r>
      <w:r w:rsidRPr="006104D8">
        <w:rPr>
          <w:rFonts w:ascii="Calibri" w:hAnsi="Calibri" w:cs="Calibri"/>
        </w:rPr>
        <w:t xml:space="preserve">, BSEA # 06-0256 (Byrne, 2005); </w:t>
      </w:r>
      <w:r w:rsidRPr="006104D8">
        <w:rPr>
          <w:rFonts w:ascii="Calibri" w:hAnsi="Calibri" w:cs="Calibri"/>
          <w:i/>
        </w:rPr>
        <w:t>In Re: Springfield Public Schools</w:t>
      </w:r>
      <w:r w:rsidRPr="006104D8">
        <w:rPr>
          <w:rFonts w:ascii="Calibri" w:hAnsi="Calibri" w:cs="Calibri"/>
        </w:rPr>
        <w:t xml:space="preserve">, 11 MSER 1 (2005); BSEA # 04-4706 (Crane, 2005). </w:t>
      </w:r>
      <w:r w:rsidRPr="006104D8">
        <w:rPr>
          <w:rFonts w:ascii="Calibri" w:hAnsi="Calibri" w:cs="Calibri"/>
          <w:i/>
        </w:rPr>
        <w:t>In Re: Leonard and Boston Public Schools</w:t>
      </w:r>
      <w:r w:rsidRPr="006104D8">
        <w:rPr>
          <w:rFonts w:ascii="Calibri" w:hAnsi="Calibri" w:cs="Calibri"/>
        </w:rPr>
        <w:t>, BSEA # 07-4997 (Crane, 2007).</w:t>
      </w:r>
    </w:p>
  </w:footnote>
  <w:footnote w:id="3">
    <w:p w:rsidR="004B609E" w:rsidRPr="006104D8" w:rsidRDefault="004B609E">
      <w:pPr>
        <w:pStyle w:val="FootnoteText"/>
        <w:rPr>
          <w:rFonts w:ascii="Calibri" w:hAnsi="Calibri" w:cs="Calibri"/>
        </w:rPr>
      </w:pPr>
      <w:r>
        <w:rPr>
          <w:rStyle w:val="FootnoteReference"/>
        </w:rPr>
        <w:footnoteRef/>
      </w:r>
      <w:r>
        <w:t xml:space="preserve">   </w:t>
      </w:r>
      <w:r w:rsidRPr="006104D8">
        <w:rPr>
          <w:rFonts w:ascii="Calibri" w:hAnsi="Calibri" w:cs="Calibri"/>
        </w:rPr>
        <w:t xml:space="preserve">“Compensatory education is an equitable remedy involving discretion in determining what relief is appropriate after consideration of all aspects of the case. </w:t>
      </w:r>
      <w:proofErr w:type="gramStart"/>
      <w:r w:rsidRPr="006104D8">
        <w:rPr>
          <w:rFonts w:ascii="Calibri" w:hAnsi="Calibri" w:cs="Calibri"/>
          <w:i/>
        </w:rPr>
        <w:t>Reid v. District of Columbia</w:t>
      </w:r>
      <w:r w:rsidRPr="006104D8">
        <w:rPr>
          <w:rFonts w:ascii="Calibri" w:hAnsi="Calibri" w:cs="Calibri"/>
        </w:rPr>
        <w:t xml:space="preserve">, 401 F.3d 516 (D.C. Cir. 2005); </w:t>
      </w:r>
      <w:r w:rsidRPr="006104D8">
        <w:rPr>
          <w:rFonts w:ascii="Calibri" w:hAnsi="Calibri" w:cs="Calibri"/>
          <w:i/>
        </w:rPr>
        <w:t xml:space="preserve">Phil v. Mass. </w:t>
      </w:r>
      <w:proofErr w:type="spellStart"/>
      <w:r w:rsidRPr="006104D8">
        <w:rPr>
          <w:rFonts w:ascii="Calibri" w:hAnsi="Calibri" w:cs="Calibri"/>
          <w:i/>
        </w:rPr>
        <w:t>Dept</w:t>
      </w:r>
      <w:proofErr w:type="spellEnd"/>
      <w:r w:rsidRPr="006104D8">
        <w:rPr>
          <w:rFonts w:ascii="Calibri" w:hAnsi="Calibri" w:cs="Calibri"/>
          <w:i/>
        </w:rPr>
        <w:t xml:space="preserve"> of Ed.</w:t>
      </w:r>
      <w:r w:rsidRPr="006104D8">
        <w:rPr>
          <w:rFonts w:ascii="Calibri" w:hAnsi="Calibri" w:cs="Calibri"/>
        </w:rPr>
        <w:t>, 9 F.3d 184, 188 n.8 (1</w:t>
      </w:r>
      <w:r w:rsidRPr="006104D8">
        <w:rPr>
          <w:rFonts w:ascii="Calibri" w:hAnsi="Calibri" w:cs="Calibri"/>
          <w:vertAlign w:val="superscript"/>
        </w:rPr>
        <w:t>st</w:t>
      </w:r>
      <w:r w:rsidRPr="006104D8">
        <w:rPr>
          <w:rFonts w:ascii="Calibri" w:hAnsi="Calibri" w:cs="Calibri"/>
        </w:rPr>
        <w:t xml:space="preserve"> Cir. 1993).”</w:t>
      </w:r>
      <w:proofErr w:type="gramEnd"/>
      <w:r w:rsidRPr="006104D8">
        <w:rPr>
          <w:rFonts w:ascii="Calibri" w:hAnsi="Calibri" w:cs="Calibri"/>
        </w:rPr>
        <w:t xml:space="preserve">  </w:t>
      </w:r>
      <w:proofErr w:type="gramStart"/>
      <w:r w:rsidRPr="006104D8">
        <w:rPr>
          <w:rFonts w:ascii="Calibri" w:hAnsi="Calibri" w:cs="Calibri"/>
          <w:i/>
        </w:rPr>
        <w:t>Leonard and Boston Public Schools</w:t>
      </w:r>
      <w:r w:rsidRPr="006104D8">
        <w:rPr>
          <w:rFonts w:ascii="Calibri" w:hAnsi="Calibri" w:cs="Calibri"/>
        </w:rPr>
        <w:t>, BSEA 07-4997 (Crane, 2007).</w:t>
      </w:r>
      <w:proofErr w:type="gramEnd"/>
      <w:r w:rsidRPr="006104D8">
        <w:rPr>
          <w:rFonts w:ascii="Calibri" w:hAnsi="Calibri" w:cs="Calibri"/>
        </w:rPr>
        <w:t xml:space="preserve"> </w:t>
      </w:r>
    </w:p>
  </w:footnote>
  <w:footnote w:id="4">
    <w:p w:rsidR="004B609E" w:rsidRPr="006104D8" w:rsidRDefault="004B609E" w:rsidP="00902C6C">
      <w:pPr>
        <w:pStyle w:val="FootnoteText"/>
        <w:rPr>
          <w:rFonts w:ascii="Calibri" w:hAnsi="Calibri" w:cs="Calibri"/>
        </w:rPr>
      </w:pPr>
      <w:r w:rsidRPr="006104D8">
        <w:rPr>
          <w:rStyle w:val="FootnoteReference"/>
          <w:rFonts w:ascii="Calibri" w:hAnsi="Calibri" w:cs="Calibri"/>
        </w:rPr>
        <w:footnoteRef/>
      </w:r>
      <w:r w:rsidRPr="006104D8">
        <w:rPr>
          <w:rFonts w:ascii="Calibri" w:hAnsi="Calibri" w:cs="Calibri"/>
        </w:rPr>
        <w:t xml:space="preserve">    801 CMR 1.01(7</w:t>
      </w:r>
      <w:proofErr w:type="gramStart"/>
      <w:r w:rsidRPr="006104D8">
        <w:rPr>
          <w:rFonts w:ascii="Calibri" w:hAnsi="Calibri" w:cs="Calibri"/>
        </w:rPr>
        <w:t>)(</w:t>
      </w:r>
      <w:proofErr w:type="gramEnd"/>
      <w:r w:rsidRPr="006104D8">
        <w:rPr>
          <w:rFonts w:ascii="Calibri" w:hAnsi="Calibri" w:cs="Calibri"/>
        </w:rPr>
        <w:t>h) which govern BSEA proceedings pursuant to 603; CMR 28.08(5)(b).</w:t>
      </w:r>
    </w:p>
  </w:footnote>
  <w:footnote w:id="5">
    <w:p w:rsidR="004B609E" w:rsidRPr="006104D8" w:rsidRDefault="004B609E" w:rsidP="00902C6C">
      <w:pPr>
        <w:pStyle w:val="FootnoteText"/>
        <w:rPr>
          <w:rFonts w:ascii="Calibri" w:hAnsi="Calibri" w:cs="Calibri"/>
        </w:rPr>
      </w:pPr>
      <w:r w:rsidRPr="006104D8">
        <w:rPr>
          <w:rStyle w:val="FootnoteReference"/>
          <w:rFonts w:ascii="Calibri" w:hAnsi="Calibri" w:cs="Calibri"/>
        </w:rPr>
        <w:footnoteRef/>
      </w:r>
      <w:r w:rsidRPr="006104D8">
        <w:rPr>
          <w:rFonts w:ascii="Calibri" w:hAnsi="Calibri" w:cs="Calibri"/>
        </w:rPr>
        <w:t xml:space="preserve">    See also Rule 56(c) of the Federal Rules of Civil Procedure. </w:t>
      </w:r>
    </w:p>
  </w:footnote>
  <w:footnote w:id="6">
    <w:p w:rsidR="004B609E" w:rsidRPr="006104D8" w:rsidRDefault="004B609E" w:rsidP="00902C6C">
      <w:pPr>
        <w:pStyle w:val="FootnoteText"/>
        <w:rPr>
          <w:rFonts w:ascii="Calibri" w:hAnsi="Calibri" w:cs="Calibri"/>
        </w:rPr>
      </w:pPr>
      <w:r w:rsidRPr="006104D8">
        <w:rPr>
          <w:rStyle w:val="FootnoteReference"/>
          <w:rFonts w:ascii="Calibri" w:hAnsi="Calibri" w:cs="Calibri"/>
        </w:rPr>
        <w:footnoteRef/>
      </w:r>
      <w:r w:rsidRPr="006104D8">
        <w:rPr>
          <w:rFonts w:ascii="Calibri" w:hAnsi="Calibri" w:cs="Calibri"/>
        </w:rPr>
        <w:t xml:space="preserve">   See </w:t>
      </w:r>
      <w:proofErr w:type="spellStart"/>
      <w:r w:rsidRPr="006104D8">
        <w:rPr>
          <w:rFonts w:ascii="Calibri" w:hAnsi="Calibri" w:cs="Calibri"/>
          <w:i/>
          <w:iCs/>
        </w:rPr>
        <w:t>Kourovacilis</w:t>
      </w:r>
      <w:proofErr w:type="spellEnd"/>
      <w:r w:rsidRPr="006104D8">
        <w:rPr>
          <w:rFonts w:ascii="Calibri" w:hAnsi="Calibri" w:cs="Calibri"/>
          <w:i/>
          <w:iCs/>
        </w:rPr>
        <w:t xml:space="preserve"> v. General Motors Corp</w:t>
      </w:r>
      <w:r w:rsidRPr="006104D8">
        <w:rPr>
          <w:rFonts w:ascii="Calibri" w:hAnsi="Calibri" w:cs="Calibri"/>
        </w:rPr>
        <w:t xml:space="preserve">., 410 Mass 709 (1991). </w:t>
      </w:r>
    </w:p>
  </w:footnote>
  <w:footnote w:id="7">
    <w:p w:rsidR="004B609E" w:rsidRPr="00902C6C" w:rsidRDefault="004B609E" w:rsidP="00902C6C">
      <w:pPr>
        <w:pStyle w:val="FootnoteText"/>
        <w:rPr>
          <w:rFonts w:ascii="Calibri" w:hAnsi="Calibri" w:cs="Calibri"/>
        </w:rPr>
      </w:pPr>
      <w:r w:rsidRPr="00902C6C">
        <w:rPr>
          <w:rStyle w:val="FootnoteReference"/>
          <w:rFonts w:ascii="Calibri" w:hAnsi="Calibri" w:cs="Calibri"/>
        </w:rPr>
        <w:footnoteRef/>
      </w:r>
      <w:r w:rsidRPr="00902C6C">
        <w:rPr>
          <w:rFonts w:ascii="Calibri" w:hAnsi="Calibri" w:cs="Calibri"/>
        </w:rPr>
        <w:t xml:space="preserve">   See </w:t>
      </w:r>
      <w:r w:rsidRPr="00902C6C">
        <w:rPr>
          <w:rFonts w:ascii="Calibri" w:hAnsi="Calibri" w:cs="Calibri"/>
          <w:i/>
          <w:iCs/>
        </w:rPr>
        <w:t>Boston Public Schools and Albert</w:t>
      </w:r>
      <w:r w:rsidRPr="00902C6C">
        <w:rPr>
          <w:rFonts w:ascii="Calibri" w:hAnsi="Calibri" w:cs="Calibri"/>
        </w:rPr>
        <w:t>, 12 MSER 221 (Crane,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ABC"/>
    <w:multiLevelType w:val="hybridMultilevel"/>
    <w:tmpl w:val="E2E29900"/>
    <w:lvl w:ilvl="0" w:tplc="8F8C9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0447E"/>
    <w:multiLevelType w:val="hybridMultilevel"/>
    <w:tmpl w:val="BD5AD62A"/>
    <w:lvl w:ilvl="0" w:tplc="E1065EB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8220ABA"/>
    <w:multiLevelType w:val="hybridMultilevel"/>
    <w:tmpl w:val="B66E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D79E1"/>
    <w:multiLevelType w:val="hybridMultilevel"/>
    <w:tmpl w:val="795A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F2F84"/>
    <w:multiLevelType w:val="hybridMultilevel"/>
    <w:tmpl w:val="865E48B6"/>
    <w:lvl w:ilvl="0" w:tplc="F4C02D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86DB3"/>
    <w:multiLevelType w:val="hybridMultilevel"/>
    <w:tmpl w:val="56D20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17D56"/>
    <w:multiLevelType w:val="hybridMultilevel"/>
    <w:tmpl w:val="BE7C1FCE"/>
    <w:lvl w:ilvl="0" w:tplc="A1884EEC">
      <w:start w:val="1"/>
      <w:numFmt w:val="decimal"/>
      <w:lvlText w:val="(%1)"/>
      <w:lvlJc w:val="left"/>
      <w:pPr>
        <w:tabs>
          <w:tab w:val="num" w:pos="1800"/>
        </w:tabs>
        <w:ind w:left="1800" w:hanging="360"/>
      </w:pPr>
      <w:rPr>
        <w:rFonts w:asciiTheme="minorHAnsi" w:eastAsiaTheme="minorHAnsi" w:hAnsiTheme="minorHAnsi" w:cstheme="minorHAns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64"/>
    <w:rsid w:val="00004D55"/>
    <w:rsid w:val="00026409"/>
    <w:rsid w:val="00034E56"/>
    <w:rsid w:val="0009205D"/>
    <w:rsid w:val="00093FA0"/>
    <w:rsid w:val="000A1334"/>
    <w:rsid w:val="000D75B2"/>
    <w:rsid w:val="000E0C7C"/>
    <w:rsid w:val="001166A6"/>
    <w:rsid w:val="0017072F"/>
    <w:rsid w:val="00184809"/>
    <w:rsid w:val="001B7B37"/>
    <w:rsid w:val="001C4BAD"/>
    <w:rsid w:val="001E0E8F"/>
    <w:rsid w:val="001F2D26"/>
    <w:rsid w:val="001F3406"/>
    <w:rsid w:val="002313EC"/>
    <w:rsid w:val="00260FAE"/>
    <w:rsid w:val="00287DA0"/>
    <w:rsid w:val="002A1FBE"/>
    <w:rsid w:val="002B626B"/>
    <w:rsid w:val="002C6A3B"/>
    <w:rsid w:val="002D1556"/>
    <w:rsid w:val="00337269"/>
    <w:rsid w:val="00374B95"/>
    <w:rsid w:val="003929C0"/>
    <w:rsid w:val="00393CCF"/>
    <w:rsid w:val="003B2FC4"/>
    <w:rsid w:val="003C6BF2"/>
    <w:rsid w:val="003D2F2E"/>
    <w:rsid w:val="003D6098"/>
    <w:rsid w:val="003F375D"/>
    <w:rsid w:val="00444A73"/>
    <w:rsid w:val="00446C5B"/>
    <w:rsid w:val="00464116"/>
    <w:rsid w:val="004674C4"/>
    <w:rsid w:val="00470F67"/>
    <w:rsid w:val="004A4333"/>
    <w:rsid w:val="004B2051"/>
    <w:rsid w:val="004B609E"/>
    <w:rsid w:val="005338A0"/>
    <w:rsid w:val="005524AA"/>
    <w:rsid w:val="00560B73"/>
    <w:rsid w:val="00577AB8"/>
    <w:rsid w:val="005A1FA3"/>
    <w:rsid w:val="005C663B"/>
    <w:rsid w:val="005D087E"/>
    <w:rsid w:val="006027F4"/>
    <w:rsid w:val="006104D8"/>
    <w:rsid w:val="00627C07"/>
    <w:rsid w:val="006331B3"/>
    <w:rsid w:val="00644A27"/>
    <w:rsid w:val="0065016B"/>
    <w:rsid w:val="00661622"/>
    <w:rsid w:val="006660CE"/>
    <w:rsid w:val="006776CC"/>
    <w:rsid w:val="00686D90"/>
    <w:rsid w:val="00695816"/>
    <w:rsid w:val="006B175D"/>
    <w:rsid w:val="006B1BCA"/>
    <w:rsid w:val="00751ED2"/>
    <w:rsid w:val="00780A26"/>
    <w:rsid w:val="00794CB4"/>
    <w:rsid w:val="007A0F64"/>
    <w:rsid w:val="007C2545"/>
    <w:rsid w:val="007F651D"/>
    <w:rsid w:val="0083018B"/>
    <w:rsid w:val="0088233C"/>
    <w:rsid w:val="00891716"/>
    <w:rsid w:val="008B211B"/>
    <w:rsid w:val="008B2E8C"/>
    <w:rsid w:val="008C30C0"/>
    <w:rsid w:val="008D2C29"/>
    <w:rsid w:val="008F3558"/>
    <w:rsid w:val="008F546F"/>
    <w:rsid w:val="00902C6C"/>
    <w:rsid w:val="00935C70"/>
    <w:rsid w:val="00991ADE"/>
    <w:rsid w:val="009D1222"/>
    <w:rsid w:val="009F586D"/>
    <w:rsid w:val="00A101D2"/>
    <w:rsid w:val="00A3214C"/>
    <w:rsid w:val="00A42153"/>
    <w:rsid w:val="00A60226"/>
    <w:rsid w:val="00A9709D"/>
    <w:rsid w:val="00AA3367"/>
    <w:rsid w:val="00AC7AF5"/>
    <w:rsid w:val="00AF3106"/>
    <w:rsid w:val="00AF41C5"/>
    <w:rsid w:val="00B03193"/>
    <w:rsid w:val="00B13D96"/>
    <w:rsid w:val="00B16B86"/>
    <w:rsid w:val="00B2611F"/>
    <w:rsid w:val="00B437E2"/>
    <w:rsid w:val="00B66177"/>
    <w:rsid w:val="00B87ECC"/>
    <w:rsid w:val="00BB1564"/>
    <w:rsid w:val="00BC0166"/>
    <w:rsid w:val="00BC523C"/>
    <w:rsid w:val="00BE1EA7"/>
    <w:rsid w:val="00BE7592"/>
    <w:rsid w:val="00C830BF"/>
    <w:rsid w:val="00CA201A"/>
    <w:rsid w:val="00D01D04"/>
    <w:rsid w:val="00D11DAB"/>
    <w:rsid w:val="00D1504F"/>
    <w:rsid w:val="00D97678"/>
    <w:rsid w:val="00DC5E2A"/>
    <w:rsid w:val="00E0036B"/>
    <w:rsid w:val="00E112DE"/>
    <w:rsid w:val="00E315D9"/>
    <w:rsid w:val="00E45749"/>
    <w:rsid w:val="00E65BCD"/>
    <w:rsid w:val="00E871A7"/>
    <w:rsid w:val="00EB4083"/>
    <w:rsid w:val="00EC5D27"/>
    <w:rsid w:val="00F43E8B"/>
    <w:rsid w:val="00F64FC4"/>
    <w:rsid w:val="00F85AFC"/>
    <w:rsid w:val="00FA3D5B"/>
    <w:rsid w:val="00FA59D7"/>
    <w:rsid w:val="00FD1256"/>
    <w:rsid w:val="00FF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660C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660CE"/>
    <w:rPr>
      <w:rFonts w:ascii="Times New Roman" w:eastAsia="Times New Roman" w:hAnsi="Times New Roman" w:cs="Times New Roman"/>
      <w:sz w:val="20"/>
      <w:szCs w:val="20"/>
    </w:rPr>
  </w:style>
  <w:style w:type="character" w:styleId="FootnoteReference">
    <w:name w:val="footnote reference"/>
    <w:basedOn w:val="DefaultParagraphFont"/>
    <w:semiHidden/>
    <w:rsid w:val="006660CE"/>
    <w:rPr>
      <w:vertAlign w:val="superscript"/>
    </w:rPr>
  </w:style>
  <w:style w:type="paragraph" w:styleId="Title">
    <w:name w:val="Title"/>
    <w:basedOn w:val="Normal"/>
    <w:link w:val="TitleChar"/>
    <w:qFormat/>
    <w:rsid w:val="006660CE"/>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660CE"/>
    <w:rPr>
      <w:rFonts w:ascii="Times New Roman" w:eastAsia="Times New Roman" w:hAnsi="Times New Roman" w:cs="Times New Roman"/>
      <w:sz w:val="24"/>
      <w:szCs w:val="20"/>
    </w:rPr>
  </w:style>
  <w:style w:type="paragraph" w:styleId="BodyText">
    <w:name w:val="Body Text"/>
    <w:basedOn w:val="Normal"/>
    <w:link w:val="BodyTextChar"/>
    <w:semiHidden/>
    <w:rsid w:val="006660CE"/>
    <w:pPr>
      <w:spacing w:after="0" w:line="240" w:lineRule="auto"/>
    </w:pPr>
    <w:rPr>
      <w:rFonts w:ascii="Times New Roman" w:eastAsia="Times New Roman" w:hAnsi="Times New Roman" w:cs="Times New Roman"/>
      <w:b/>
      <w:sz w:val="25"/>
      <w:szCs w:val="20"/>
    </w:rPr>
  </w:style>
  <w:style w:type="character" w:customStyle="1" w:styleId="BodyTextChar">
    <w:name w:val="Body Text Char"/>
    <w:basedOn w:val="DefaultParagraphFont"/>
    <w:link w:val="BodyText"/>
    <w:semiHidden/>
    <w:rsid w:val="006660CE"/>
    <w:rPr>
      <w:rFonts w:ascii="Times New Roman" w:eastAsia="Times New Roman" w:hAnsi="Times New Roman" w:cs="Times New Roman"/>
      <w:b/>
      <w:sz w:val="25"/>
      <w:szCs w:val="20"/>
    </w:rPr>
  </w:style>
  <w:style w:type="paragraph" w:styleId="BodyText3">
    <w:name w:val="Body Text 3"/>
    <w:basedOn w:val="Normal"/>
    <w:link w:val="BodyText3Char"/>
    <w:semiHidden/>
    <w:rsid w:val="006660CE"/>
    <w:pPr>
      <w:spacing w:after="0" w:line="240" w:lineRule="auto"/>
    </w:pPr>
    <w:rPr>
      <w:rFonts w:ascii="Times New Roman" w:eastAsia="Times New Roman" w:hAnsi="Times New Roman" w:cs="Times New Roman"/>
      <w:bCs/>
      <w:sz w:val="25"/>
      <w:szCs w:val="24"/>
    </w:rPr>
  </w:style>
  <w:style w:type="character" w:customStyle="1" w:styleId="BodyText3Char">
    <w:name w:val="Body Text 3 Char"/>
    <w:basedOn w:val="DefaultParagraphFont"/>
    <w:link w:val="BodyText3"/>
    <w:semiHidden/>
    <w:rsid w:val="006660CE"/>
    <w:rPr>
      <w:rFonts w:ascii="Times New Roman" w:eastAsia="Times New Roman" w:hAnsi="Times New Roman" w:cs="Times New Roman"/>
      <w:bCs/>
      <w:sz w:val="25"/>
      <w:szCs w:val="24"/>
    </w:rPr>
  </w:style>
  <w:style w:type="paragraph" w:styleId="ListParagraph">
    <w:name w:val="List Paragraph"/>
    <w:basedOn w:val="Normal"/>
    <w:uiPriority w:val="34"/>
    <w:qFormat/>
    <w:rsid w:val="00577AB8"/>
    <w:pPr>
      <w:ind w:left="720"/>
      <w:contextualSpacing/>
    </w:pPr>
  </w:style>
  <w:style w:type="paragraph" w:styleId="Header">
    <w:name w:val="header"/>
    <w:basedOn w:val="Normal"/>
    <w:link w:val="HeaderChar"/>
    <w:uiPriority w:val="99"/>
    <w:unhideWhenUsed/>
    <w:rsid w:val="000E0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7C"/>
  </w:style>
  <w:style w:type="paragraph" w:styleId="Footer">
    <w:name w:val="footer"/>
    <w:basedOn w:val="Normal"/>
    <w:link w:val="FooterChar"/>
    <w:uiPriority w:val="99"/>
    <w:unhideWhenUsed/>
    <w:rsid w:val="000E0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C7C"/>
  </w:style>
  <w:style w:type="paragraph" w:styleId="BalloonText">
    <w:name w:val="Balloon Text"/>
    <w:basedOn w:val="Normal"/>
    <w:link w:val="BalloonTextChar"/>
    <w:uiPriority w:val="99"/>
    <w:semiHidden/>
    <w:unhideWhenUsed/>
    <w:rsid w:val="00D1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660C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660CE"/>
    <w:rPr>
      <w:rFonts w:ascii="Times New Roman" w:eastAsia="Times New Roman" w:hAnsi="Times New Roman" w:cs="Times New Roman"/>
      <w:sz w:val="20"/>
      <w:szCs w:val="20"/>
    </w:rPr>
  </w:style>
  <w:style w:type="character" w:styleId="FootnoteReference">
    <w:name w:val="footnote reference"/>
    <w:basedOn w:val="DefaultParagraphFont"/>
    <w:semiHidden/>
    <w:rsid w:val="006660CE"/>
    <w:rPr>
      <w:vertAlign w:val="superscript"/>
    </w:rPr>
  </w:style>
  <w:style w:type="paragraph" w:styleId="Title">
    <w:name w:val="Title"/>
    <w:basedOn w:val="Normal"/>
    <w:link w:val="TitleChar"/>
    <w:qFormat/>
    <w:rsid w:val="006660CE"/>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660CE"/>
    <w:rPr>
      <w:rFonts w:ascii="Times New Roman" w:eastAsia="Times New Roman" w:hAnsi="Times New Roman" w:cs="Times New Roman"/>
      <w:sz w:val="24"/>
      <w:szCs w:val="20"/>
    </w:rPr>
  </w:style>
  <w:style w:type="paragraph" w:styleId="BodyText">
    <w:name w:val="Body Text"/>
    <w:basedOn w:val="Normal"/>
    <w:link w:val="BodyTextChar"/>
    <w:semiHidden/>
    <w:rsid w:val="006660CE"/>
    <w:pPr>
      <w:spacing w:after="0" w:line="240" w:lineRule="auto"/>
    </w:pPr>
    <w:rPr>
      <w:rFonts w:ascii="Times New Roman" w:eastAsia="Times New Roman" w:hAnsi="Times New Roman" w:cs="Times New Roman"/>
      <w:b/>
      <w:sz w:val="25"/>
      <w:szCs w:val="20"/>
    </w:rPr>
  </w:style>
  <w:style w:type="character" w:customStyle="1" w:styleId="BodyTextChar">
    <w:name w:val="Body Text Char"/>
    <w:basedOn w:val="DefaultParagraphFont"/>
    <w:link w:val="BodyText"/>
    <w:semiHidden/>
    <w:rsid w:val="006660CE"/>
    <w:rPr>
      <w:rFonts w:ascii="Times New Roman" w:eastAsia="Times New Roman" w:hAnsi="Times New Roman" w:cs="Times New Roman"/>
      <w:b/>
      <w:sz w:val="25"/>
      <w:szCs w:val="20"/>
    </w:rPr>
  </w:style>
  <w:style w:type="paragraph" w:styleId="BodyText3">
    <w:name w:val="Body Text 3"/>
    <w:basedOn w:val="Normal"/>
    <w:link w:val="BodyText3Char"/>
    <w:semiHidden/>
    <w:rsid w:val="006660CE"/>
    <w:pPr>
      <w:spacing w:after="0" w:line="240" w:lineRule="auto"/>
    </w:pPr>
    <w:rPr>
      <w:rFonts w:ascii="Times New Roman" w:eastAsia="Times New Roman" w:hAnsi="Times New Roman" w:cs="Times New Roman"/>
      <w:bCs/>
      <w:sz w:val="25"/>
      <w:szCs w:val="24"/>
    </w:rPr>
  </w:style>
  <w:style w:type="character" w:customStyle="1" w:styleId="BodyText3Char">
    <w:name w:val="Body Text 3 Char"/>
    <w:basedOn w:val="DefaultParagraphFont"/>
    <w:link w:val="BodyText3"/>
    <w:semiHidden/>
    <w:rsid w:val="006660CE"/>
    <w:rPr>
      <w:rFonts w:ascii="Times New Roman" w:eastAsia="Times New Roman" w:hAnsi="Times New Roman" w:cs="Times New Roman"/>
      <w:bCs/>
      <w:sz w:val="25"/>
      <w:szCs w:val="24"/>
    </w:rPr>
  </w:style>
  <w:style w:type="paragraph" w:styleId="ListParagraph">
    <w:name w:val="List Paragraph"/>
    <w:basedOn w:val="Normal"/>
    <w:uiPriority w:val="34"/>
    <w:qFormat/>
    <w:rsid w:val="00577AB8"/>
    <w:pPr>
      <w:ind w:left="720"/>
      <w:contextualSpacing/>
    </w:pPr>
  </w:style>
  <w:style w:type="paragraph" w:styleId="Header">
    <w:name w:val="header"/>
    <w:basedOn w:val="Normal"/>
    <w:link w:val="HeaderChar"/>
    <w:uiPriority w:val="99"/>
    <w:unhideWhenUsed/>
    <w:rsid w:val="000E0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7C"/>
  </w:style>
  <w:style w:type="paragraph" w:styleId="Footer">
    <w:name w:val="footer"/>
    <w:basedOn w:val="Normal"/>
    <w:link w:val="FooterChar"/>
    <w:uiPriority w:val="99"/>
    <w:unhideWhenUsed/>
    <w:rsid w:val="000E0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C7C"/>
  </w:style>
  <w:style w:type="paragraph" w:styleId="BalloonText">
    <w:name w:val="Balloon Text"/>
    <w:basedOn w:val="Normal"/>
    <w:link w:val="BalloonTextChar"/>
    <w:uiPriority w:val="99"/>
    <w:semiHidden/>
    <w:unhideWhenUsed/>
    <w:rsid w:val="00D1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Bridgewater-Raynhan RSD, BSEA# 13-03762</vt:lpstr>
    </vt:vector>
  </TitlesOfParts>
  <Company/>
  <LinksUpToDate>false</LinksUpToDate>
  <CharactersWithSpaces>5041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Bridgewater-Raynhan RSD, BSEA# 13-03762</category>
  <dcterms:created xsi:type="dcterms:W3CDTF">2013-03-05T15:49:00Z</dcterms:created>
  <dc:creator>Figueroa, Rosa (ALA)</dc:creator>
  <keywords>Bridgewater-Raynhan RSD, BSEA# 13-03762</keywords>
  <lastModifiedBy>Erlichman, Reece (ALA)</lastModifiedBy>
  <lastPrinted>2013-03-01T21:13:00Z</lastPrinted>
  <dcterms:modified xsi:type="dcterms:W3CDTF">2013-03-05T15:50:00Z</dcterms:modified>
  <revision>3</revision>
  <dc:subject>Bridgewater-Raynhan RSD, BSEA# 13-03762</dc:subject>
  <dc:title>Bridgewater-Raynhan RSD, BSEA# 13-03762</dc:title>
</coreProperties>
</file>