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76" w:rsidRPr="00FE5929" w:rsidRDefault="00E93876" w:rsidP="00E93876">
      <w:pPr>
        <w:spacing w:after="60" w:line="360" w:lineRule="auto"/>
        <w:jc w:val="center"/>
        <w:outlineLvl w:val="1"/>
        <w:rPr>
          <w:rFonts w:ascii="Arial" w:eastAsia="Times New Roman" w:hAnsi="Arial" w:cs="Arial"/>
          <w:b/>
          <w:bCs/>
          <w:i/>
          <w:iCs/>
        </w:rPr>
      </w:pPr>
      <w:bookmarkStart w:id="0" w:name="_GoBack"/>
      <w:bookmarkEnd w:id="0"/>
      <w:r w:rsidRPr="00FE5929">
        <w:rPr>
          <w:rFonts w:ascii="Arial" w:eastAsia="Times New Roman" w:hAnsi="Arial" w:cs="Arial"/>
          <w:b/>
          <w:bCs/>
          <w:i/>
          <w:iCs/>
          <w:sz w:val="28"/>
          <w:szCs w:val="28"/>
        </w:rPr>
        <w:t>THE COMMONWEALTH OF MASSACHUSETTS</w:t>
      </w:r>
    </w:p>
    <w:p w:rsidR="00E93876" w:rsidRPr="00FE5929" w:rsidRDefault="00E93876" w:rsidP="00E93876">
      <w:pPr>
        <w:spacing w:before="240" w:after="60" w:line="360" w:lineRule="auto"/>
        <w:jc w:val="center"/>
        <w:outlineLvl w:val="1"/>
        <w:rPr>
          <w:rFonts w:ascii="Arial" w:eastAsia="Times New Roman" w:hAnsi="Arial" w:cs="Arial"/>
          <w:b/>
          <w:bCs/>
          <w:i/>
          <w:iCs/>
        </w:rPr>
      </w:pPr>
      <w:r>
        <w:rPr>
          <w:rFonts w:ascii="Arial" w:eastAsia="Times New Roman" w:hAnsi="Arial" w:cs="Arial"/>
          <w:b/>
          <w:bCs/>
          <w:i/>
          <w:iCs/>
        </w:rPr>
        <w:t xml:space="preserve">  </w:t>
      </w:r>
      <w:r w:rsidRPr="00FE5929">
        <w:rPr>
          <w:rFonts w:ascii="Arial" w:eastAsia="Times New Roman" w:hAnsi="Arial" w:cs="Arial"/>
          <w:b/>
          <w:bCs/>
          <w:i/>
          <w:iCs/>
        </w:rPr>
        <w:t>DIVISION OF ADMINISTRATIVE LAW APPEALS</w:t>
      </w:r>
    </w:p>
    <w:p w:rsidR="00E93876" w:rsidRDefault="00E93876" w:rsidP="00E93876">
      <w:pPr>
        <w:spacing w:before="240" w:after="60" w:line="360" w:lineRule="auto"/>
        <w:jc w:val="center"/>
        <w:outlineLvl w:val="1"/>
        <w:rPr>
          <w:rFonts w:ascii="Arial" w:eastAsia="Times New Roman" w:hAnsi="Arial" w:cs="Arial"/>
          <w:b/>
          <w:bCs/>
          <w:i/>
          <w:iCs/>
          <w:sz w:val="28"/>
          <w:szCs w:val="28"/>
        </w:rPr>
      </w:pPr>
      <w:r>
        <w:rPr>
          <w:rFonts w:ascii="Arial" w:eastAsia="Times New Roman" w:hAnsi="Arial" w:cs="Arial"/>
          <w:b/>
          <w:bCs/>
          <w:i/>
          <w:iCs/>
          <w:sz w:val="28"/>
          <w:szCs w:val="28"/>
        </w:rPr>
        <w:t xml:space="preserve">  </w:t>
      </w:r>
      <w:r w:rsidRPr="00FE5929">
        <w:rPr>
          <w:rFonts w:ascii="Arial" w:eastAsia="Times New Roman" w:hAnsi="Arial" w:cs="Arial"/>
          <w:b/>
          <w:bCs/>
          <w:i/>
          <w:iCs/>
          <w:sz w:val="28"/>
          <w:szCs w:val="28"/>
        </w:rPr>
        <w:t>Bureau of Special Education Appeals</w:t>
      </w:r>
    </w:p>
    <w:p w:rsidR="00E93876" w:rsidRDefault="00E93876" w:rsidP="00E93876">
      <w:pPr>
        <w:spacing w:before="240" w:after="60" w:line="360" w:lineRule="auto"/>
        <w:outlineLvl w:val="1"/>
        <w:rPr>
          <w:rFonts w:ascii="Arial" w:eastAsia="Times New Roman" w:hAnsi="Arial" w:cs="Arial"/>
          <w:bCs/>
          <w:iCs/>
        </w:rPr>
      </w:pPr>
      <w:r>
        <w:rPr>
          <w:rFonts w:ascii="Arial" w:eastAsia="Times New Roman" w:hAnsi="Arial" w:cs="Arial"/>
          <w:bCs/>
          <w:iCs/>
        </w:rPr>
        <w:t>____________________________</w:t>
      </w:r>
    </w:p>
    <w:p w:rsidR="00E93876" w:rsidRPr="00E93876" w:rsidRDefault="00E93876" w:rsidP="00E93876">
      <w:pPr>
        <w:spacing w:before="240" w:after="60" w:line="360" w:lineRule="auto"/>
        <w:outlineLvl w:val="1"/>
        <w:rPr>
          <w:rFonts w:ascii="Times New Roman" w:eastAsia="Times New Roman" w:hAnsi="Times New Roman"/>
          <w:bCs/>
          <w:iCs/>
        </w:rPr>
      </w:pPr>
      <w:r w:rsidRPr="00E93876">
        <w:rPr>
          <w:rFonts w:ascii="Times New Roman" w:hAnsi="Times New Roman"/>
        </w:rPr>
        <w:t>In RE:  Clyde</w:t>
      </w:r>
      <w:r w:rsidRPr="00E93876">
        <w:rPr>
          <w:rStyle w:val="FootnoteReference"/>
          <w:rFonts w:ascii="Times New Roman" w:hAnsi="Times New Roman"/>
        </w:rPr>
        <w:footnoteReference w:id="1"/>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p>
    <w:p w:rsidR="00E93876" w:rsidRPr="00E93876" w:rsidRDefault="00E93876" w:rsidP="00E93876">
      <w:pPr>
        <w:spacing w:before="240" w:after="60" w:line="360" w:lineRule="auto"/>
        <w:outlineLvl w:val="1"/>
        <w:rPr>
          <w:rFonts w:ascii="Times New Roman" w:eastAsia="Times New Roman" w:hAnsi="Times New Roman"/>
          <w:bCs/>
          <w:iCs/>
        </w:rPr>
      </w:pPr>
      <w:r w:rsidRPr="00E93876">
        <w:rPr>
          <w:rFonts w:ascii="Times New Roman" w:eastAsia="Times New Roman" w:hAnsi="Times New Roman"/>
          <w:bCs/>
          <w:iCs/>
        </w:rPr>
        <w:t>&amp;</w:t>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r>
      <w:r w:rsidRPr="00E93876">
        <w:rPr>
          <w:rFonts w:ascii="Times New Roman" w:eastAsia="Times New Roman" w:hAnsi="Times New Roman"/>
          <w:bCs/>
          <w:iCs/>
        </w:rPr>
        <w:tab/>
        <w:t>BSEA #1304032</w:t>
      </w:r>
    </w:p>
    <w:p w:rsidR="00E93876" w:rsidRPr="00E93876" w:rsidRDefault="00E93876" w:rsidP="00E93876">
      <w:pPr>
        <w:spacing w:before="240" w:after="60" w:line="360" w:lineRule="auto"/>
        <w:outlineLvl w:val="1"/>
        <w:rPr>
          <w:rFonts w:ascii="Times New Roman" w:eastAsia="Times New Roman" w:hAnsi="Times New Roman"/>
          <w:bCs/>
          <w:iCs/>
        </w:rPr>
      </w:pPr>
      <w:r w:rsidRPr="00E93876">
        <w:rPr>
          <w:rFonts w:ascii="Times New Roman" w:eastAsia="Times New Roman" w:hAnsi="Times New Roman"/>
          <w:bCs/>
          <w:iCs/>
        </w:rPr>
        <w:t>Martha’s Vineyard Public Schools</w:t>
      </w:r>
    </w:p>
    <w:p w:rsidR="00E93876" w:rsidRDefault="00E93876" w:rsidP="00E93876">
      <w:pPr>
        <w:pStyle w:val="NoSpacing"/>
        <w:spacing w:line="360" w:lineRule="auto"/>
      </w:pPr>
      <w:r>
        <w:t>________________________________</w:t>
      </w:r>
    </w:p>
    <w:p w:rsidR="002D6B0C" w:rsidRPr="00E16B38" w:rsidRDefault="002D6B0C" w:rsidP="002D6B0C">
      <w:pPr>
        <w:rPr>
          <w:rFonts w:ascii="Times New Roman" w:hAnsi="Times New Roman"/>
        </w:rPr>
      </w:pPr>
    </w:p>
    <w:p w:rsidR="002D6B0C" w:rsidRPr="00E16B38" w:rsidRDefault="002D6B0C" w:rsidP="002D6B0C">
      <w:pPr>
        <w:jc w:val="center"/>
        <w:rPr>
          <w:rFonts w:ascii="Times New Roman" w:hAnsi="Times New Roman"/>
          <w:b/>
        </w:rPr>
      </w:pPr>
      <w:r w:rsidRPr="00E16B38">
        <w:rPr>
          <w:rFonts w:ascii="Times New Roman" w:hAnsi="Times New Roman"/>
          <w:b/>
        </w:rPr>
        <w:t>DECISION</w:t>
      </w:r>
    </w:p>
    <w:p w:rsidR="002D6B0C" w:rsidRPr="00E16B38" w:rsidRDefault="002D6B0C" w:rsidP="002D6B0C">
      <w:pPr>
        <w:rPr>
          <w:rFonts w:ascii="Times New Roman" w:hAnsi="Times New Roman"/>
        </w:rPr>
      </w:pPr>
    </w:p>
    <w:p w:rsidR="002D6B0C" w:rsidRPr="00E16B38" w:rsidRDefault="002D6B0C" w:rsidP="002D6B0C">
      <w:pPr>
        <w:rPr>
          <w:rFonts w:ascii="Times New Roman" w:hAnsi="Times New Roman"/>
        </w:rPr>
      </w:pPr>
    </w:p>
    <w:p w:rsidR="002D6B0C" w:rsidRPr="00E16B38" w:rsidRDefault="002D6B0C" w:rsidP="002D6B0C">
      <w:pPr>
        <w:rPr>
          <w:rFonts w:ascii="Times New Roman" w:hAnsi="Times New Roman"/>
        </w:rPr>
      </w:pPr>
      <w:r w:rsidRPr="00E16B38">
        <w:rPr>
          <w:rFonts w:ascii="Times New Roman" w:hAnsi="Times New Roman"/>
        </w:rPr>
        <w:tab/>
        <w:t>This decision is issued pursuant to M.G.L.</w:t>
      </w:r>
      <w:r w:rsidR="00A302F7" w:rsidRPr="00E16B38">
        <w:rPr>
          <w:rFonts w:ascii="Times New Roman" w:hAnsi="Times New Roman"/>
        </w:rPr>
        <w:t xml:space="preserve"> chs.</w:t>
      </w:r>
      <w:r w:rsidRPr="00E16B38">
        <w:rPr>
          <w:rFonts w:ascii="Times New Roman" w:hAnsi="Times New Roman"/>
        </w:rPr>
        <w:t>71</w:t>
      </w:r>
      <w:r w:rsidR="002D7B47" w:rsidRPr="00E16B38">
        <w:rPr>
          <w:rFonts w:ascii="Times New Roman" w:hAnsi="Times New Roman"/>
        </w:rPr>
        <w:t>B</w:t>
      </w:r>
      <w:r w:rsidRPr="00E16B38">
        <w:rPr>
          <w:rFonts w:ascii="Times New Roman" w:hAnsi="Times New Roman"/>
        </w:rPr>
        <w:t xml:space="preserve"> and 30A, 20 U.S.C. §</w:t>
      </w:r>
      <w:r w:rsidR="002D7B47" w:rsidRPr="00E16B38">
        <w:rPr>
          <w:rFonts w:ascii="Times New Roman" w:hAnsi="Times New Roman"/>
        </w:rPr>
        <w:t xml:space="preserve">1400 </w:t>
      </w:r>
      <w:r w:rsidR="002D7B47" w:rsidRPr="00E16B38">
        <w:rPr>
          <w:rFonts w:ascii="Times New Roman" w:hAnsi="Times New Roman"/>
          <w:i/>
        </w:rPr>
        <w:t>et seq</w:t>
      </w:r>
      <w:r w:rsidR="002D7B47" w:rsidRPr="00E16B38">
        <w:rPr>
          <w:rFonts w:ascii="Times New Roman" w:hAnsi="Times New Roman"/>
        </w:rPr>
        <w:t xml:space="preserve">., 29 U.S.C. § 794 </w:t>
      </w:r>
      <w:r w:rsidRPr="00E16B38">
        <w:rPr>
          <w:rFonts w:ascii="Times New Roman" w:hAnsi="Times New Roman"/>
        </w:rPr>
        <w:t xml:space="preserve">and the regulations promulgated under those statutes.  A hearing was held </w:t>
      </w:r>
      <w:r w:rsidR="002D7B47" w:rsidRPr="00E16B38">
        <w:rPr>
          <w:rFonts w:ascii="Times New Roman" w:hAnsi="Times New Roman"/>
        </w:rPr>
        <w:t>in the above-entitled matter on</w:t>
      </w:r>
      <w:r w:rsidRPr="00E16B38">
        <w:rPr>
          <w:rFonts w:ascii="Times New Roman" w:hAnsi="Times New Roman"/>
        </w:rPr>
        <w:t xml:space="preserve"> May 30</w:t>
      </w:r>
      <w:r w:rsidR="002D7B47" w:rsidRPr="00E16B38">
        <w:rPr>
          <w:rFonts w:ascii="Times New Roman" w:hAnsi="Times New Roman"/>
        </w:rPr>
        <w:t>, 2013</w:t>
      </w:r>
      <w:r w:rsidRPr="00E16B38">
        <w:rPr>
          <w:rFonts w:ascii="Times New Roman" w:hAnsi="Times New Roman"/>
        </w:rPr>
        <w:t xml:space="preserve"> at the </w:t>
      </w:r>
      <w:r w:rsidR="002D7B47" w:rsidRPr="00E16B38">
        <w:rPr>
          <w:rFonts w:ascii="Times New Roman" w:hAnsi="Times New Roman"/>
        </w:rPr>
        <w:t xml:space="preserve">Offices of Murphy, </w:t>
      </w:r>
      <w:proofErr w:type="spellStart"/>
      <w:r w:rsidR="002D7B47" w:rsidRPr="00E16B38">
        <w:rPr>
          <w:rFonts w:ascii="Times New Roman" w:hAnsi="Times New Roman"/>
        </w:rPr>
        <w:t>Lame</w:t>
      </w:r>
      <w:r w:rsidR="00A302F7" w:rsidRPr="00E16B38">
        <w:rPr>
          <w:rFonts w:ascii="Times New Roman" w:hAnsi="Times New Roman"/>
        </w:rPr>
        <w:t>re</w:t>
      </w:r>
      <w:proofErr w:type="spellEnd"/>
      <w:r w:rsidR="00A302F7" w:rsidRPr="00E16B38">
        <w:rPr>
          <w:rFonts w:ascii="Times New Roman" w:hAnsi="Times New Roman"/>
        </w:rPr>
        <w:t xml:space="preserve"> and Murphy in Braintree, MA</w:t>
      </w:r>
      <w:r w:rsidR="00B97916" w:rsidRPr="00E16B38">
        <w:rPr>
          <w:rFonts w:ascii="Times New Roman" w:hAnsi="Times New Roman"/>
        </w:rPr>
        <w:t>.</w:t>
      </w:r>
      <w:r w:rsidR="002D7B47" w:rsidRPr="00E16B38">
        <w:rPr>
          <w:rFonts w:ascii="Times New Roman" w:hAnsi="Times New Roman"/>
        </w:rPr>
        <w:t xml:space="preserve"> </w:t>
      </w:r>
      <w:r w:rsidRPr="00E16B38">
        <w:rPr>
          <w:rFonts w:ascii="Times New Roman" w:hAnsi="Times New Roman"/>
        </w:rPr>
        <w:t xml:space="preserve">  Those present for all or parts of the proceedings were:</w:t>
      </w:r>
    </w:p>
    <w:p w:rsidR="002D6B0C" w:rsidRPr="00E16B38" w:rsidRDefault="002D6B0C" w:rsidP="002D6B0C">
      <w:pPr>
        <w:rPr>
          <w:rFonts w:ascii="Times New Roman" w:hAnsi="Times New Roman"/>
        </w:rPr>
      </w:pPr>
    </w:p>
    <w:p w:rsidR="002D6B0C" w:rsidRPr="00E16B38" w:rsidRDefault="002D7B47" w:rsidP="002D6B0C">
      <w:pPr>
        <w:rPr>
          <w:rFonts w:ascii="Times New Roman" w:hAnsi="Times New Roman"/>
        </w:rPr>
      </w:pPr>
      <w:r w:rsidRPr="00E16B38">
        <w:rPr>
          <w:rFonts w:ascii="Times New Roman" w:hAnsi="Times New Roman"/>
        </w:rPr>
        <w:t>Ms. C</w:t>
      </w:r>
      <w:r w:rsidR="004F64A2">
        <w:rPr>
          <w:rFonts w:ascii="Times New Roman" w:hAnsi="Times New Roman"/>
        </w:rPr>
        <w:t>.</w:t>
      </w:r>
      <w:r w:rsidR="004F64A2">
        <w:rPr>
          <w:rFonts w:ascii="Times New Roman" w:hAnsi="Times New Roman"/>
        </w:rPr>
        <w:tab/>
      </w:r>
      <w:r w:rsidR="007E0793" w:rsidRPr="00E16B38">
        <w:rPr>
          <w:rFonts w:ascii="Times New Roman" w:hAnsi="Times New Roman"/>
        </w:rPr>
        <w:tab/>
      </w:r>
      <w:r w:rsidR="007E0793" w:rsidRPr="00E16B38">
        <w:rPr>
          <w:rFonts w:ascii="Times New Roman" w:hAnsi="Times New Roman"/>
        </w:rPr>
        <w:tab/>
      </w:r>
      <w:r w:rsidRPr="00E16B38">
        <w:rPr>
          <w:rFonts w:ascii="Times New Roman" w:hAnsi="Times New Roman"/>
        </w:rPr>
        <w:tab/>
      </w:r>
      <w:r w:rsidR="002D6B0C" w:rsidRPr="00E16B38">
        <w:rPr>
          <w:rFonts w:ascii="Times New Roman" w:hAnsi="Times New Roman"/>
        </w:rPr>
        <w:tab/>
        <w:t>Parent</w:t>
      </w:r>
    </w:p>
    <w:p w:rsidR="002D7B47" w:rsidRPr="00E16B38" w:rsidRDefault="002D7B47" w:rsidP="002D7B47">
      <w:pPr>
        <w:ind w:left="3600" w:hanging="3600"/>
        <w:rPr>
          <w:rFonts w:ascii="Times New Roman" w:hAnsi="Times New Roman"/>
        </w:rPr>
      </w:pPr>
      <w:r w:rsidRPr="00E16B38">
        <w:rPr>
          <w:rFonts w:ascii="Times New Roman" w:hAnsi="Times New Roman"/>
        </w:rPr>
        <w:t xml:space="preserve">Will </w:t>
      </w:r>
      <w:proofErr w:type="spellStart"/>
      <w:r w:rsidRPr="00E16B38">
        <w:rPr>
          <w:rFonts w:ascii="Times New Roman" w:hAnsi="Times New Roman"/>
        </w:rPr>
        <w:t>Verbits</w:t>
      </w:r>
      <w:proofErr w:type="spellEnd"/>
      <w:r w:rsidR="00A302F7" w:rsidRPr="00E16B38">
        <w:rPr>
          <w:rFonts w:ascii="Times New Roman" w:hAnsi="Times New Roman"/>
        </w:rPr>
        <w:tab/>
        <w:t xml:space="preserve">Director of Special Education, </w:t>
      </w:r>
      <w:r w:rsidRPr="00E16B38">
        <w:rPr>
          <w:rFonts w:ascii="Times New Roman" w:hAnsi="Times New Roman"/>
        </w:rPr>
        <w:t>Martha’s Vineyard Public Schools</w:t>
      </w:r>
      <w:r w:rsidR="00A302F7" w:rsidRPr="00E16B38">
        <w:rPr>
          <w:rFonts w:ascii="Times New Roman" w:hAnsi="Times New Roman"/>
        </w:rPr>
        <w:t xml:space="preserve"> </w:t>
      </w:r>
    </w:p>
    <w:p w:rsidR="002D7B47" w:rsidRPr="00E16B38" w:rsidRDefault="002D7B47" w:rsidP="002D7B47">
      <w:pPr>
        <w:ind w:left="3600" w:hanging="3600"/>
        <w:rPr>
          <w:rFonts w:ascii="Times New Roman" w:hAnsi="Times New Roman"/>
        </w:rPr>
      </w:pPr>
      <w:r w:rsidRPr="00E16B38">
        <w:rPr>
          <w:rFonts w:ascii="Times New Roman" w:hAnsi="Times New Roman"/>
        </w:rPr>
        <w:t>Donna Lowell-Bettencourt</w:t>
      </w:r>
      <w:r w:rsidRPr="00E16B38">
        <w:rPr>
          <w:rFonts w:ascii="Times New Roman" w:hAnsi="Times New Roman"/>
        </w:rPr>
        <w:tab/>
        <w:t>Director o</w:t>
      </w:r>
      <w:r w:rsidR="00A302F7" w:rsidRPr="00E16B38">
        <w:rPr>
          <w:rFonts w:ascii="Times New Roman" w:hAnsi="Times New Roman"/>
        </w:rPr>
        <w:t>f Student Support Services, Martha’s Vineyard Public Schools</w:t>
      </w:r>
    </w:p>
    <w:p w:rsidR="002D7B47" w:rsidRPr="00E16B38" w:rsidRDefault="002D7B47" w:rsidP="002D7B47">
      <w:pPr>
        <w:ind w:left="3600" w:hanging="3600"/>
        <w:rPr>
          <w:rFonts w:ascii="Times New Roman" w:hAnsi="Times New Roman"/>
        </w:rPr>
      </w:pPr>
      <w:r w:rsidRPr="00E16B38">
        <w:rPr>
          <w:rFonts w:ascii="Times New Roman" w:hAnsi="Times New Roman"/>
        </w:rPr>
        <w:t>M</w:t>
      </w:r>
      <w:r w:rsidR="00A302F7" w:rsidRPr="00E16B38">
        <w:rPr>
          <w:rFonts w:ascii="Times New Roman" w:hAnsi="Times New Roman"/>
        </w:rPr>
        <w:t>ary Joan Reedy</w:t>
      </w:r>
      <w:r w:rsidR="00A302F7" w:rsidRPr="00E16B38">
        <w:rPr>
          <w:rFonts w:ascii="Times New Roman" w:hAnsi="Times New Roman"/>
        </w:rPr>
        <w:tab/>
        <w:t>Attorney for Martha’s Vineyard Public Schools</w:t>
      </w:r>
    </w:p>
    <w:p w:rsidR="002D7B47" w:rsidRPr="00E16B38" w:rsidRDefault="002D7B47" w:rsidP="002D7B47">
      <w:pPr>
        <w:ind w:left="3600" w:hanging="3600"/>
        <w:rPr>
          <w:rFonts w:ascii="Times New Roman" w:hAnsi="Times New Roman"/>
        </w:rPr>
      </w:pPr>
      <w:r w:rsidRPr="00E16B38">
        <w:rPr>
          <w:rFonts w:ascii="Times New Roman" w:hAnsi="Times New Roman"/>
        </w:rPr>
        <w:t>Jane Williamson</w:t>
      </w:r>
      <w:r w:rsidRPr="00E16B38">
        <w:rPr>
          <w:rFonts w:ascii="Times New Roman" w:hAnsi="Times New Roman"/>
        </w:rPr>
        <w:tab/>
        <w:t>Court Reporter</w:t>
      </w:r>
    </w:p>
    <w:p w:rsidR="007E0793" w:rsidRPr="00E16B38" w:rsidRDefault="007E0793" w:rsidP="002D6B0C">
      <w:pPr>
        <w:rPr>
          <w:rFonts w:ascii="Times New Roman" w:hAnsi="Times New Roman"/>
        </w:rPr>
      </w:pPr>
      <w:r w:rsidRPr="00E16B38">
        <w:rPr>
          <w:rFonts w:ascii="Times New Roman" w:hAnsi="Times New Roman"/>
        </w:rPr>
        <w:t>Lindsay Byrne</w:t>
      </w:r>
      <w:r w:rsidRPr="00E16B38">
        <w:rPr>
          <w:rFonts w:ascii="Times New Roman" w:hAnsi="Times New Roman"/>
        </w:rPr>
        <w:tab/>
      </w:r>
      <w:r w:rsidRPr="00E16B38">
        <w:rPr>
          <w:rFonts w:ascii="Times New Roman" w:hAnsi="Times New Roman"/>
        </w:rPr>
        <w:tab/>
      </w:r>
      <w:r w:rsidRPr="00E16B38">
        <w:rPr>
          <w:rFonts w:ascii="Times New Roman" w:hAnsi="Times New Roman"/>
        </w:rPr>
        <w:tab/>
      </w:r>
      <w:r w:rsidRPr="00E16B38">
        <w:rPr>
          <w:rFonts w:ascii="Times New Roman" w:hAnsi="Times New Roman"/>
        </w:rPr>
        <w:tab/>
        <w:t>Hearing Officer, BSEA</w:t>
      </w:r>
    </w:p>
    <w:p w:rsidR="0041250C" w:rsidRPr="00E16B38" w:rsidRDefault="0041250C" w:rsidP="002D6B0C">
      <w:pPr>
        <w:rPr>
          <w:rFonts w:ascii="Times New Roman" w:hAnsi="Times New Roman"/>
        </w:rPr>
      </w:pPr>
    </w:p>
    <w:p w:rsidR="007E0793" w:rsidRPr="00E16B38" w:rsidRDefault="007E0793" w:rsidP="002D6B0C">
      <w:pPr>
        <w:rPr>
          <w:rFonts w:ascii="Times New Roman" w:hAnsi="Times New Roman"/>
        </w:rPr>
      </w:pPr>
    </w:p>
    <w:p w:rsidR="002D7B47" w:rsidRPr="00E16B38" w:rsidRDefault="007E0793" w:rsidP="002D6B0C">
      <w:pPr>
        <w:rPr>
          <w:rFonts w:ascii="Times New Roman" w:hAnsi="Times New Roman"/>
        </w:rPr>
      </w:pPr>
      <w:r w:rsidRPr="00E16B38">
        <w:rPr>
          <w:rFonts w:ascii="Times New Roman" w:hAnsi="Times New Roman"/>
        </w:rPr>
        <w:tab/>
        <w:t xml:space="preserve">The official record of the Hearing consists of </w:t>
      </w:r>
      <w:r w:rsidR="002D7B47" w:rsidRPr="00E16B38">
        <w:rPr>
          <w:rFonts w:ascii="Times New Roman" w:hAnsi="Times New Roman"/>
        </w:rPr>
        <w:t>exhibits</w:t>
      </w:r>
      <w:r w:rsidRPr="00E16B38">
        <w:rPr>
          <w:rFonts w:ascii="Times New Roman" w:hAnsi="Times New Roman"/>
        </w:rPr>
        <w:t xml:space="preserve"> submitted by the Parent marked P-1 </w:t>
      </w:r>
      <w:r w:rsidR="002D7B47" w:rsidRPr="00E16B38">
        <w:rPr>
          <w:rFonts w:ascii="Times New Roman" w:hAnsi="Times New Roman"/>
        </w:rPr>
        <w:t>and P-2; exhibits submitted by the School marked S-1 through S-16; and approximately six hours of recorded oral testimony and</w:t>
      </w:r>
      <w:r w:rsidR="00A302F7" w:rsidRPr="00E16B38">
        <w:rPr>
          <w:rFonts w:ascii="Times New Roman" w:hAnsi="Times New Roman"/>
        </w:rPr>
        <w:t xml:space="preserve"> argument.  The Parent appeared</w:t>
      </w:r>
      <w:r w:rsidR="002D7B47" w:rsidRPr="00E16B38">
        <w:rPr>
          <w:rFonts w:ascii="Times New Roman" w:hAnsi="Times New Roman"/>
        </w:rPr>
        <w:t xml:space="preserve"> </w:t>
      </w:r>
      <w:r w:rsidR="004604A8" w:rsidRPr="00E16B38">
        <w:rPr>
          <w:rFonts w:ascii="Times New Roman" w:hAnsi="Times New Roman"/>
          <w:u w:val="single"/>
        </w:rPr>
        <w:t>pro</w:t>
      </w:r>
      <w:r w:rsidR="004604A8" w:rsidRPr="00E16B38">
        <w:rPr>
          <w:rFonts w:ascii="Times New Roman" w:hAnsi="Times New Roman"/>
        </w:rPr>
        <w:t xml:space="preserve"> </w:t>
      </w:r>
      <w:r w:rsidR="004604A8" w:rsidRPr="00E16B38">
        <w:rPr>
          <w:rFonts w:ascii="Times New Roman" w:hAnsi="Times New Roman"/>
          <w:u w:val="single"/>
        </w:rPr>
        <w:t>se</w:t>
      </w:r>
      <w:r w:rsidR="004604A8" w:rsidRPr="00E16B38">
        <w:rPr>
          <w:rFonts w:ascii="Times New Roman" w:hAnsi="Times New Roman"/>
        </w:rPr>
        <w:t>.  T</w:t>
      </w:r>
      <w:r w:rsidR="00A302F7" w:rsidRPr="00E16B38">
        <w:rPr>
          <w:rFonts w:ascii="Times New Roman" w:hAnsi="Times New Roman"/>
        </w:rPr>
        <w:t>he School was represented by a counsel</w:t>
      </w:r>
      <w:r w:rsidR="00B97916" w:rsidRPr="00E16B38">
        <w:rPr>
          <w:rFonts w:ascii="Times New Roman" w:hAnsi="Times New Roman"/>
        </w:rPr>
        <w:t xml:space="preserve">.   Written closing arguments were due on June 21, 2013. The School submitted a timely closing argument.  The Hearing Officer </w:t>
      </w:r>
      <w:proofErr w:type="spellStart"/>
      <w:proofErr w:type="gramStart"/>
      <w:r w:rsidR="00B97916" w:rsidRPr="00E16B38">
        <w:rPr>
          <w:rFonts w:ascii="Times New Roman" w:hAnsi="Times New Roman"/>
          <w:u w:val="single"/>
        </w:rPr>
        <w:t>sua</w:t>
      </w:r>
      <w:proofErr w:type="spellEnd"/>
      <w:proofErr w:type="gramEnd"/>
      <w:r w:rsidR="00B97916" w:rsidRPr="00E16B38">
        <w:rPr>
          <w:rFonts w:ascii="Times New Roman" w:hAnsi="Times New Roman"/>
        </w:rPr>
        <w:t xml:space="preserve"> </w:t>
      </w:r>
      <w:proofErr w:type="spellStart"/>
      <w:r w:rsidR="00B97916" w:rsidRPr="00E16B38">
        <w:rPr>
          <w:rFonts w:ascii="Times New Roman" w:hAnsi="Times New Roman"/>
          <w:u w:val="single"/>
        </w:rPr>
        <w:t>sponte</w:t>
      </w:r>
      <w:proofErr w:type="spellEnd"/>
      <w:r w:rsidR="00B97916" w:rsidRPr="00E16B38">
        <w:rPr>
          <w:rFonts w:ascii="Times New Roman" w:hAnsi="Times New Roman"/>
        </w:rPr>
        <w:t xml:space="preserve"> extended the deadline</w:t>
      </w:r>
      <w:r w:rsidR="0041250C" w:rsidRPr="00E16B38">
        <w:rPr>
          <w:rFonts w:ascii="Times New Roman" w:hAnsi="Times New Roman"/>
        </w:rPr>
        <w:t xml:space="preserve"> for receipt of the Parent’s closing argument to July 1, 2013.  Nothing was submitted by the Parent</w:t>
      </w:r>
      <w:r w:rsidR="004604A8" w:rsidRPr="00E16B38">
        <w:rPr>
          <w:rFonts w:ascii="Times New Roman" w:hAnsi="Times New Roman"/>
        </w:rPr>
        <w:t xml:space="preserve"> and the record closed on that date.  </w:t>
      </w:r>
    </w:p>
    <w:p w:rsidR="000C1ECB" w:rsidRPr="00E16B38" w:rsidRDefault="000C1ECB" w:rsidP="002D6B0C">
      <w:pPr>
        <w:rPr>
          <w:rFonts w:ascii="Times New Roman" w:hAnsi="Times New Roman"/>
        </w:rPr>
      </w:pPr>
    </w:p>
    <w:p w:rsidR="00705241" w:rsidRPr="00E16B38" w:rsidRDefault="00705241" w:rsidP="002D6B0C">
      <w:pPr>
        <w:rPr>
          <w:rFonts w:ascii="Times New Roman" w:hAnsi="Times New Roman"/>
          <w:u w:val="single"/>
        </w:rPr>
      </w:pPr>
      <w:r w:rsidRPr="00E16B38">
        <w:rPr>
          <w:rFonts w:ascii="Times New Roman" w:hAnsi="Times New Roman"/>
          <w:u w:val="single"/>
        </w:rPr>
        <w:t>ISSUES</w:t>
      </w:r>
    </w:p>
    <w:p w:rsidR="000C1ECB" w:rsidRPr="00E16B38" w:rsidRDefault="000C1ECB" w:rsidP="002D6B0C">
      <w:pPr>
        <w:rPr>
          <w:rFonts w:ascii="Times New Roman" w:hAnsi="Times New Roman"/>
          <w:u w:val="single"/>
        </w:rPr>
      </w:pPr>
    </w:p>
    <w:p w:rsidR="000C1ECB" w:rsidRPr="00E16B38" w:rsidRDefault="000C1ECB" w:rsidP="002D6B0C">
      <w:pPr>
        <w:rPr>
          <w:rFonts w:ascii="Times New Roman" w:hAnsi="Times New Roman"/>
        </w:rPr>
      </w:pPr>
      <w:r w:rsidRPr="00E16B38">
        <w:rPr>
          <w:rFonts w:ascii="Times New Roman" w:hAnsi="Times New Roman"/>
        </w:rPr>
        <w:tab/>
        <w:t>As set out in the Prehearing Schedu</w:t>
      </w:r>
      <w:r w:rsidR="0041250C" w:rsidRPr="00E16B38">
        <w:rPr>
          <w:rFonts w:ascii="Times New Roman" w:hAnsi="Times New Roman"/>
        </w:rPr>
        <w:t>ling Order dated April 26, 2013</w:t>
      </w:r>
      <w:r w:rsidRPr="00E16B38">
        <w:rPr>
          <w:rFonts w:ascii="Times New Roman" w:hAnsi="Times New Roman"/>
        </w:rPr>
        <w:t xml:space="preserve"> the issue presented for resolution by the Parent is:</w:t>
      </w:r>
    </w:p>
    <w:p w:rsidR="0041250C" w:rsidRPr="00E16B38" w:rsidRDefault="0041250C" w:rsidP="002D6B0C">
      <w:pPr>
        <w:rPr>
          <w:rFonts w:ascii="Times New Roman" w:hAnsi="Times New Roman"/>
        </w:rPr>
      </w:pPr>
    </w:p>
    <w:p w:rsidR="000C1ECB" w:rsidRPr="00E16B38" w:rsidRDefault="000C1ECB" w:rsidP="002D6B0C">
      <w:pPr>
        <w:rPr>
          <w:rFonts w:ascii="Times New Roman" w:hAnsi="Times New Roman"/>
        </w:rPr>
      </w:pPr>
      <w:r w:rsidRPr="00E16B38">
        <w:rPr>
          <w:rFonts w:ascii="Times New Roman" w:hAnsi="Times New Roman"/>
        </w:rPr>
        <w:tab/>
        <w:t>Whether the Martha’s Vineyard Public Schools appropriately implemented the Student’s last accepted IEP by timely offering a comparable residential educational program?</w:t>
      </w:r>
    </w:p>
    <w:p w:rsidR="004F64A2" w:rsidRDefault="004F64A2" w:rsidP="00BD5349">
      <w:pPr>
        <w:rPr>
          <w:rFonts w:ascii="Times New Roman" w:hAnsi="Times New Roman"/>
          <w:u w:val="single"/>
        </w:rPr>
      </w:pPr>
    </w:p>
    <w:p w:rsidR="00E93876" w:rsidRDefault="00E93876" w:rsidP="00BD5349">
      <w:pPr>
        <w:rPr>
          <w:rFonts w:ascii="Times New Roman" w:hAnsi="Times New Roman"/>
          <w:u w:val="single"/>
        </w:rPr>
      </w:pPr>
    </w:p>
    <w:p w:rsidR="000C1ECB" w:rsidRPr="00E16B38" w:rsidRDefault="00BD5349" w:rsidP="00BD5349">
      <w:pPr>
        <w:rPr>
          <w:rFonts w:ascii="Times New Roman" w:hAnsi="Times New Roman"/>
          <w:u w:val="single"/>
        </w:rPr>
      </w:pPr>
      <w:r w:rsidRPr="00E16B38">
        <w:rPr>
          <w:rFonts w:ascii="Times New Roman" w:hAnsi="Times New Roman"/>
          <w:u w:val="single"/>
        </w:rPr>
        <w:t>SUMMARY</w:t>
      </w:r>
      <w:r w:rsidR="000C1ECB" w:rsidRPr="00E16B38">
        <w:rPr>
          <w:rFonts w:ascii="Times New Roman" w:hAnsi="Times New Roman"/>
          <w:u w:val="single"/>
        </w:rPr>
        <w:t xml:space="preserve"> OF THE EVIDENCE</w:t>
      </w:r>
    </w:p>
    <w:p w:rsidR="0041250C" w:rsidRPr="00E16B38" w:rsidRDefault="0041250C" w:rsidP="00BD5349">
      <w:pPr>
        <w:rPr>
          <w:rFonts w:ascii="Times New Roman" w:hAnsi="Times New Roman"/>
          <w:u w:val="single"/>
        </w:rPr>
      </w:pPr>
    </w:p>
    <w:p w:rsidR="000C1ECB" w:rsidRPr="00E16B38" w:rsidRDefault="000C1ECB" w:rsidP="00BD5349">
      <w:pPr>
        <w:rPr>
          <w:rFonts w:ascii="Times New Roman" w:hAnsi="Times New Roman"/>
        </w:rPr>
      </w:pPr>
      <w:r w:rsidRPr="00E16B38">
        <w:rPr>
          <w:rFonts w:ascii="Times New Roman" w:hAnsi="Times New Roman"/>
        </w:rPr>
        <w:tab/>
        <w:t>The following operative facts are not in dispute:</w:t>
      </w:r>
    </w:p>
    <w:p w:rsidR="000C1ECB" w:rsidRPr="00E16B38" w:rsidRDefault="000C1ECB" w:rsidP="00BD5349">
      <w:pPr>
        <w:rPr>
          <w:rFonts w:ascii="Times New Roman" w:hAnsi="Times New Roman"/>
        </w:rPr>
      </w:pPr>
    </w:p>
    <w:p w:rsidR="000C1ECB" w:rsidRPr="00E16B38" w:rsidRDefault="00A302F7" w:rsidP="000C1ECB">
      <w:pPr>
        <w:pStyle w:val="ListParagraph"/>
        <w:numPr>
          <w:ilvl w:val="0"/>
          <w:numId w:val="3"/>
        </w:numPr>
        <w:rPr>
          <w:rFonts w:ascii="Times New Roman" w:hAnsi="Times New Roman"/>
        </w:rPr>
      </w:pPr>
      <w:r w:rsidRPr="00E16B38">
        <w:rPr>
          <w:rFonts w:ascii="Times New Roman" w:hAnsi="Times New Roman"/>
        </w:rPr>
        <w:t xml:space="preserve"> The last accepted IEP for</w:t>
      </w:r>
      <w:r w:rsidR="000C1ECB" w:rsidRPr="00E16B38">
        <w:rPr>
          <w:rFonts w:ascii="Times New Roman" w:hAnsi="Times New Roman"/>
        </w:rPr>
        <w:t xml:space="preserve"> purposes of the instant dispute is the one developed by the Dover</w:t>
      </w:r>
      <w:r w:rsidR="00B97916" w:rsidRPr="00E16B38">
        <w:rPr>
          <w:rFonts w:ascii="Times New Roman" w:hAnsi="Times New Roman"/>
        </w:rPr>
        <w:t xml:space="preserve">-Sherborn </w:t>
      </w:r>
      <w:r w:rsidR="0041250C" w:rsidRPr="00E16B38">
        <w:rPr>
          <w:rFonts w:ascii="Times New Roman" w:hAnsi="Times New Roman"/>
        </w:rPr>
        <w:t xml:space="preserve">Public Schools in November </w:t>
      </w:r>
      <w:r w:rsidR="00FB41FA" w:rsidRPr="00E16B38">
        <w:rPr>
          <w:rFonts w:ascii="Times New Roman" w:hAnsi="Times New Roman"/>
        </w:rPr>
        <w:t>201</w:t>
      </w:r>
      <w:r w:rsidR="003865F1">
        <w:rPr>
          <w:rFonts w:ascii="Times New Roman" w:hAnsi="Times New Roman"/>
        </w:rPr>
        <w:t>0</w:t>
      </w:r>
      <w:r w:rsidR="00FB41FA" w:rsidRPr="00E16B38">
        <w:rPr>
          <w:rFonts w:ascii="Times New Roman" w:hAnsi="Times New Roman"/>
        </w:rPr>
        <w:t xml:space="preserve"> which determined that Clyde needed a therapeutic residential education program and identified the appropriate placement as the </w:t>
      </w:r>
      <w:r w:rsidR="00B97916" w:rsidRPr="00E16B38">
        <w:rPr>
          <w:rFonts w:ascii="Times New Roman" w:hAnsi="Times New Roman"/>
        </w:rPr>
        <w:t>Academy at Swift River</w:t>
      </w:r>
      <w:r w:rsidR="00FB41FA" w:rsidRPr="00E16B38">
        <w:rPr>
          <w:rFonts w:ascii="Times New Roman" w:hAnsi="Times New Roman"/>
        </w:rPr>
        <w:t>.  (S-15)</w:t>
      </w:r>
    </w:p>
    <w:p w:rsidR="00FB41FA" w:rsidRPr="00E16B38" w:rsidRDefault="00FB41FA" w:rsidP="00FB41FA">
      <w:pPr>
        <w:rPr>
          <w:rFonts w:ascii="Times New Roman" w:hAnsi="Times New Roman"/>
        </w:rPr>
      </w:pPr>
    </w:p>
    <w:p w:rsidR="00FB41FA" w:rsidRPr="00E16B38" w:rsidRDefault="00FB41FA" w:rsidP="00FB41FA">
      <w:pPr>
        <w:pStyle w:val="ListParagraph"/>
        <w:numPr>
          <w:ilvl w:val="0"/>
          <w:numId w:val="3"/>
        </w:numPr>
        <w:rPr>
          <w:rFonts w:ascii="Times New Roman" w:hAnsi="Times New Roman"/>
        </w:rPr>
      </w:pPr>
      <w:r w:rsidRPr="00E16B38">
        <w:rPr>
          <w:rFonts w:ascii="Times New Roman" w:hAnsi="Times New Roman"/>
        </w:rPr>
        <w:t>Ms. C. accepted the IEP proposed by Dover-Sherborn on June 13, 2011.  (S-15)</w:t>
      </w:r>
    </w:p>
    <w:p w:rsidR="00FB41FA" w:rsidRPr="00E16B38" w:rsidRDefault="00FB41FA" w:rsidP="00FB41FA">
      <w:pPr>
        <w:rPr>
          <w:rFonts w:ascii="Times New Roman" w:hAnsi="Times New Roman"/>
        </w:rPr>
      </w:pPr>
    </w:p>
    <w:p w:rsidR="00FB41FA" w:rsidRPr="00E16B38" w:rsidRDefault="00FB41FA" w:rsidP="00FB41FA">
      <w:pPr>
        <w:pStyle w:val="ListParagraph"/>
        <w:numPr>
          <w:ilvl w:val="0"/>
          <w:numId w:val="3"/>
        </w:numPr>
        <w:rPr>
          <w:rFonts w:ascii="Times New Roman" w:hAnsi="Times New Roman"/>
        </w:rPr>
      </w:pPr>
      <w:r w:rsidRPr="00E16B38">
        <w:rPr>
          <w:rFonts w:ascii="Times New Roman" w:hAnsi="Times New Roman"/>
        </w:rPr>
        <w:t xml:space="preserve">Clyde attended the </w:t>
      </w:r>
      <w:r w:rsidR="00B97916" w:rsidRPr="00E16B38">
        <w:rPr>
          <w:rFonts w:ascii="Times New Roman" w:hAnsi="Times New Roman"/>
        </w:rPr>
        <w:t>Academy at Swift River</w:t>
      </w:r>
      <w:r w:rsidRPr="00E16B38">
        <w:rPr>
          <w:rFonts w:ascii="Times New Roman" w:hAnsi="Times New Roman"/>
        </w:rPr>
        <w:t xml:space="preserve"> from November 2, 2011 until June 5, 2012 when he left school without permission and did not return.  (S-12)</w:t>
      </w:r>
    </w:p>
    <w:p w:rsidR="00FB41FA" w:rsidRPr="00E16B38" w:rsidRDefault="00FB41FA" w:rsidP="00FB41FA">
      <w:pPr>
        <w:pStyle w:val="ListParagraph"/>
        <w:rPr>
          <w:rFonts w:ascii="Times New Roman" w:hAnsi="Times New Roman"/>
        </w:rPr>
      </w:pPr>
    </w:p>
    <w:p w:rsidR="00FB41FA" w:rsidRPr="00E16B38" w:rsidRDefault="00FB41FA" w:rsidP="00FB41FA">
      <w:pPr>
        <w:pStyle w:val="ListParagraph"/>
        <w:numPr>
          <w:ilvl w:val="0"/>
          <w:numId w:val="3"/>
        </w:numPr>
        <w:rPr>
          <w:rFonts w:ascii="Times New Roman" w:hAnsi="Times New Roman"/>
        </w:rPr>
      </w:pPr>
      <w:r w:rsidRPr="00E16B38">
        <w:rPr>
          <w:rFonts w:ascii="Times New Roman" w:hAnsi="Times New Roman"/>
        </w:rPr>
        <w:t xml:space="preserve">The Parent has not accepted any subsequent IEP developed by Martha’s Vineyard Public Schools.  The Parent has not accepted any educational placement proposal since </w:t>
      </w:r>
      <w:r w:rsidR="00B97916" w:rsidRPr="00E16B38">
        <w:rPr>
          <w:rFonts w:ascii="Times New Roman" w:hAnsi="Times New Roman"/>
        </w:rPr>
        <w:t>Academy at Swift River</w:t>
      </w:r>
      <w:r w:rsidRPr="00E16B38">
        <w:rPr>
          <w:rFonts w:ascii="Times New Roman" w:hAnsi="Times New Roman"/>
        </w:rPr>
        <w:t>.</w:t>
      </w:r>
    </w:p>
    <w:p w:rsidR="00FB41FA" w:rsidRPr="00E16B38" w:rsidRDefault="00FB41FA" w:rsidP="00FB41FA">
      <w:pPr>
        <w:pStyle w:val="ListParagraph"/>
        <w:rPr>
          <w:rFonts w:ascii="Times New Roman" w:hAnsi="Times New Roman"/>
        </w:rPr>
      </w:pPr>
    </w:p>
    <w:p w:rsidR="00FB41FA" w:rsidRPr="00E16B38" w:rsidRDefault="00FB41FA" w:rsidP="00FB41FA">
      <w:pPr>
        <w:pStyle w:val="ListParagraph"/>
        <w:numPr>
          <w:ilvl w:val="0"/>
          <w:numId w:val="3"/>
        </w:numPr>
        <w:rPr>
          <w:rFonts w:ascii="Times New Roman" w:hAnsi="Times New Roman"/>
        </w:rPr>
      </w:pPr>
      <w:r w:rsidRPr="00E16B38">
        <w:rPr>
          <w:rFonts w:ascii="Times New Roman" w:hAnsi="Times New Roman"/>
        </w:rPr>
        <w:t>Clyde has been entitled to a therapeutic residential educational placement at all times during the pendency of this dispute.</w:t>
      </w:r>
    </w:p>
    <w:p w:rsidR="00FB41FA" w:rsidRPr="00E16B38" w:rsidRDefault="00FB41FA" w:rsidP="00FB41FA">
      <w:pPr>
        <w:pStyle w:val="ListParagraph"/>
        <w:rPr>
          <w:rFonts w:ascii="Times New Roman" w:hAnsi="Times New Roman"/>
        </w:rPr>
      </w:pPr>
    </w:p>
    <w:p w:rsidR="00FB41FA" w:rsidRPr="00E16B38" w:rsidRDefault="00FB41FA" w:rsidP="00FB41FA">
      <w:pPr>
        <w:pStyle w:val="ListParagraph"/>
        <w:numPr>
          <w:ilvl w:val="0"/>
          <w:numId w:val="3"/>
        </w:numPr>
        <w:rPr>
          <w:rFonts w:ascii="Times New Roman" w:hAnsi="Times New Roman"/>
        </w:rPr>
      </w:pPr>
      <w:r w:rsidRPr="00E16B38">
        <w:rPr>
          <w:rFonts w:ascii="Times New Roman" w:hAnsi="Times New Roman"/>
        </w:rPr>
        <w:t>The Parent has not taken any unilateral “self-help” action and is not seeking reimbursement of any expenses incurred on Clyde’s behalf between June 2012 and the date of the Hearing.</w:t>
      </w:r>
    </w:p>
    <w:p w:rsidR="0041250C" w:rsidRDefault="0041250C" w:rsidP="0041250C">
      <w:pPr>
        <w:pStyle w:val="ListParagraph"/>
      </w:pPr>
    </w:p>
    <w:p w:rsidR="0041250C" w:rsidRPr="00E16B38" w:rsidRDefault="0041250C" w:rsidP="0041250C">
      <w:pPr>
        <w:pStyle w:val="ListParagraph"/>
        <w:rPr>
          <w:rFonts w:ascii="Times New Roman" w:hAnsi="Times New Roman"/>
        </w:rPr>
      </w:pPr>
    </w:p>
    <w:p w:rsidR="00874EC3" w:rsidRPr="00E16B38" w:rsidRDefault="00874EC3" w:rsidP="00BD5349">
      <w:pPr>
        <w:rPr>
          <w:rFonts w:ascii="Times New Roman" w:hAnsi="Times New Roman"/>
        </w:rPr>
      </w:pPr>
      <w:r w:rsidRPr="00E16B38">
        <w:rPr>
          <w:rFonts w:ascii="Times New Roman" w:hAnsi="Times New Roman"/>
        </w:rPr>
        <w:t>The following facts are found based on the preponderance of credible evidence in the Hearing Record:</w:t>
      </w:r>
    </w:p>
    <w:p w:rsidR="00874EC3" w:rsidRPr="00E16B38" w:rsidRDefault="00874EC3" w:rsidP="00BD5349">
      <w:pPr>
        <w:rPr>
          <w:rFonts w:ascii="Times New Roman" w:hAnsi="Times New Roman"/>
        </w:rPr>
      </w:pPr>
    </w:p>
    <w:p w:rsidR="00874EC3" w:rsidRPr="00E16B38" w:rsidRDefault="00874EC3" w:rsidP="00874EC3">
      <w:pPr>
        <w:pStyle w:val="ListParagraph"/>
        <w:numPr>
          <w:ilvl w:val="0"/>
          <w:numId w:val="3"/>
        </w:numPr>
        <w:rPr>
          <w:rFonts w:ascii="Times New Roman" w:hAnsi="Times New Roman"/>
        </w:rPr>
      </w:pPr>
      <w:r w:rsidRPr="00E16B38">
        <w:rPr>
          <w:rFonts w:ascii="Times New Roman" w:hAnsi="Times New Roman"/>
        </w:rPr>
        <w:t xml:space="preserve"> At the time this dispute arose Clyde was a 17 year old tenth grade student.  Clyde has above-average cognitive potential and recent standardized academic achievement testing reveals acquisition of academic skills consiste</w:t>
      </w:r>
      <w:r w:rsidR="0041250C" w:rsidRPr="00E16B38">
        <w:rPr>
          <w:rFonts w:ascii="Times New Roman" w:hAnsi="Times New Roman"/>
        </w:rPr>
        <w:t>nt with that potential.  (S-11) H</w:t>
      </w:r>
      <w:r w:rsidRPr="00E16B38">
        <w:rPr>
          <w:rFonts w:ascii="Times New Roman" w:hAnsi="Times New Roman"/>
        </w:rPr>
        <w:t>e has been diagnosed with Depression, OCD, Substance Abuse Disorder and Conduct Disorder.  (S-10; S-12; S-13; S-9)  He is eligible for special education services on the basis of an emotional disability.  (S-15; S-1; S-2; S-6)</w:t>
      </w:r>
    </w:p>
    <w:p w:rsidR="00874EC3" w:rsidRPr="00E16B38" w:rsidRDefault="00874EC3" w:rsidP="00874EC3">
      <w:pPr>
        <w:rPr>
          <w:rFonts w:ascii="Times New Roman" w:hAnsi="Times New Roman"/>
        </w:rPr>
      </w:pPr>
    </w:p>
    <w:p w:rsidR="00874EC3" w:rsidRPr="00E16B38" w:rsidRDefault="00874EC3" w:rsidP="00874EC3">
      <w:pPr>
        <w:pStyle w:val="ListParagraph"/>
        <w:numPr>
          <w:ilvl w:val="0"/>
          <w:numId w:val="3"/>
        </w:numPr>
        <w:rPr>
          <w:rFonts w:ascii="Times New Roman" w:hAnsi="Times New Roman"/>
        </w:rPr>
      </w:pPr>
      <w:r w:rsidRPr="00E16B38">
        <w:rPr>
          <w:rFonts w:ascii="Times New Roman" w:hAnsi="Times New Roman"/>
        </w:rPr>
        <w:lastRenderedPageBreak/>
        <w:t>Beginning in 2009, after a period of declining performance and inadequate attendance in public school programs operated by his former town of residence, Dover-Sherborn, Clyde attended a series of therapeutic residential schools and programs in Massachusetts and out-of-state.  (S-15; S</w:t>
      </w:r>
      <w:r w:rsidR="00430FC0" w:rsidRPr="00E16B38">
        <w:rPr>
          <w:rFonts w:ascii="Times New Roman" w:hAnsi="Times New Roman"/>
        </w:rPr>
        <w:t>-</w:t>
      </w:r>
      <w:r w:rsidR="00A302F7" w:rsidRPr="00E16B38">
        <w:rPr>
          <w:rFonts w:ascii="Times New Roman" w:hAnsi="Times New Roman"/>
        </w:rPr>
        <w:t xml:space="preserve">10; S-11).   In November </w:t>
      </w:r>
      <w:r w:rsidR="0041250C" w:rsidRPr="00E16B38">
        <w:rPr>
          <w:rFonts w:ascii="Times New Roman" w:hAnsi="Times New Roman"/>
        </w:rPr>
        <w:t>2010 D</w:t>
      </w:r>
      <w:r w:rsidR="00430FC0" w:rsidRPr="00E16B38">
        <w:rPr>
          <w:rFonts w:ascii="Times New Roman" w:hAnsi="Times New Roman"/>
        </w:rPr>
        <w:t>over-Sherborn developed an IEP calling for Clyde to attend the Academy at Swift River, an approved residential special ed</w:t>
      </w:r>
      <w:r w:rsidR="00A302F7" w:rsidRPr="00E16B38">
        <w:rPr>
          <w:rFonts w:ascii="Times New Roman" w:hAnsi="Times New Roman"/>
        </w:rPr>
        <w:t xml:space="preserve">ucation school in </w:t>
      </w:r>
      <w:proofErr w:type="spellStart"/>
      <w:r w:rsidR="00A302F7" w:rsidRPr="00E16B38">
        <w:rPr>
          <w:rFonts w:ascii="Times New Roman" w:hAnsi="Times New Roman"/>
        </w:rPr>
        <w:t>Cummington</w:t>
      </w:r>
      <w:proofErr w:type="spellEnd"/>
      <w:r w:rsidR="00A302F7" w:rsidRPr="00E16B38">
        <w:rPr>
          <w:rFonts w:ascii="Times New Roman" w:hAnsi="Times New Roman"/>
        </w:rPr>
        <w:t>, MA</w:t>
      </w:r>
      <w:r w:rsidR="00430FC0" w:rsidRPr="00E16B38">
        <w:rPr>
          <w:rFonts w:ascii="Times New Roman" w:hAnsi="Times New Roman"/>
        </w:rPr>
        <w:t xml:space="preserve">.  (S-15)  The proposed placement was developed in the context of referrals to at least 13 therapeutic programs within Massachusetts.  (P-2)  The Parent accepted the proposed IEP on June 13, 2011.  Clyde began attending </w:t>
      </w:r>
      <w:r w:rsidR="00A302F7" w:rsidRPr="00E16B38">
        <w:rPr>
          <w:rFonts w:ascii="Times New Roman" w:hAnsi="Times New Roman"/>
        </w:rPr>
        <w:t xml:space="preserve">the </w:t>
      </w:r>
      <w:r w:rsidR="00B97916" w:rsidRPr="00E16B38">
        <w:rPr>
          <w:rFonts w:ascii="Times New Roman" w:hAnsi="Times New Roman"/>
        </w:rPr>
        <w:t>Academy at Swift River</w:t>
      </w:r>
      <w:r w:rsidR="00430FC0" w:rsidRPr="00E16B38">
        <w:rPr>
          <w:rFonts w:ascii="Times New Roman" w:hAnsi="Times New Roman"/>
        </w:rPr>
        <w:t xml:space="preserve"> on November 2, 2011.  (S-12)</w:t>
      </w:r>
    </w:p>
    <w:p w:rsidR="00430FC0" w:rsidRPr="00E16B38" w:rsidRDefault="00430FC0" w:rsidP="00430FC0">
      <w:pPr>
        <w:pStyle w:val="ListParagraph"/>
        <w:rPr>
          <w:rFonts w:ascii="Times New Roman" w:hAnsi="Times New Roman"/>
        </w:rPr>
      </w:pPr>
    </w:p>
    <w:p w:rsidR="00430FC0" w:rsidRPr="00E16B38" w:rsidRDefault="00430FC0" w:rsidP="00874EC3">
      <w:pPr>
        <w:pStyle w:val="ListParagraph"/>
        <w:numPr>
          <w:ilvl w:val="0"/>
          <w:numId w:val="3"/>
        </w:numPr>
        <w:rPr>
          <w:rFonts w:ascii="Times New Roman" w:hAnsi="Times New Roman"/>
        </w:rPr>
      </w:pPr>
      <w:r w:rsidRPr="00E16B38">
        <w:rPr>
          <w:rFonts w:ascii="Times New Roman" w:hAnsi="Times New Roman"/>
        </w:rPr>
        <w:t>The Family mov</w:t>
      </w:r>
      <w:r w:rsidR="0041250C" w:rsidRPr="00E16B38">
        <w:rPr>
          <w:rFonts w:ascii="Times New Roman" w:hAnsi="Times New Roman"/>
        </w:rPr>
        <w:t>ed to Martha’s Vineyard in the f</w:t>
      </w:r>
      <w:r w:rsidRPr="00E16B38">
        <w:rPr>
          <w:rFonts w:ascii="Times New Roman" w:hAnsi="Times New Roman"/>
        </w:rPr>
        <w:t xml:space="preserve">all of 2011.  On June 5, 2012 Clyde </w:t>
      </w:r>
      <w:r w:rsidR="00AB5ABE" w:rsidRPr="00E16B38">
        <w:rPr>
          <w:rFonts w:ascii="Times New Roman" w:hAnsi="Times New Roman"/>
        </w:rPr>
        <w:t>left</w:t>
      </w:r>
      <w:r w:rsidR="00A302F7" w:rsidRPr="00E16B38">
        <w:rPr>
          <w:rFonts w:ascii="Times New Roman" w:hAnsi="Times New Roman"/>
        </w:rPr>
        <w:t xml:space="preserve"> the</w:t>
      </w:r>
      <w:r w:rsidR="00AB5ABE" w:rsidRPr="00E16B38">
        <w:rPr>
          <w:rFonts w:ascii="Times New Roman" w:hAnsi="Times New Roman"/>
        </w:rPr>
        <w:t xml:space="preserve"> </w:t>
      </w:r>
      <w:r w:rsidR="00B97916" w:rsidRPr="00E16B38">
        <w:rPr>
          <w:rFonts w:ascii="Times New Roman" w:hAnsi="Times New Roman"/>
        </w:rPr>
        <w:t>Academy at Swift River</w:t>
      </w:r>
      <w:r w:rsidR="00AB5ABE" w:rsidRPr="00E16B38">
        <w:rPr>
          <w:rFonts w:ascii="Times New Roman" w:hAnsi="Times New Roman"/>
        </w:rPr>
        <w:t xml:space="preserve"> without permission.  Although he returned to the Family home in Martha’s Vineyard sometime later that month</w:t>
      </w:r>
      <w:r w:rsidR="00A302F7" w:rsidRPr="00E16B38">
        <w:rPr>
          <w:rFonts w:ascii="Times New Roman" w:hAnsi="Times New Roman"/>
        </w:rPr>
        <w:t>,</w:t>
      </w:r>
      <w:r w:rsidR="00AB5ABE" w:rsidRPr="00E16B38">
        <w:rPr>
          <w:rFonts w:ascii="Times New Roman" w:hAnsi="Times New Roman"/>
        </w:rPr>
        <w:t xml:space="preserve"> he elected to live and work independently for the remainder of the summer.  (S-12; Ms. C.)</w:t>
      </w:r>
    </w:p>
    <w:p w:rsidR="00AB5ABE" w:rsidRPr="00E16B38" w:rsidRDefault="00AB5ABE" w:rsidP="00AB5ABE">
      <w:pPr>
        <w:pStyle w:val="ListParagraph"/>
        <w:rPr>
          <w:rFonts w:ascii="Times New Roman" w:hAnsi="Times New Roman"/>
        </w:rPr>
      </w:pPr>
    </w:p>
    <w:p w:rsidR="00AB5ABE" w:rsidRPr="00E16B38" w:rsidRDefault="00AB5ABE" w:rsidP="00874EC3">
      <w:pPr>
        <w:pStyle w:val="ListParagraph"/>
        <w:numPr>
          <w:ilvl w:val="0"/>
          <w:numId w:val="3"/>
        </w:numPr>
        <w:rPr>
          <w:rFonts w:ascii="Times New Roman" w:hAnsi="Times New Roman"/>
        </w:rPr>
      </w:pPr>
      <w:r w:rsidRPr="00E16B38">
        <w:rPr>
          <w:rFonts w:ascii="Times New Roman" w:hAnsi="Times New Roman"/>
        </w:rPr>
        <w:t xml:space="preserve">Mr. </w:t>
      </w:r>
      <w:proofErr w:type="spellStart"/>
      <w:r w:rsidRPr="00E16B38">
        <w:rPr>
          <w:rFonts w:ascii="Times New Roman" w:hAnsi="Times New Roman"/>
        </w:rPr>
        <w:t>Verbits</w:t>
      </w:r>
      <w:proofErr w:type="spellEnd"/>
      <w:r w:rsidRPr="00E16B38">
        <w:rPr>
          <w:rFonts w:ascii="Times New Roman" w:hAnsi="Times New Roman"/>
        </w:rPr>
        <w:t>, Director of Special Education, and Ms. Lowell-Bettencourt, Director of Student Support Services, for Martha’s Vineyard Public Schools, were both new to their positions on August 1, 2012.  Ms. Lowell-Bettencourt testified that she learned of Clyde on her first wor</w:t>
      </w:r>
      <w:r w:rsidR="0041250C" w:rsidRPr="00E16B38">
        <w:rPr>
          <w:rFonts w:ascii="Times New Roman" w:hAnsi="Times New Roman"/>
        </w:rPr>
        <w:t>k day.  She met with Ms. C. on A</w:t>
      </w:r>
      <w:r w:rsidRPr="00E16B38">
        <w:rPr>
          <w:rFonts w:ascii="Times New Roman" w:hAnsi="Times New Roman"/>
        </w:rPr>
        <w:t xml:space="preserve">ugust 10, 2013.  Ms. C. requested that Martha’s Vineyard place Clyde at either Catalyst Residential Treatment Center or Vista Residential Treatment Center, both in Utah.  Ms. Lowell-Bettencourt asked Mr. </w:t>
      </w:r>
      <w:proofErr w:type="spellStart"/>
      <w:r w:rsidRPr="00E16B38">
        <w:rPr>
          <w:rFonts w:ascii="Times New Roman" w:hAnsi="Times New Roman"/>
        </w:rPr>
        <w:t>Verbits</w:t>
      </w:r>
      <w:proofErr w:type="spellEnd"/>
      <w:r w:rsidRPr="00E16B38">
        <w:rPr>
          <w:rFonts w:ascii="Times New Roman" w:hAnsi="Times New Roman"/>
        </w:rPr>
        <w:t xml:space="preserve"> to investigate both placements which he did. The School invited Catalyst to participate in the Team meeting scheduled for August 22, 2012.  At the meeting Catalyst indicated that its boys-only program could meet Clyde’s learning needs and currently had an opening.  On September 4, 2012 the School proposed an IEP for Clyde calling for a therapeutic residential placement and indicating on Page 1 that Catalyst was the “assigned school” and on Page 18 that the location of service provision was “</w:t>
      </w:r>
      <w:r w:rsidR="003865F1">
        <w:rPr>
          <w:rFonts w:ascii="Times New Roman" w:hAnsi="Times New Roman"/>
        </w:rPr>
        <w:t xml:space="preserve">TBD”  (to be determined).  (S-6; Lowell-Bettencourt, </w:t>
      </w:r>
      <w:proofErr w:type="spellStart"/>
      <w:r w:rsidR="003865F1">
        <w:rPr>
          <w:rFonts w:ascii="Times New Roman" w:hAnsi="Times New Roman"/>
        </w:rPr>
        <w:t>Verbits</w:t>
      </w:r>
      <w:proofErr w:type="spellEnd"/>
      <w:r w:rsidR="003865F1">
        <w:rPr>
          <w:rFonts w:ascii="Times New Roman" w:hAnsi="Times New Roman"/>
        </w:rPr>
        <w:t>)</w:t>
      </w:r>
    </w:p>
    <w:p w:rsidR="008E18F9" w:rsidRPr="00E16B38" w:rsidRDefault="008E18F9" w:rsidP="008E18F9">
      <w:pPr>
        <w:pStyle w:val="ListParagraph"/>
        <w:rPr>
          <w:rFonts w:ascii="Times New Roman" w:hAnsi="Times New Roman"/>
        </w:rPr>
      </w:pPr>
    </w:p>
    <w:p w:rsidR="008E18F9" w:rsidRPr="00E16B38" w:rsidRDefault="008E18F9" w:rsidP="00874EC3">
      <w:pPr>
        <w:pStyle w:val="ListParagraph"/>
        <w:numPr>
          <w:ilvl w:val="0"/>
          <w:numId w:val="3"/>
        </w:numPr>
        <w:rPr>
          <w:rFonts w:ascii="Times New Roman" w:hAnsi="Times New Roman"/>
        </w:rPr>
      </w:pPr>
      <w:r w:rsidRPr="00E16B38">
        <w:rPr>
          <w:rFonts w:ascii="Times New Roman" w:hAnsi="Times New Roman"/>
        </w:rPr>
        <w:t>Ms. Lowell-Bettencourt testified that</w:t>
      </w:r>
      <w:r w:rsidR="0041250C" w:rsidRPr="00E16B38">
        <w:rPr>
          <w:rFonts w:ascii="Times New Roman" w:hAnsi="Times New Roman"/>
        </w:rPr>
        <w:t xml:space="preserve"> while preparing for Clyde’s placement at Catalyst she reviewed Clyde’s school records.  She found </w:t>
      </w:r>
      <w:r w:rsidRPr="00E16B38">
        <w:rPr>
          <w:rFonts w:ascii="Times New Roman" w:hAnsi="Times New Roman"/>
        </w:rPr>
        <w:t>that</w:t>
      </w:r>
      <w:r w:rsidR="0041250C" w:rsidRPr="00E16B38">
        <w:rPr>
          <w:rFonts w:ascii="Times New Roman" w:hAnsi="Times New Roman"/>
        </w:rPr>
        <w:t xml:space="preserve"> there was no indication that Martha’s Vineyard</w:t>
      </w:r>
      <w:r w:rsidR="00A04B0F" w:rsidRPr="00E16B38">
        <w:rPr>
          <w:rFonts w:ascii="Times New Roman" w:hAnsi="Times New Roman"/>
        </w:rPr>
        <w:t>, Clyde’s current residence,</w:t>
      </w:r>
      <w:r w:rsidR="0041250C" w:rsidRPr="00E16B38">
        <w:rPr>
          <w:rFonts w:ascii="Times New Roman" w:hAnsi="Times New Roman"/>
        </w:rPr>
        <w:t xml:space="preserve"> or Dover-Sherborn, Clyde’s previous residence</w:t>
      </w:r>
      <w:r w:rsidR="00A04B0F" w:rsidRPr="00E16B38">
        <w:rPr>
          <w:rFonts w:ascii="Times New Roman" w:hAnsi="Times New Roman"/>
        </w:rPr>
        <w:t>,</w:t>
      </w:r>
      <w:r w:rsidR="0041250C" w:rsidRPr="00E16B38">
        <w:rPr>
          <w:rFonts w:ascii="Times New Roman" w:hAnsi="Times New Roman"/>
        </w:rPr>
        <w:t xml:space="preserve"> had conducted a</w:t>
      </w:r>
      <w:r w:rsidRPr="00E16B38">
        <w:rPr>
          <w:rFonts w:ascii="Times New Roman" w:hAnsi="Times New Roman"/>
        </w:rPr>
        <w:t xml:space="preserve"> search for an appropriate therapeutic school in </w:t>
      </w:r>
      <w:r w:rsidR="0041250C" w:rsidRPr="00E16B38">
        <w:rPr>
          <w:rFonts w:ascii="Times New Roman" w:hAnsi="Times New Roman"/>
        </w:rPr>
        <w:t>Massachusetts</w:t>
      </w:r>
      <w:r w:rsidRPr="00E16B38">
        <w:rPr>
          <w:rFonts w:ascii="Times New Roman" w:hAnsi="Times New Roman"/>
        </w:rPr>
        <w:t xml:space="preserve">.  In order to secure State approval for the Catalyst placement Martha’s Vineyard would be required to demonstrate that no appropriate in-district or in-state program was available for Clyde.  On September 7, 2012 she called Swift River and Dover-Sherborn to request their records.  She was unable to secure parental consent to release the records to Martha’s Vineyard until September 14, 2012.  When the records from Dover-Sherborn arrived on September 19, 2012, there was no evidence of </w:t>
      </w:r>
      <w:r w:rsidR="003865F1">
        <w:rPr>
          <w:rFonts w:ascii="Times New Roman" w:hAnsi="Times New Roman"/>
        </w:rPr>
        <w:t>the required</w:t>
      </w:r>
      <w:r w:rsidRPr="00E16B38">
        <w:rPr>
          <w:rFonts w:ascii="Times New Roman" w:hAnsi="Times New Roman"/>
        </w:rPr>
        <w:t xml:space="preserve"> search.  Ms. Lowell-Bettencourt called the Parent on September 20, 2012 to determine if the Parent had any relevant records.  They met on September 27, 2012 to review a long list of Massachusetts options.  The Parent agreed to look at the </w:t>
      </w:r>
      <w:proofErr w:type="spellStart"/>
      <w:r w:rsidRPr="00E16B38">
        <w:rPr>
          <w:rFonts w:ascii="Times New Roman" w:hAnsi="Times New Roman"/>
        </w:rPr>
        <w:t>Wedeiko</w:t>
      </w:r>
      <w:proofErr w:type="spellEnd"/>
      <w:r w:rsidRPr="00E16B38">
        <w:rPr>
          <w:rFonts w:ascii="Times New Roman" w:hAnsi="Times New Roman"/>
        </w:rPr>
        <w:t xml:space="preserve"> and Eagleton programs.  Later she withdrew consent for a referral to Eagleton.  The Parent</w:t>
      </w:r>
      <w:r w:rsidR="00A04B0F" w:rsidRPr="00E16B38">
        <w:rPr>
          <w:rFonts w:ascii="Times New Roman" w:hAnsi="Times New Roman"/>
        </w:rPr>
        <w:t xml:space="preserve">, </w:t>
      </w:r>
      <w:r w:rsidRPr="00E16B38">
        <w:rPr>
          <w:rFonts w:ascii="Times New Roman" w:hAnsi="Times New Roman"/>
        </w:rPr>
        <w:t xml:space="preserve">Clyde and Mr. </w:t>
      </w:r>
      <w:proofErr w:type="spellStart"/>
      <w:r w:rsidRPr="00E16B38">
        <w:rPr>
          <w:rFonts w:ascii="Times New Roman" w:hAnsi="Times New Roman"/>
        </w:rPr>
        <w:t>Verbits</w:t>
      </w:r>
      <w:proofErr w:type="spellEnd"/>
      <w:r w:rsidRPr="00E16B38">
        <w:rPr>
          <w:rFonts w:ascii="Times New Roman" w:hAnsi="Times New Roman"/>
        </w:rPr>
        <w:t xml:space="preserve"> visited </w:t>
      </w:r>
      <w:proofErr w:type="spellStart"/>
      <w:r w:rsidRPr="00E16B38">
        <w:rPr>
          <w:rFonts w:ascii="Times New Roman" w:hAnsi="Times New Roman"/>
        </w:rPr>
        <w:t>Wedeiko</w:t>
      </w:r>
      <w:proofErr w:type="spellEnd"/>
      <w:r w:rsidRPr="00E16B38">
        <w:rPr>
          <w:rFonts w:ascii="Times New Roman" w:hAnsi="Times New Roman"/>
        </w:rPr>
        <w:t xml:space="preserve"> on October 5, 2012.  The Parent declined to pursue placement at </w:t>
      </w:r>
      <w:proofErr w:type="spellStart"/>
      <w:r w:rsidRPr="00E16B38">
        <w:rPr>
          <w:rFonts w:ascii="Times New Roman" w:hAnsi="Times New Roman"/>
        </w:rPr>
        <w:t>Wedeiko</w:t>
      </w:r>
      <w:proofErr w:type="spellEnd"/>
      <w:r w:rsidRPr="00E16B38">
        <w:rPr>
          <w:rFonts w:ascii="Times New Roman" w:hAnsi="Times New Roman"/>
        </w:rPr>
        <w:t xml:space="preserve"> citing its single gender program and inappropriate age range.  T</w:t>
      </w:r>
      <w:r w:rsidR="00A04B0F" w:rsidRPr="00E16B38">
        <w:rPr>
          <w:rFonts w:ascii="Times New Roman" w:hAnsi="Times New Roman"/>
        </w:rPr>
        <w:t xml:space="preserve">he age range at </w:t>
      </w:r>
      <w:proofErr w:type="spellStart"/>
      <w:r w:rsidR="00A04B0F" w:rsidRPr="00E16B38">
        <w:rPr>
          <w:rFonts w:ascii="Times New Roman" w:hAnsi="Times New Roman"/>
        </w:rPr>
        <w:t>Wedeiko</w:t>
      </w:r>
      <w:proofErr w:type="spellEnd"/>
      <w:r w:rsidR="00A04B0F" w:rsidRPr="00E16B38">
        <w:rPr>
          <w:rFonts w:ascii="Times New Roman" w:hAnsi="Times New Roman"/>
        </w:rPr>
        <w:t xml:space="preserve"> is 9-21.  T</w:t>
      </w:r>
      <w:r w:rsidRPr="00E16B38">
        <w:rPr>
          <w:rFonts w:ascii="Times New Roman" w:hAnsi="Times New Roman"/>
        </w:rPr>
        <w:t xml:space="preserve">here are no recommendations in Clyde’s </w:t>
      </w:r>
      <w:r w:rsidR="00A04B0F" w:rsidRPr="00E16B38">
        <w:rPr>
          <w:rFonts w:ascii="Times New Roman" w:hAnsi="Times New Roman"/>
        </w:rPr>
        <w:t xml:space="preserve">educational </w:t>
      </w:r>
      <w:r w:rsidRPr="00E16B38">
        <w:rPr>
          <w:rFonts w:ascii="Times New Roman" w:hAnsi="Times New Roman"/>
        </w:rPr>
        <w:t xml:space="preserve">record concerning </w:t>
      </w:r>
      <w:r w:rsidR="00A04B0F" w:rsidRPr="00E16B38">
        <w:rPr>
          <w:rFonts w:ascii="Times New Roman" w:hAnsi="Times New Roman"/>
        </w:rPr>
        <w:t xml:space="preserve">the appropriate </w:t>
      </w:r>
      <w:r w:rsidRPr="00E16B38">
        <w:rPr>
          <w:rFonts w:ascii="Times New Roman" w:hAnsi="Times New Roman"/>
        </w:rPr>
        <w:t>gender composition of potential educational placements.  (Lowell-Bettencourt;</w:t>
      </w:r>
      <w:r w:rsidR="00A04B0F" w:rsidRPr="00E16B38">
        <w:rPr>
          <w:rFonts w:ascii="Times New Roman" w:hAnsi="Times New Roman"/>
        </w:rPr>
        <w:t xml:space="preserve"> S-6: S-9; S-10; S-12; S13; S-15.</w:t>
      </w:r>
      <w:r w:rsidRPr="00E16B38">
        <w:rPr>
          <w:rFonts w:ascii="Times New Roman" w:hAnsi="Times New Roman"/>
        </w:rPr>
        <w:t xml:space="preserve"> See also: </w:t>
      </w:r>
      <w:proofErr w:type="spellStart"/>
      <w:r w:rsidRPr="00E16B38">
        <w:rPr>
          <w:rFonts w:ascii="Times New Roman" w:hAnsi="Times New Roman"/>
        </w:rPr>
        <w:t>Verbits</w:t>
      </w:r>
      <w:proofErr w:type="spellEnd"/>
      <w:r w:rsidRPr="00E16B38">
        <w:rPr>
          <w:rFonts w:ascii="Times New Roman" w:hAnsi="Times New Roman"/>
        </w:rPr>
        <w:t>)</w:t>
      </w:r>
    </w:p>
    <w:p w:rsidR="008E18F9" w:rsidRPr="00E16B38" w:rsidRDefault="008E18F9" w:rsidP="008E18F9">
      <w:pPr>
        <w:rPr>
          <w:rFonts w:ascii="Times New Roman" w:hAnsi="Times New Roman"/>
        </w:rPr>
      </w:pPr>
    </w:p>
    <w:p w:rsidR="004C0ED8" w:rsidRDefault="008E18F9" w:rsidP="004C0ED8">
      <w:pPr>
        <w:pStyle w:val="ListParagraph"/>
        <w:numPr>
          <w:ilvl w:val="0"/>
          <w:numId w:val="3"/>
        </w:numPr>
        <w:ind w:left="360"/>
        <w:rPr>
          <w:rFonts w:ascii="Times New Roman" w:hAnsi="Times New Roman"/>
        </w:rPr>
      </w:pPr>
      <w:r w:rsidRPr="0071111B">
        <w:rPr>
          <w:rFonts w:ascii="Times New Roman" w:hAnsi="Times New Roman"/>
        </w:rPr>
        <w:t>At that point Catalyst and Vista notified Martha’s Vineyard that there were no current openings in their programs.  Ms. C. requested plac</w:t>
      </w:r>
      <w:r w:rsidR="00A04B0F" w:rsidRPr="0071111B">
        <w:rPr>
          <w:rFonts w:ascii="Times New Roman" w:hAnsi="Times New Roman"/>
        </w:rPr>
        <w:t>ement at the John Dewey Academy, a regular</w:t>
      </w:r>
      <w:r w:rsidRPr="0071111B">
        <w:rPr>
          <w:rFonts w:ascii="Times New Roman" w:hAnsi="Times New Roman"/>
        </w:rPr>
        <w:t xml:space="preserve"> education boarding school in Massachusetts.  Ms. Lowell-Bettencourt contacted John Dewey immediately but learned that Clyde w</w:t>
      </w:r>
      <w:r w:rsidR="00A04B0F" w:rsidRPr="0071111B">
        <w:rPr>
          <w:rFonts w:ascii="Times New Roman" w:hAnsi="Times New Roman"/>
        </w:rPr>
        <w:t>ould not be admitted because a relative was already in attendance.</w:t>
      </w:r>
      <w:r w:rsidRPr="0071111B">
        <w:rPr>
          <w:rFonts w:ascii="Times New Roman" w:hAnsi="Times New Roman"/>
        </w:rPr>
        <w:t xml:space="preserve">  Ms. Lowell-Bettencourt continued to investigate appropriate</w:t>
      </w:r>
      <w:r w:rsidR="004C0ED8" w:rsidRPr="0071111B">
        <w:rPr>
          <w:rFonts w:ascii="Times New Roman" w:hAnsi="Times New Roman"/>
        </w:rPr>
        <w:t xml:space="preserve"> alternatives to Catalyst, both in-state and out-of-stat</w:t>
      </w:r>
      <w:r w:rsidR="00A04B0F" w:rsidRPr="0071111B">
        <w:rPr>
          <w:rFonts w:ascii="Times New Roman" w:hAnsi="Times New Roman"/>
        </w:rPr>
        <w:t xml:space="preserve">e, including Montcalm Academy, </w:t>
      </w:r>
      <w:r w:rsidR="004C0ED8" w:rsidRPr="0071111B">
        <w:rPr>
          <w:rFonts w:ascii="Times New Roman" w:hAnsi="Times New Roman"/>
        </w:rPr>
        <w:t>Summit Academy, Grove School, and Hyde School,</w:t>
      </w:r>
      <w:r w:rsidR="00A04B0F" w:rsidRPr="0071111B">
        <w:rPr>
          <w:rFonts w:ascii="Times New Roman" w:hAnsi="Times New Roman"/>
        </w:rPr>
        <w:t xml:space="preserve"> none of which accepted Clyde, </w:t>
      </w:r>
      <w:r w:rsidR="004C0ED8" w:rsidRPr="0071111B">
        <w:rPr>
          <w:rFonts w:ascii="Times New Roman" w:hAnsi="Times New Roman"/>
        </w:rPr>
        <w:t>as well as Stone Mountain, Deck Ho</w:t>
      </w:r>
      <w:r w:rsidR="0071111B">
        <w:rPr>
          <w:rFonts w:ascii="Times New Roman" w:hAnsi="Times New Roman"/>
        </w:rPr>
        <w:t xml:space="preserve">use, and Cooper Canyon Academy, none of which were appropriate for him.  Ms. Lowell-Bettencourt believed </w:t>
      </w:r>
      <w:proofErr w:type="spellStart"/>
      <w:r w:rsidR="0071111B">
        <w:rPr>
          <w:rFonts w:ascii="Times New Roman" w:hAnsi="Times New Roman"/>
        </w:rPr>
        <w:t>Wedeiko</w:t>
      </w:r>
      <w:proofErr w:type="spellEnd"/>
      <w:r w:rsidR="0071111B">
        <w:rPr>
          <w:rFonts w:ascii="Times New Roman" w:hAnsi="Times New Roman"/>
        </w:rPr>
        <w:t xml:space="preserve"> remained appropriate for and available to Clyde.  Ms. C. told Ms. Lowell-Bettencourt, however, that she would not accept any placement in Massachusetts.  Since Ms. Lowell-Bettencourt believed that Provo Canyon Residential Treatment Center in Utah also offered an excellent program suited to Clyde’s needs and comparable to the Academy of Swift River Martha’s Vineyard Public Schools offered that placement to Clyde, initially on October 14, 2012, and continually throughout the fall and winter 2012-2013.  (Ms. C.; Ms. Lowell-Bettencourt; P-1, S-14)</w:t>
      </w:r>
    </w:p>
    <w:p w:rsidR="0071111B" w:rsidRPr="0071111B" w:rsidRDefault="0071111B" w:rsidP="0071111B">
      <w:pPr>
        <w:rPr>
          <w:rFonts w:ascii="Times New Roman" w:hAnsi="Times New Roman"/>
        </w:rPr>
      </w:pPr>
    </w:p>
    <w:p w:rsidR="004C0ED8" w:rsidRPr="00E16B38" w:rsidRDefault="004C0ED8" w:rsidP="004C0ED8">
      <w:pPr>
        <w:pStyle w:val="ListParagraph"/>
        <w:numPr>
          <w:ilvl w:val="0"/>
          <w:numId w:val="3"/>
        </w:numPr>
        <w:rPr>
          <w:rFonts w:ascii="Times New Roman" w:hAnsi="Times New Roman"/>
        </w:rPr>
      </w:pPr>
      <w:r w:rsidRPr="00E16B38">
        <w:rPr>
          <w:rFonts w:ascii="Times New Roman" w:hAnsi="Times New Roman"/>
        </w:rPr>
        <w:t>Ms. C. testified tha</w:t>
      </w:r>
      <w:r w:rsidR="00A04B0F" w:rsidRPr="00E16B38">
        <w:rPr>
          <w:rFonts w:ascii="Times New Roman" w:hAnsi="Times New Roman"/>
        </w:rPr>
        <w:t>t she understood that Martha’s Vineyard</w:t>
      </w:r>
      <w:r w:rsidRPr="00E16B38">
        <w:rPr>
          <w:rFonts w:ascii="Times New Roman" w:hAnsi="Times New Roman"/>
        </w:rPr>
        <w:t xml:space="preserve"> had offered Clyde a placement at the Catalyst Residential Treatment Center at her request</w:t>
      </w:r>
      <w:r w:rsidR="00A04B0F" w:rsidRPr="00E16B38">
        <w:rPr>
          <w:rFonts w:ascii="Times New Roman" w:hAnsi="Times New Roman"/>
        </w:rPr>
        <w:t>,</w:t>
      </w:r>
      <w:r w:rsidRPr="00E16B38">
        <w:rPr>
          <w:rFonts w:ascii="Times New Roman" w:hAnsi="Times New Roman"/>
        </w:rPr>
        <w:t xml:space="preserve"> and </w:t>
      </w:r>
      <w:r w:rsidR="00A04B0F" w:rsidRPr="00E16B38">
        <w:rPr>
          <w:rFonts w:ascii="Times New Roman" w:hAnsi="Times New Roman"/>
        </w:rPr>
        <w:t xml:space="preserve">consistent with </w:t>
      </w:r>
      <w:r w:rsidRPr="00E16B38">
        <w:rPr>
          <w:rFonts w:ascii="Times New Roman" w:hAnsi="Times New Roman"/>
        </w:rPr>
        <w:t xml:space="preserve">the recommendation of </w:t>
      </w:r>
      <w:r w:rsidR="00A302F7" w:rsidRPr="00E16B38">
        <w:rPr>
          <w:rFonts w:ascii="Times New Roman" w:hAnsi="Times New Roman"/>
        </w:rPr>
        <w:t xml:space="preserve">the </w:t>
      </w:r>
      <w:r w:rsidR="00B97916" w:rsidRPr="00E16B38">
        <w:rPr>
          <w:rFonts w:ascii="Times New Roman" w:hAnsi="Times New Roman"/>
        </w:rPr>
        <w:t>Academy at Swift River</w:t>
      </w:r>
      <w:r w:rsidR="00A04B0F" w:rsidRPr="00E16B38">
        <w:rPr>
          <w:rFonts w:ascii="Times New Roman" w:hAnsi="Times New Roman"/>
        </w:rPr>
        <w:t>,</w:t>
      </w:r>
      <w:r w:rsidRPr="00E16B38">
        <w:rPr>
          <w:rFonts w:ascii="Times New Roman" w:hAnsi="Times New Roman"/>
        </w:rPr>
        <w:t xml:space="preserve"> through an IEP issued on Se</w:t>
      </w:r>
      <w:r w:rsidR="00A302F7" w:rsidRPr="00E16B38">
        <w:rPr>
          <w:rFonts w:ascii="Times New Roman" w:hAnsi="Times New Roman"/>
        </w:rPr>
        <w:t xml:space="preserve">ptember 4, </w:t>
      </w:r>
      <w:r w:rsidRPr="00E16B38">
        <w:rPr>
          <w:rFonts w:ascii="Times New Roman" w:hAnsi="Times New Roman"/>
        </w:rPr>
        <w:t>2012.  She understood that the placement has been continually a</w:t>
      </w:r>
      <w:r w:rsidR="00A04B0F" w:rsidRPr="00E16B38">
        <w:rPr>
          <w:rFonts w:ascii="Times New Roman" w:hAnsi="Times New Roman"/>
        </w:rPr>
        <w:t xml:space="preserve">vailable to Clyde since then.  Ms. C. stated that she </w:t>
      </w:r>
      <w:r w:rsidRPr="00E16B38">
        <w:rPr>
          <w:rFonts w:ascii="Times New Roman" w:hAnsi="Times New Roman"/>
        </w:rPr>
        <w:t xml:space="preserve">did not accept the IEP because it did not seem like a timely or good faith effort on the part of the School to identify an appropriate school for Clyde.  (Ms. C.; See also </w:t>
      </w:r>
      <w:proofErr w:type="spellStart"/>
      <w:r w:rsidRPr="00E16B38">
        <w:rPr>
          <w:rFonts w:ascii="Times New Roman" w:hAnsi="Times New Roman"/>
        </w:rPr>
        <w:t>Verbits</w:t>
      </w:r>
      <w:proofErr w:type="spellEnd"/>
      <w:r w:rsidRPr="00E16B38">
        <w:rPr>
          <w:rFonts w:ascii="Times New Roman" w:hAnsi="Times New Roman"/>
        </w:rPr>
        <w:t>, Lowell-Bettencourt)</w:t>
      </w:r>
    </w:p>
    <w:p w:rsidR="004C0ED8" w:rsidRPr="00E16B38" w:rsidRDefault="004C0ED8" w:rsidP="004C0ED8">
      <w:pPr>
        <w:pStyle w:val="ListParagraph"/>
        <w:rPr>
          <w:rFonts w:ascii="Times New Roman" w:hAnsi="Times New Roman"/>
        </w:rPr>
      </w:pPr>
    </w:p>
    <w:p w:rsidR="004C0ED8" w:rsidRPr="00E16B38" w:rsidRDefault="004C0ED8" w:rsidP="004C0ED8">
      <w:pPr>
        <w:pStyle w:val="ListParagraph"/>
        <w:numPr>
          <w:ilvl w:val="0"/>
          <w:numId w:val="3"/>
        </w:numPr>
        <w:rPr>
          <w:rFonts w:ascii="Times New Roman" w:hAnsi="Times New Roman"/>
        </w:rPr>
      </w:pPr>
      <w:r w:rsidRPr="00E16B38">
        <w:rPr>
          <w:rFonts w:ascii="Times New Roman" w:hAnsi="Times New Roman"/>
        </w:rPr>
        <w:t xml:space="preserve">Will </w:t>
      </w:r>
      <w:proofErr w:type="spellStart"/>
      <w:r w:rsidRPr="00E16B38">
        <w:rPr>
          <w:rFonts w:ascii="Times New Roman" w:hAnsi="Times New Roman"/>
        </w:rPr>
        <w:t>Verbits</w:t>
      </w:r>
      <w:proofErr w:type="spellEnd"/>
      <w:r w:rsidRPr="00E16B38">
        <w:rPr>
          <w:rFonts w:ascii="Times New Roman" w:hAnsi="Times New Roman"/>
        </w:rPr>
        <w:t xml:space="preserve">, Special Education Director for Martha’s Vineyard, </w:t>
      </w:r>
      <w:proofErr w:type="gramStart"/>
      <w:r w:rsidRPr="00E16B38">
        <w:rPr>
          <w:rFonts w:ascii="Times New Roman" w:hAnsi="Times New Roman"/>
        </w:rPr>
        <w:t>testified</w:t>
      </w:r>
      <w:proofErr w:type="gramEnd"/>
      <w:r w:rsidRPr="00E16B38">
        <w:rPr>
          <w:rFonts w:ascii="Times New Roman" w:hAnsi="Times New Roman"/>
        </w:rPr>
        <w:t xml:space="preserve"> that he learned of Clyde as soon as he started his new job in August, 2012</w:t>
      </w:r>
      <w:r w:rsidR="0066365D" w:rsidRPr="00E16B38">
        <w:rPr>
          <w:rFonts w:ascii="Times New Roman" w:hAnsi="Times New Roman"/>
        </w:rPr>
        <w:t xml:space="preserve">.  Mr. </w:t>
      </w:r>
      <w:proofErr w:type="spellStart"/>
      <w:r w:rsidR="0066365D" w:rsidRPr="00E16B38">
        <w:rPr>
          <w:rFonts w:ascii="Times New Roman" w:hAnsi="Times New Roman"/>
        </w:rPr>
        <w:t>Verbits</w:t>
      </w:r>
      <w:proofErr w:type="spellEnd"/>
      <w:r w:rsidR="0066365D" w:rsidRPr="00E16B38">
        <w:rPr>
          <w:rFonts w:ascii="Times New Roman" w:hAnsi="Times New Roman"/>
        </w:rPr>
        <w:t xml:space="preserve"> met with Clyde </w:t>
      </w:r>
      <w:r w:rsidRPr="00E16B38">
        <w:rPr>
          <w:rFonts w:ascii="Times New Roman" w:hAnsi="Times New Roman"/>
        </w:rPr>
        <w:t xml:space="preserve">shortly thereafter.  Clyde told Mr. </w:t>
      </w:r>
      <w:proofErr w:type="spellStart"/>
      <w:r w:rsidRPr="00E16B38">
        <w:rPr>
          <w:rFonts w:ascii="Times New Roman" w:hAnsi="Times New Roman"/>
        </w:rPr>
        <w:t>Verbits</w:t>
      </w:r>
      <w:proofErr w:type="spellEnd"/>
      <w:r w:rsidRPr="00E16B38">
        <w:rPr>
          <w:rFonts w:ascii="Times New Roman" w:hAnsi="Times New Roman"/>
        </w:rPr>
        <w:t xml:space="preserve"> that he wanted to attend Martha’s Vineyard High School and play sports.  Mr. </w:t>
      </w:r>
      <w:proofErr w:type="spellStart"/>
      <w:r w:rsidRPr="00E16B38">
        <w:rPr>
          <w:rFonts w:ascii="Times New Roman" w:hAnsi="Times New Roman"/>
        </w:rPr>
        <w:t>Verbits</w:t>
      </w:r>
      <w:proofErr w:type="spellEnd"/>
      <w:r w:rsidRPr="00E16B38">
        <w:rPr>
          <w:rFonts w:ascii="Times New Roman" w:hAnsi="Times New Roman"/>
        </w:rPr>
        <w:t xml:space="preserve"> advised both Clyde and Ms. C. that</w:t>
      </w:r>
      <w:r w:rsidR="00B76896" w:rsidRPr="00E16B38">
        <w:rPr>
          <w:rFonts w:ascii="Times New Roman" w:hAnsi="Times New Roman"/>
        </w:rPr>
        <w:t xml:space="preserve"> Clyde could receive academic and therapeutic services through the High School’s substantially separate therapeutic program or through discrete add-on services while placed at the High School on an interim, temporary or permanent basis pending attendance at a residential school.  He offered to arrange a tour of the School and the therapeutic program for Ms. C. in September and October, 2012 and </w:t>
      </w:r>
      <w:r w:rsidR="003865F1">
        <w:rPr>
          <w:rFonts w:ascii="Times New Roman" w:hAnsi="Times New Roman"/>
        </w:rPr>
        <w:t xml:space="preserve">in </w:t>
      </w:r>
      <w:r w:rsidR="00B76896" w:rsidRPr="00E16B38">
        <w:rPr>
          <w:rFonts w:ascii="Times New Roman" w:hAnsi="Times New Roman"/>
        </w:rPr>
        <w:t>January 2013.  She declined to visit.  Martha’s Vineyard arranged for 1:1 out of school/home academic tutoring for ten hours per week as well as weekly individual counseling.   These services began in early October, 2012.  By December Clyde’s attendance and performance were inconsistent.  (</w:t>
      </w:r>
      <w:proofErr w:type="spellStart"/>
      <w:r w:rsidR="00B76896" w:rsidRPr="00E16B38">
        <w:rPr>
          <w:rFonts w:ascii="Times New Roman" w:hAnsi="Times New Roman"/>
        </w:rPr>
        <w:t>Verbits</w:t>
      </w:r>
      <w:proofErr w:type="spellEnd"/>
      <w:r w:rsidR="00B76896" w:rsidRPr="00E16B38">
        <w:rPr>
          <w:rFonts w:ascii="Times New Roman" w:hAnsi="Times New Roman"/>
        </w:rPr>
        <w:t>; Ms. C.)</w:t>
      </w:r>
    </w:p>
    <w:p w:rsidR="00B76896" w:rsidRPr="00E16B38" w:rsidRDefault="00B76896" w:rsidP="00B76896">
      <w:pPr>
        <w:pStyle w:val="ListParagraph"/>
        <w:rPr>
          <w:rFonts w:ascii="Times New Roman" w:hAnsi="Times New Roman"/>
        </w:rPr>
      </w:pPr>
    </w:p>
    <w:p w:rsidR="00B76896" w:rsidRPr="00E16B38" w:rsidRDefault="00106998" w:rsidP="004C0ED8">
      <w:pPr>
        <w:pStyle w:val="ListParagraph"/>
        <w:numPr>
          <w:ilvl w:val="0"/>
          <w:numId w:val="3"/>
        </w:numPr>
        <w:rPr>
          <w:rFonts w:ascii="Times New Roman" w:hAnsi="Times New Roman"/>
        </w:rPr>
      </w:pPr>
      <w:r w:rsidRPr="00E16B38">
        <w:rPr>
          <w:rFonts w:ascii="Times New Roman" w:hAnsi="Times New Roman"/>
        </w:rPr>
        <w:t>Clyde attained the age of 18 on January 18, 2013.   A Team meeting to discuss age of majority and transitional issues had been scheduled for January 3, 2013 but at the family’s request was not held.  (S-4)  On January 26, 2013 Ms. C. signed a consent form permitting Martha’s Vineyard to send referral packets to 22 out-of-state private therapeutic residential programs.  (S-8).  On January 28,</w:t>
      </w:r>
      <w:r w:rsidR="003865F1">
        <w:rPr>
          <w:rFonts w:ascii="Times New Roman" w:hAnsi="Times New Roman"/>
        </w:rPr>
        <w:t xml:space="preserve"> </w:t>
      </w:r>
      <w:r w:rsidRPr="00E16B38">
        <w:rPr>
          <w:rFonts w:ascii="Times New Roman" w:hAnsi="Times New Roman"/>
        </w:rPr>
        <w:t>2013</w:t>
      </w:r>
      <w:r w:rsidR="00730DDA">
        <w:rPr>
          <w:rFonts w:ascii="Times New Roman" w:hAnsi="Times New Roman"/>
        </w:rPr>
        <w:t xml:space="preserve"> </w:t>
      </w:r>
      <w:r w:rsidR="008D5E97" w:rsidRPr="00E16B38">
        <w:rPr>
          <w:rFonts w:ascii="Times New Roman" w:hAnsi="Times New Roman"/>
        </w:rPr>
        <w:t>Clyde signed an “Age of Consent Decision Form</w:t>
      </w:r>
      <w:proofErr w:type="gramStart"/>
      <w:r w:rsidR="008D5E97" w:rsidRPr="00E16B38">
        <w:rPr>
          <w:rFonts w:ascii="Times New Roman" w:hAnsi="Times New Roman"/>
        </w:rPr>
        <w:t>”  electing</w:t>
      </w:r>
      <w:proofErr w:type="gramEnd"/>
      <w:r w:rsidR="008D5E97" w:rsidRPr="00E16B38">
        <w:rPr>
          <w:rFonts w:ascii="Times New Roman" w:hAnsi="Times New Roman"/>
        </w:rPr>
        <w:t xml:space="preserve"> to share special educ</w:t>
      </w:r>
      <w:r w:rsidR="003865F1">
        <w:rPr>
          <w:rFonts w:ascii="Times New Roman" w:hAnsi="Times New Roman"/>
        </w:rPr>
        <w:t>ation decisions with his parent</w:t>
      </w:r>
      <w:r w:rsidR="008D5E97" w:rsidRPr="00E16B38">
        <w:rPr>
          <w:rFonts w:ascii="Times New Roman" w:hAnsi="Times New Roman"/>
        </w:rPr>
        <w:t>.  (S-5).  Also on January 28, 2013 Martha’s Vineyard proposed, consistent with Clyde’s request, an interim placement at Martha’s Vineyard High School.  Clyde and Ms. C. accepted the interim placement pending identification of an appropriate residential option.  (S-3; Ms. C; Lowell-Bettencourt)</w:t>
      </w:r>
    </w:p>
    <w:p w:rsidR="00957E8F" w:rsidRPr="00E16B38" w:rsidRDefault="00957E8F" w:rsidP="00957E8F">
      <w:pPr>
        <w:pStyle w:val="ListParagraph"/>
        <w:rPr>
          <w:rFonts w:ascii="Times New Roman" w:hAnsi="Times New Roman"/>
        </w:rPr>
      </w:pPr>
    </w:p>
    <w:p w:rsidR="00957E8F" w:rsidRPr="00E16B38" w:rsidRDefault="00957E8F" w:rsidP="004C0ED8">
      <w:pPr>
        <w:pStyle w:val="ListParagraph"/>
        <w:numPr>
          <w:ilvl w:val="0"/>
          <w:numId w:val="3"/>
        </w:numPr>
        <w:rPr>
          <w:rFonts w:ascii="Times New Roman" w:hAnsi="Times New Roman"/>
        </w:rPr>
      </w:pPr>
      <w:r w:rsidRPr="00E16B38">
        <w:rPr>
          <w:rFonts w:ascii="Times New Roman" w:hAnsi="Times New Roman"/>
        </w:rPr>
        <w:t>Of the 22 out-of-district placements that reviewed Clyde’s school records, nine responded that their programs might be appropriate.  Of those Ms. C. and Ms. Lowell-Bettencourt identified 4 as potentially appropriate:  Montcalm, Sorenson Ranch, Turning Winds and Mountain Lake Academy.  In February 2013 Clyde had telephone interviews with the four potential placements.  He insisted he was not interested in residential placements but “if forced”, would choose Montcalm.  Ms. C. insisted that only Turning Winds would be appropriate for Clyde.  Ms. Lowell-Bettencourt visited Turning Winds in Utah on March 27, 2013 and approved the program.  Martha’s Vineyard offered an immediate placement in advance of a positive response from the DESE of the “sole source” application approval process</w:t>
      </w:r>
      <w:r w:rsidR="00216040" w:rsidRPr="00E16B38">
        <w:rPr>
          <w:rFonts w:ascii="Times New Roman" w:hAnsi="Times New Roman"/>
        </w:rPr>
        <w:t>.  (S-1; Lowell-Bettencourt)  Ms. C. accepted the Turning Winds placement.  Clyde rejected the proposed placement at Turning Winds on April 24, 2013.  (S-1)</w:t>
      </w:r>
    </w:p>
    <w:p w:rsidR="00216040" w:rsidRPr="00E16B38" w:rsidRDefault="00216040" w:rsidP="00216040">
      <w:pPr>
        <w:pStyle w:val="ListParagraph"/>
        <w:rPr>
          <w:rFonts w:ascii="Times New Roman" w:hAnsi="Times New Roman"/>
        </w:rPr>
      </w:pPr>
    </w:p>
    <w:p w:rsidR="00216040" w:rsidRPr="00E16B38" w:rsidRDefault="00216040" w:rsidP="004C0ED8">
      <w:pPr>
        <w:pStyle w:val="ListParagraph"/>
        <w:numPr>
          <w:ilvl w:val="0"/>
          <w:numId w:val="3"/>
        </w:numPr>
        <w:rPr>
          <w:rFonts w:ascii="Times New Roman" w:hAnsi="Times New Roman"/>
        </w:rPr>
      </w:pPr>
      <w:r w:rsidRPr="00E16B38">
        <w:rPr>
          <w:rFonts w:ascii="Times New Roman" w:hAnsi="Times New Roman"/>
        </w:rPr>
        <w:t>Clyde attended a partial day program at Martha’s Vineyard High School for a few months.  His attendance was progressively inconsistent and by April 2013 he was not accessing any school based services.  Clyde maintained that he was not interested in any residential options.</w:t>
      </w:r>
      <w:r w:rsidRPr="00E16B38">
        <w:rPr>
          <w:rStyle w:val="FootnoteReference"/>
          <w:rFonts w:ascii="Times New Roman" w:hAnsi="Times New Roman"/>
        </w:rPr>
        <w:footnoteReference w:id="2"/>
      </w:r>
      <w:r w:rsidRPr="00E16B38">
        <w:rPr>
          <w:rFonts w:ascii="Times New Roman" w:hAnsi="Times New Roman"/>
        </w:rPr>
        <w:t xml:space="preserve">  (Ms. C.; </w:t>
      </w:r>
      <w:proofErr w:type="spellStart"/>
      <w:r w:rsidRPr="00E16B38">
        <w:rPr>
          <w:rFonts w:ascii="Times New Roman" w:hAnsi="Times New Roman"/>
        </w:rPr>
        <w:t>Verbits</w:t>
      </w:r>
      <w:proofErr w:type="spellEnd"/>
      <w:r w:rsidRPr="00E16B38">
        <w:rPr>
          <w:rFonts w:ascii="Times New Roman" w:hAnsi="Times New Roman"/>
        </w:rPr>
        <w:t>; Lowell-Bettencourt)</w:t>
      </w:r>
    </w:p>
    <w:p w:rsidR="00874EC3" w:rsidRPr="00E16B38" w:rsidRDefault="00874EC3" w:rsidP="00874EC3">
      <w:pPr>
        <w:rPr>
          <w:rFonts w:ascii="Times New Roman" w:hAnsi="Times New Roman"/>
        </w:rPr>
      </w:pPr>
    </w:p>
    <w:p w:rsidR="00C50C0A" w:rsidRPr="00E16B38" w:rsidRDefault="004E2AD0" w:rsidP="00D238B3">
      <w:pPr>
        <w:rPr>
          <w:rFonts w:ascii="Times New Roman" w:hAnsi="Times New Roman"/>
          <w:u w:val="single"/>
        </w:rPr>
      </w:pPr>
      <w:r w:rsidRPr="00E16B38">
        <w:rPr>
          <w:rFonts w:ascii="Times New Roman" w:hAnsi="Times New Roman"/>
          <w:u w:val="single"/>
        </w:rPr>
        <w:t>FINDINGS AND CONCLUSIONS</w:t>
      </w:r>
    </w:p>
    <w:p w:rsidR="00216040" w:rsidRPr="00E16B38" w:rsidRDefault="00216040" w:rsidP="00D238B3">
      <w:pPr>
        <w:rPr>
          <w:rFonts w:ascii="Times New Roman" w:hAnsi="Times New Roman"/>
          <w:u w:val="single"/>
        </w:rPr>
      </w:pPr>
    </w:p>
    <w:p w:rsidR="00CF63B9" w:rsidRPr="00E16B38" w:rsidRDefault="00216040" w:rsidP="00D238B3">
      <w:pPr>
        <w:rPr>
          <w:rFonts w:ascii="Times New Roman" w:hAnsi="Times New Roman"/>
        </w:rPr>
      </w:pPr>
      <w:r w:rsidRPr="00E16B38">
        <w:rPr>
          <w:rFonts w:ascii="Times New Roman" w:hAnsi="Times New Roman"/>
        </w:rPr>
        <w:tab/>
        <w:t xml:space="preserve">There is no dispute that Clyde is a student with special learning needs as defined by 20 U.S.C. § 1401 </w:t>
      </w:r>
      <w:proofErr w:type="gramStart"/>
      <w:r w:rsidRPr="00E16B38">
        <w:rPr>
          <w:rFonts w:ascii="Times New Roman" w:hAnsi="Times New Roman"/>
          <w:i/>
        </w:rPr>
        <w:t>et</w:t>
      </w:r>
      <w:proofErr w:type="gramEnd"/>
      <w:r w:rsidRPr="00E16B38">
        <w:rPr>
          <w:rFonts w:ascii="Times New Roman" w:hAnsi="Times New Roman"/>
          <w:i/>
        </w:rPr>
        <w:t xml:space="preserve"> </w:t>
      </w:r>
      <w:proofErr w:type="spellStart"/>
      <w:r w:rsidRPr="00E16B38">
        <w:rPr>
          <w:rFonts w:ascii="Times New Roman" w:hAnsi="Times New Roman"/>
          <w:i/>
        </w:rPr>
        <w:t>seq</w:t>
      </w:r>
      <w:proofErr w:type="spellEnd"/>
      <w:r w:rsidRPr="00E16B38">
        <w:rPr>
          <w:rFonts w:ascii="Times New Roman" w:hAnsi="Times New Roman"/>
        </w:rPr>
        <w:t xml:space="preserve"> and M.G.L. c. 71 B.  The only issue is whether Martha’s Vineyard took all reasonable and appropriate measures to ensure continuous implementation of Clyde’s accepted IEP after the placement that had been delivering the services to him became unavailable.  After careful consideration of all the evidence presented at the Hearing, and of the arguments of both parties, it is my determination that the Parent has failed to prove by a preponderance of the evidence that Martha’s Vineyard neglected its duty to offer Clyde an immediate educational placement comparable to that outlined and delivered under his last agreed upon Individualized Education Program</w:t>
      </w:r>
      <w:r w:rsidR="00CF63B9" w:rsidRPr="00E16B38">
        <w:rPr>
          <w:rFonts w:ascii="Times New Roman" w:hAnsi="Times New Roman"/>
        </w:rPr>
        <w:t xml:space="preserve">.  </w:t>
      </w:r>
      <w:proofErr w:type="gramStart"/>
      <w:r w:rsidR="00CF63B9" w:rsidRPr="00E16B38">
        <w:rPr>
          <w:rFonts w:ascii="Times New Roman" w:hAnsi="Times New Roman"/>
          <w:i/>
        </w:rPr>
        <w:t xml:space="preserve">Schaffer v. </w:t>
      </w:r>
      <w:proofErr w:type="spellStart"/>
      <w:r w:rsidR="00CF63B9" w:rsidRPr="00E16B38">
        <w:rPr>
          <w:rFonts w:ascii="Times New Roman" w:hAnsi="Times New Roman"/>
          <w:i/>
        </w:rPr>
        <w:t>Weast</w:t>
      </w:r>
      <w:proofErr w:type="spellEnd"/>
      <w:r w:rsidR="0066365D" w:rsidRPr="00E16B38">
        <w:rPr>
          <w:rFonts w:ascii="Times New Roman" w:hAnsi="Times New Roman"/>
        </w:rPr>
        <w:t>, 546 U.S. 49 (2009).</w:t>
      </w:r>
      <w:proofErr w:type="gramEnd"/>
      <w:r w:rsidR="00CF63B9" w:rsidRPr="00E16B38">
        <w:rPr>
          <w:rFonts w:ascii="Times New Roman" w:hAnsi="Times New Roman"/>
        </w:rPr>
        <w:t xml:space="preserve"> </w:t>
      </w:r>
    </w:p>
    <w:p w:rsidR="00BC7B36" w:rsidRPr="00E16B38" w:rsidRDefault="00BC7B36" w:rsidP="00D238B3">
      <w:pPr>
        <w:rPr>
          <w:rFonts w:ascii="Times New Roman" w:hAnsi="Times New Roman"/>
        </w:rPr>
      </w:pPr>
    </w:p>
    <w:p w:rsidR="00216040" w:rsidRPr="00E16B38" w:rsidRDefault="00CF63B9" w:rsidP="00D238B3">
      <w:pPr>
        <w:rPr>
          <w:rFonts w:ascii="Times New Roman" w:hAnsi="Times New Roman"/>
        </w:rPr>
      </w:pPr>
      <w:r w:rsidRPr="00E16B38">
        <w:rPr>
          <w:rFonts w:ascii="Times New Roman" w:hAnsi="Times New Roman"/>
        </w:rPr>
        <w:tab/>
        <w:t xml:space="preserve">This matter involves one of the fundamental procedural protections available to students with disabilities </w:t>
      </w:r>
      <w:r w:rsidR="0066365D" w:rsidRPr="00E16B38">
        <w:rPr>
          <w:rFonts w:ascii="Times New Roman" w:hAnsi="Times New Roman"/>
        </w:rPr>
        <w:t>under the IDEA and M.G.L. c.</w:t>
      </w:r>
      <w:r w:rsidR="004F64A2">
        <w:rPr>
          <w:rFonts w:ascii="Times New Roman" w:hAnsi="Times New Roman"/>
        </w:rPr>
        <w:t xml:space="preserve"> </w:t>
      </w:r>
      <w:r w:rsidR="0066365D" w:rsidRPr="00E16B38">
        <w:rPr>
          <w:rFonts w:ascii="Times New Roman" w:hAnsi="Times New Roman"/>
        </w:rPr>
        <w:t>71</w:t>
      </w:r>
      <w:r w:rsidRPr="00E16B38">
        <w:rPr>
          <w:rFonts w:ascii="Times New Roman" w:hAnsi="Times New Roman"/>
        </w:rPr>
        <w:t>B, colloquially known as “stay put”.</w:t>
      </w:r>
      <w:r w:rsidRPr="00E16B38">
        <w:rPr>
          <w:rStyle w:val="FootnoteReference"/>
          <w:rFonts w:ascii="Times New Roman" w:hAnsi="Times New Roman"/>
        </w:rPr>
        <w:footnoteReference w:id="3"/>
      </w:r>
      <w:r w:rsidR="0066365D" w:rsidRPr="00E16B38">
        <w:rPr>
          <w:rFonts w:ascii="Times New Roman" w:hAnsi="Times New Roman"/>
        </w:rPr>
        <w:t xml:space="preserve">  “Stay put” </w:t>
      </w:r>
      <w:r w:rsidRPr="00E16B38">
        <w:rPr>
          <w:rFonts w:ascii="Times New Roman" w:hAnsi="Times New Roman"/>
        </w:rPr>
        <w:t>comes into play whenever a Student/Parent</w:t>
      </w:r>
      <w:r w:rsidR="003B581E" w:rsidRPr="00E16B38">
        <w:rPr>
          <w:rFonts w:ascii="Times New Roman" w:hAnsi="Times New Roman"/>
        </w:rPr>
        <w:t xml:space="preserve"> </w:t>
      </w:r>
      <w:r w:rsidRPr="00E16B38">
        <w:rPr>
          <w:rFonts w:ascii="Times New Roman" w:hAnsi="Times New Roman"/>
        </w:rPr>
        <w:t>and the responsible local school district disagree about provision of special education services.  It also applies to situations where, as here, the agreed upon special education services can no longer, for any number of reason</w:t>
      </w:r>
      <w:r w:rsidR="0066365D" w:rsidRPr="00E16B38">
        <w:rPr>
          <w:rFonts w:ascii="Times New Roman" w:hAnsi="Times New Roman"/>
        </w:rPr>
        <w:t>s</w:t>
      </w:r>
      <w:r w:rsidRPr="00E16B38">
        <w:rPr>
          <w:rFonts w:ascii="Times New Roman" w:hAnsi="Times New Roman"/>
        </w:rPr>
        <w:t>, be delivered to the student in the manner, location, setting, hours, methodology or by the personnel contemplated under the last accepted IEP.  Where the precise terms previously agreed to cannot be implemented, a school district’s obligation to “maintain the status quo” may be fulfilled by identifying and providing a “comparable” program.  A “comparable” special education program is one which matches as closely as possible the setting, the type and level of service delivery, the degree of mainstream contact, the methodology and teaching ap</w:t>
      </w:r>
      <w:r w:rsidR="00C4680D" w:rsidRPr="00E16B38">
        <w:rPr>
          <w:rFonts w:ascii="Times New Roman" w:hAnsi="Times New Roman"/>
        </w:rPr>
        <w:t>proach, the staff-student ratio</w:t>
      </w:r>
      <w:r w:rsidRPr="00E16B38">
        <w:rPr>
          <w:rFonts w:ascii="Times New Roman" w:hAnsi="Times New Roman"/>
        </w:rPr>
        <w:t>, the instructional and therapeutic expertise, and the duration of dire</w:t>
      </w:r>
      <w:r w:rsidR="00C4680D" w:rsidRPr="00E16B38">
        <w:rPr>
          <w:rFonts w:ascii="Times New Roman" w:hAnsi="Times New Roman"/>
        </w:rPr>
        <w:t>ct and incidental teaching the s</w:t>
      </w:r>
      <w:r w:rsidRPr="00E16B38">
        <w:rPr>
          <w:rFonts w:ascii="Times New Roman" w:hAnsi="Times New Roman"/>
        </w:rPr>
        <w:t>tudent received</w:t>
      </w:r>
      <w:r w:rsidR="00C4680D" w:rsidRPr="00E16B38">
        <w:rPr>
          <w:rFonts w:ascii="Times New Roman" w:hAnsi="Times New Roman"/>
        </w:rPr>
        <w:t xml:space="preserve"> in the placement in which the s</w:t>
      </w:r>
      <w:r w:rsidRPr="00E16B38">
        <w:rPr>
          <w:rFonts w:ascii="Times New Roman" w:hAnsi="Times New Roman"/>
        </w:rPr>
        <w:t>tudent was enrolled at the time the dispute or placement interruption occurred.</w:t>
      </w:r>
      <w:r w:rsidRPr="00E16B38">
        <w:rPr>
          <w:rStyle w:val="FootnoteReference"/>
          <w:rFonts w:ascii="Times New Roman" w:hAnsi="Times New Roman"/>
        </w:rPr>
        <w:footnoteReference w:id="4"/>
      </w:r>
    </w:p>
    <w:p w:rsidR="0066365D" w:rsidRPr="00E16B38" w:rsidRDefault="0066365D" w:rsidP="00D238B3">
      <w:pPr>
        <w:rPr>
          <w:rFonts w:ascii="Times New Roman" w:hAnsi="Times New Roman"/>
        </w:rPr>
      </w:pPr>
    </w:p>
    <w:p w:rsidR="00BC7B36" w:rsidRPr="00E16B38" w:rsidRDefault="00BC7B36" w:rsidP="00CF63B9">
      <w:pPr>
        <w:rPr>
          <w:rFonts w:ascii="Times New Roman" w:hAnsi="Times New Roman"/>
        </w:rPr>
      </w:pPr>
      <w:r w:rsidRPr="00E16B38">
        <w:rPr>
          <w:rFonts w:ascii="Times New Roman" w:hAnsi="Times New Roman"/>
        </w:rPr>
        <w:tab/>
        <w:t>Here the Parties agree that a therapeutic residential education program or a residential treatment center with a strong educational component is “comparable” to the o</w:t>
      </w:r>
      <w:r w:rsidR="004F64A2">
        <w:rPr>
          <w:rFonts w:ascii="Times New Roman" w:hAnsi="Times New Roman"/>
        </w:rPr>
        <w:t>ne no longer available to Clyde through</w:t>
      </w:r>
      <w:r w:rsidRPr="00E16B38">
        <w:rPr>
          <w:rFonts w:ascii="Times New Roman" w:hAnsi="Times New Roman"/>
        </w:rPr>
        <w:t xml:space="preserve"> </w:t>
      </w:r>
      <w:r w:rsidR="00833ACF" w:rsidRPr="00E16B38">
        <w:rPr>
          <w:rFonts w:ascii="Times New Roman" w:hAnsi="Times New Roman"/>
        </w:rPr>
        <w:t>the</w:t>
      </w:r>
      <w:r w:rsidR="00C4680D" w:rsidRPr="00E16B38">
        <w:rPr>
          <w:rFonts w:ascii="Times New Roman" w:hAnsi="Times New Roman"/>
        </w:rPr>
        <w:t xml:space="preserve"> </w:t>
      </w:r>
      <w:r w:rsidR="00B97916" w:rsidRPr="00E16B38">
        <w:rPr>
          <w:rFonts w:ascii="Times New Roman" w:hAnsi="Times New Roman"/>
        </w:rPr>
        <w:t>Academy at Swift River</w:t>
      </w:r>
      <w:r w:rsidRPr="00E16B38">
        <w:rPr>
          <w:rFonts w:ascii="Times New Roman" w:hAnsi="Times New Roman"/>
        </w:rPr>
        <w:t>.</w:t>
      </w:r>
    </w:p>
    <w:p w:rsidR="00BC7B36" w:rsidRPr="00E16B38" w:rsidRDefault="00BC7B36" w:rsidP="00CF63B9">
      <w:pPr>
        <w:rPr>
          <w:rFonts w:ascii="Times New Roman" w:hAnsi="Times New Roman"/>
        </w:rPr>
      </w:pPr>
      <w:r w:rsidRPr="00E16B38">
        <w:rPr>
          <w:rFonts w:ascii="Times New Roman" w:hAnsi="Times New Roman"/>
        </w:rPr>
        <w:tab/>
      </w:r>
    </w:p>
    <w:p w:rsidR="00BC7B36" w:rsidRPr="00E16B38" w:rsidRDefault="00BC7B36" w:rsidP="00CF63B9">
      <w:pPr>
        <w:rPr>
          <w:rFonts w:ascii="Times New Roman" w:hAnsi="Times New Roman"/>
        </w:rPr>
      </w:pPr>
      <w:r w:rsidRPr="00E16B38">
        <w:rPr>
          <w:rFonts w:ascii="Times New Roman" w:hAnsi="Times New Roman"/>
        </w:rPr>
        <w:tab/>
        <w:t xml:space="preserve">The Parent asserts that Martha’s Vineyard Public Schools intentionally delayed locating a placement comparable to </w:t>
      </w:r>
      <w:r w:rsidR="00833ACF" w:rsidRPr="00E16B38">
        <w:rPr>
          <w:rFonts w:ascii="Times New Roman" w:hAnsi="Times New Roman"/>
        </w:rPr>
        <w:t xml:space="preserve">the </w:t>
      </w:r>
      <w:r w:rsidR="00B97916" w:rsidRPr="00E16B38">
        <w:rPr>
          <w:rFonts w:ascii="Times New Roman" w:hAnsi="Times New Roman"/>
        </w:rPr>
        <w:t>Academy at Swift River</w:t>
      </w:r>
      <w:r w:rsidRPr="00E16B38">
        <w:rPr>
          <w:rFonts w:ascii="Times New Roman" w:hAnsi="Times New Roman"/>
        </w:rPr>
        <w:t xml:space="preserve"> for the purpose of avoiding its obligation to implement a therapeutic resid</w:t>
      </w:r>
      <w:r w:rsidR="00C4680D" w:rsidRPr="00E16B38">
        <w:rPr>
          <w:rFonts w:ascii="Times New Roman" w:hAnsi="Times New Roman"/>
        </w:rPr>
        <w:t>ential education program for Clyde</w:t>
      </w:r>
      <w:r w:rsidRPr="00E16B38">
        <w:rPr>
          <w:rFonts w:ascii="Times New Roman" w:hAnsi="Times New Roman"/>
        </w:rPr>
        <w:t>.  She argues that Martha’s Vineyard Public Schools personnel were aware that Clyde did not agree that residential programming was appropriate for him, that he wished to remain in Martha’s Vineyard which has no residential educational programs, and that he would attain the age of 18 in January 2013.  By waiting until Clyde had independent legal authority to approve or disapprove his IEP, Ms. C. argues, Martha’s Vineyard could and did take advantage of Clyde’s lack of insight into his own educational needs to offer him less expensive programming.</w:t>
      </w:r>
    </w:p>
    <w:p w:rsidR="00BC7B36" w:rsidRPr="00E16B38" w:rsidRDefault="00BC7B36" w:rsidP="00CF63B9">
      <w:pPr>
        <w:rPr>
          <w:rFonts w:ascii="Times New Roman" w:hAnsi="Times New Roman"/>
        </w:rPr>
      </w:pPr>
    </w:p>
    <w:p w:rsidR="00BC7B36" w:rsidRPr="00E16B38" w:rsidRDefault="00BC7B36" w:rsidP="00CF63B9">
      <w:pPr>
        <w:rPr>
          <w:rFonts w:ascii="Times New Roman" w:hAnsi="Times New Roman"/>
        </w:rPr>
      </w:pPr>
      <w:r w:rsidRPr="00E16B38">
        <w:rPr>
          <w:rFonts w:ascii="Times New Roman" w:hAnsi="Times New Roman"/>
        </w:rPr>
        <w:tab/>
        <w:t>To be sure, the delay of almost ten months in the actual delivery of an educational program comparable to that outlined in the last agreed upon IEP is deeply troubling.  Furthermore, the record demonstrates that</w:t>
      </w:r>
      <w:r w:rsidR="004C5763" w:rsidRPr="00E16B38">
        <w:rPr>
          <w:rFonts w:ascii="Times New Roman" w:hAnsi="Times New Roman"/>
        </w:rPr>
        <w:t xml:space="preserve"> the results of</w:t>
      </w:r>
      <w:r w:rsidRPr="00E16B38">
        <w:rPr>
          <w:rFonts w:ascii="Times New Roman" w:hAnsi="Times New Roman"/>
        </w:rPr>
        <w:t xml:space="preserve"> Martha’s Vineyard’s efforts to locate alternative placements, to communicate with the Parent and to ensure timely delivery of appropriate special education services to Clyde were less than ideal.  While the School has a continuing obligation to maintain a Student in his last agreed upon placement, or if that placemen</w:t>
      </w:r>
      <w:r w:rsidR="0066365D" w:rsidRPr="00E16B38">
        <w:rPr>
          <w:rFonts w:ascii="Times New Roman" w:hAnsi="Times New Roman"/>
        </w:rPr>
        <w:t>t is unavailable for any reason</w:t>
      </w:r>
      <w:r w:rsidRPr="00E16B38">
        <w:rPr>
          <w:rFonts w:ascii="Times New Roman" w:hAnsi="Times New Roman"/>
        </w:rPr>
        <w:t xml:space="preserve"> to provide a comparable program, there are extenuating circumstances in this matter that explain the difficulty the School </w:t>
      </w:r>
      <w:r w:rsidR="0066365D" w:rsidRPr="00E16B38">
        <w:rPr>
          <w:rFonts w:ascii="Times New Roman" w:hAnsi="Times New Roman"/>
        </w:rPr>
        <w:t>h</w:t>
      </w:r>
      <w:r w:rsidRPr="00E16B38">
        <w:rPr>
          <w:rFonts w:ascii="Times New Roman" w:hAnsi="Times New Roman"/>
        </w:rPr>
        <w:t>ad in fulfilling its statutory duty.</w:t>
      </w:r>
    </w:p>
    <w:p w:rsidR="00BC7B36" w:rsidRPr="00E16B38" w:rsidRDefault="00BC7B36" w:rsidP="00CF63B9">
      <w:pPr>
        <w:rPr>
          <w:rFonts w:ascii="Times New Roman" w:hAnsi="Times New Roman"/>
        </w:rPr>
      </w:pPr>
    </w:p>
    <w:p w:rsidR="00BC7B36" w:rsidRPr="00E16B38" w:rsidRDefault="00BC7B36" w:rsidP="00CF63B9">
      <w:pPr>
        <w:rPr>
          <w:rFonts w:ascii="Times New Roman" w:hAnsi="Times New Roman"/>
        </w:rPr>
      </w:pPr>
      <w:r w:rsidRPr="00E16B38">
        <w:rPr>
          <w:rFonts w:ascii="Times New Roman" w:hAnsi="Times New Roman"/>
        </w:rPr>
        <w:tab/>
        <w:t xml:space="preserve">First, it is unclear when the School was notified or otherwise learned of Clyde’s absence from the </w:t>
      </w:r>
      <w:r w:rsidR="00B97916" w:rsidRPr="00E16B38">
        <w:rPr>
          <w:rFonts w:ascii="Times New Roman" w:hAnsi="Times New Roman"/>
        </w:rPr>
        <w:t>Academy at Swift River</w:t>
      </w:r>
      <w:r w:rsidRPr="00E16B38">
        <w:rPr>
          <w:rFonts w:ascii="Times New Roman" w:hAnsi="Times New Roman"/>
        </w:rPr>
        <w:t xml:space="preserve">.  The testimony established only that the new Directors of Special Education and Student Support Services learned of the need to secure an alternate education program for Clyde when they started their </w:t>
      </w:r>
      <w:r w:rsidR="00833ACF" w:rsidRPr="00E16B38">
        <w:rPr>
          <w:rFonts w:ascii="Times New Roman" w:hAnsi="Times New Roman"/>
        </w:rPr>
        <w:t>jobs at the beginning of August</w:t>
      </w:r>
      <w:r w:rsidRPr="00E16B38">
        <w:rPr>
          <w:rFonts w:ascii="Times New Roman" w:hAnsi="Times New Roman"/>
        </w:rPr>
        <w:t xml:space="preserve"> 2012.  The record shows that they immediately met with the Parent, investigated the placements she suggested, selected one, Catalyst, arranged for Cat</w:t>
      </w:r>
      <w:r w:rsidR="00B625C3" w:rsidRPr="00E16B38">
        <w:rPr>
          <w:rFonts w:ascii="Times New Roman" w:hAnsi="Times New Roman"/>
        </w:rPr>
        <w:t>al</w:t>
      </w:r>
      <w:r w:rsidRPr="00E16B38">
        <w:rPr>
          <w:rFonts w:ascii="Times New Roman" w:hAnsi="Times New Roman"/>
        </w:rPr>
        <w:t>yst to participate in a Team meeting</w:t>
      </w:r>
      <w:r w:rsidR="00B625C3" w:rsidRPr="00E16B38">
        <w:rPr>
          <w:rFonts w:ascii="Times New Roman" w:hAnsi="Times New Roman"/>
        </w:rPr>
        <w:t xml:space="preserve"> within two weeks, and ten days later proposed an IEP indicating residential </w:t>
      </w:r>
      <w:r w:rsidR="00675FBA" w:rsidRPr="00E16B38">
        <w:rPr>
          <w:rFonts w:ascii="Times New Roman" w:hAnsi="Times New Roman"/>
        </w:rPr>
        <w:t xml:space="preserve">placement at Catalyst.  </w:t>
      </w:r>
    </w:p>
    <w:p w:rsidR="00B625C3" w:rsidRPr="00E16B38" w:rsidRDefault="00B625C3" w:rsidP="00CF63B9">
      <w:pPr>
        <w:rPr>
          <w:rFonts w:ascii="Times New Roman" w:hAnsi="Times New Roman"/>
        </w:rPr>
      </w:pPr>
    </w:p>
    <w:p w:rsidR="00B625C3" w:rsidRPr="00E16B38" w:rsidRDefault="00675FBA" w:rsidP="00CF63B9">
      <w:pPr>
        <w:rPr>
          <w:rFonts w:ascii="Times New Roman" w:hAnsi="Times New Roman"/>
        </w:rPr>
      </w:pPr>
      <w:r w:rsidRPr="00E16B38">
        <w:rPr>
          <w:rFonts w:ascii="Times New Roman" w:hAnsi="Times New Roman"/>
        </w:rPr>
        <w:tab/>
        <w:t>After that reasonable response by the School, things began to go awry. T</w:t>
      </w:r>
      <w:r w:rsidR="00B625C3" w:rsidRPr="00E16B38">
        <w:rPr>
          <w:rFonts w:ascii="Times New Roman" w:hAnsi="Times New Roman"/>
        </w:rPr>
        <w:t>he Parent declined to accept the proposed IEP and placement at Catalyst.  The reason she gave, that she did not believe Martha’s Vineyard would actually place Clyde at Catalyst, did not alter or advance Martha’s Vineyard’s understanding of Clyde’s needs nor facilitate his placement in a residential program comparable to</w:t>
      </w:r>
      <w:r w:rsidR="00833ACF" w:rsidRPr="00E16B38">
        <w:rPr>
          <w:rFonts w:ascii="Times New Roman" w:hAnsi="Times New Roman"/>
        </w:rPr>
        <w:t xml:space="preserve"> the</w:t>
      </w:r>
      <w:r w:rsidR="00B625C3" w:rsidRPr="00E16B38">
        <w:rPr>
          <w:rFonts w:ascii="Times New Roman" w:hAnsi="Times New Roman"/>
        </w:rPr>
        <w:t xml:space="preserve"> </w:t>
      </w:r>
      <w:r w:rsidR="00B97916" w:rsidRPr="00E16B38">
        <w:rPr>
          <w:rFonts w:ascii="Times New Roman" w:hAnsi="Times New Roman"/>
        </w:rPr>
        <w:t>Academy at Swift River</w:t>
      </w:r>
      <w:r w:rsidR="00B625C3" w:rsidRPr="00E16B38">
        <w:rPr>
          <w:rFonts w:ascii="Times New Roman" w:hAnsi="Times New Roman"/>
        </w:rPr>
        <w:t xml:space="preserve">.  Meanwhile Martha’s Vineyard began to conduct the search for an appropriate, approved in-state special education program for Clyde as required by the DESE’s “sole source” approval process.  The Parent indicated that she would not accept any placement in Massachusetts.  She later met with Ms. Lowell-Bettencourt and Mr. </w:t>
      </w:r>
      <w:proofErr w:type="spellStart"/>
      <w:r w:rsidR="00B625C3" w:rsidRPr="00E16B38">
        <w:rPr>
          <w:rFonts w:ascii="Times New Roman" w:hAnsi="Times New Roman"/>
        </w:rPr>
        <w:t>Verbits</w:t>
      </w:r>
      <w:proofErr w:type="spellEnd"/>
      <w:r w:rsidR="00B625C3" w:rsidRPr="00E16B38">
        <w:rPr>
          <w:rFonts w:ascii="Times New Roman" w:hAnsi="Times New Roman"/>
        </w:rPr>
        <w:t xml:space="preserve"> to review potential programs in Massachusetts, but declined permission to send referral packets to all but one, </w:t>
      </w:r>
      <w:proofErr w:type="spellStart"/>
      <w:r w:rsidR="00B625C3" w:rsidRPr="00E16B38">
        <w:rPr>
          <w:rFonts w:ascii="Times New Roman" w:hAnsi="Times New Roman"/>
        </w:rPr>
        <w:t>Wedeiko</w:t>
      </w:r>
      <w:proofErr w:type="spellEnd"/>
      <w:r w:rsidR="00B625C3" w:rsidRPr="00E16B38">
        <w:rPr>
          <w:rFonts w:ascii="Times New Roman" w:hAnsi="Times New Roman"/>
        </w:rPr>
        <w:t xml:space="preserve">.  After visiting </w:t>
      </w:r>
      <w:proofErr w:type="spellStart"/>
      <w:r w:rsidR="00B625C3" w:rsidRPr="00E16B38">
        <w:rPr>
          <w:rFonts w:ascii="Times New Roman" w:hAnsi="Times New Roman"/>
        </w:rPr>
        <w:t>Wedeiko</w:t>
      </w:r>
      <w:proofErr w:type="spellEnd"/>
      <w:r w:rsidR="00B625C3" w:rsidRPr="00E16B38">
        <w:rPr>
          <w:rFonts w:ascii="Times New Roman" w:hAnsi="Times New Roman"/>
        </w:rPr>
        <w:t>, Ms. C. and Clyde declined Martha’s Vineyard’s offer to place Clyde there.  Ms. C. then requested a placement at the John Dewey Academy, an unapproved non-special education private boarding school in Massachusetts.  Ms. Lowell-Bettencourt investigated that option but learned that Clyde would not be accepted.  In mid-October, with the proposed placement at Catalyst still outstanding, but unaccepted, and resources within Massachusetts exhausted, Ms. Lowell-Bettencourt reasona</w:t>
      </w:r>
      <w:r w:rsidR="0066365D" w:rsidRPr="00E16B38">
        <w:rPr>
          <w:rFonts w:ascii="Times New Roman" w:hAnsi="Times New Roman"/>
        </w:rPr>
        <w:t>bly</w:t>
      </w:r>
      <w:r w:rsidR="00B625C3" w:rsidRPr="00E16B38">
        <w:rPr>
          <w:rFonts w:ascii="Times New Roman" w:hAnsi="Times New Roman"/>
        </w:rPr>
        <w:t xml:space="preserve"> determined that the sole source criteria had been met and widened the search for an appropriate placement for Clyde.</w:t>
      </w:r>
      <w:r w:rsidR="001A2CFF" w:rsidRPr="00E16B38">
        <w:rPr>
          <w:rFonts w:ascii="Times New Roman" w:hAnsi="Times New Roman"/>
        </w:rPr>
        <w:t xml:space="preserve">  On October 14, 2012 Martha’s Vineyard offered an immediate placement at Provo Canyon, a residential treatment center similar to Catalyst.  Ms. C. declined.  Thereafter in November, 2012 Mar</w:t>
      </w:r>
      <w:r w:rsidR="0066365D" w:rsidRPr="00E16B38">
        <w:rPr>
          <w:rFonts w:ascii="Times New Roman" w:hAnsi="Times New Roman"/>
        </w:rPr>
        <w:t>tha’s Vineyard contacted 7 out-o</w:t>
      </w:r>
      <w:r w:rsidR="001A2CFF" w:rsidRPr="00E16B38">
        <w:rPr>
          <w:rFonts w:ascii="Times New Roman" w:hAnsi="Times New Roman"/>
        </w:rPr>
        <w:t xml:space="preserve">f-state programs for which Ms. C. gave </w:t>
      </w:r>
      <w:r w:rsidR="0066365D" w:rsidRPr="00E16B38">
        <w:rPr>
          <w:rFonts w:ascii="Times New Roman" w:hAnsi="Times New Roman"/>
        </w:rPr>
        <w:t>contact permission</w:t>
      </w:r>
      <w:r w:rsidR="00833ACF" w:rsidRPr="00E16B38">
        <w:rPr>
          <w:rFonts w:ascii="Times New Roman" w:hAnsi="Times New Roman"/>
        </w:rPr>
        <w:t>; none was acceptable to Ms. C.</w:t>
      </w:r>
      <w:r w:rsidR="001A2CFF" w:rsidRPr="00E16B38">
        <w:rPr>
          <w:rFonts w:ascii="Times New Roman" w:hAnsi="Times New Roman"/>
        </w:rPr>
        <w:t xml:space="preserve">  All the school district’s actions were reasonable and timely under the difficult circumstances presented.</w:t>
      </w:r>
    </w:p>
    <w:p w:rsidR="001A2CFF" w:rsidRPr="00E16B38" w:rsidRDefault="001A2CFF" w:rsidP="00CF63B9">
      <w:pPr>
        <w:rPr>
          <w:rFonts w:ascii="Times New Roman" w:hAnsi="Times New Roman"/>
        </w:rPr>
      </w:pPr>
    </w:p>
    <w:p w:rsidR="001A2CFF" w:rsidRPr="00E16B38" w:rsidRDefault="001A2CFF" w:rsidP="00CF63B9">
      <w:pPr>
        <w:rPr>
          <w:rFonts w:ascii="Times New Roman" w:hAnsi="Times New Roman"/>
        </w:rPr>
      </w:pPr>
      <w:r w:rsidRPr="00E16B38">
        <w:rPr>
          <w:rFonts w:ascii="Times New Roman" w:hAnsi="Times New Roman"/>
        </w:rPr>
        <w:tab/>
        <w:t xml:space="preserve">Meanwhile, Martha’s Vineyard had ongoing contact with Clyde through his tutor, evaluators and Mr. </w:t>
      </w:r>
      <w:proofErr w:type="spellStart"/>
      <w:r w:rsidRPr="00E16B38">
        <w:rPr>
          <w:rFonts w:ascii="Times New Roman" w:hAnsi="Times New Roman"/>
        </w:rPr>
        <w:t>Verbits</w:t>
      </w:r>
      <w:proofErr w:type="spellEnd"/>
      <w:r w:rsidRPr="00E16B38">
        <w:rPr>
          <w:rFonts w:ascii="Times New Roman" w:hAnsi="Times New Roman"/>
        </w:rPr>
        <w:t>.  Martha’s Vineyard was aware that Clyde and his mother had substantial disagreements about both his then current and his future educational programming.  Ms. Lowell-Bettencourt pointed out that most residential programs require the cooperation of a late adolescent and would not accept a student who plainly indicated an unwillingness to participate in a particular program, as Clyde had.  The conflict between the Parent and the Student clearly hampered Martha’s Vineyard’s ongoing efforts to locate appropriate educational programming acceptable to both the Student and the Parent.  There was little the school district could do to resolve that co</w:t>
      </w:r>
      <w:r w:rsidR="0066365D" w:rsidRPr="00E16B38">
        <w:rPr>
          <w:rFonts w:ascii="Times New Roman" w:hAnsi="Times New Roman"/>
        </w:rPr>
        <w:t>nflict.  Martha’s Vineyard</w:t>
      </w:r>
      <w:r w:rsidRPr="00E16B38">
        <w:rPr>
          <w:rFonts w:ascii="Times New Roman" w:hAnsi="Times New Roman"/>
        </w:rPr>
        <w:t xml:space="preserve"> met i</w:t>
      </w:r>
      <w:r w:rsidR="0066365D" w:rsidRPr="00E16B38">
        <w:rPr>
          <w:rFonts w:ascii="Times New Roman" w:hAnsi="Times New Roman"/>
        </w:rPr>
        <w:t>t</w:t>
      </w:r>
      <w:r w:rsidRPr="00E16B38">
        <w:rPr>
          <w:rFonts w:ascii="Times New Roman" w:hAnsi="Times New Roman"/>
        </w:rPr>
        <w:t>s obligation to educate Clyde by continuing to offer a program comparable to Swift River through the unaccepted September 4, 2012 IEP, through making a continuum of placements at the local High School immediately available to Clyde, and by ensuring the delivery of interim tutoring and therapy services to him.  That none of those options were acceptable to both Clyde and his mother does not negate the appropriateness of the school district’s actions.</w:t>
      </w:r>
    </w:p>
    <w:p w:rsidR="001A2CFF" w:rsidRPr="00E16B38" w:rsidRDefault="001A2CFF" w:rsidP="00CF63B9">
      <w:pPr>
        <w:rPr>
          <w:rFonts w:ascii="Times New Roman" w:hAnsi="Times New Roman"/>
        </w:rPr>
      </w:pPr>
    </w:p>
    <w:p w:rsidR="001A2CFF" w:rsidRPr="00E16B38" w:rsidRDefault="001A2CFF" w:rsidP="00CF63B9">
      <w:pPr>
        <w:rPr>
          <w:rFonts w:ascii="Times New Roman" w:hAnsi="Times New Roman"/>
        </w:rPr>
      </w:pPr>
      <w:r w:rsidRPr="00E16B38">
        <w:rPr>
          <w:rFonts w:ascii="Times New Roman" w:hAnsi="Times New Roman"/>
        </w:rPr>
        <w:tab/>
        <w:t xml:space="preserve">Later, when Clyde turned 18 and elected shared decision making with his mother the conflict in perspectives did not abate.  Martha’s Vineyard continued to offer placements comparable to Swift River, continued </w:t>
      </w:r>
      <w:r w:rsidR="00675FBA" w:rsidRPr="00E16B38">
        <w:rPr>
          <w:rFonts w:ascii="Times New Roman" w:hAnsi="Times New Roman"/>
        </w:rPr>
        <w:t>to offer a continuum of service</w:t>
      </w:r>
      <w:r w:rsidRPr="00E16B38">
        <w:rPr>
          <w:rFonts w:ascii="Times New Roman" w:hAnsi="Times New Roman"/>
        </w:rPr>
        <w:t>s at the High School, and continued to search for a program all parties could agree upon.  When Ms. C. identified Turning Winds as an acceptable program the school district visited the site, approved the placement, and produced an IEP offering Turning Winds within one week.  These actions were careful, timely and consistent with the school district’s previous responses to Clyde’s difficult circumstances and Ms. C’s requests.  That Clyde later rejected the proposed IEP and refused residential placement does not negate the fact that the school district fulfilled its ongoing duty to offer a placement both comparable to</w:t>
      </w:r>
      <w:r w:rsidR="00675FBA" w:rsidRPr="00E16B38">
        <w:rPr>
          <w:rFonts w:ascii="Times New Roman" w:hAnsi="Times New Roman"/>
        </w:rPr>
        <w:t xml:space="preserve"> the</w:t>
      </w:r>
      <w:r w:rsidRPr="00E16B38">
        <w:rPr>
          <w:rFonts w:ascii="Times New Roman" w:hAnsi="Times New Roman"/>
        </w:rPr>
        <w:t xml:space="preserve"> </w:t>
      </w:r>
      <w:r w:rsidR="00B97916" w:rsidRPr="00E16B38">
        <w:rPr>
          <w:rFonts w:ascii="Times New Roman" w:hAnsi="Times New Roman"/>
        </w:rPr>
        <w:t>Academy at Swift River</w:t>
      </w:r>
      <w:r w:rsidRPr="00E16B38">
        <w:rPr>
          <w:rFonts w:ascii="Times New Roman" w:hAnsi="Times New Roman"/>
        </w:rPr>
        <w:t xml:space="preserve"> and appropriate for Clyde’s identified learning needs.</w:t>
      </w:r>
    </w:p>
    <w:p w:rsidR="004F64A2" w:rsidRDefault="004F64A2" w:rsidP="00CF63B9">
      <w:pPr>
        <w:rPr>
          <w:rFonts w:ascii="Times New Roman" w:hAnsi="Times New Roman"/>
        </w:rPr>
      </w:pPr>
    </w:p>
    <w:p w:rsidR="001A2CFF" w:rsidRDefault="001A2CFF" w:rsidP="00CF63B9">
      <w:pPr>
        <w:rPr>
          <w:rFonts w:ascii="Times New Roman" w:hAnsi="Times New Roman"/>
        </w:rPr>
      </w:pPr>
      <w:r w:rsidRPr="00E16B38">
        <w:rPr>
          <w:rFonts w:ascii="Times New Roman" w:hAnsi="Times New Roman"/>
        </w:rPr>
        <w:tab/>
        <w:t xml:space="preserve">The preponderance </w:t>
      </w:r>
      <w:r w:rsidR="00BB0086" w:rsidRPr="00E16B38">
        <w:rPr>
          <w:rFonts w:ascii="Times New Roman" w:hAnsi="Times New Roman"/>
        </w:rPr>
        <w:t>of the</w:t>
      </w:r>
      <w:r w:rsidRPr="00E16B38">
        <w:rPr>
          <w:rFonts w:ascii="Times New Roman" w:hAnsi="Times New Roman"/>
        </w:rPr>
        <w:t xml:space="preserve"> evidence demonstrates that Martha’s Vineyard acted in a timely manner by identifying and proposing</w:t>
      </w:r>
      <w:r w:rsidR="00BB0086" w:rsidRPr="00E16B38">
        <w:rPr>
          <w:rFonts w:ascii="Times New Roman" w:hAnsi="Times New Roman"/>
        </w:rPr>
        <w:t xml:space="preserve"> a therapeutic residential program at Catalyst that was “comparable” to</w:t>
      </w:r>
      <w:r w:rsidR="00675FBA" w:rsidRPr="00E16B38">
        <w:rPr>
          <w:rFonts w:ascii="Times New Roman" w:hAnsi="Times New Roman"/>
        </w:rPr>
        <w:t xml:space="preserve"> the</w:t>
      </w:r>
      <w:r w:rsidR="00BB0086" w:rsidRPr="00E16B38">
        <w:rPr>
          <w:rFonts w:ascii="Times New Roman" w:hAnsi="Times New Roman"/>
        </w:rPr>
        <w:t xml:space="preserve"> </w:t>
      </w:r>
      <w:r w:rsidR="00B97916" w:rsidRPr="00E16B38">
        <w:rPr>
          <w:rFonts w:ascii="Times New Roman" w:hAnsi="Times New Roman"/>
        </w:rPr>
        <w:t>Academy at Swift River</w:t>
      </w:r>
      <w:r w:rsidR="00BB0086" w:rsidRPr="00E16B38">
        <w:rPr>
          <w:rFonts w:ascii="Times New Roman" w:hAnsi="Times New Roman"/>
        </w:rPr>
        <w:t xml:space="preserve"> when it learned in August 2012 that Clyde was in need of a new placement.  That program and placement was never accepted by the Parent.</w:t>
      </w:r>
    </w:p>
    <w:p w:rsidR="004F64A2" w:rsidRPr="00E16B38" w:rsidRDefault="004F64A2" w:rsidP="00CF63B9">
      <w:pPr>
        <w:rPr>
          <w:rFonts w:ascii="Times New Roman" w:hAnsi="Times New Roman"/>
        </w:rPr>
      </w:pPr>
    </w:p>
    <w:p w:rsidR="00BB0086" w:rsidRDefault="004F64A2" w:rsidP="00CF63B9">
      <w:pPr>
        <w:rPr>
          <w:rFonts w:ascii="Times New Roman" w:hAnsi="Times New Roman"/>
        </w:rPr>
      </w:pPr>
      <w:r>
        <w:rPr>
          <w:rFonts w:ascii="Times New Roman" w:hAnsi="Times New Roman"/>
        </w:rPr>
        <w:tab/>
      </w:r>
      <w:r w:rsidR="00BB0086" w:rsidRPr="00E16B38">
        <w:rPr>
          <w:rFonts w:ascii="Times New Roman" w:hAnsi="Times New Roman"/>
        </w:rPr>
        <w:t>The preponderance of the credible evidence also establishes that Martha’s Vineyard continued to make significant efforts to locate “comparable” programs acceptabl</w:t>
      </w:r>
      <w:r w:rsidR="00675FBA" w:rsidRPr="00E16B38">
        <w:rPr>
          <w:rFonts w:ascii="Times New Roman" w:hAnsi="Times New Roman"/>
        </w:rPr>
        <w:t>e to the Parent throughout fall 2012 and w</w:t>
      </w:r>
      <w:r w:rsidR="00BB0086" w:rsidRPr="00E16B38">
        <w:rPr>
          <w:rFonts w:ascii="Times New Roman" w:hAnsi="Times New Roman"/>
        </w:rPr>
        <w:t>inter 2013; that Martha’s Vineyard actually offered immediate placement to</w:t>
      </w:r>
      <w:r w:rsidR="002C28F1" w:rsidRPr="00E16B38">
        <w:rPr>
          <w:rFonts w:ascii="Times New Roman" w:hAnsi="Times New Roman"/>
        </w:rPr>
        <w:t xml:space="preserve"> Clyde in</w:t>
      </w:r>
      <w:r w:rsidR="00BB0086" w:rsidRPr="00E16B38">
        <w:rPr>
          <w:rFonts w:ascii="Times New Roman" w:hAnsi="Times New Roman"/>
        </w:rPr>
        <w:t xml:space="preserve"> at least three programs it believed were comparable and appropriate; and that it discharged its responsibility to evaluate and educate Clyde while these efforts were undertaken.</w:t>
      </w:r>
    </w:p>
    <w:p w:rsidR="00E93876" w:rsidRPr="00E16B38" w:rsidRDefault="00E93876" w:rsidP="00CF63B9">
      <w:pPr>
        <w:rPr>
          <w:rFonts w:ascii="Times New Roman" w:hAnsi="Times New Roman"/>
        </w:rPr>
      </w:pPr>
    </w:p>
    <w:p w:rsidR="00BB0086" w:rsidRPr="00E16B38" w:rsidRDefault="00BB0086" w:rsidP="00CF63B9">
      <w:pPr>
        <w:rPr>
          <w:rFonts w:ascii="Times New Roman" w:hAnsi="Times New Roman"/>
        </w:rPr>
      </w:pPr>
      <w:r w:rsidRPr="00E16B38">
        <w:rPr>
          <w:rFonts w:ascii="Times New Roman" w:hAnsi="Times New Roman"/>
        </w:rPr>
        <w:tab/>
      </w:r>
      <w:r w:rsidR="002C28F1" w:rsidRPr="00E16B38">
        <w:rPr>
          <w:rFonts w:ascii="Times New Roman" w:hAnsi="Times New Roman"/>
        </w:rPr>
        <w:t>The Parent did not argue, nor is there any evidence in this record, that the placements offered by Martha’s Vineyard were not “comparable” to</w:t>
      </w:r>
      <w:r w:rsidR="00675FBA" w:rsidRPr="00E16B38">
        <w:rPr>
          <w:rFonts w:ascii="Times New Roman" w:hAnsi="Times New Roman"/>
        </w:rPr>
        <w:t xml:space="preserve"> the</w:t>
      </w:r>
      <w:r w:rsidR="002C28F1" w:rsidRPr="00E16B38">
        <w:rPr>
          <w:rFonts w:ascii="Times New Roman" w:hAnsi="Times New Roman"/>
        </w:rPr>
        <w:t xml:space="preserve"> Academy at Swift River.  </w:t>
      </w:r>
      <w:r w:rsidRPr="00E16B38">
        <w:rPr>
          <w:rFonts w:ascii="Times New Roman" w:hAnsi="Times New Roman"/>
        </w:rPr>
        <w:t>There is little support, other than her own suspicions and the passage of time, for the Parent’s contention that the school district dragged out the process of identifying and proposing a placement comparable to Swift River until Clyde could reject it on his own.  In fact the Parent did that for him by not responding to the September 4,</w:t>
      </w:r>
      <w:r w:rsidR="002C28F1" w:rsidRPr="00E16B38">
        <w:rPr>
          <w:rFonts w:ascii="Times New Roman" w:hAnsi="Times New Roman"/>
        </w:rPr>
        <w:t xml:space="preserve"> 2012 IEP when it was developed</w:t>
      </w:r>
      <w:r w:rsidRPr="00E16B38">
        <w:rPr>
          <w:rFonts w:ascii="Times New Roman" w:hAnsi="Times New Roman"/>
        </w:rPr>
        <w:t xml:space="preserve"> or anytime thereafter.</w:t>
      </w:r>
    </w:p>
    <w:p w:rsidR="00BB0086" w:rsidRDefault="00BB0086" w:rsidP="00CF63B9">
      <w:pPr>
        <w:rPr>
          <w:rFonts w:ascii="Times New Roman" w:hAnsi="Times New Roman"/>
        </w:rPr>
      </w:pPr>
    </w:p>
    <w:p w:rsidR="004F64A2" w:rsidRPr="00E16B38" w:rsidRDefault="004F64A2" w:rsidP="00CF63B9">
      <w:pPr>
        <w:rPr>
          <w:rFonts w:ascii="Times New Roman" w:hAnsi="Times New Roman"/>
        </w:rPr>
      </w:pPr>
    </w:p>
    <w:p w:rsidR="00DC7F9D" w:rsidRPr="00E16B38" w:rsidRDefault="00CF63B9" w:rsidP="00D238B3">
      <w:pPr>
        <w:rPr>
          <w:rFonts w:ascii="Times New Roman" w:hAnsi="Times New Roman"/>
        </w:rPr>
      </w:pPr>
      <w:r w:rsidRPr="00E16B38">
        <w:rPr>
          <w:rFonts w:ascii="Times New Roman" w:hAnsi="Times New Roman"/>
        </w:rPr>
        <w:tab/>
      </w:r>
    </w:p>
    <w:p w:rsidR="00BB0086" w:rsidRPr="00E16B38" w:rsidRDefault="00DC7F9D" w:rsidP="00D238B3">
      <w:pPr>
        <w:rPr>
          <w:rFonts w:ascii="Times New Roman" w:hAnsi="Times New Roman"/>
          <w:u w:val="single"/>
        </w:rPr>
      </w:pPr>
      <w:r w:rsidRPr="00E16B38">
        <w:rPr>
          <w:rFonts w:ascii="Times New Roman" w:hAnsi="Times New Roman"/>
          <w:u w:val="single"/>
        </w:rPr>
        <w:t>ORDER</w:t>
      </w:r>
    </w:p>
    <w:p w:rsidR="00BB0086" w:rsidRPr="00E16B38" w:rsidRDefault="00BB0086" w:rsidP="00D238B3">
      <w:pPr>
        <w:rPr>
          <w:rFonts w:ascii="Times New Roman" w:hAnsi="Times New Roman"/>
          <w:u w:val="single"/>
        </w:rPr>
      </w:pPr>
    </w:p>
    <w:p w:rsidR="00BB0086" w:rsidRPr="00E16B38" w:rsidRDefault="00BB0086" w:rsidP="00D238B3">
      <w:pPr>
        <w:rPr>
          <w:rFonts w:ascii="Times New Roman" w:hAnsi="Times New Roman"/>
        </w:rPr>
      </w:pPr>
      <w:r w:rsidRPr="00E16B38">
        <w:rPr>
          <w:rFonts w:ascii="Times New Roman" w:hAnsi="Times New Roman"/>
        </w:rPr>
        <w:tab/>
        <w:t xml:space="preserve">Martha’s Vineyard met its procedural obligations under 20 U.S.C. § 1415 (j) and 603 CMR 28.09 (7) to timely and continuously offer a comparable therapeutic residential educational program to Clyde when his last agreed upon placement at the </w:t>
      </w:r>
      <w:r w:rsidR="00B97916" w:rsidRPr="00E16B38">
        <w:rPr>
          <w:rFonts w:ascii="Times New Roman" w:hAnsi="Times New Roman"/>
        </w:rPr>
        <w:t>Academy at Swift River</w:t>
      </w:r>
      <w:r w:rsidRPr="00E16B38">
        <w:rPr>
          <w:rFonts w:ascii="Times New Roman" w:hAnsi="Times New Roman"/>
        </w:rPr>
        <w:t xml:space="preserve"> became unavailable to him.</w:t>
      </w:r>
    </w:p>
    <w:p w:rsidR="00DC7F9D" w:rsidRPr="00E16B38" w:rsidRDefault="00DC7F9D" w:rsidP="00D238B3">
      <w:pPr>
        <w:rPr>
          <w:rFonts w:ascii="Times New Roman" w:hAnsi="Times New Roman"/>
        </w:rPr>
      </w:pPr>
    </w:p>
    <w:p w:rsidR="00DC7F9D" w:rsidRDefault="00DC7F9D" w:rsidP="00D238B3">
      <w:pPr>
        <w:rPr>
          <w:rFonts w:ascii="Times New Roman" w:hAnsi="Times New Roman"/>
        </w:rPr>
      </w:pPr>
    </w:p>
    <w:p w:rsidR="004F64A2" w:rsidRDefault="004F64A2" w:rsidP="00D238B3">
      <w:pPr>
        <w:rPr>
          <w:rFonts w:ascii="Times New Roman" w:hAnsi="Times New Roman"/>
        </w:rPr>
      </w:pPr>
    </w:p>
    <w:p w:rsidR="004F64A2" w:rsidRDefault="004F64A2" w:rsidP="00D238B3">
      <w:pPr>
        <w:rPr>
          <w:rFonts w:ascii="Times New Roman" w:hAnsi="Times New Roman"/>
        </w:rPr>
      </w:pPr>
    </w:p>
    <w:p w:rsidR="004F64A2" w:rsidRDefault="004F64A2" w:rsidP="00D238B3">
      <w:pPr>
        <w:rPr>
          <w:rFonts w:ascii="Times New Roman" w:hAnsi="Times New Roman"/>
        </w:rPr>
      </w:pPr>
    </w:p>
    <w:p w:rsidR="004F64A2" w:rsidRPr="00E16B38" w:rsidRDefault="004F64A2" w:rsidP="00D238B3">
      <w:pPr>
        <w:rPr>
          <w:rFonts w:ascii="Times New Roman" w:hAnsi="Times New Roman"/>
        </w:rPr>
      </w:pPr>
    </w:p>
    <w:p w:rsidR="00DC7F9D" w:rsidRPr="00E16B38" w:rsidRDefault="002C28F1" w:rsidP="00D238B3">
      <w:pPr>
        <w:rPr>
          <w:rFonts w:ascii="Times New Roman" w:hAnsi="Times New Roman"/>
        </w:rPr>
      </w:pPr>
      <w:r w:rsidRPr="00E16B38">
        <w:rPr>
          <w:rFonts w:ascii="Times New Roman" w:hAnsi="Times New Roman"/>
        </w:rPr>
        <w:t>_________________________                                                _____________________</w:t>
      </w:r>
    </w:p>
    <w:p w:rsidR="00813A31" w:rsidRPr="00E16B38" w:rsidRDefault="00903F9B" w:rsidP="00813A31">
      <w:pPr>
        <w:rPr>
          <w:rFonts w:ascii="Times New Roman" w:hAnsi="Times New Roman"/>
        </w:rPr>
      </w:pPr>
      <w:r w:rsidRPr="00E16B38">
        <w:rPr>
          <w:rFonts w:ascii="Times New Roman" w:hAnsi="Times New Roman"/>
        </w:rPr>
        <w:t xml:space="preserve"> Lindsay Byrne, Hearing Officer</w:t>
      </w:r>
      <w:r w:rsidR="002C28F1" w:rsidRPr="00E16B38">
        <w:rPr>
          <w:rFonts w:ascii="Times New Roman" w:hAnsi="Times New Roman"/>
        </w:rPr>
        <w:t xml:space="preserve">                                 </w:t>
      </w:r>
      <w:r w:rsidR="004F64A2">
        <w:rPr>
          <w:rFonts w:ascii="Times New Roman" w:hAnsi="Times New Roman"/>
        </w:rPr>
        <w:t xml:space="preserve">             </w:t>
      </w:r>
      <w:r w:rsidR="002C28F1" w:rsidRPr="00E16B38">
        <w:rPr>
          <w:rFonts w:ascii="Times New Roman" w:hAnsi="Times New Roman"/>
        </w:rPr>
        <w:t>Date</w:t>
      </w:r>
      <w:r w:rsidR="004F64A2">
        <w:rPr>
          <w:rFonts w:ascii="Times New Roman" w:hAnsi="Times New Roman"/>
        </w:rPr>
        <w:t>d:  July 16, 2013</w:t>
      </w:r>
    </w:p>
    <w:p w:rsidR="00DC7F9D" w:rsidRPr="00E16B38" w:rsidRDefault="002C28F1" w:rsidP="00D238B3">
      <w:pPr>
        <w:rPr>
          <w:rFonts w:ascii="Times New Roman" w:hAnsi="Times New Roman"/>
        </w:rPr>
      </w:pPr>
      <w:r w:rsidRPr="00E16B38">
        <w:rPr>
          <w:rFonts w:ascii="Times New Roman" w:hAnsi="Times New Roman"/>
        </w:rPr>
        <w:t xml:space="preserve">                                                                                                           </w:t>
      </w:r>
    </w:p>
    <w:p w:rsidR="00C10EEC" w:rsidRPr="00E16B38" w:rsidRDefault="00092D28" w:rsidP="00D238B3">
      <w:pPr>
        <w:rPr>
          <w:rFonts w:ascii="Times New Roman" w:hAnsi="Times New Roman"/>
        </w:rPr>
      </w:pPr>
      <w:r w:rsidRPr="00E16B38">
        <w:rPr>
          <w:rFonts w:ascii="Times New Roman" w:hAnsi="Times New Roman"/>
        </w:rPr>
        <w:tab/>
      </w:r>
    </w:p>
    <w:p w:rsidR="00C10EEC" w:rsidRPr="00E16B38" w:rsidRDefault="00C10EEC" w:rsidP="00D238B3">
      <w:pPr>
        <w:rPr>
          <w:rFonts w:ascii="Times New Roman" w:hAnsi="Times New Roman"/>
        </w:rPr>
      </w:pPr>
    </w:p>
    <w:p w:rsidR="00C10EEC" w:rsidRPr="00E16B38" w:rsidRDefault="00C10EEC" w:rsidP="00D238B3">
      <w:pPr>
        <w:rPr>
          <w:rFonts w:ascii="Times New Roman" w:hAnsi="Times New Roman"/>
        </w:rPr>
      </w:pPr>
    </w:p>
    <w:p w:rsidR="00C95916" w:rsidRPr="00E16B38" w:rsidRDefault="00C95916" w:rsidP="00D238B3">
      <w:pPr>
        <w:rPr>
          <w:rFonts w:ascii="Times New Roman" w:hAnsi="Times New Roman"/>
        </w:rPr>
      </w:pPr>
    </w:p>
    <w:p w:rsidR="00E4624F" w:rsidRDefault="00E4624F" w:rsidP="00D238B3"/>
    <w:p w:rsidR="00E4624F" w:rsidRDefault="00E4624F" w:rsidP="00D238B3"/>
    <w:p w:rsidR="00F71F99" w:rsidRDefault="00F71F99" w:rsidP="00D238B3"/>
    <w:p w:rsidR="00F71F99" w:rsidRDefault="00F71F99" w:rsidP="00D238B3"/>
    <w:p w:rsidR="00F71F99" w:rsidRDefault="00F71F99" w:rsidP="00D238B3">
      <w:r>
        <w:tab/>
      </w:r>
      <w:r>
        <w:tab/>
      </w:r>
      <w:r>
        <w:tab/>
      </w:r>
    </w:p>
    <w:p w:rsidR="00BC7B36" w:rsidRPr="00F931A9" w:rsidRDefault="00BC7B36" w:rsidP="00D238B3"/>
    <w:sectPr w:rsidR="00BC7B36" w:rsidRPr="00F931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3F" w:rsidRDefault="00DC683F" w:rsidP="002D6B0C">
      <w:r>
        <w:separator/>
      </w:r>
    </w:p>
  </w:endnote>
  <w:endnote w:type="continuationSeparator" w:id="0">
    <w:p w:rsidR="00DC683F" w:rsidRDefault="00DC683F" w:rsidP="002D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014169"/>
      <w:docPartObj>
        <w:docPartGallery w:val="Page Numbers (Bottom of Page)"/>
        <w:docPartUnique/>
      </w:docPartObj>
    </w:sdtPr>
    <w:sdtEndPr>
      <w:rPr>
        <w:noProof/>
      </w:rPr>
    </w:sdtEndPr>
    <w:sdtContent>
      <w:p w:rsidR="00092D28" w:rsidRDefault="00092D28">
        <w:pPr>
          <w:pStyle w:val="Footer"/>
          <w:jc w:val="right"/>
        </w:pPr>
        <w:r>
          <w:fldChar w:fldCharType="begin"/>
        </w:r>
        <w:r>
          <w:instrText xml:space="preserve"> PAGE   \* MERGEFORMAT </w:instrText>
        </w:r>
        <w:r>
          <w:fldChar w:fldCharType="separate"/>
        </w:r>
        <w:r w:rsidR="00817E67">
          <w:rPr>
            <w:noProof/>
          </w:rPr>
          <w:t>1</w:t>
        </w:r>
        <w:r>
          <w:rPr>
            <w:noProof/>
          </w:rPr>
          <w:fldChar w:fldCharType="end"/>
        </w:r>
      </w:p>
    </w:sdtContent>
  </w:sdt>
  <w:p w:rsidR="00092D28" w:rsidRDefault="00092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3F" w:rsidRDefault="00DC683F" w:rsidP="002D6B0C">
      <w:r>
        <w:separator/>
      </w:r>
    </w:p>
  </w:footnote>
  <w:footnote w:type="continuationSeparator" w:id="0">
    <w:p w:rsidR="00DC683F" w:rsidRDefault="00DC683F" w:rsidP="002D6B0C">
      <w:r>
        <w:continuationSeparator/>
      </w:r>
    </w:p>
  </w:footnote>
  <w:footnote w:id="1">
    <w:p w:rsidR="00E93876" w:rsidRDefault="00E93876" w:rsidP="00E93876">
      <w:pPr>
        <w:pStyle w:val="FootnoteText"/>
      </w:pPr>
      <w:r>
        <w:rPr>
          <w:rStyle w:val="FootnoteReference"/>
        </w:rPr>
        <w:footnoteRef/>
      </w:r>
      <w:r>
        <w:t xml:space="preserve"> “Clyde” is a pseudonym chosen by the Hearing Officer to protect the privacy of the Student in documents available to the public.</w:t>
      </w:r>
    </w:p>
  </w:footnote>
  <w:footnote w:id="2">
    <w:p w:rsidR="00216040" w:rsidRDefault="00216040">
      <w:pPr>
        <w:pStyle w:val="FootnoteText"/>
      </w:pPr>
      <w:r>
        <w:rPr>
          <w:rStyle w:val="FootnoteReference"/>
        </w:rPr>
        <w:footnoteRef/>
      </w:r>
      <w:r>
        <w:t xml:space="preserve"> At the time of the Hearing on May 30, 2013 Clyde had indicated his consent to residential placement at Turning Winds and was scheduled to leave for the program a few days later.</w:t>
      </w:r>
    </w:p>
  </w:footnote>
  <w:footnote w:id="3">
    <w:p w:rsidR="00CF63B9" w:rsidRDefault="00CF63B9">
      <w:pPr>
        <w:pStyle w:val="FootnoteText"/>
      </w:pPr>
      <w:r>
        <w:rPr>
          <w:rStyle w:val="FootnoteReference"/>
        </w:rPr>
        <w:footnoteRef/>
      </w:r>
      <w:r>
        <w:t xml:space="preserve"> </w:t>
      </w:r>
      <w:proofErr w:type="gramStart"/>
      <w:r>
        <w:t>20 U.S.C. §1415 (j); 34 CFR §300.518; 603 CMR 28.08 (7).</w:t>
      </w:r>
      <w:proofErr w:type="gramEnd"/>
    </w:p>
  </w:footnote>
  <w:footnote w:id="4">
    <w:p w:rsidR="00CF63B9" w:rsidRPr="00BC7B36" w:rsidRDefault="00CF63B9">
      <w:pPr>
        <w:pStyle w:val="FootnoteText"/>
      </w:pPr>
      <w:r>
        <w:rPr>
          <w:rStyle w:val="FootnoteReference"/>
        </w:rPr>
        <w:footnoteRef/>
      </w:r>
      <w:r>
        <w:t xml:space="preserve"> </w:t>
      </w:r>
      <w:r w:rsidR="00BC7B36">
        <w:t>See e</w:t>
      </w:r>
      <w:r w:rsidR="00833ACF">
        <w:t>.</w:t>
      </w:r>
      <w:r w:rsidR="00BC7B36">
        <w:t xml:space="preserve">g. </w:t>
      </w:r>
      <w:r w:rsidR="00BC7B36">
        <w:rPr>
          <w:i/>
        </w:rPr>
        <w:t>Knight by Knight</w:t>
      </w:r>
      <w:r w:rsidR="00BC7B36">
        <w:rPr>
          <w:b/>
          <w:i/>
        </w:rPr>
        <w:t xml:space="preserve"> </w:t>
      </w:r>
      <w:r w:rsidR="00BC7B36">
        <w:t>v.</w:t>
      </w:r>
      <w:r w:rsidR="00BC7B36">
        <w:rPr>
          <w:i/>
        </w:rPr>
        <w:t xml:space="preserve"> District of Columbia</w:t>
      </w:r>
      <w:r w:rsidR="00BC7B36">
        <w:t>,</w:t>
      </w:r>
      <w:r w:rsidR="0066365D">
        <w:t xml:space="preserve"> 877 F2d 1025 (DC Cir. 1989), (</w:t>
      </w:r>
      <w:r w:rsidR="00BC7B36">
        <w:t>“if a child’s then-current educational placement is not available, the school system must provide the student with placement in a similar program during the pendency of administra</w:t>
      </w:r>
      <w:r w:rsidR="00C4680D">
        <w:t xml:space="preserve">tive and judicial proceedings); </w:t>
      </w:r>
      <w:r w:rsidR="00BC7B36">
        <w:rPr>
          <w:i/>
        </w:rPr>
        <w:t xml:space="preserve">R.B. ex </w:t>
      </w:r>
      <w:proofErr w:type="spellStart"/>
      <w:r w:rsidR="00BC7B36">
        <w:rPr>
          <w:i/>
        </w:rPr>
        <w:t>rel</w:t>
      </w:r>
      <w:proofErr w:type="spellEnd"/>
      <w:r w:rsidR="00BC7B36">
        <w:rPr>
          <w:i/>
        </w:rPr>
        <w:t xml:space="preserve"> Parent</w:t>
      </w:r>
      <w:r w:rsidR="00BC7B36">
        <w:t xml:space="preserve"> v. </w:t>
      </w:r>
      <w:r w:rsidR="00BC7B36">
        <w:rPr>
          <w:i/>
        </w:rPr>
        <w:t>Mastery Charter School</w:t>
      </w:r>
      <w:r w:rsidR="00BC7B36">
        <w:t xml:space="preserve">, 762 </w:t>
      </w:r>
      <w:proofErr w:type="spellStart"/>
      <w:r w:rsidR="00BC7B36">
        <w:t>F.Supp</w:t>
      </w:r>
      <w:proofErr w:type="spellEnd"/>
      <w:r w:rsidR="00BC7B36">
        <w:t>. 2d 745 (E.D. Pa 2012) (“where a</w:t>
      </w:r>
      <w:r w:rsidR="0066365D">
        <w:t xml:space="preserve"> child’s then-current placement</w:t>
      </w:r>
      <w:r w:rsidR="00BC7B36">
        <w:t xml:space="preserve"> is simply no longer available, the LEA retains responsibility for providing the student with placement in a similar program.)</w:t>
      </w:r>
      <w:proofErr w:type="gramStart"/>
      <w:r w:rsidR="00C4680D">
        <w:t>;</w:t>
      </w:r>
      <w:r w:rsidR="00BC7B36">
        <w:t xml:space="preserve"> </w:t>
      </w:r>
      <w:r w:rsidR="00BC7B36">
        <w:rPr>
          <w:i/>
        </w:rPr>
        <w:t xml:space="preserve"> </w:t>
      </w:r>
      <w:proofErr w:type="spellStart"/>
      <w:r w:rsidR="00BC7B36">
        <w:rPr>
          <w:i/>
        </w:rPr>
        <w:t>Spilsburg</w:t>
      </w:r>
      <w:proofErr w:type="spellEnd"/>
      <w:proofErr w:type="gramEnd"/>
      <w:r w:rsidR="00BC7B36">
        <w:t xml:space="preserve"> v. </w:t>
      </w:r>
      <w:r w:rsidR="00BC7B36">
        <w:rPr>
          <w:i/>
        </w:rPr>
        <w:t>District of Columbia</w:t>
      </w:r>
      <w:r w:rsidR="00BC7B36">
        <w:t>, 307 F. Supp. 2d 22, 26 (D.D.C. 2004) (current educational placement encompasses the whole range of services a child needs not only the physical school building the child attends).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F2CB6"/>
    <w:multiLevelType w:val="hybridMultilevel"/>
    <w:tmpl w:val="2E50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C"/>
    <w:rsid w:val="00075EE8"/>
    <w:rsid w:val="00092D28"/>
    <w:rsid w:val="000A44D2"/>
    <w:rsid w:val="000C1ECB"/>
    <w:rsid w:val="00106998"/>
    <w:rsid w:val="00130998"/>
    <w:rsid w:val="00151B21"/>
    <w:rsid w:val="00177C2B"/>
    <w:rsid w:val="001A2CFF"/>
    <w:rsid w:val="001A7310"/>
    <w:rsid w:val="001B306E"/>
    <w:rsid w:val="00201156"/>
    <w:rsid w:val="00216040"/>
    <w:rsid w:val="002C28F1"/>
    <w:rsid w:val="002D6B0C"/>
    <w:rsid w:val="002D7B47"/>
    <w:rsid w:val="002E19EA"/>
    <w:rsid w:val="002F6C03"/>
    <w:rsid w:val="00330BBC"/>
    <w:rsid w:val="00331395"/>
    <w:rsid w:val="00342DD2"/>
    <w:rsid w:val="003865F1"/>
    <w:rsid w:val="003B581E"/>
    <w:rsid w:val="003D4A87"/>
    <w:rsid w:val="0041250C"/>
    <w:rsid w:val="00430FC0"/>
    <w:rsid w:val="004604A8"/>
    <w:rsid w:val="004961C9"/>
    <w:rsid w:val="0049764F"/>
    <w:rsid w:val="004A1117"/>
    <w:rsid w:val="004C0ED8"/>
    <w:rsid w:val="004C5763"/>
    <w:rsid w:val="004D04E6"/>
    <w:rsid w:val="004E2AD0"/>
    <w:rsid w:val="004E70EF"/>
    <w:rsid w:val="004F64A2"/>
    <w:rsid w:val="00514439"/>
    <w:rsid w:val="00596F9B"/>
    <w:rsid w:val="005B1C9D"/>
    <w:rsid w:val="006133DC"/>
    <w:rsid w:val="0063172D"/>
    <w:rsid w:val="00646882"/>
    <w:rsid w:val="0066365D"/>
    <w:rsid w:val="00675FBA"/>
    <w:rsid w:val="00705241"/>
    <w:rsid w:val="0071111B"/>
    <w:rsid w:val="00730DDA"/>
    <w:rsid w:val="00786DA4"/>
    <w:rsid w:val="007E0793"/>
    <w:rsid w:val="00813A31"/>
    <w:rsid w:val="00817E67"/>
    <w:rsid w:val="00833ACF"/>
    <w:rsid w:val="00874EC3"/>
    <w:rsid w:val="008D5E97"/>
    <w:rsid w:val="008D716D"/>
    <w:rsid w:val="008E18F9"/>
    <w:rsid w:val="008F3513"/>
    <w:rsid w:val="008F3525"/>
    <w:rsid w:val="00903F9B"/>
    <w:rsid w:val="00910587"/>
    <w:rsid w:val="00924413"/>
    <w:rsid w:val="00937BE9"/>
    <w:rsid w:val="00957E8F"/>
    <w:rsid w:val="00960CA3"/>
    <w:rsid w:val="009B7507"/>
    <w:rsid w:val="00A04B0F"/>
    <w:rsid w:val="00A302F7"/>
    <w:rsid w:val="00A3632B"/>
    <w:rsid w:val="00A44FFF"/>
    <w:rsid w:val="00AA7156"/>
    <w:rsid w:val="00AB5ABE"/>
    <w:rsid w:val="00AD7DC6"/>
    <w:rsid w:val="00B35748"/>
    <w:rsid w:val="00B625C3"/>
    <w:rsid w:val="00B76896"/>
    <w:rsid w:val="00B94D21"/>
    <w:rsid w:val="00B97916"/>
    <w:rsid w:val="00BA61AA"/>
    <w:rsid w:val="00BB0086"/>
    <w:rsid w:val="00BC7B36"/>
    <w:rsid w:val="00BD5349"/>
    <w:rsid w:val="00C10EEC"/>
    <w:rsid w:val="00C4680D"/>
    <w:rsid w:val="00C50C0A"/>
    <w:rsid w:val="00C87627"/>
    <w:rsid w:val="00C95916"/>
    <w:rsid w:val="00CB462B"/>
    <w:rsid w:val="00CF63B9"/>
    <w:rsid w:val="00D238B3"/>
    <w:rsid w:val="00D735AA"/>
    <w:rsid w:val="00DC683F"/>
    <w:rsid w:val="00DC7F9D"/>
    <w:rsid w:val="00DE350F"/>
    <w:rsid w:val="00E054EF"/>
    <w:rsid w:val="00E16B38"/>
    <w:rsid w:val="00E4624F"/>
    <w:rsid w:val="00E62CD6"/>
    <w:rsid w:val="00E73245"/>
    <w:rsid w:val="00E93876"/>
    <w:rsid w:val="00EA390D"/>
    <w:rsid w:val="00F71F99"/>
    <w:rsid w:val="00F931A9"/>
    <w:rsid w:val="00FB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6409-81D7-4EEF-8833-842CE750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Martha's Vinyard P.S. BSEA # 13-04032</vt:lpstr>
    </vt:vector>
  </TitlesOfParts>
  <Company>Toshiba</Company>
  <LinksUpToDate>false</LinksUpToDate>
  <CharactersWithSpaces>22863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Martha's Vinyard P.S. BSEA # 13-04032</category>
  <dcterms:created xsi:type="dcterms:W3CDTF">2013-07-31T21:00:00Z</dcterms:created>
  <dc:creator>Guest</dc:creator>
  <keywords>Martha's Vinyard P.S. BSEA # 13-04032</keywords>
  <lastModifiedBy>Erlichman, Reece (ALA)</lastModifiedBy>
  <lastPrinted>2013-07-16T18:15:00Z</lastPrinted>
  <dcterms:modified xsi:type="dcterms:W3CDTF">2013-07-31T21:03:00Z</dcterms:modified>
  <revision>3</revision>
  <dc:subject>Martha's Vinyard P.S. BSEA # 13-04032</dc:subject>
  <dc:title>Martha's Vinyard P.S. BSEA # 13-04032</dc:title>
</coreProperties>
</file>