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6B" w:rsidRPr="00D4276B" w:rsidRDefault="00877A55" w:rsidP="00D4276B">
      <w:pPr>
        <w:ind w:left="5760"/>
        <w:rPr>
          <w:sz w:val="28"/>
        </w:rPr>
      </w:pPr>
      <w:bookmarkStart w:id="0" w:name="_GoBack"/>
      <w:bookmarkEnd w:id="0"/>
      <w:r>
        <w:rPr>
          <w:sz w:val="28"/>
        </w:rPr>
        <w:t>March 6</w:t>
      </w:r>
      <w:r w:rsidR="008E1050">
        <w:rPr>
          <w:sz w:val="28"/>
        </w:rPr>
        <w:t>, 2014</w:t>
      </w: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rPr>
          <w:bCs/>
          <w:sz w:val="28"/>
        </w:rPr>
      </w:pPr>
    </w:p>
    <w:p w:rsidR="00D4276B" w:rsidRPr="00D4276B" w:rsidRDefault="00D4276B" w:rsidP="00D4276B">
      <w:pPr>
        <w:keepNext/>
        <w:jc w:val="center"/>
        <w:outlineLvl w:val="0"/>
        <w:rPr>
          <w:b/>
          <w:sz w:val="32"/>
          <w:szCs w:val="32"/>
        </w:rPr>
      </w:pPr>
      <w:r w:rsidRPr="00D4276B">
        <w:rPr>
          <w:sz w:val="24"/>
        </w:rPr>
        <w:t xml:space="preserve">    </w:t>
      </w:r>
      <w:smartTag w:uri="urn:schemas-microsoft-com:office:smarttags" w:element="place">
        <w:smartTag w:uri="urn:schemas-microsoft-com:office:smarttags" w:element="PlaceType">
          <w:r w:rsidRPr="00D4276B">
            <w:rPr>
              <w:b/>
              <w:sz w:val="32"/>
              <w:szCs w:val="32"/>
            </w:rPr>
            <w:t>COMMONWEALTH</w:t>
          </w:r>
        </w:smartTag>
        <w:r w:rsidRPr="00D4276B">
          <w:rPr>
            <w:b/>
            <w:sz w:val="32"/>
            <w:szCs w:val="32"/>
          </w:rPr>
          <w:t xml:space="preserve"> OF </w:t>
        </w:r>
        <w:smartTag w:uri="urn:schemas-microsoft-com:office:smarttags" w:element="PlaceName">
          <w:r w:rsidRPr="00D4276B">
            <w:rPr>
              <w:b/>
              <w:sz w:val="32"/>
              <w:szCs w:val="32"/>
            </w:rPr>
            <w:t>MASSACHUSETTS</w:t>
          </w:r>
        </w:smartTag>
      </w:smartTag>
    </w:p>
    <w:p w:rsidR="00D4276B" w:rsidRPr="00D4276B" w:rsidRDefault="00D4276B" w:rsidP="00D4276B">
      <w:pPr>
        <w:keepNext/>
        <w:jc w:val="center"/>
        <w:outlineLvl w:val="1"/>
        <w:rPr>
          <w:b/>
          <w:i/>
          <w:sz w:val="28"/>
          <w:szCs w:val="28"/>
          <w:u w:val="single"/>
        </w:rPr>
      </w:pPr>
    </w:p>
    <w:p w:rsidR="00D4276B" w:rsidRPr="00D4276B" w:rsidRDefault="00D4276B" w:rsidP="00D4276B">
      <w:pPr>
        <w:keepNext/>
        <w:jc w:val="center"/>
        <w:outlineLvl w:val="1"/>
        <w:rPr>
          <w:b/>
          <w:i/>
          <w:sz w:val="28"/>
          <w:szCs w:val="28"/>
        </w:rPr>
      </w:pPr>
      <w:r w:rsidRPr="00D4276B">
        <w:rPr>
          <w:b/>
          <w:i/>
          <w:sz w:val="28"/>
          <w:szCs w:val="28"/>
        </w:rPr>
        <w:t>Division of Administrative Law Appeals</w:t>
      </w:r>
    </w:p>
    <w:p w:rsidR="00D4276B" w:rsidRPr="00D4276B" w:rsidRDefault="00D4276B" w:rsidP="00D4276B">
      <w:pPr>
        <w:jc w:val="center"/>
        <w:rPr>
          <w:b/>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Pr>
        <w:keepNext/>
        <w:jc w:val="center"/>
        <w:outlineLvl w:val="0"/>
        <w:rPr>
          <w:bCs/>
          <w:sz w:val="28"/>
        </w:rPr>
      </w:pPr>
    </w:p>
    <w:p w:rsidR="00D4276B" w:rsidRPr="00D4276B" w:rsidRDefault="00D4276B" w:rsidP="00D4276B">
      <w:pPr>
        <w:jc w:val="center"/>
        <w:rPr>
          <w:bCs/>
          <w:sz w:val="28"/>
        </w:rPr>
      </w:pPr>
    </w:p>
    <w:p w:rsidR="00D4276B" w:rsidRPr="00D4276B" w:rsidRDefault="00D4276B" w:rsidP="00D4276B">
      <w:pP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pBdr>
          <w:bottom w:val="single" w:sz="12" w:space="1" w:color="auto"/>
        </w:pBdr>
        <w:jc w:val="center"/>
        <w:rPr>
          <w:bCs/>
          <w:sz w:val="24"/>
        </w:rPr>
      </w:pPr>
    </w:p>
    <w:p w:rsidR="00D4276B" w:rsidRPr="00D4276B" w:rsidRDefault="00D4276B" w:rsidP="00D4276B">
      <w:pPr>
        <w:rPr>
          <w:b/>
          <w:bCs/>
          <w:sz w:val="24"/>
        </w:rPr>
      </w:pPr>
    </w:p>
    <w:p w:rsidR="00D4276B" w:rsidRPr="00D4276B" w:rsidRDefault="00D4276B" w:rsidP="00D4276B">
      <w:pPr>
        <w:jc w:val="center"/>
        <w:rPr>
          <w:b/>
          <w:bCs/>
          <w:sz w:val="32"/>
          <w:szCs w:val="24"/>
        </w:rPr>
      </w:pPr>
      <w:r w:rsidRPr="00D4276B">
        <w:rPr>
          <w:b/>
          <w:bCs/>
          <w:sz w:val="32"/>
          <w:szCs w:val="24"/>
        </w:rPr>
        <w:t>DECISION</w:t>
      </w:r>
    </w:p>
    <w:p w:rsidR="00D4276B" w:rsidRPr="00D4276B" w:rsidRDefault="00D4276B" w:rsidP="00D4276B">
      <w:pPr>
        <w:rPr>
          <w:sz w:val="24"/>
        </w:rPr>
      </w:pPr>
    </w:p>
    <w:p w:rsidR="00D4276B" w:rsidRPr="00D4276B" w:rsidRDefault="00D4276B" w:rsidP="00D4276B">
      <w:pPr>
        <w:jc w:val="center"/>
        <w:rPr>
          <w:b/>
          <w:bCs/>
          <w:sz w:val="36"/>
        </w:rPr>
      </w:pPr>
      <w:r w:rsidRPr="00D4276B">
        <w:rPr>
          <w:b/>
          <w:bCs/>
          <w:sz w:val="36"/>
        </w:rPr>
        <w:t xml:space="preserve">BSEA # </w:t>
      </w:r>
      <w:r w:rsidR="008E1050">
        <w:rPr>
          <w:b/>
          <w:bCs/>
          <w:sz w:val="36"/>
        </w:rPr>
        <w:t>1402607</w:t>
      </w:r>
    </w:p>
    <w:p w:rsidR="00D4276B" w:rsidRPr="00D4276B" w:rsidRDefault="00D4276B" w:rsidP="00D4276B">
      <w:pPr>
        <w:rPr>
          <w:bCs/>
          <w:sz w:val="28"/>
        </w:rPr>
      </w:pPr>
      <w:r w:rsidRPr="00D4276B">
        <w:rPr>
          <w:bCs/>
          <w:sz w:val="28"/>
        </w:rPr>
        <w:tab/>
      </w:r>
      <w:r w:rsidRPr="00D4276B">
        <w:rPr>
          <w:bCs/>
          <w:sz w:val="28"/>
        </w:rPr>
        <w:tab/>
      </w:r>
      <w:r w:rsidRPr="00D4276B">
        <w:rPr>
          <w:bCs/>
          <w:sz w:val="28"/>
        </w:rPr>
        <w:tab/>
      </w:r>
      <w:r w:rsidRPr="00D4276B">
        <w:rPr>
          <w:bCs/>
          <w:sz w:val="28"/>
        </w:rPr>
        <w:tab/>
      </w:r>
      <w:r w:rsidRPr="00D4276B">
        <w:rPr>
          <w:bCs/>
          <w:sz w:val="28"/>
        </w:rPr>
        <w:tab/>
        <w:t xml:space="preserve">     </w:t>
      </w:r>
    </w:p>
    <w:p w:rsidR="00D4276B" w:rsidRPr="00D4276B" w:rsidRDefault="00D4276B" w:rsidP="00D4276B">
      <w:pPr>
        <w:pBdr>
          <w:bottom w:val="single" w:sz="12" w:space="1" w:color="auto"/>
        </w:pBdr>
        <w:rPr>
          <w:bCs/>
          <w:sz w:val="28"/>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rPr>
          <w:bCs/>
          <w:sz w:val="24"/>
        </w:rPr>
      </w:pPr>
    </w:p>
    <w:p w:rsidR="00D4276B" w:rsidRPr="00D4276B" w:rsidRDefault="00D4276B" w:rsidP="00D4276B">
      <w:pPr>
        <w:keepNext/>
        <w:jc w:val="center"/>
        <w:outlineLvl w:val="2"/>
        <w:rPr>
          <w:b/>
          <w:bCs/>
          <w:sz w:val="24"/>
          <w:szCs w:val="22"/>
        </w:rPr>
      </w:pPr>
      <w:r w:rsidRPr="00D4276B">
        <w:rPr>
          <w:b/>
          <w:bCs/>
          <w:sz w:val="24"/>
          <w:szCs w:val="22"/>
        </w:rPr>
        <w:t>BEFORE</w:t>
      </w:r>
    </w:p>
    <w:p w:rsidR="00D4276B" w:rsidRPr="00D4276B" w:rsidRDefault="00D4276B" w:rsidP="00D4276B">
      <w:pPr>
        <w:jc w:val="center"/>
        <w:rPr>
          <w:b/>
          <w:bCs/>
          <w:sz w:val="24"/>
          <w:szCs w:val="22"/>
        </w:rPr>
      </w:pPr>
    </w:p>
    <w:p w:rsidR="00D4276B" w:rsidRPr="00D4276B" w:rsidRDefault="00D4276B" w:rsidP="00D4276B">
      <w:pPr>
        <w:keepNext/>
        <w:jc w:val="center"/>
        <w:outlineLvl w:val="5"/>
        <w:rPr>
          <w:b/>
          <w:bCs/>
          <w:sz w:val="24"/>
          <w:szCs w:val="22"/>
        </w:rPr>
      </w:pPr>
      <w:r w:rsidRPr="00D4276B">
        <w:rPr>
          <w:b/>
          <w:bCs/>
          <w:sz w:val="24"/>
          <w:szCs w:val="22"/>
        </w:rPr>
        <w:t>RAYMOND OLIVER</w:t>
      </w:r>
    </w:p>
    <w:p w:rsidR="00D4276B" w:rsidRPr="00D4276B" w:rsidRDefault="00D4276B" w:rsidP="00D4276B">
      <w:pPr>
        <w:keepNext/>
        <w:jc w:val="center"/>
        <w:outlineLvl w:val="3"/>
        <w:rPr>
          <w:b/>
          <w:bCs/>
          <w:sz w:val="24"/>
          <w:szCs w:val="22"/>
        </w:rPr>
      </w:pPr>
      <w:r w:rsidRPr="00D4276B">
        <w:rPr>
          <w:b/>
          <w:bCs/>
          <w:sz w:val="24"/>
          <w:szCs w:val="22"/>
        </w:rPr>
        <w:t>HEARING OFFICER</w:t>
      </w:r>
    </w:p>
    <w:p w:rsidR="00D4276B" w:rsidRPr="00D4276B" w:rsidRDefault="00D4276B" w:rsidP="00D4276B">
      <w:pPr>
        <w:jc w:val="center"/>
        <w:rPr>
          <w:b/>
          <w:bCs/>
          <w:sz w:val="22"/>
          <w:szCs w:val="22"/>
        </w:rPr>
      </w:pPr>
    </w:p>
    <w:p w:rsidR="00D4276B" w:rsidRPr="00D4276B" w:rsidRDefault="00D4276B" w:rsidP="00D4276B">
      <w:pPr>
        <w:jc w:val="center"/>
        <w:rPr>
          <w:bCs/>
          <w:sz w:val="22"/>
          <w:szCs w:val="22"/>
        </w:rPr>
      </w:pPr>
    </w:p>
    <w:p w:rsidR="00D4276B" w:rsidRPr="00D4276B" w:rsidRDefault="00D4276B" w:rsidP="00D4276B">
      <w:pPr>
        <w:rPr>
          <w:sz w:val="22"/>
          <w:szCs w:val="22"/>
        </w:rPr>
      </w:pPr>
    </w:p>
    <w:p w:rsidR="00D4276B" w:rsidRDefault="00825081" w:rsidP="00D4276B">
      <w:pPr>
        <w:keepNext/>
        <w:jc w:val="center"/>
        <w:outlineLvl w:val="0"/>
        <w:rPr>
          <w:b/>
          <w:bCs/>
          <w:sz w:val="24"/>
          <w:szCs w:val="22"/>
        </w:rPr>
      </w:pPr>
      <w:r>
        <w:rPr>
          <w:b/>
          <w:bCs/>
          <w:sz w:val="24"/>
          <w:szCs w:val="22"/>
        </w:rPr>
        <w:t>JULIE MUSE</w:t>
      </w:r>
      <w:r w:rsidR="005A1F0A">
        <w:rPr>
          <w:b/>
          <w:bCs/>
          <w:sz w:val="24"/>
          <w:szCs w:val="22"/>
        </w:rPr>
        <w:t>-</w:t>
      </w:r>
      <w:r>
        <w:rPr>
          <w:b/>
          <w:bCs/>
          <w:sz w:val="24"/>
          <w:szCs w:val="22"/>
        </w:rPr>
        <w:t>FISHER</w:t>
      </w:r>
      <w:r w:rsidR="00D4276B" w:rsidRPr="00D4276B">
        <w:rPr>
          <w:b/>
          <w:bCs/>
          <w:sz w:val="24"/>
          <w:szCs w:val="22"/>
        </w:rPr>
        <w:t xml:space="preserve">, ATTORNEY FOR </w:t>
      </w:r>
      <w:r>
        <w:rPr>
          <w:b/>
          <w:bCs/>
          <w:sz w:val="24"/>
          <w:szCs w:val="22"/>
        </w:rPr>
        <w:t>RANDOLPH PUBLIC SCHOOLS</w:t>
      </w:r>
    </w:p>
    <w:p w:rsidR="00825081" w:rsidRPr="00D4276B" w:rsidRDefault="00825081" w:rsidP="00D4276B">
      <w:pPr>
        <w:keepNext/>
        <w:jc w:val="center"/>
        <w:outlineLvl w:val="0"/>
        <w:rPr>
          <w:b/>
          <w:bCs/>
          <w:sz w:val="24"/>
          <w:szCs w:val="22"/>
        </w:rPr>
      </w:pPr>
    </w:p>
    <w:p w:rsidR="00D4276B" w:rsidRDefault="00825081" w:rsidP="00D4276B">
      <w:pPr>
        <w:jc w:val="center"/>
        <w:rPr>
          <w:b/>
          <w:sz w:val="24"/>
        </w:rPr>
      </w:pPr>
      <w:r>
        <w:rPr>
          <w:b/>
          <w:sz w:val="24"/>
        </w:rPr>
        <w:t>JEFFREY BECKER</w:t>
      </w:r>
      <w:r w:rsidR="00D4276B" w:rsidRPr="00D4276B">
        <w:rPr>
          <w:b/>
          <w:sz w:val="24"/>
        </w:rPr>
        <w:t xml:space="preserve">, ATTORNEY FOR </w:t>
      </w:r>
      <w:r>
        <w:rPr>
          <w:b/>
          <w:sz w:val="24"/>
        </w:rPr>
        <w:t>BOSTON</w:t>
      </w:r>
      <w:r w:rsidR="00D4276B" w:rsidRPr="00D4276B">
        <w:rPr>
          <w:b/>
          <w:sz w:val="24"/>
        </w:rPr>
        <w:t xml:space="preserve"> PUBLIC SCHOOLS</w:t>
      </w:r>
    </w:p>
    <w:p w:rsidR="00825081" w:rsidRDefault="00825081" w:rsidP="00825081">
      <w:pPr>
        <w:jc w:val="center"/>
        <w:rPr>
          <w:b/>
          <w:sz w:val="24"/>
        </w:rPr>
      </w:pPr>
    </w:p>
    <w:p w:rsidR="00825081" w:rsidRDefault="00825081" w:rsidP="00825081">
      <w:pPr>
        <w:jc w:val="center"/>
        <w:rPr>
          <w:b/>
          <w:sz w:val="24"/>
        </w:rPr>
      </w:pPr>
      <w:r w:rsidRPr="00825081">
        <w:rPr>
          <w:b/>
          <w:sz w:val="24"/>
        </w:rPr>
        <w:t xml:space="preserve">JOSHUA VARON, ATTORNEY FOR </w:t>
      </w:r>
    </w:p>
    <w:p w:rsidR="00825081" w:rsidRPr="00825081" w:rsidRDefault="00825081" w:rsidP="00825081">
      <w:pPr>
        <w:jc w:val="center"/>
        <w:rPr>
          <w:b/>
          <w:sz w:val="22"/>
        </w:rPr>
      </w:pPr>
      <w:r w:rsidRPr="00825081">
        <w:rPr>
          <w:b/>
          <w:sz w:val="22"/>
        </w:rPr>
        <w:t>MASSACHUSETTS DEPARTMENT OF ELEMENTARY AND SECONDARY EDUCATION</w:t>
      </w:r>
    </w:p>
    <w:p w:rsidR="00D4276B" w:rsidRPr="00D4276B" w:rsidRDefault="00D4276B" w:rsidP="00D4276B">
      <w:pPr>
        <w:keepNext/>
        <w:jc w:val="center"/>
        <w:outlineLvl w:val="0"/>
        <w:rPr>
          <w:b/>
          <w:kern w:val="28"/>
          <w:sz w:val="32"/>
          <w:szCs w:val="32"/>
        </w:rPr>
      </w:pPr>
      <w:r w:rsidRPr="00D4276B">
        <w:rPr>
          <w:b/>
          <w:sz w:val="24"/>
        </w:rPr>
        <w:br w:type="page"/>
      </w:r>
      <w:smartTag w:uri="urn:schemas-microsoft-com:office:smarttags" w:element="place">
        <w:smartTag w:uri="urn:schemas-microsoft-com:office:smarttags" w:element="PlaceType">
          <w:r w:rsidRPr="00D4276B">
            <w:rPr>
              <w:b/>
              <w:kern w:val="28"/>
              <w:sz w:val="32"/>
              <w:szCs w:val="32"/>
            </w:rPr>
            <w:lastRenderedPageBreak/>
            <w:t>COMMONWEALTH</w:t>
          </w:r>
        </w:smartTag>
        <w:r w:rsidRPr="00D4276B">
          <w:rPr>
            <w:b/>
            <w:kern w:val="28"/>
            <w:sz w:val="32"/>
            <w:szCs w:val="32"/>
          </w:rPr>
          <w:t xml:space="preserve"> OF </w:t>
        </w:r>
        <w:smartTag w:uri="urn:schemas-microsoft-com:office:smarttags" w:element="PlaceName">
          <w:r w:rsidRPr="00D4276B">
            <w:rPr>
              <w:b/>
              <w:kern w:val="28"/>
              <w:sz w:val="32"/>
              <w:szCs w:val="32"/>
            </w:rPr>
            <w:t>MASSACHUSETTS</w:t>
          </w:r>
        </w:smartTag>
      </w:smartTag>
    </w:p>
    <w:p w:rsidR="00D4276B" w:rsidRPr="00D4276B" w:rsidRDefault="00D4276B" w:rsidP="00D4276B">
      <w:pPr>
        <w:keepNext/>
        <w:spacing w:before="240" w:after="60"/>
        <w:jc w:val="center"/>
        <w:outlineLvl w:val="1"/>
        <w:rPr>
          <w:rFonts w:ascii="Arial" w:hAnsi="Arial"/>
          <w:b/>
          <w:sz w:val="28"/>
          <w:szCs w:val="28"/>
        </w:rPr>
      </w:pPr>
      <w:r w:rsidRPr="00D4276B">
        <w:rPr>
          <w:rFonts w:ascii="Arial" w:hAnsi="Arial"/>
          <w:b/>
          <w:sz w:val="28"/>
          <w:szCs w:val="28"/>
        </w:rPr>
        <w:t>Division of Administrative Law Appeals</w:t>
      </w:r>
    </w:p>
    <w:p w:rsidR="00D4276B" w:rsidRPr="00D4276B" w:rsidRDefault="00D4276B" w:rsidP="00D4276B">
      <w:pPr>
        <w:jc w:val="center"/>
        <w:rPr>
          <w:sz w:val="24"/>
          <w:szCs w:val="24"/>
        </w:rPr>
      </w:pPr>
    </w:p>
    <w:p w:rsidR="00D4276B" w:rsidRPr="00D4276B" w:rsidRDefault="00D4276B" w:rsidP="00D4276B">
      <w:pPr>
        <w:jc w:val="center"/>
        <w:rPr>
          <w:b/>
          <w:sz w:val="28"/>
          <w:szCs w:val="28"/>
        </w:rPr>
      </w:pPr>
      <w:r w:rsidRPr="00D4276B">
        <w:rPr>
          <w:b/>
          <w:sz w:val="28"/>
          <w:szCs w:val="28"/>
        </w:rPr>
        <w:t>Bureau of Special Education Appeals</w:t>
      </w:r>
    </w:p>
    <w:p w:rsidR="00D4276B" w:rsidRPr="00D4276B" w:rsidRDefault="00D4276B" w:rsidP="00D4276B"/>
    <w:p w:rsidR="00D4276B" w:rsidRPr="00D4276B" w:rsidRDefault="00D4276B" w:rsidP="00D4276B"/>
    <w:p w:rsidR="00761B9B" w:rsidRDefault="00761B9B" w:rsidP="00D4276B">
      <w:pPr>
        <w:rPr>
          <w:b/>
          <w:sz w:val="24"/>
          <w:szCs w:val="24"/>
        </w:rPr>
      </w:pPr>
    </w:p>
    <w:p w:rsidR="008E1050" w:rsidRPr="00761B9B" w:rsidRDefault="008E1050" w:rsidP="00D4276B">
      <w:pPr>
        <w:rPr>
          <w:b/>
          <w:sz w:val="24"/>
          <w:szCs w:val="24"/>
        </w:rPr>
      </w:pPr>
      <w:r w:rsidRPr="00761B9B">
        <w:rPr>
          <w:b/>
          <w:sz w:val="24"/>
          <w:szCs w:val="24"/>
        </w:rPr>
        <w:t xml:space="preserve">Randolph Public Schools v. </w:t>
      </w:r>
      <w:r w:rsidRPr="00761B9B">
        <w:rPr>
          <w:b/>
          <w:sz w:val="24"/>
          <w:szCs w:val="24"/>
        </w:rPr>
        <w:tab/>
      </w:r>
      <w:r w:rsidRPr="00761B9B">
        <w:rPr>
          <w:b/>
          <w:sz w:val="24"/>
          <w:szCs w:val="24"/>
        </w:rPr>
        <w:tab/>
      </w:r>
      <w:r w:rsidRPr="00761B9B">
        <w:rPr>
          <w:b/>
          <w:sz w:val="24"/>
          <w:szCs w:val="24"/>
        </w:rPr>
        <w:tab/>
      </w:r>
      <w:r w:rsidRPr="00761B9B">
        <w:rPr>
          <w:b/>
          <w:sz w:val="24"/>
          <w:szCs w:val="24"/>
        </w:rPr>
        <w:tab/>
      </w:r>
      <w:r w:rsidRPr="00761B9B">
        <w:rPr>
          <w:b/>
          <w:sz w:val="24"/>
          <w:szCs w:val="24"/>
        </w:rPr>
        <w:tab/>
      </w:r>
      <w:r w:rsidRPr="00761B9B">
        <w:rPr>
          <w:b/>
          <w:sz w:val="24"/>
          <w:szCs w:val="24"/>
        </w:rPr>
        <w:tab/>
      </w:r>
      <w:r w:rsidR="00761B9B">
        <w:rPr>
          <w:b/>
          <w:sz w:val="24"/>
          <w:szCs w:val="24"/>
        </w:rPr>
        <w:t xml:space="preserve">            </w:t>
      </w:r>
      <w:r w:rsidRPr="00761B9B">
        <w:rPr>
          <w:b/>
          <w:sz w:val="24"/>
          <w:szCs w:val="24"/>
        </w:rPr>
        <w:t>BSEA #: 1402607</w:t>
      </w:r>
    </w:p>
    <w:p w:rsidR="008E1050" w:rsidRPr="00761B9B" w:rsidRDefault="008E1050" w:rsidP="00D4276B">
      <w:pPr>
        <w:rPr>
          <w:b/>
          <w:sz w:val="24"/>
          <w:szCs w:val="24"/>
        </w:rPr>
      </w:pPr>
      <w:r w:rsidRPr="00761B9B">
        <w:rPr>
          <w:b/>
          <w:sz w:val="24"/>
          <w:szCs w:val="24"/>
        </w:rPr>
        <w:t xml:space="preserve">Massachusetts Department of Elementary and Secondary Education </w:t>
      </w:r>
    </w:p>
    <w:p w:rsidR="00D4276B" w:rsidRPr="00761B9B" w:rsidRDefault="008E1050" w:rsidP="00D4276B">
      <w:pPr>
        <w:rPr>
          <w:b/>
          <w:sz w:val="24"/>
          <w:szCs w:val="24"/>
        </w:rPr>
      </w:pPr>
      <w:r w:rsidRPr="00761B9B">
        <w:rPr>
          <w:b/>
          <w:sz w:val="24"/>
          <w:szCs w:val="24"/>
        </w:rPr>
        <w:t>and Boston Public Schools</w:t>
      </w:r>
      <w:r w:rsidR="00D4276B" w:rsidRPr="00761B9B">
        <w:rPr>
          <w:b/>
          <w:sz w:val="24"/>
          <w:szCs w:val="24"/>
        </w:rPr>
        <w:tab/>
      </w:r>
      <w:r w:rsidR="00D4276B" w:rsidRPr="00761B9B">
        <w:rPr>
          <w:b/>
          <w:sz w:val="24"/>
          <w:szCs w:val="24"/>
        </w:rPr>
        <w:tab/>
      </w:r>
      <w:r w:rsidR="00D4276B" w:rsidRPr="00761B9B">
        <w:rPr>
          <w:b/>
          <w:sz w:val="24"/>
          <w:szCs w:val="24"/>
        </w:rPr>
        <w:tab/>
      </w:r>
      <w:r w:rsidR="00D4276B" w:rsidRPr="00761B9B">
        <w:rPr>
          <w:b/>
          <w:sz w:val="24"/>
          <w:szCs w:val="24"/>
        </w:rPr>
        <w:tab/>
      </w:r>
      <w:r w:rsidR="00D4276B" w:rsidRPr="00761B9B">
        <w:rPr>
          <w:b/>
          <w:sz w:val="24"/>
          <w:szCs w:val="24"/>
        </w:rPr>
        <w:tab/>
      </w:r>
      <w:r w:rsidR="00D4276B" w:rsidRPr="00761B9B">
        <w:rPr>
          <w:b/>
          <w:sz w:val="24"/>
          <w:szCs w:val="24"/>
        </w:rPr>
        <w:tab/>
      </w:r>
      <w:r w:rsidR="00D4276B" w:rsidRPr="00761B9B">
        <w:rPr>
          <w:b/>
          <w:sz w:val="24"/>
          <w:szCs w:val="24"/>
        </w:rPr>
        <w:tab/>
      </w:r>
      <w:r w:rsidR="00D4276B" w:rsidRPr="00761B9B">
        <w:rPr>
          <w:b/>
          <w:sz w:val="24"/>
          <w:szCs w:val="24"/>
        </w:rPr>
        <w:tab/>
      </w:r>
    </w:p>
    <w:p w:rsidR="00D4276B" w:rsidRPr="00761B9B" w:rsidRDefault="00D4276B" w:rsidP="00D4276B">
      <w:pPr>
        <w:rPr>
          <w:sz w:val="24"/>
          <w:szCs w:val="24"/>
        </w:rPr>
      </w:pPr>
    </w:p>
    <w:p w:rsidR="00D4276B" w:rsidRPr="00D4276B" w:rsidRDefault="00D4276B" w:rsidP="00D4276B">
      <w:pPr>
        <w:jc w:val="center"/>
        <w:rPr>
          <w:b/>
          <w:sz w:val="24"/>
          <w:szCs w:val="24"/>
        </w:rPr>
      </w:pPr>
      <w:r w:rsidRPr="00D4276B">
        <w:rPr>
          <w:b/>
          <w:sz w:val="24"/>
          <w:szCs w:val="24"/>
        </w:rPr>
        <w:t>DECISION</w:t>
      </w:r>
    </w:p>
    <w:p w:rsidR="00D4276B" w:rsidRPr="00D4276B" w:rsidRDefault="00D4276B" w:rsidP="00D4276B">
      <w:pPr>
        <w:jc w:val="center"/>
        <w:rPr>
          <w:b/>
          <w:sz w:val="24"/>
          <w:szCs w:val="24"/>
        </w:rPr>
      </w:pPr>
    </w:p>
    <w:p w:rsidR="00D4276B" w:rsidRPr="00D4276B" w:rsidRDefault="00D4276B" w:rsidP="00D4276B">
      <w:pPr>
        <w:rPr>
          <w:sz w:val="24"/>
          <w:szCs w:val="24"/>
        </w:rPr>
      </w:pPr>
      <w:r w:rsidRPr="00D4276B">
        <w:rPr>
          <w:b/>
          <w:sz w:val="24"/>
          <w:szCs w:val="24"/>
        </w:rPr>
        <w:tab/>
      </w:r>
      <w:r w:rsidRPr="00D4276B">
        <w:rPr>
          <w:sz w:val="24"/>
          <w:szCs w:val="24"/>
        </w:rPr>
        <w:t xml:space="preserve">This decision is rendered pursuant to </w:t>
      </w:r>
      <w:proofErr w:type="spellStart"/>
      <w:r w:rsidRPr="00D4276B">
        <w:rPr>
          <w:sz w:val="24"/>
          <w:szCs w:val="24"/>
        </w:rPr>
        <w:t>M.G.L</w:t>
      </w:r>
      <w:proofErr w:type="spellEnd"/>
      <w:r w:rsidRPr="00D4276B">
        <w:rPr>
          <w:sz w:val="24"/>
          <w:szCs w:val="24"/>
        </w:rPr>
        <w:t>. Chapters</w:t>
      </w:r>
      <w:r w:rsidR="00154F24">
        <w:rPr>
          <w:sz w:val="24"/>
          <w:szCs w:val="24"/>
        </w:rPr>
        <w:t xml:space="preserve"> 30A and 71B </w:t>
      </w:r>
      <w:r w:rsidRPr="00D4276B">
        <w:rPr>
          <w:sz w:val="24"/>
          <w:szCs w:val="24"/>
        </w:rPr>
        <w:t>and the regulation</w:t>
      </w:r>
      <w:r w:rsidR="00761B9B">
        <w:rPr>
          <w:sz w:val="24"/>
          <w:szCs w:val="24"/>
        </w:rPr>
        <w:t>s promulgated thereunder</w:t>
      </w:r>
      <w:r w:rsidRPr="00D4276B">
        <w:rPr>
          <w:sz w:val="24"/>
          <w:szCs w:val="24"/>
        </w:rPr>
        <w:t>.</w:t>
      </w:r>
    </w:p>
    <w:p w:rsidR="00D4276B" w:rsidRPr="00D4276B" w:rsidRDefault="00D4276B" w:rsidP="00D4276B">
      <w:pPr>
        <w:rPr>
          <w:sz w:val="24"/>
          <w:szCs w:val="24"/>
        </w:rPr>
      </w:pPr>
    </w:p>
    <w:p w:rsidR="005308E5" w:rsidRPr="00825081" w:rsidRDefault="00154F24" w:rsidP="00154F24">
      <w:pPr>
        <w:rPr>
          <w:b/>
          <w:sz w:val="24"/>
          <w:szCs w:val="24"/>
        </w:rPr>
      </w:pPr>
      <w:r w:rsidRPr="00825081">
        <w:rPr>
          <w:b/>
          <w:sz w:val="24"/>
          <w:szCs w:val="24"/>
        </w:rPr>
        <w:t>BACKGROUND</w:t>
      </w:r>
    </w:p>
    <w:p w:rsidR="00154F24" w:rsidRDefault="00154F24" w:rsidP="00154F24">
      <w:pPr>
        <w:rPr>
          <w:sz w:val="24"/>
          <w:szCs w:val="24"/>
        </w:rPr>
      </w:pPr>
    </w:p>
    <w:p w:rsidR="00154F24" w:rsidRDefault="00154F24" w:rsidP="00154F24">
      <w:pPr>
        <w:rPr>
          <w:sz w:val="24"/>
          <w:szCs w:val="24"/>
        </w:rPr>
      </w:pPr>
      <w:r>
        <w:rPr>
          <w:sz w:val="24"/>
          <w:szCs w:val="24"/>
        </w:rPr>
        <w:tab/>
        <w:t>On December 18, 2013 the Randolph Public Schools (</w:t>
      </w:r>
      <w:proofErr w:type="spellStart"/>
      <w:r>
        <w:rPr>
          <w:sz w:val="24"/>
          <w:szCs w:val="24"/>
        </w:rPr>
        <w:t>RPS</w:t>
      </w:r>
      <w:proofErr w:type="spellEnd"/>
      <w:r>
        <w:rPr>
          <w:sz w:val="24"/>
          <w:szCs w:val="24"/>
        </w:rPr>
        <w:t>) filed an appeal of the LEA assignment made by the Massachusetts Department of Elementary and Secondary Education (</w:t>
      </w:r>
      <w:proofErr w:type="spellStart"/>
      <w:r>
        <w:rPr>
          <w:sz w:val="24"/>
          <w:szCs w:val="24"/>
        </w:rPr>
        <w:t>MDESE</w:t>
      </w:r>
      <w:proofErr w:type="spellEnd"/>
      <w:r>
        <w:rPr>
          <w:sz w:val="24"/>
          <w:szCs w:val="24"/>
        </w:rPr>
        <w:t xml:space="preserve">), assigning </w:t>
      </w:r>
      <w:proofErr w:type="spellStart"/>
      <w:r>
        <w:rPr>
          <w:sz w:val="24"/>
          <w:szCs w:val="24"/>
        </w:rPr>
        <w:t>RPS</w:t>
      </w:r>
      <w:proofErr w:type="spellEnd"/>
      <w:r>
        <w:rPr>
          <w:sz w:val="24"/>
          <w:szCs w:val="24"/>
        </w:rPr>
        <w:t xml:space="preserve"> full programmatic and financial responsibility for Student.</w:t>
      </w:r>
      <w:r w:rsidR="005C6D7A">
        <w:rPr>
          <w:sz w:val="24"/>
          <w:szCs w:val="24"/>
        </w:rPr>
        <w:t xml:space="preserve"> Given that the facts of this case are not disputed, the parties agreed to a decision</w:t>
      </w:r>
      <w:r w:rsidR="00761B9B">
        <w:rPr>
          <w:sz w:val="24"/>
          <w:szCs w:val="24"/>
        </w:rPr>
        <w:t xml:space="preserve"> based upon written submissions and oral argument</w:t>
      </w:r>
      <w:r w:rsidR="005C6D7A">
        <w:rPr>
          <w:sz w:val="24"/>
          <w:szCs w:val="24"/>
        </w:rPr>
        <w:t>. The parties submitted their</w:t>
      </w:r>
      <w:r w:rsidR="00761B9B">
        <w:rPr>
          <w:sz w:val="24"/>
          <w:szCs w:val="24"/>
        </w:rPr>
        <w:t xml:space="preserve"> </w:t>
      </w:r>
      <w:r w:rsidR="005C6D7A">
        <w:rPr>
          <w:sz w:val="24"/>
          <w:szCs w:val="24"/>
        </w:rPr>
        <w:t xml:space="preserve">exhibits </w:t>
      </w:r>
      <w:r w:rsidR="00761B9B">
        <w:rPr>
          <w:sz w:val="24"/>
          <w:szCs w:val="24"/>
        </w:rPr>
        <w:t>and written legal arguments during</w:t>
      </w:r>
      <w:r w:rsidR="005C6D7A">
        <w:rPr>
          <w:sz w:val="24"/>
          <w:szCs w:val="24"/>
        </w:rPr>
        <w:t xml:space="preserve"> January and February 2014. On February 25, 2014 the parties made their oral arguments telephonically to the Hearing Officer. The record closed on February 25, 2014. </w:t>
      </w:r>
    </w:p>
    <w:p w:rsidR="00B15D95" w:rsidRDefault="00B15D95" w:rsidP="00154F24">
      <w:pPr>
        <w:rPr>
          <w:sz w:val="24"/>
          <w:szCs w:val="24"/>
        </w:rPr>
      </w:pPr>
    </w:p>
    <w:p w:rsidR="00B15D95" w:rsidRPr="00825081" w:rsidRDefault="00B15D95" w:rsidP="00154F24">
      <w:pPr>
        <w:rPr>
          <w:b/>
          <w:sz w:val="24"/>
          <w:szCs w:val="24"/>
        </w:rPr>
      </w:pPr>
      <w:r w:rsidRPr="00825081">
        <w:rPr>
          <w:b/>
          <w:sz w:val="24"/>
          <w:szCs w:val="24"/>
        </w:rPr>
        <w:t>STATEMENT OF FACTS</w:t>
      </w:r>
    </w:p>
    <w:p w:rsidR="00B15D95" w:rsidRDefault="00B15D95" w:rsidP="00154F24">
      <w:pPr>
        <w:rPr>
          <w:sz w:val="24"/>
          <w:szCs w:val="24"/>
        </w:rPr>
      </w:pPr>
    </w:p>
    <w:p w:rsidR="00B15D95" w:rsidRPr="00E90B59" w:rsidRDefault="00B15D95" w:rsidP="00154F24">
      <w:r>
        <w:rPr>
          <w:sz w:val="24"/>
          <w:szCs w:val="24"/>
        </w:rPr>
        <w:tab/>
        <w:t xml:space="preserve">Student is a 12 year old girl who is eligible for special education services. Student had been enrolled in the Boston Public Schools (BPS) since 2006, living with her grandmother in Boston. On June 12, 2007 the Suffolk Probate and Family Court granted legal guardianship of Student to her grandmother because mother had disappeared in 2004 and was presumed dead. In September 2013 Student began the school year at BPS’ McKinley School, an intensive public school special education program. On September 24, 2013, after learning that Student was now living with her mother in Randolph, BPS discharged Student from McKinley School. Student was enrolled in </w:t>
      </w:r>
      <w:proofErr w:type="spellStart"/>
      <w:r>
        <w:rPr>
          <w:sz w:val="24"/>
          <w:szCs w:val="24"/>
        </w:rPr>
        <w:t>RPS</w:t>
      </w:r>
      <w:proofErr w:type="spellEnd"/>
      <w:r>
        <w:rPr>
          <w:sz w:val="24"/>
          <w:szCs w:val="24"/>
        </w:rPr>
        <w:t xml:space="preserve"> by her mother on October 18, 2013. On November 3, 2013 </w:t>
      </w:r>
      <w:proofErr w:type="spellStart"/>
      <w:r>
        <w:rPr>
          <w:sz w:val="24"/>
          <w:szCs w:val="24"/>
        </w:rPr>
        <w:t>RPS</w:t>
      </w:r>
      <w:proofErr w:type="spellEnd"/>
      <w:r>
        <w:rPr>
          <w:sz w:val="24"/>
          <w:szCs w:val="24"/>
        </w:rPr>
        <w:t xml:space="preserve"> requested from </w:t>
      </w:r>
      <w:proofErr w:type="spellStart"/>
      <w:r>
        <w:rPr>
          <w:sz w:val="24"/>
          <w:szCs w:val="24"/>
        </w:rPr>
        <w:t>MDESE</w:t>
      </w:r>
      <w:proofErr w:type="spellEnd"/>
      <w:r>
        <w:rPr>
          <w:sz w:val="24"/>
          <w:szCs w:val="24"/>
        </w:rPr>
        <w:t xml:space="preserve"> a clarification of school district assignment. On November 13, 2013 </w:t>
      </w:r>
      <w:proofErr w:type="spellStart"/>
      <w:r>
        <w:rPr>
          <w:sz w:val="24"/>
          <w:szCs w:val="24"/>
        </w:rPr>
        <w:t>MDESE</w:t>
      </w:r>
      <w:proofErr w:type="spellEnd"/>
      <w:r>
        <w:rPr>
          <w:sz w:val="24"/>
          <w:szCs w:val="24"/>
        </w:rPr>
        <w:t xml:space="preserve"> issued a letter assigning programmatic and financial responsibility for Student’s education to </w:t>
      </w:r>
      <w:proofErr w:type="spellStart"/>
      <w:r>
        <w:rPr>
          <w:sz w:val="24"/>
          <w:szCs w:val="24"/>
        </w:rPr>
        <w:t>RPS</w:t>
      </w:r>
      <w:proofErr w:type="spellEnd"/>
      <w:r>
        <w:rPr>
          <w:sz w:val="24"/>
          <w:szCs w:val="24"/>
        </w:rPr>
        <w:t xml:space="preserve">. </w:t>
      </w:r>
      <w:proofErr w:type="spellStart"/>
      <w:r>
        <w:rPr>
          <w:sz w:val="24"/>
          <w:szCs w:val="24"/>
        </w:rPr>
        <w:t>RPS</w:t>
      </w:r>
      <w:proofErr w:type="spellEnd"/>
      <w:r>
        <w:rPr>
          <w:sz w:val="24"/>
          <w:szCs w:val="24"/>
        </w:rPr>
        <w:t xml:space="preserve"> does not have a public special education program comparable to BPS’ McKinley </w:t>
      </w:r>
      <w:r w:rsidR="00825081">
        <w:rPr>
          <w:sz w:val="24"/>
          <w:szCs w:val="24"/>
        </w:rPr>
        <w:t>S</w:t>
      </w:r>
      <w:r>
        <w:rPr>
          <w:sz w:val="24"/>
          <w:szCs w:val="24"/>
        </w:rPr>
        <w:t xml:space="preserve">chool. High Road School is a </w:t>
      </w:r>
      <w:proofErr w:type="spellStart"/>
      <w:r>
        <w:rPr>
          <w:sz w:val="24"/>
          <w:szCs w:val="24"/>
        </w:rPr>
        <w:t>MDESE</w:t>
      </w:r>
      <w:proofErr w:type="spellEnd"/>
      <w:r>
        <w:rPr>
          <w:sz w:val="24"/>
          <w:szCs w:val="24"/>
        </w:rPr>
        <w:t xml:space="preserve"> approved private special education day school located in East Bridgewater, MA. </w:t>
      </w:r>
      <w:proofErr w:type="spellStart"/>
      <w:r>
        <w:rPr>
          <w:sz w:val="24"/>
          <w:szCs w:val="24"/>
        </w:rPr>
        <w:t>RPS</w:t>
      </w:r>
      <w:proofErr w:type="spellEnd"/>
      <w:r>
        <w:rPr>
          <w:sz w:val="24"/>
          <w:szCs w:val="24"/>
        </w:rPr>
        <w:t xml:space="preserve"> proposed an Individual Education Plan (</w:t>
      </w:r>
      <w:proofErr w:type="spellStart"/>
      <w:r>
        <w:rPr>
          <w:sz w:val="24"/>
          <w:szCs w:val="24"/>
        </w:rPr>
        <w:t>IEP</w:t>
      </w:r>
      <w:proofErr w:type="spellEnd"/>
      <w:r>
        <w:rPr>
          <w:sz w:val="24"/>
          <w:szCs w:val="24"/>
        </w:rPr>
        <w:t>) placing Stud</w:t>
      </w:r>
      <w:r w:rsidR="00E90B59">
        <w:rPr>
          <w:sz w:val="24"/>
          <w:szCs w:val="24"/>
        </w:rPr>
        <w:t>ent at High Road School.</w:t>
      </w:r>
      <w:r w:rsidR="00E90B59">
        <w:t xml:space="preserve"> </w:t>
      </w:r>
      <w:r w:rsidR="00825081">
        <w:rPr>
          <w:sz w:val="24"/>
          <w:szCs w:val="24"/>
        </w:rPr>
        <w:t>Legal g</w:t>
      </w:r>
      <w:r>
        <w:rPr>
          <w:sz w:val="24"/>
          <w:szCs w:val="24"/>
        </w:rPr>
        <w:t xml:space="preserve">uardian/grandmother accepted this </w:t>
      </w:r>
      <w:proofErr w:type="spellStart"/>
      <w:r>
        <w:rPr>
          <w:sz w:val="24"/>
          <w:szCs w:val="24"/>
        </w:rPr>
        <w:t>IEP</w:t>
      </w:r>
      <w:proofErr w:type="spellEnd"/>
      <w:r>
        <w:rPr>
          <w:sz w:val="24"/>
          <w:szCs w:val="24"/>
        </w:rPr>
        <w:t xml:space="preserve"> on December 6, 2013 and Student has attended High Road School since December 9, 2013</w:t>
      </w:r>
      <w:r w:rsidR="003E6781">
        <w:rPr>
          <w:sz w:val="24"/>
          <w:szCs w:val="24"/>
        </w:rPr>
        <w:t xml:space="preserve"> while continuing to reside with mother in Randolph.</w:t>
      </w:r>
    </w:p>
    <w:p w:rsidR="003E6781" w:rsidRDefault="003E6781" w:rsidP="00154F24">
      <w:pPr>
        <w:rPr>
          <w:sz w:val="24"/>
          <w:szCs w:val="24"/>
        </w:rPr>
      </w:pPr>
    </w:p>
    <w:p w:rsidR="003E6781" w:rsidRPr="00A27BCD" w:rsidRDefault="00A27BCD" w:rsidP="00E90B59">
      <w:pPr>
        <w:spacing w:after="200" w:line="276" w:lineRule="auto"/>
        <w:rPr>
          <w:b/>
          <w:sz w:val="24"/>
          <w:szCs w:val="24"/>
        </w:rPr>
      </w:pPr>
      <w:r>
        <w:rPr>
          <w:b/>
          <w:sz w:val="24"/>
          <w:szCs w:val="24"/>
        </w:rPr>
        <w:br w:type="page"/>
      </w:r>
      <w:r w:rsidR="003E6781" w:rsidRPr="00A27BCD">
        <w:rPr>
          <w:b/>
          <w:sz w:val="24"/>
          <w:szCs w:val="24"/>
        </w:rPr>
        <w:lastRenderedPageBreak/>
        <w:t>STATEMENT OF POSITIONS</w:t>
      </w:r>
    </w:p>
    <w:p w:rsidR="003E6781" w:rsidRDefault="003E6781" w:rsidP="00154F24">
      <w:pPr>
        <w:rPr>
          <w:sz w:val="24"/>
          <w:szCs w:val="24"/>
        </w:rPr>
      </w:pPr>
    </w:p>
    <w:p w:rsidR="003E6781" w:rsidRDefault="003E6781" w:rsidP="00154F24">
      <w:pPr>
        <w:rPr>
          <w:sz w:val="24"/>
          <w:szCs w:val="24"/>
        </w:rPr>
      </w:pPr>
      <w:r>
        <w:rPr>
          <w:sz w:val="24"/>
          <w:szCs w:val="24"/>
        </w:rPr>
        <w:tab/>
      </w:r>
      <w:proofErr w:type="spellStart"/>
      <w:r w:rsidRPr="00463EBA">
        <w:rPr>
          <w:sz w:val="24"/>
          <w:szCs w:val="24"/>
          <w:u w:val="single"/>
        </w:rPr>
        <w:t>RPS</w:t>
      </w:r>
      <w:proofErr w:type="spellEnd"/>
      <w:r w:rsidRPr="00463EBA">
        <w:rPr>
          <w:sz w:val="24"/>
          <w:szCs w:val="24"/>
          <w:u w:val="single"/>
        </w:rPr>
        <w:t>’ position</w:t>
      </w:r>
      <w:r>
        <w:rPr>
          <w:sz w:val="24"/>
          <w:szCs w:val="24"/>
        </w:rPr>
        <w:t xml:space="preserve"> is that</w:t>
      </w:r>
      <w:r w:rsidR="00E90B59">
        <w:rPr>
          <w:sz w:val="24"/>
          <w:szCs w:val="24"/>
        </w:rPr>
        <w:t xml:space="preserve"> Student has a legal guardian living in Boston and mother is a relative with whom Student is residing in Randolph. Under such circumstances, p</w:t>
      </w:r>
      <w:r>
        <w:rPr>
          <w:sz w:val="24"/>
          <w:szCs w:val="24"/>
        </w:rPr>
        <w:t>ursuant to 60</w:t>
      </w:r>
      <w:r w:rsidR="00E90B59">
        <w:rPr>
          <w:sz w:val="24"/>
          <w:szCs w:val="24"/>
        </w:rPr>
        <w:t xml:space="preserve">3 </w:t>
      </w:r>
      <w:proofErr w:type="spellStart"/>
      <w:r w:rsidR="00E90B59">
        <w:rPr>
          <w:sz w:val="24"/>
          <w:szCs w:val="24"/>
        </w:rPr>
        <w:t>CMR</w:t>
      </w:r>
      <w:proofErr w:type="spellEnd"/>
      <w:r w:rsidR="00E90B59">
        <w:rPr>
          <w:sz w:val="24"/>
          <w:szCs w:val="24"/>
        </w:rPr>
        <w:t xml:space="preserve"> 28.10(4)(b) and (8)(c)(3),</w:t>
      </w:r>
      <w:r>
        <w:rPr>
          <w:sz w:val="24"/>
          <w:szCs w:val="24"/>
        </w:rPr>
        <w:t xml:space="preserve"> </w:t>
      </w:r>
      <w:proofErr w:type="spellStart"/>
      <w:r>
        <w:rPr>
          <w:sz w:val="24"/>
          <w:szCs w:val="24"/>
        </w:rPr>
        <w:t>RPS</w:t>
      </w:r>
      <w:proofErr w:type="spellEnd"/>
      <w:r>
        <w:rPr>
          <w:sz w:val="24"/>
          <w:szCs w:val="24"/>
        </w:rPr>
        <w:t xml:space="preserve"> has programmatic res</w:t>
      </w:r>
      <w:r w:rsidR="00E90B59">
        <w:rPr>
          <w:sz w:val="24"/>
          <w:szCs w:val="24"/>
        </w:rPr>
        <w:t>ponsibility for Student but</w:t>
      </w:r>
      <w:r>
        <w:rPr>
          <w:sz w:val="24"/>
          <w:szCs w:val="24"/>
        </w:rPr>
        <w:t xml:space="preserve"> BPS has finan</w:t>
      </w:r>
      <w:r w:rsidR="00E90B59">
        <w:rPr>
          <w:sz w:val="24"/>
          <w:szCs w:val="24"/>
        </w:rPr>
        <w:t>cial responsibility.</w:t>
      </w:r>
      <w:r>
        <w:rPr>
          <w:sz w:val="24"/>
          <w:szCs w:val="24"/>
        </w:rPr>
        <w:t xml:space="preserve"> </w:t>
      </w:r>
      <w:proofErr w:type="spellStart"/>
      <w:r>
        <w:rPr>
          <w:sz w:val="24"/>
          <w:szCs w:val="24"/>
        </w:rPr>
        <w:t>RPS</w:t>
      </w:r>
      <w:proofErr w:type="spellEnd"/>
      <w:r>
        <w:rPr>
          <w:sz w:val="24"/>
          <w:szCs w:val="24"/>
        </w:rPr>
        <w:t xml:space="preserve"> also argues that </w:t>
      </w:r>
      <w:proofErr w:type="spellStart"/>
      <w:r>
        <w:rPr>
          <w:sz w:val="24"/>
          <w:szCs w:val="24"/>
        </w:rPr>
        <w:t>M.G.L.c</w:t>
      </w:r>
      <w:proofErr w:type="spellEnd"/>
      <w:r>
        <w:rPr>
          <w:sz w:val="24"/>
          <w:szCs w:val="24"/>
        </w:rPr>
        <w:t xml:space="preserve">. 71B s.5 (the </w:t>
      </w:r>
      <w:r w:rsidR="00E90B59">
        <w:rPr>
          <w:sz w:val="24"/>
          <w:szCs w:val="24"/>
        </w:rPr>
        <w:t>“</w:t>
      </w:r>
      <w:r>
        <w:rPr>
          <w:sz w:val="24"/>
          <w:szCs w:val="24"/>
        </w:rPr>
        <w:t>Move In Law</w:t>
      </w:r>
      <w:r w:rsidR="00E90B59">
        <w:rPr>
          <w:sz w:val="24"/>
          <w:szCs w:val="24"/>
        </w:rPr>
        <w:t>”</w:t>
      </w:r>
      <w:r>
        <w:rPr>
          <w:sz w:val="24"/>
          <w:szCs w:val="24"/>
        </w:rPr>
        <w:t>) applies</w:t>
      </w:r>
      <w:r w:rsidR="00E90B59">
        <w:rPr>
          <w:sz w:val="24"/>
          <w:szCs w:val="24"/>
        </w:rPr>
        <w:t>,</w:t>
      </w:r>
      <w:r>
        <w:rPr>
          <w:sz w:val="24"/>
          <w:szCs w:val="24"/>
        </w:rPr>
        <w:t xml:space="preserve"> and that BPS is financially obligated to pay for Student’s private day school placement through June 30, 2014. </w:t>
      </w:r>
      <w:proofErr w:type="spellStart"/>
      <w:r>
        <w:rPr>
          <w:sz w:val="24"/>
          <w:szCs w:val="24"/>
        </w:rPr>
        <w:t>RPS</w:t>
      </w:r>
      <w:proofErr w:type="spellEnd"/>
      <w:r>
        <w:rPr>
          <w:sz w:val="24"/>
          <w:szCs w:val="24"/>
        </w:rPr>
        <w:t xml:space="preserve"> contends that </w:t>
      </w:r>
      <w:proofErr w:type="spellStart"/>
      <w:r>
        <w:rPr>
          <w:sz w:val="24"/>
          <w:szCs w:val="24"/>
        </w:rPr>
        <w:t>MDESE</w:t>
      </w:r>
      <w:proofErr w:type="spellEnd"/>
      <w:r>
        <w:rPr>
          <w:sz w:val="24"/>
          <w:szCs w:val="24"/>
        </w:rPr>
        <w:t xml:space="preserve"> erred in assigning </w:t>
      </w:r>
      <w:proofErr w:type="spellStart"/>
      <w:r w:rsidR="00A27BCD">
        <w:rPr>
          <w:sz w:val="24"/>
          <w:szCs w:val="24"/>
        </w:rPr>
        <w:t>RP</w:t>
      </w:r>
      <w:r>
        <w:rPr>
          <w:sz w:val="24"/>
          <w:szCs w:val="24"/>
        </w:rPr>
        <w:t>S</w:t>
      </w:r>
      <w:proofErr w:type="spellEnd"/>
      <w:r>
        <w:rPr>
          <w:sz w:val="24"/>
          <w:szCs w:val="24"/>
        </w:rPr>
        <w:t xml:space="preserve"> both programmatic and financial responsibility for </w:t>
      </w:r>
      <w:r w:rsidR="00A27BCD">
        <w:rPr>
          <w:sz w:val="24"/>
          <w:szCs w:val="24"/>
        </w:rPr>
        <w:t>S</w:t>
      </w:r>
      <w:r>
        <w:rPr>
          <w:sz w:val="24"/>
          <w:szCs w:val="24"/>
        </w:rPr>
        <w:t>tudent.</w:t>
      </w:r>
    </w:p>
    <w:p w:rsidR="003E6781" w:rsidRDefault="003E6781" w:rsidP="00154F24">
      <w:pPr>
        <w:rPr>
          <w:sz w:val="24"/>
          <w:szCs w:val="24"/>
        </w:rPr>
      </w:pPr>
    </w:p>
    <w:p w:rsidR="00463EBA" w:rsidRDefault="003E6781" w:rsidP="00154F24">
      <w:pPr>
        <w:rPr>
          <w:sz w:val="24"/>
          <w:szCs w:val="24"/>
        </w:rPr>
      </w:pPr>
      <w:r>
        <w:rPr>
          <w:sz w:val="24"/>
          <w:szCs w:val="24"/>
        </w:rPr>
        <w:tab/>
      </w:r>
      <w:proofErr w:type="spellStart"/>
      <w:r w:rsidRPr="00463EBA">
        <w:rPr>
          <w:sz w:val="24"/>
          <w:szCs w:val="24"/>
          <w:u w:val="single"/>
        </w:rPr>
        <w:t>MDESE’s</w:t>
      </w:r>
      <w:proofErr w:type="spellEnd"/>
      <w:r w:rsidRPr="00463EBA">
        <w:rPr>
          <w:sz w:val="24"/>
          <w:szCs w:val="24"/>
          <w:u w:val="single"/>
        </w:rPr>
        <w:t xml:space="preserve"> position</w:t>
      </w:r>
      <w:r>
        <w:rPr>
          <w:sz w:val="24"/>
          <w:szCs w:val="24"/>
        </w:rPr>
        <w:t xml:space="preserve"> is that pursuant to 603 </w:t>
      </w:r>
      <w:proofErr w:type="spellStart"/>
      <w:r>
        <w:rPr>
          <w:sz w:val="24"/>
          <w:szCs w:val="24"/>
        </w:rPr>
        <w:t>CMR</w:t>
      </w:r>
      <w:proofErr w:type="spellEnd"/>
      <w:r>
        <w:rPr>
          <w:sz w:val="24"/>
          <w:szCs w:val="24"/>
        </w:rPr>
        <w:t xml:space="preserve"> 28.10(2)(a) Student lives with her mother in Randolph – therefore its assignment of School District Responsibility finding Randolph </w:t>
      </w:r>
      <w:r w:rsidR="00463EBA">
        <w:rPr>
          <w:sz w:val="24"/>
          <w:szCs w:val="24"/>
        </w:rPr>
        <w:t xml:space="preserve">both programmatically and financially responsible for Student was correct. </w:t>
      </w:r>
      <w:proofErr w:type="spellStart"/>
      <w:r w:rsidR="00463EBA">
        <w:rPr>
          <w:sz w:val="24"/>
          <w:szCs w:val="24"/>
        </w:rPr>
        <w:t>MDESE</w:t>
      </w:r>
      <w:proofErr w:type="spellEnd"/>
      <w:r w:rsidR="00463EBA">
        <w:rPr>
          <w:sz w:val="24"/>
          <w:szCs w:val="24"/>
        </w:rPr>
        <w:t xml:space="preserve"> contends that a court order of guardianship does not necessarily entail a termination of parental rights and that those regulatory provisions which provide for a shared responsibility for a stu</w:t>
      </w:r>
      <w:r w:rsidR="00E90B59">
        <w:rPr>
          <w:sz w:val="24"/>
          <w:szCs w:val="24"/>
        </w:rPr>
        <w:t>dent’s education do not apply given</w:t>
      </w:r>
      <w:r w:rsidR="00463EBA">
        <w:rPr>
          <w:sz w:val="24"/>
          <w:szCs w:val="24"/>
        </w:rPr>
        <w:t xml:space="preserve"> the facts of this case. </w:t>
      </w:r>
      <w:proofErr w:type="spellStart"/>
      <w:r w:rsidR="00463EBA">
        <w:rPr>
          <w:sz w:val="24"/>
          <w:szCs w:val="24"/>
        </w:rPr>
        <w:t>MDESE</w:t>
      </w:r>
      <w:proofErr w:type="spellEnd"/>
      <w:r w:rsidR="00463EBA">
        <w:rPr>
          <w:sz w:val="24"/>
          <w:szCs w:val="24"/>
        </w:rPr>
        <w:t xml:space="preserve"> also argues that the </w:t>
      </w:r>
      <w:r w:rsidR="00E90B59">
        <w:rPr>
          <w:sz w:val="24"/>
          <w:szCs w:val="24"/>
        </w:rPr>
        <w:t>“</w:t>
      </w:r>
      <w:r w:rsidR="00463EBA">
        <w:rPr>
          <w:sz w:val="24"/>
          <w:szCs w:val="24"/>
        </w:rPr>
        <w:t>Move In Law</w:t>
      </w:r>
      <w:r w:rsidR="00E90B59">
        <w:rPr>
          <w:sz w:val="24"/>
          <w:szCs w:val="24"/>
        </w:rPr>
        <w:t>”</w:t>
      </w:r>
      <w:r w:rsidR="00463EBA">
        <w:rPr>
          <w:sz w:val="24"/>
          <w:szCs w:val="24"/>
        </w:rPr>
        <w:t xml:space="preserve"> </w:t>
      </w:r>
      <w:r w:rsidR="00E90B59">
        <w:rPr>
          <w:sz w:val="24"/>
          <w:szCs w:val="24"/>
        </w:rPr>
        <w:t>is inapplicable in the instant case.</w:t>
      </w:r>
    </w:p>
    <w:p w:rsidR="00F616E1" w:rsidRDefault="00F616E1" w:rsidP="00154F24">
      <w:pPr>
        <w:rPr>
          <w:sz w:val="24"/>
          <w:szCs w:val="24"/>
        </w:rPr>
      </w:pPr>
    </w:p>
    <w:p w:rsidR="00463EBA" w:rsidRDefault="00463EBA" w:rsidP="00154F24">
      <w:pPr>
        <w:rPr>
          <w:sz w:val="24"/>
          <w:szCs w:val="24"/>
        </w:rPr>
      </w:pPr>
      <w:r>
        <w:rPr>
          <w:sz w:val="24"/>
          <w:szCs w:val="24"/>
        </w:rPr>
        <w:tab/>
      </w:r>
      <w:r w:rsidRPr="00463EBA">
        <w:rPr>
          <w:sz w:val="24"/>
          <w:szCs w:val="24"/>
          <w:u w:val="single"/>
        </w:rPr>
        <w:t>BPS’ position</w:t>
      </w:r>
      <w:r>
        <w:rPr>
          <w:sz w:val="24"/>
          <w:szCs w:val="24"/>
        </w:rPr>
        <w:t xml:space="preserve"> is essentially identical to</w:t>
      </w:r>
      <w:r w:rsidR="00E90B59">
        <w:rPr>
          <w:sz w:val="24"/>
          <w:szCs w:val="24"/>
        </w:rPr>
        <w:t xml:space="preserve"> that of</w:t>
      </w:r>
      <w:r>
        <w:rPr>
          <w:sz w:val="24"/>
          <w:szCs w:val="24"/>
        </w:rPr>
        <w:t xml:space="preserve"> </w:t>
      </w:r>
      <w:proofErr w:type="spellStart"/>
      <w:r>
        <w:rPr>
          <w:sz w:val="24"/>
          <w:szCs w:val="24"/>
        </w:rPr>
        <w:t>MDESE</w:t>
      </w:r>
      <w:proofErr w:type="spellEnd"/>
      <w:r>
        <w:rPr>
          <w:sz w:val="24"/>
          <w:szCs w:val="24"/>
        </w:rPr>
        <w:t>. BPS contends that the court order of guardianship to grandmother did not terminate parental rights of the mother</w:t>
      </w:r>
      <w:r w:rsidR="00E90B59">
        <w:rPr>
          <w:sz w:val="24"/>
          <w:szCs w:val="24"/>
        </w:rPr>
        <w:t>,</w:t>
      </w:r>
      <w:r>
        <w:rPr>
          <w:sz w:val="24"/>
          <w:szCs w:val="24"/>
        </w:rPr>
        <w:t xml:space="preserve"> but presumed mother was dead; that mother is alive and now caring for Student; that Student is living with mother; and that mother’s parental rights are</w:t>
      </w:r>
      <w:r w:rsidR="00E90B59">
        <w:rPr>
          <w:sz w:val="24"/>
          <w:szCs w:val="24"/>
        </w:rPr>
        <w:t xml:space="preserve"> thus</w:t>
      </w:r>
      <w:r>
        <w:rPr>
          <w:sz w:val="24"/>
          <w:szCs w:val="24"/>
        </w:rPr>
        <w:t xml:space="preserve"> maintained. BPS contends that 603 </w:t>
      </w:r>
      <w:proofErr w:type="spellStart"/>
      <w:r>
        <w:rPr>
          <w:sz w:val="24"/>
          <w:szCs w:val="24"/>
        </w:rPr>
        <w:t>CMR</w:t>
      </w:r>
      <w:proofErr w:type="spellEnd"/>
      <w:r>
        <w:rPr>
          <w:sz w:val="24"/>
          <w:szCs w:val="24"/>
        </w:rPr>
        <w:t xml:space="preserve"> 28.10(4)(b) does not apply in this case because Student is not simply living with a relative but living with her mother and, therefore, 603 </w:t>
      </w:r>
      <w:proofErr w:type="spellStart"/>
      <w:r>
        <w:rPr>
          <w:sz w:val="24"/>
          <w:szCs w:val="24"/>
        </w:rPr>
        <w:t>CMR</w:t>
      </w:r>
      <w:proofErr w:type="spellEnd"/>
      <w:r>
        <w:rPr>
          <w:sz w:val="24"/>
          <w:szCs w:val="24"/>
        </w:rPr>
        <w:t xml:space="preserve"> 28.10(2)(a) applies in this case. BPS also argues that the </w:t>
      </w:r>
      <w:r w:rsidR="00E90B59">
        <w:rPr>
          <w:sz w:val="24"/>
          <w:szCs w:val="24"/>
        </w:rPr>
        <w:t>“</w:t>
      </w:r>
      <w:r>
        <w:rPr>
          <w:sz w:val="24"/>
          <w:szCs w:val="24"/>
        </w:rPr>
        <w:t>Move In Law</w:t>
      </w:r>
      <w:r w:rsidR="00E90B59">
        <w:rPr>
          <w:sz w:val="24"/>
          <w:szCs w:val="24"/>
        </w:rPr>
        <w:t>”</w:t>
      </w:r>
      <w:r>
        <w:rPr>
          <w:sz w:val="24"/>
          <w:szCs w:val="24"/>
        </w:rPr>
        <w:t xml:space="preserve"> does not apply to the facts of this case.</w:t>
      </w:r>
    </w:p>
    <w:p w:rsidR="00463EBA" w:rsidRDefault="00463EBA" w:rsidP="00154F24">
      <w:pPr>
        <w:rPr>
          <w:sz w:val="24"/>
          <w:szCs w:val="24"/>
        </w:rPr>
      </w:pPr>
    </w:p>
    <w:p w:rsidR="00463EBA" w:rsidRPr="00A27BCD" w:rsidRDefault="00463EBA" w:rsidP="00154F24">
      <w:pPr>
        <w:rPr>
          <w:b/>
          <w:sz w:val="24"/>
          <w:szCs w:val="24"/>
        </w:rPr>
      </w:pPr>
      <w:r w:rsidRPr="00A27BCD">
        <w:rPr>
          <w:b/>
          <w:sz w:val="24"/>
          <w:szCs w:val="24"/>
        </w:rPr>
        <w:t>RULING</w:t>
      </w:r>
    </w:p>
    <w:p w:rsidR="00D4276B" w:rsidRPr="00D4276B" w:rsidRDefault="00D4276B" w:rsidP="00D4276B">
      <w:pPr>
        <w:rPr>
          <w:sz w:val="24"/>
          <w:szCs w:val="24"/>
        </w:rPr>
      </w:pPr>
    </w:p>
    <w:p w:rsidR="00D4276B" w:rsidRDefault="002C4180" w:rsidP="00D4276B">
      <w:pPr>
        <w:rPr>
          <w:sz w:val="24"/>
          <w:szCs w:val="24"/>
        </w:rPr>
      </w:pPr>
      <w:r>
        <w:rPr>
          <w:sz w:val="24"/>
          <w:szCs w:val="24"/>
        </w:rPr>
        <w:tab/>
        <w:t>Based upon the undisputed facts</w:t>
      </w:r>
      <w:r w:rsidR="00E90B59">
        <w:rPr>
          <w:sz w:val="24"/>
          <w:szCs w:val="24"/>
        </w:rPr>
        <w:t>,</w:t>
      </w:r>
      <w:r>
        <w:rPr>
          <w:sz w:val="24"/>
          <w:szCs w:val="24"/>
        </w:rPr>
        <w:t xml:space="preserve"> e</w:t>
      </w:r>
      <w:r w:rsidR="00E90B59">
        <w:rPr>
          <w:sz w:val="24"/>
          <w:szCs w:val="24"/>
        </w:rPr>
        <w:t>xhibits admitted into evidence,</w:t>
      </w:r>
      <w:r>
        <w:rPr>
          <w:sz w:val="24"/>
          <w:szCs w:val="24"/>
        </w:rPr>
        <w:t xml:space="preserve"> the written and oral arguments submitted, and a review of the applicable law, I conclude that </w:t>
      </w:r>
      <w:proofErr w:type="spellStart"/>
      <w:r>
        <w:rPr>
          <w:sz w:val="24"/>
          <w:szCs w:val="24"/>
        </w:rPr>
        <w:t>MDESE’s</w:t>
      </w:r>
      <w:proofErr w:type="spellEnd"/>
      <w:r>
        <w:rPr>
          <w:sz w:val="24"/>
          <w:szCs w:val="24"/>
        </w:rPr>
        <w:t xml:space="preserve"> Assignment of School District Responsibility finding </w:t>
      </w:r>
      <w:proofErr w:type="spellStart"/>
      <w:r>
        <w:rPr>
          <w:sz w:val="24"/>
          <w:szCs w:val="24"/>
        </w:rPr>
        <w:t>RPS</w:t>
      </w:r>
      <w:proofErr w:type="spellEnd"/>
      <w:r>
        <w:rPr>
          <w:sz w:val="24"/>
          <w:szCs w:val="24"/>
        </w:rPr>
        <w:t xml:space="preserve"> both programmatically and financially responsible for Student was correct. I further conclude that the </w:t>
      </w:r>
      <w:r w:rsidR="00E90B59">
        <w:rPr>
          <w:sz w:val="24"/>
          <w:szCs w:val="24"/>
        </w:rPr>
        <w:t>“</w:t>
      </w:r>
      <w:r>
        <w:rPr>
          <w:sz w:val="24"/>
          <w:szCs w:val="24"/>
        </w:rPr>
        <w:t>Move In Law</w:t>
      </w:r>
      <w:r w:rsidR="00E90B59">
        <w:rPr>
          <w:sz w:val="24"/>
          <w:szCs w:val="24"/>
        </w:rPr>
        <w:t>” is not applicable given the facts of the instant</w:t>
      </w:r>
      <w:r>
        <w:rPr>
          <w:sz w:val="24"/>
          <w:szCs w:val="24"/>
        </w:rPr>
        <w:t xml:space="preserve"> case.</w:t>
      </w:r>
    </w:p>
    <w:p w:rsidR="002C4180" w:rsidRDefault="002C4180" w:rsidP="00D4276B">
      <w:pPr>
        <w:rPr>
          <w:sz w:val="24"/>
          <w:szCs w:val="24"/>
        </w:rPr>
      </w:pPr>
    </w:p>
    <w:p w:rsidR="002C4180" w:rsidRDefault="002C4180" w:rsidP="00D4276B">
      <w:pPr>
        <w:rPr>
          <w:sz w:val="24"/>
          <w:szCs w:val="24"/>
        </w:rPr>
      </w:pPr>
      <w:r>
        <w:rPr>
          <w:sz w:val="24"/>
          <w:szCs w:val="24"/>
        </w:rPr>
        <w:t>My analysis follows.</w:t>
      </w:r>
    </w:p>
    <w:p w:rsidR="00BC4175" w:rsidRDefault="00BC4175" w:rsidP="00D4276B">
      <w:pPr>
        <w:rPr>
          <w:sz w:val="24"/>
          <w:szCs w:val="24"/>
        </w:rPr>
      </w:pPr>
    </w:p>
    <w:p w:rsidR="00BC4175" w:rsidRDefault="00A27BCD" w:rsidP="00D4276B">
      <w:pPr>
        <w:rPr>
          <w:sz w:val="24"/>
          <w:szCs w:val="24"/>
        </w:rPr>
      </w:pPr>
      <w:r>
        <w:rPr>
          <w:sz w:val="24"/>
          <w:szCs w:val="24"/>
        </w:rPr>
        <w:tab/>
        <w:t>Pursuant to M.G.L.c.71B s.3</w:t>
      </w:r>
      <w:r w:rsidR="00A54BC5">
        <w:rPr>
          <w:sz w:val="24"/>
          <w:szCs w:val="24"/>
        </w:rPr>
        <w:t xml:space="preserve">, </w:t>
      </w:r>
      <w:r w:rsidR="00BC4175">
        <w:rPr>
          <w:sz w:val="24"/>
          <w:szCs w:val="24"/>
        </w:rPr>
        <w:t xml:space="preserve">a school district is responsible for the special education program of any child residing within its jurisdiction. 603 </w:t>
      </w:r>
      <w:proofErr w:type="spellStart"/>
      <w:r w:rsidR="00BC4175">
        <w:rPr>
          <w:sz w:val="24"/>
          <w:szCs w:val="24"/>
        </w:rPr>
        <w:t>CMR</w:t>
      </w:r>
      <w:proofErr w:type="spellEnd"/>
      <w:r w:rsidR="00BC4175">
        <w:rPr>
          <w:sz w:val="24"/>
          <w:szCs w:val="24"/>
        </w:rPr>
        <w:t xml:space="preserve"> 28.10 – School District Responsibility – provides the regulatory framework regarding residency for purposes of implem</w:t>
      </w:r>
      <w:r>
        <w:rPr>
          <w:sz w:val="24"/>
          <w:szCs w:val="24"/>
        </w:rPr>
        <w:t xml:space="preserve">enting c.71B s.3. 603 </w:t>
      </w:r>
      <w:proofErr w:type="spellStart"/>
      <w:r>
        <w:rPr>
          <w:sz w:val="24"/>
          <w:szCs w:val="24"/>
        </w:rPr>
        <w:t>CMR</w:t>
      </w:r>
      <w:proofErr w:type="spellEnd"/>
      <w:r>
        <w:rPr>
          <w:sz w:val="24"/>
          <w:szCs w:val="24"/>
        </w:rPr>
        <w:t xml:space="preserve"> 28.10</w:t>
      </w:r>
      <w:r w:rsidR="00BC4175">
        <w:rPr>
          <w:sz w:val="24"/>
          <w:szCs w:val="24"/>
        </w:rPr>
        <w:t>(1) General Provisions provides that:</w:t>
      </w:r>
    </w:p>
    <w:p w:rsidR="00BC4175" w:rsidRDefault="00BC4175" w:rsidP="00D4276B">
      <w:pPr>
        <w:rPr>
          <w:sz w:val="24"/>
          <w:szCs w:val="24"/>
        </w:rPr>
      </w:pPr>
    </w:p>
    <w:p w:rsidR="00BC4175" w:rsidRDefault="00BC4175" w:rsidP="00D4276B">
      <w:pPr>
        <w:rPr>
          <w:sz w:val="24"/>
          <w:szCs w:val="24"/>
        </w:rPr>
      </w:pPr>
      <w:r>
        <w:rPr>
          <w:sz w:val="24"/>
          <w:szCs w:val="24"/>
        </w:rPr>
        <w:tab/>
        <w:t xml:space="preserve">School districts shall be programmatically and financially responsible for eligible </w:t>
      </w:r>
    </w:p>
    <w:p w:rsidR="00463EBA" w:rsidRDefault="00BC4175" w:rsidP="00BC4175">
      <w:pPr>
        <w:ind w:firstLine="720"/>
        <w:rPr>
          <w:sz w:val="24"/>
          <w:szCs w:val="24"/>
        </w:rPr>
      </w:pPr>
      <w:r>
        <w:rPr>
          <w:sz w:val="24"/>
          <w:szCs w:val="24"/>
        </w:rPr>
        <w:t>students based upon residency and enrollment.</w:t>
      </w:r>
    </w:p>
    <w:p w:rsidR="00BC4175" w:rsidRDefault="00BC4175" w:rsidP="00BC4175">
      <w:pPr>
        <w:rPr>
          <w:sz w:val="24"/>
          <w:szCs w:val="24"/>
        </w:rPr>
      </w:pPr>
    </w:p>
    <w:p w:rsidR="00A27BCD" w:rsidRDefault="00A27BCD">
      <w:pPr>
        <w:spacing w:after="200" w:line="276" w:lineRule="auto"/>
        <w:rPr>
          <w:sz w:val="24"/>
          <w:szCs w:val="24"/>
        </w:rPr>
      </w:pPr>
      <w:r>
        <w:rPr>
          <w:sz w:val="24"/>
          <w:szCs w:val="24"/>
        </w:rPr>
        <w:br w:type="page"/>
      </w:r>
    </w:p>
    <w:p w:rsidR="00BC4175" w:rsidRDefault="00BC4175" w:rsidP="00BC4175">
      <w:pPr>
        <w:rPr>
          <w:sz w:val="24"/>
          <w:szCs w:val="24"/>
        </w:rPr>
      </w:pPr>
      <w:r>
        <w:rPr>
          <w:sz w:val="24"/>
          <w:szCs w:val="24"/>
        </w:rPr>
        <w:t xml:space="preserve">603 </w:t>
      </w:r>
      <w:proofErr w:type="spellStart"/>
      <w:r>
        <w:rPr>
          <w:sz w:val="24"/>
          <w:szCs w:val="24"/>
        </w:rPr>
        <w:t>CMR</w:t>
      </w:r>
      <w:proofErr w:type="spellEnd"/>
      <w:r>
        <w:rPr>
          <w:sz w:val="24"/>
          <w:szCs w:val="24"/>
        </w:rPr>
        <w:t xml:space="preserve"> 28.10(2) provides:</w:t>
      </w:r>
    </w:p>
    <w:p w:rsidR="00BC4175" w:rsidRDefault="00BC4175" w:rsidP="00BC4175">
      <w:pPr>
        <w:rPr>
          <w:sz w:val="24"/>
          <w:szCs w:val="24"/>
        </w:rPr>
      </w:pPr>
    </w:p>
    <w:p w:rsidR="0056359F" w:rsidRDefault="00BC4175" w:rsidP="00BC4175">
      <w:pPr>
        <w:rPr>
          <w:sz w:val="24"/>
          <w:szCs w:val="24"/>
        </w:rPr>
      </w:pPr>
      <w:r>
        <w:rPr>
          <w:sz w:val="24"/>
          <w:szCs w:val="24"/>
        </w:rPr>
        <w:tab/>
        <w:t xml:space="preserve">(2) School district </w:t>
      </w:r>
      <w:r w:rsidR="0056359F">
        <w:rPr>
          <w:sz w:val="24"/>
          <w:szCs w:val="24"/>
        </w:rPr>
        <w:t xml:space="preserve">responsibility based on student residence. The school district where the </w:t>
      </w:r>
    </w:p>
    <w:p w:rsidR="0056359F" w:rsidRDefault="0056359F" w:rsidP="0056359F">
      <w:pPr>
        <w:ind w:firstLine="720"/>
        <w:rPr>
          <w:sz w:val="24"/>
          <w:szCs w:val="24"/>
        </w:rPr>
      </w:pPr>
      <w:r>
        <w:rPr>
          <w:sz w:val="24"/>
          <w:szCs w:val="24"/>
        </w:rPr>
        <w:t xml:space="preserve">student resides shall have both programmatic and financial responsibility under the </w:t>
      </w:r>
    </w:p>
    <w:p w:rsidR="00BC4175" w:rsidRDefault="0056359F" w:rsidP="0056359F">
      <w:pPr>
        <w:ind w:firstLine="720"/>
        <w:rPr>
          <w:sz w:val="24"/>
          <w:szCs w:val="24"/>
        </w:rPr>
      </w:pPr>
      <w:r>
        <w:rPr>
          <w:sz w:val="24"/>
          <w:szCs w:val="24"/>
        </w:rPr>
        <w:t>following circumstances:</w:t>
      </w:r>
    </w:p>
    <w:p w:rsidR="0056359F" w:rsidRDefault="0056359F" w:rsidP="0056359F">
      <w:pPr>
        <w:ind w:firstLine="720"/>
        <w:rPr>
          <w:sz w:val="24"/>
          <w:szCs w:val="24"/>
        </w:rPr>
      </w:pPr>
    </w:p>
    <w:p w:rsidR="0056359F" w:rsidRPr="0056359F" w:rsidRDefault="0056359F" w:rsidP="0056359F">
      <w:pPr>
        <w:pStyle w:val="ListParagraph"/>
        <w:numPr>
          <w:ilvl w:val="0"/>
          <w:numId w:val="3"/>
        </w:numPr>
        <w:rPr>
          <w:sz w:val="24"/>
          <w:szCs w:val="24"/>
        </w:rPr>
      </w:pPr>
      <w:r>
        <w:rPr>
          <w:sz w:val="24"/>
          <w:szCs w:val="24"/>
        </w:rPr>
        <w:t>when students live with their parent(s) or legal guardian</w:t>
      </w:r>
      <w:r w:rsidR="00A54BC5">
        <w:rPr>
          <w:sz w:val="24"/>
          <w:szCs w:val="24"/>
        </w:rPr>
        <w:t>.</w:t>
      </w:r>
    </w:p>
    <w:p w:rsidR="00463EBA" w:rsidRDefault="00463EBA" w:rsidP="00D4276B">
      <w:pPr>
        <w:rPr>
          <w:sz w:val="24"/>
          <w:szCs w:val="24"/>
        </w:rPr>
      </w:pPr>
    </w:p>
    <w:p w:rsidR="0056359F" w:rsidRDefault="00A27BCD" w:rsidP="0056359F">
      <w:pPr>
        <w:ind w:firstLine="720"/>
        <w:rPr>
          <w:sz w:val="24"/>
          <w:szCs w:val="24"/>
        </w:rPr>
      </w:pPr>
      <w:r>
        <w:rPr>
          <w:sz w:val="24"/>
          <w:szCs w:val="24"/>
        </w:rPr>
        <w:t xml:space="preserve">603 </w:t>
      </w:r>
      <w:proofErr w:type="spellStart"/>
      <w:r>
        <w:rPr>
          <w:sz w:val="24"/>
          <w:szCs w:val="24"/>
        </w:rPr>
        <w:t>CMR</w:t>
      </w:r>
      <w:proofErr w:type="spellEnd"/>
      <w:r>
        <w:rPr>
          <w:sz w:val="24"/>
          <w:szCs w:val="24"/>
        </w:rPr>
        <w:t xml:space="preserve"> 28.10</w:t>
      </w:r>
      <w:r w:rsidR="0056359F">
        <w:rPr>
          <w:sz w:val="24"/>
          <w:szCs w:val="24"/>
        </w:rPr>
        <w:t>(3) and (4) delineate the special circumstances and exceptions to the above stated statutory and regulatory mandates. No party has argued that (3) is applicable to the fa</w:t>
      </w:r>
      <w:r>
        <w:rPr>
          <w:sz w:val="24"/>
          <w:szCs w:val="24"/>
        </w:rPr>
        <w:t xml:space="preserve">cts of this case. 603 </w:t>
      </w:r>
      <w:proofErr w:type="spellStart"/>
      <w:r>
        <w:rPr>
          <w:sz w:val="24"/>
          <w:szCs w:val="24"/>
        </w:rPr>
        <w:t>CMR</w:t>
      </w:r>
      <w:proofErr w:type="spellEnd"/>
      <w:r>
        <w:rPr>
          <w:sz w:val="24"/>
          <w:szCs w:val="24"/>
        </w:rPr>
        <w:t xml:space="preserve"> 28.10</w:t>
      </w:r>
      <w:r w:rsidR="0056359F">
        <w:rPr>
          <w:sz w:val="24"/>
          <w:szCs w:val="24"/>
        </w:rPr>
        <w:t>(4) provides, in relevant part as follows:</w:t>
      </w:r>
    </w:p>
    <w:p w:rsidR="0014207C" w:rsidRDefault="0014207C" w:rsidP="0056359F">
      <w:pPr>
        <w:ind w:firstLine="720"/>
        <w:rPr>
          <w:sz w:val="24"/>
          <w:szCs w:val="24"/>
        </w:rPr>
      </w:pPr>
    </w:p>
    <w:p w:rsidR="0014207C" w:rsidRDefault="0014207C" w:rsidP="0014207C">
      <w:pPr>
        <w:ind w:left="720"/>
        <w:rPr>
          <w:sz w:val="24"/>
          <w:szCs w:val="24"/>
        </w:rPr>
      </w:pPr>
      <w:r>
        <w:rPr>
          <w:sz w:val="24"/>
          <w:szCs w:val="24"/>
        </w:rPr>
        <w:t xml:space="preserve">(4) Shared school district responsibility. The school district where the parent(s) or legal guardian resides shall have financial responsibility and the school district where the student resides shall have programmatic responsibility when a student is in a living situation other than </w:t>
      </w:r>
      <w:r w:rsidR="00A27BCD">
        <w:rPr>
          <w:sz w:val="24"/>
          <w:szCs w:val="24"/>
        </w:rPr>
        <w:t xml:space="preserve">that described in 603 </w:t>
      </w:r>
      <w:proofErr w:type="spellStart"/>
      <w:r w:rsidR="00A27BCD">
        <w:rPr>
          <w:sz w:val="24"/>
          <w:szCs w:val="24"/>
        </w:rPr>
        <w:t>CMR</w:t>
      </w:r>
      <w:proofErr w:type="spellEnd"/>
      <w:r w:rsidR="00A27BCD">
        <w:rPr>
          <w:sz w:val="24"/>
          <w:szCs w:val="24"/>
        </w:rPr>
        <w:t xml:space="preserve"> 28.10</w:t>
      </w:r>
      <w:r>
        <w:rPr>
          <w:sz w:val="24"/>
          <w:szCs w:val="24"/>
        </w:rPr>
        <w:t>(2) or (3) including but not limited to a relative’s home that is not funded by the Department of Social Services…</w:t>
      </w:r>
    </w:p>
    <w:p w:rsidR="0014207C" w:rsidRDefault="0014207C" w:rsidP="0014207C">
      <w:pPr>
        <w:rPr>
          <w:sz w:val="24"/>
          <w:szCs w:val="24"/>
        </w:rPr>
      </w:pPr>
    </w:p>
    <w:p w:rsidR="0014207C" w:rsidRDefault="00A27BCD" w:rsidP="0014207C">
      <w:pPr>
        <w:rPr>
          <w:sz w:val="24"/>
          <w:szCs w:val="24"/>
        </w:rPr>
      </w:pPr>
      <w:r>
        <w:rPr>
          <w:sz w:val="24"/>
          <w:szCs w:val="24"/>
        </w:rPr>
        <w:tab/>
        <w:t xml:space="preserve">603 </w:t>
      </w:r>
      <w:proofErr w:type="spellStart"/>
      <w:r>
        <w:rPr>
          <w:sz w:val="24"/>
          <w:szCs w:val="24"/>
        </w:rPr>
        <w:t>CMR</w:t>
      </w:r>
      <w:proofErr w:type="spellEnd"/>
      <w:r>
        <w:rPr>
          <w:sz w:val="24"/>
          <w:szCs w:val="24"/>
        </w:rPr>
        <w:t xml:space="preserve"> 28.10</w:t>
      </w:r>
      <w:r w:rsidR="0014207C">
        <w:rPr>
          <w:sz w:val="24"/>
          <w:szCs w:val="24"/>
        </w:rPr>
        <w:t xml:space="preserve">(8) gives </w:t>
      </w:r>
      <w:proofErr w:type="spellStart"/>
      <w:r w:rsidR="0014207C">
        <w:rPr>
          <w:sz w:val="24"/>
          <w:szCs w:val="24"/>
        </w:rPr>
        <w:t>MDESE</w:t>
      </w:r>
      <w:proofErr w:type="spellEnd"/>
      <w:r w:rsidR="0014207C">
        <w:rPr>
          <w:sz w:val="24"/>
          <w:szCs w:val="24"/>
        </w:rPr>
        <w:t xml:space="preserve"> the authority for the assignment of school district responsibi</w:t>
      </w:r>
      <w:r>
        <w:rPr>
          <w:sz w:val="24"/>
          <w:szCs w:val="24"/>
        </w:rPr>
        <w:t xml:space="preserve">lity. Pursuant to 603 </w:t>
      </w:r>
      <w:proofErr w:type="spellStart"/>
      <w:r>
        <w:rPr>
          <w:sz w:val="24"/>
          <w:szCs w:val="24"/>
        </w:rPr>
        <w:t>CMR</w:t>
      </w:r>
      <w:proofErr w:type="spellEnd"/>
      <w:r>
        <w:rPr>
          <w:sz w:val="24"/>
          <w:szCs w:val="24"/>
        </w:rPr>
        <w:t xml:space="preserve"> 28.10(8)</w:t>
      </w:r>
      <w:r w:rsidR="0014207C">
        <w:rPr>
          <w:sz w:val="24"/>
          <w:szCs w:val="24"/>
        </w:rPr>
        <w:t>(c)(3):</w:t>
      </w:r>
    </w:p>
    <w:p w:rsidR="0014207C" w:rsidRDefault="0014207C" w:rsidP="0014207C">
      <w:pPr>
        <w:rPr>
          <w:sz w:val="24"/>
          <w:szCs w:val="24"/>
        </w:rPr>
      </w:pPr>
    </w:p>
    <w:p w:rsidR="00A27BCD" w:rsidRPr="00A27BCD" w:rsidRDefault="0014207C" w:rsidP="00A27BCD">
      <w:pPr>
        <w:pStyle w:val="ListParagraph"/>
        <w:numPr>
          <w:ilvl w:val="0"/>
          <w:numId w:val="4"/>
        </w:numPr>
        <w:rPr>
          <w:sz w:val="24"/>
          <w:szCs w:val="24"/>
        </w:rPr>
      </w:pPr>
      <w:r w:rsidRPr="00A27BCD">
        <w:rPr>
          <w:sz w:val="24"/>
          <w:szCs w:val="24"/>
        </w:rPr>
        <w:t>The Department shall use the following criteria t</w:t>
      </w:r>
      <w:r w:rsidR="00A27BCD" w:rsidRPr="00A27BCD">
        <w:rPr>
          <w:sz w:val="24"/>
          <w:szCs w:val="24"/>
        </w:rPr>
        <w:t>o assign a city, town or school</w:t>
      </w:r>
    </w:p>
    <w:p w:rsidR="0014207C" w:rsidRPr="00A27BCD" w:rsidRDefault="0014207C" w:rsidP="00A27BCD">
      <w:pPr>
        <w:ind w:left="720"/>
        <w:rPr>
          <w:sz w:val="24"/>
          <w:szCs w:val="24"/>
        </w:rPr>
      </w:pPr>
      <w:r w:rsidRPr="00A27BCD">
        <w:rPr>
          <w:sz w:val="24"/>
          <w:szCs w:val="24"/>
        </w:rPr>
        <w:t>district responsibility for a student in a living situa</w:t>
      </w:r>
      <w:r w:rsidR="00A27BCD">
        <w:rPr>
          <w:sz w:val="24"/>
          <w:szCs w:val="24"/>
        </w:rPr>
        <w:t xml:space="preserve">tion described in 603 </w:t>
      </w:r>
      <w:proofErr w:type="spellStart"/>
      <w:r w:rsidR="00A27BCD">
        <w:rPr>
          <w:sz w:val="24"/>
          <w:szCs w:val="24"/>
        </w:rPr>
        <w:t>CMR</w:t>
      </w:r>
      <w:proofErr w:type="spellEnd"/>
      <w:r w:rsidR="00A27BCD">
        <w:rPr>
          <w:sz w:val="24"/>
          <w:szCs w:val="24"/>
        </w:rPr>
        <w:t xml:space="preserve"> 28.10</w:t>
      </w:r>
      <w:r w:rsidRPr="00A27BCD">
        <w:rPr>
          <w:sz w:val="24"/>
          <w:szCs w:val="24"/>
        </w:rPr>
        <w:t>(3) or (4):</w:t>
      </w:r>
    </w:p>
    <w:p w:rsidR="0014207C" w:rsidRDefault="0014207C" w:rsidP="0014207C">
      <w:pPr>
        <w:ind w:left="720"/>
        <w:rPr>
          <w:sz w:val="24"/>
          <w:szCs w:val="24"/>
        </w:rPr>
      </w:pPr>
    </w:p>
    <w:p w:rsidR="0014207C" w:rsidRDefault="0014207C" w:rsidP="00A27BCD">
      <w:pPr>
        <w:ind w:left="720"/>
        <w:rPr>
          <w:sz w:val="24"/>
          <w:szCs w:val="24"/>
        </w:rPr>
      </w:pPr>
      <w:r>
        <w:rPr>
          <w:sz w:val="24"/>
          <w:szCs w:val="24"/>
        </w:rPr>
        <w:t xml:space="preserve">(3) If the parents’ rights have been terminated and the Probate Court </w:t>
      </w:r>
      <w:r w:rsidR="00F97501">
        <w:rPr>
          <w:sz w:val="24"/>
          <w:szCs w:val="24"/>
        </w:rPr>
        <w:t>o</w:t>
      </w:r>
      <w:r w:rsidR="00A54BC5">
        <w:rPr>
          <w:sz w:val="24"/>
          <w:szCs w:val="24"/>
        </w:rPr>
        <w:t>r</w:t>
      </w:r>
      <w:r w:rsidR="00F97501">
        <w:rPr>
          <w:sz w:val="24"/>
          <w:szCs w:val="24"/>
        </w:rPr>
        <w:t xml:space="preserve"> the Juvenile Court has appointed a legal guardian for a minor student, the school district where the legal guardian resides shall be responsible.</w:t>
      </w:r>
    </w:p>
    <w:p w:rsidR="00F97501" w:rsidRDefault="00F97501" w:rsidP="00F97501">
      <w:pPr>
        <w:rPr>
          <w:sz w:val="24"/>
          <w:szCs w:val="24"/>
        </w:rPr>
      </w:pPr>
    </w:p>
    <w:p w:rsidR="00F97501" w:rsidRDefault="00F97501" w:rsidP="00F97501">
      <w:pPr>
        <w:rPr>
          <w:sz w:val="24"/>
          <w:szCs w:val="24"/>
        </w:rPr>
      </w:pPr>
      <w:r>
        <w:rPr>
          <w:sz w:val="24"/>
          <w:szCs w:val="24"/>
        </w:rPr>
        <w:tab/>
      </w:r>
      <w:proofErr w:type="spellStart"/>
      <w:r>
        <w:rPr>
          <w:sz w:val="24"/>
          <w:szCs w:val="24"/>
        </w:rPr>
        <w:t>M.G.L</w:t>
      </w:r>
      <w:proofErr w:type="spellEnd"/>
      <w:r>
        <w:rPr>
          <w:sz w:val="24"/>
          <w:szCs w:val="24"/>
        </w:rPr>
        <w:t>. c.71B s.5 – the Move In Law – provides that if a student who is in a special education private day school or residential placement and his parents or guardian move to a new school district after July 1 of any fiscal year, the former school district shall remain financially responsible for such private day school or residential placement for the balance of such fiscal year.</w:t>
      </w:r>
    </w:p>
    <w:p w:rsidR="00F97501" w:rsidRDefault="00F97501" w:rsidP="00F97501">
      <w:pPr>
        <w:rPr>
          <w:sz w:val="24"/>
          <w:szCs w:val="24"/>
        </w:rPr>
      </w:pPr>
    </w:p>
    <w:p w:rsidR="00F97501" w:rsidRDefault="00F97501" w:rsidP="00F97501">
      <w:pPr>
        <w:rPr>
          <w:sz w:val="24"/>
          <w:szCs w:val="24"/>
        </w:rPr>
      </w:pPr>
      <w:r>
        <w:rPr>
          <w:sz w:val="24"/>
          <w:szCs w:val="24"/>
        </w:rPr>
        <w:tab/>
        <w:t xml:space="preserve">Factually, this is a most unusual case. The Probate Court appointed Student’s grandmother to be her legal guardian based upon the presumption of the mother’s death. However: 1) Student’s mother is alive; 2) Student is now living with </w:t>
      </w:r>
      <w:r w:rsidR="007853B3">
        <w:rPr>
          <w:sz w:val="24"/>
          <w:szCs w:val="24"/>
        </w:rPr>
        <w:t>her mother in Randolph; and 3) l</w:t>
      </w:r>
      <w:r>
        <w:rPr>
          <w:sz w:val="24"/>
          <w:szCs w:val="24"/>
        </w:rPr>
        <w:t xml:space="preserve">egal guardian/grandmother apparently approves </w:t>
      </w:r>
      <w:r w:rsidR="00CC5855">
        <w:rPr>
          <w:sz w:val="24"/>
          <w:szCs w:val="24"/>
        </w:rPr>
        <w:t xml:space="preserve">given that mother has enrolled Student in </w:t>
      </w:r>
      <w:proofErr w:type="spellStart"/>
      <w:r w:rsidR="00CC5855">
        <w:rPr>
          <w:sz w:val="24"/>
          <w:szCs w:val="24"/>
        </w:rPr>
        <w:t>RPS</w:t>
      </w:r>
      <w:proofErr w:type="spellEnd"/>
      <w:r w:rsidR="00CC5855">
        <w:rPr>
          <w:sz w:val="24"/>
          <w:szCs w:val="24"/>
        </w:rPr>
        <w:t xml:space="preserve"> and legal guardian has accepted </w:t>
      </w:r>
      <w:proofErr w:type="spellStart"/>
      <w:r w:rsidR="00CC5855">
        <w:rPr>
          <w:sz w:val="24"/>
          <w:szCs w:val="24"/>
        </w:rPr>
        <w:t>RPS</w:t>
      </w:r>
      <w:proofErr w:type="spellEnd"/>
      <w:r w:rsidR="00CC5855">
        <w:rPr>
          <w:sz w:val="24"/>
          <w:szCs w:val="24"/>
        </w:rPr>
        <w:t xml:space="preserve">’ </w:t>
      </w:r>
      <w:proofErr w:type="spellStart"/>
      <w:r w:rsidR="00CC5855">
        <w:rPr>
          <w:sz w:val="24"/>
          <w:szCs w:val="24"/>
        </w:rPr>
        <w:t>IEP</w:t>
      </w:r>
      <w:proofErr w:type="spellEnd"/>
      <w:r w:rsidR="00CC5855">
        <w:rPr>
          <w:sz w:val="24"/>
          <w:szCs w:val="24"/>
        </w:rPr>
        <w:t xml:space="preserve"> placing Student at High Park School in East Bridgewater while student continues to live with mother in Randolph.</w:t>
      </w:r>
    </w:p>
    <w:p w:rsidR="00CC5855" w:rsidRDefault="00CC5855" w:rsidP="00F97501">
      <w:pPr>
        <w:rPr>
          <w:sz w:val="24"/>
          <w:szCs w:val="24"/>
        </w:rPr>
      </w:pPr>
    </w:p>
    <w:p w:rsidR="00CC5855" w:rsidRDefault="00CC5855" w:rsidP="00F97501">
      <w:pPr>
        <w:rPr>
          <w:sz w:val="24"/>
          <w:szCs w:val="24"/>
        </w:rPr>
      </w:pPr>
      <w:r>
        <w:rPr>
          <w:sz w:val="24"/>
          <w:szCs w:val="24"/>
        </w:rPr>
        <w:tab/>
        <w:t xml:space="preserve">Legally, for purposes of school district responsibility, this case is relatively straightforward. The clear intent and purpose of </w:t>
      </w:r>
      <w:proofErr w:type="spellStart"/>
      <w:r>
        <w:rPr>
          <w:sz w:val="24"/>
          <w:szCs w:val="24"/>
        </w:rPr>
        <w:t>M.G.L</w:t>
      </w:r>
      <w:proofErr w:type="spellEnd"/>
      <w:r>
        <w:rPr>
          <w:sz w:val="24"/>
          <w:szCs w:val="24"/>
        </w:rPr>
        <w:t>. c</w:t>
      </w:r>
      <w:r w:rsidR="00F616E1">
        <w:rPr>
          <w:sz w:val="24"/>
          <w:szCs w:val="24"/>
        </w:rPr>
        <w:t>.</w:t>
      </w:r>
      <w:r>
        <w:rPr>
          <w:sz w:val="24"/>
          <w:szCs w:val="24"/>
        </w:rPr>
        <w:t xml:space="preserve">71B s.3 and 603 </w:t>
      </w:r>
      <w:proofErr w:type="spellStart"/>
      <w:r>
        <w:rPr>
          <w:sz w:val="24"/>
          <w:szCs w:val="24"/>
        </w:rPr>
        <w:t>CMR</w:t>
      </w:r>
      <w:proofErr w:type="spellEnd"/>
      <w:r>
        <w:rPr>
          <w:sz w:val="24"/>
          <w:szCs w:val="24"/>
        </w:rPr>
        <w:t xml:space="preserve"> 28.10 is for school districts to be both programmatically and financially responsible for children who reside therein. In this case</w:t>
      </w:r>
      <w:r w:rsidR="00A27BCD">
        <w:rPr>
          <w:sz w:val="24"/>
          <w:szCs w:val="24"/>
        </w:rPr>
        <w:t>,</w:t>
      </w:r>
      <w:r>
        <w:rPr>
          <w:sz w:val="24"/>
          <w:szCs w:val="24"/>
        </w:rPr>
        <w:t xml:space="preserve"> Student resides with her mother in Randolph and has been enrolled by mother in </w:t>
      </w:r>
      <w:proofErr w:type="spellStart"/>
      <w:r>
        <w:rPr>
          <w:sz w:val="24"/>
          <w:szCs w:val="24"/>
        </w:rPr>
        <w:t>RPS</w:t>
      </w:r>
      <w:proofErr w:type="spellEnd"/>
      <w:r>
        <w:rPr>
          <w:sz w:val="24"/>
          <w:szCs w:val="24"/>
        </w:rPr>
        <w:t xml:space="preserve">. Clearly 603 </w:t>
      </w:r>
      <w:proofErr w:type="spellStart"/>
      <w:r>
        <w:rPr>
          <w:sz w:val="24"/>
          <w:szCs w:val="24"/>
        </w:rPr>
        <w:t>CMR</w:t>
      </w:r>
      <w:proofErr w:type="spellEnd"/>
      <w:r>
        <w:rPr>
          <w:sz w:val="24"/>
          <w:szCs w:val="24"/>
        </w:rPr>
        <w:t xml:space="preserve"> 28.10 (1) and (2), cited above, apply in this situation. Therefore, I find that </w:t>
      </w:r>
      <w:proofErr w:type="spellStart"/>
      <w:r>
        <w:rPr>
          <w:sz w:val="24"/>
          <w:szCs w:val="24"/>
        </w:rPr>
        <w:t>RPS</w:t>
      </w:r>
      <w:proofErr w:type="spellEnd"/>
      <w:r>
        <w:rPr>
          <w:sz w:val="24"/>
          <w:szCs w:val="24"/>
        </w:rPr>
        <w:t xml:space="preserve"> i</w:t>
      </w:r>
      <w:r w:rsidR="00A27BCD">
        <w:rPr>
          <w:sz w:val="24"/>
          <w:szCs w:val="24"/>
        </w:rPr>
        <w:t>s</w:t>
      </w:r>
      <w:r>
        <w:rPr>
          <w:sz w:val="24"/>
          <w:szCs w:val="24"/>
        </w:rPr>
        <w:t xml:space="preserve"> both programmatically and financially responsible fo</w:t>
      </w:r>
      <w:r w:rsidR="007853B3">
        <w:rPr>
          <w:sz w:val="24"/>
          <w:szCs w:val="24"/>
        </w:rPr>
        <w:t>r Student’s special education and</w:t>
      </w:r>
      <w:r>
        <w:rPr>
          <w:sz w:val="24"/>
          <w:szCs w:val="24"/>
        </w:rPr>
        <w:t xml:space="preserve"> conclude that </w:t>
      </w:r>
      <w:proofErr w:type="spellStart"/>
      <w:r>
        <w:rPr>
          <w:sz w:val="24"/>
          <w:szCs w:val="24"/>
        </w:rPr>
        <w:t>MDESE’s</w:t>
      </w:r>
      <w:proofErr w:type="spellEnd"/>
      <w:r>
        <w:rPr>
          <w:sz w:val="24"/>
          <w:szCs w:val="24"/>
        </w:rPr>
        <w:t xml:space="preserve"> </w:t>
      </w:r>
      <w:r w:rsidR="00A54BC5">
        <w:rPr>
          <w:sz w:val="24"/>
          <w:szCs w:val="24"/>
        </w:rPr>
        <w:t>A</w:t>
      </w:r>
      <w:r>
        <w:rPr>
          <w:sz w:val="24"/>
          <w:szCs w:val="24"/>
        </w:rPr>
        <w:t>ssignment of School District Responsibility was correct.</w:t>
      </w:r>
    </w:p>
    <w:p w:rsidR="006D28F0" w:rsidRDefault="006D28F0" w:rsidP="00F97501">
      <w:pPr>
        <w:rPr>
          <w:sz w:val="24"/>
          <w:szCs w:val="24"/>
        </w:rPr>
      </w:pPr>
    </w:p>
    <w:p w:rsidR="00463EBA" w:rsidRDefault="006D28F0" w:rsidP="00D4276B">
      <w:pPr>
        <w:rPr>
          <w:sz w:val="24"/>
          <w:szCs w:val="24"/>
        </w:rPr>
      </w:pPr>
      <w:r>
        <w:rPr>
          <w:sz w:val="24"/>
          <w:szCs w:val="24"/>
        </w:rPr>
        <w:tab/>
        <w:t xml:space="preserve">I find </w:t>
      </w:r>
      <w:proofErr w:type="spellStart"/>
      <w:r>
        <w:rPr>
          <w:sz w:val="24"/>
          <w:szCs w:val="24"/>
        </w:rPr>
        <w:t>RPS</w:t>
      </w:r>
      <w:proofErr w:type="spellEnd"/>
      <w:r>
        <w:rPr>
          <w:sz w:val="24"/>
          <w:szCs w:val="24"/>
        </w:rPr>
        <w:t xml:space="preserve">’ argument that BPS is financially responsible for Student’s education because her legal guardian resides in Boston to be unpersuasive for several reasons. To accept </w:t>
      </w:r>
      <w:proofErr w:type="spellStart"/>
      <w:r>
        <w:rPr>
          <w:sz w:val="24"/>
          <w:szCs w:val="24"/>
        </w:rPr>
        <w:t>R</w:t>
      </w:r>
      <w:r w:rsidR="003E228A">
        <w:rPr>
          <w:sz w:val="24"/>
          <w:szCs w:val="24"/>
        </w:rPr>
        <w:t>PS</w:t>
      </w:r>
      <w:proofErr w:type="spellEnd"/>
      <w:r w:rsidR="003E228A">
        <w:rPr>
          <w:sz w:val="24"/>
          <w:szCs w:val="24"/>
        </w:rPr>
        <w:t xml:space="preserve">’ position that 603 </w:t>
      </w:r>
      <w:proofErr w:type="spellStart"/>
      <w:r w:rsidR="003E228A">
        <w:rPr>
          <w:sz w:val="24"/>
          <w:szCs w:val="24"/>
        </w:rPr>
        <w:t>CMR</w:t>
      </w:r>
      <w:proofErr w:type="spellEnd"/>
      <w:r w:rsidR="003E228A">
        <w:rPr>
          <w:sz w:val="24"/>
          <w:szCs w:val="24"/>
        </w:rPr>
        <w:t xml:space="preserve"> 28.10</w:t>
      </w:r>
      <w:r>
        <w:rPr>
          <w:sz w:val="24"/>
          <w:szCs w:val="24"/>
        </w:rPr>
        <w:t xml:space="preserve">(8)(c), cited above, applies would require that mother’s parental </w:t>
      </w:r>
      <w:r w:rsidR="003E228A">
        <w:rPr>
          <w:sz w:val="24"/>
          <w:szCs w:val="24"/>
        </w:rPr>
        <w:t xml:space="preserve">rights </w:t>
      </w:r>
      <w:r>
        <w:rPr>
          <w:sz w:val="24"/>
          <w:szCs w:val="24"/>
        </w:rPr>
        <w:t xml:space="preserve">had been terminated by the Probate Court. However, there is nothing in the Probate Court’s legal guardianship order of June 12, 2007 to support that conclusion and it is certainly far outside of the authority of the BSEA to presume to do so. In </w:t>
      </w:r>
      <w:r w:rsidR="00F3003F">
        <w:rPr>
          <w:sz w:val="24"/>
          <w:szCs w:val="24"/>
        </w:rPr>
        <w:t xml:space="preserve">re: </w:t>
      </w:r>
      <w:r w:rsidR="00F3003F" w:rsidRPr="003E228A">
        <w:rPr>
          <w:i/>
          <w:sz w:val="24"/>
          <w:szCs w:val="24"/>
        </w:rPr>
        <w:t>Ad</w:t>
      </w:r>
      <w:r w:rsidR="003E228A" w:rsidRPr="003E228A">
        <w:rPr>
          <w:i/>
          <w:sz w:val="24"/>
          <w:szCs w:val="24"/>
        </w:rPr>
        <w:t>o</w:t>
      </w:r>
      <w:r w:rsidR="00F3003F" w:rsidRPr="003E228A">
        <w:rPr>
          <w:i/>
          <w:sz w:val="24"/>
          <w:szCs w:val="24"/>
        </w:rPr>
        <w:t>ption of Gillian</w:t>
      </w:r>
      <w:r w:rsidR="00F3003F">
        <w:rPr>
          <w:sz w:val="24"/>
          <w:szCs w:val="24"/>
        </w:rPr>
        <w:t xml:space="preserve"> 63 Mass. App Ct 398, 403 (2005) </w:t>
      </w:r>
      <w:r w:rsidR="00A54BC5">
        <w:rPr>
          <w:sz w:val="24"/>
          <w:szCs w:val="24"/>
        </w:rPr>
        <w:t>specifies</w:t>
      </w:r>
      <w:r w:rsidR="00F3003F">
        <w:rPr>
          <w:sz w:val="24"/>
          <w:szCs w:val="24"/>
        </w:rPr>
        <w:t>:</w:t>
      </w:r>
    </w:p>
    <w:p w:rsidR="00F3003F" w:rsidRDefault="00F3003F" w:rsidP="00D4276B">
      <w:pPr>
        <w:rPr>
          <w:sz w:val="24"/>
          <w:szCs w:val="24"/>
        </w:rPr>
      </w:pPr>
    </w:p>
    <w:p w:rsidR="00F3003F" w:rsidRDefault="00F3003F" w:rsidP="00F3003F">
      <w:pPr>
        <w:ind w:left="720"/>
        <w:rPr>
          <w:sz w:val="24"/>
          <w:szCs w:val="24"/>
        </w:rPr>
      </w:pPr>
      <w:r>
        <w:rPr>
          <w:sz w:val="24"/>
          <w:szCs w:val="24"/>
        </w:rPr>
        <w:t>In termination proceedings</w:t>
      </w:r>
      <w:r w:rsidR="007853B3">
        <w:rPr>
          <w:sz w:val="24"/>
          <w:szCs w:val="24"/>
        </w:rPr>
        <w:t xml:space="preserve"> a</w:t>
      </w:r>
      <w:r>
        <w:rPr>
          <w:sz w:val="24"/>
          <w:szCs w:val="24"/>
        </w:rPr>
        <w:t xml:space="preserve"> judge must decide whether a parent is capable of assuming the duties and responsibilities expected of a parent and if the termination of parental rights would be in the child’s best interests. The judge is required to articulate specific and detailed findings in support of a conclusion that termination is appropriate, demonstrating that [the judge] has given the evidence close attention. Such detailed findings are required because the termination of parental rights is an extreme step.</w:t>
      </w:r>
    </w:p>
    <w:p w:rsidR="00F3003F" w:rsidRDefault="00F3003F" w:rsidP="00F3003F">
      <w:pPr>
        <w:rPr>
          <w:sz w:val="24"/>
          <w:szCs w:val="24"/>
        </w:rPr>
      </w:pPr>
    </w:p>
    <w:p w:rsidR="00F3003F" w:rsidRDefault="00F3003F" w:rsidP="00F3003F">
      <w:pPr>
        <w:rPr>
          <w:sz w:val="24"/>
          <w:szCs w:val="24"/>
        </w:rPr>
      </w:pPr>
      <w:r>
        <w:rPr>
          <w:sz w:val="24"/>
          <w:szCs w:val="24"/>
        </w:rPr>
        <w:t>Later at 405-406</w:t>
      </w:r>
      <w:r w:rsidR="00A54BC5">
        <w:rPr>
          <w:sz w:val="24"/>
          <w:szCs w:val="24"/>
        </w:rPr>
        <w:t xml:space="preserve"> </w:t>
      </w:r>
      <w:r w:rsidR="00A54BC5" w:rsidRPr="00A54BC5">
        <w:rPr>
          <w:i/>
          <w:sz w:val="24"/>
          <w:szCs w:val="24"/>
        </w:rPr>
        <w:t>Gillian</w:t>
      </w:r>
      <w:r>
        <w:rPr>
          <w:sz w:val="24"/>
          <w:szCs w:val="24"/>
        </w:rPr>
        <w:t xml:space="preserve"> the Appeals Court notes:</w:t>
      </w:r>
    </w:p>
    <w:p w:rsidR="00F3003F" w:rsidRDefault="00F3003F" w:rsidP="00F3003F">
      <w:pPr>
        <w:rPr>
          <w:sz w:val="24"/>
          <w:szCs w:val="24"/>
        </w:rPr>
      </w:pPr>
    </w:p>
    <w:p w:rsidR="00F35B58" w:rsidRDefault="00F3003F" w:rsidP="00F3003F">
      <w:pPr>
        <w:ind w:left="720"/>
        <w:rPr>
          <w:sz w:val="24"/>
          <w:szCs w:val="24"/>
        </w:rPr>
      </w:pPr>
      <w:r>
        <w:rPr>
          <w:sz w:val="24"/>
          <w:szCs w:val="24"/>
        </w:rPr>
        <w:t xml:space="preserve">Guardianship and termination of parental rights are discreet issues; evidence that is relevant to one issue may or may not </w:t>
      </w:r>
      <w:r w:rsidR="003E228A">
        <w:rPr>
          <w:sz w:val="24"/>
          <w:szCs w:val="24"/>
        </w:rPr>
        <w:t>bear</w:t>
      </w:r>
      <w:r>
        <w:rPr>
          <w:sz w:val="24"/>
          <w:szCs w:val="24"/>
        </w:rPr>
        <w:t xml:space="preserve"> on the other. See also</w:t>
      </w:r>
      <w:r w:rsidR="00F35B58">
        <w:rPr>
          <w:sz w:val="24"/>
          <w:szCs w:val="24"/>
        </w:rPr>
        <w:t xml:space="preserve"> </w:t>
      </w:r>
      <w:r w:rsidR="00F35B58" w:rsidRPr="003E228A">
        <w:rPr>
          <w:i/>
          <w:sz w:val="24"/>
          <w:szCs w:val="24"/>
        </w:rPr>
        <w:t xml:space="preserve">Adoption of </w:t>
      </w:r>
      <w:r w:rsidR="003E228A" w:rsidRPr="003E228A">
        <w:rPr>
          <w:i/>
          <w:sz w:val="24"/>
          <w:szCs w:val="24"/>
        </w:rPr>
        <w:t>Nancy</w:t>
      </w:r>
      <w:r w:rsidR="00F35B58">
        <w:rPr>
          <w:sz w:val="24"/>
          <w:szCs w:val="24"/>
        </w:rPr>
        <w:t xml:space="preserve"> 443 Mass 512, 514-515, 822 N.E. 2d 1179 (2005)</w:t>
      </w:r>
      <w:r w:rsidR="003E228A">
        <w:rPr>
          <w:sz w:val="24"/>
          <w:szCs w:val="24"/>
        </w:rPr>
        <w:t>.</w:t>
      </w:r>
    </w:p>
    <w:p w:rsidR="00F35B58" w:rsidRDefault="00F35B58" w:rsidP="00F35B58">
      <w:pPr>
        <w:rPr>
          <w:sz w:val="24"/>
          <w:szCs w:val="24"/>
        </w:rPr>
      </w:pPr>
    </w:p>
    <w:p w:rsidR="00F35B58" w:rsidRDefault="00F35B58" w:rsidP="00F35B58">
      <w:pPr>
        <w:rPr>
          <w:sz w:val="24"/>
          <w:szCs w:val="24"/>
        </w:rPr>
      </w:pPr>
      <w:r>
        <w:rPr>
          <w:sz w:val="24"/>
          <w:szCs w:val="24"/>
        </w:rPr>
        <w:t>While the Probate Court in the instant case made specific findings against the father justifying legal guardianship to the grandmother, it only presumed that the mother was dead and made no specific findings that mother was unfit or that her parental rights had been terminated.</w:t>
      </w:r>
    </w:p>
    <w:p w:rsidR="00F35B58" w:rsidRDefault="00F35B58" w:rsidP="00F35B58">
      <w:pPr>
        <w:rPr>
          <w:sz w:val="24"/>
          <w:szCs w:val="24"/>
        </w:rPr>
      </w:pPr>
    </w:p>
    <w:p w:rsidR="00F3003F" w:rsidRDefault="00F35B58" w:rsidP="00F35B58">
      <w:pPr>
        <w:rPr>
          <w:sz w:val="24"/>
          <w:szCs w:val="24"/>
        </w:rPr>
      </w:pPr>
      <w:r>
        <w:rPr>
          <w:sz w:val="24"/>
          <w:szCs w:val="24"/>
        </w:rPr>
        <w:tab/>
        <w:t xml:space="preserve">Second, to accept </w:t>
      </w:r>
      <w:proofErr w:type="spellStart"/>
      <w:r>
        <w:rPr>
          <w:sz w:val="24"/>
          <w:szCs w:val="24"/>
        </w:rPr>
        <w:t>R</w:t>
      </w:r>
      <w:r w:rsidR="003E228A">
        <w:rPr>
          <w:sz w:val="24"/>
          <w:szCs w:val="24"/>
        </w:rPr>
        <w:t>PS</w:t>
      </w:r>
      <w:proofErr w:type="spellEnd"/>
      <w:r w:rsidR="003E228A">
        <w:rPr>
          <w:sz w:val="24"/>
          <w:szCs w:val="24"/>
        </w:rPr>
        <w:t xml:space="preserve">’ argument that 603 </w:t>
      </w:r>
      <w:proofErr w:type="spellStart"/>
      <w:r w:rsidR="003E228A">
        <w:rPr>
          <w:sz w:val="24"/>
          <w:szCs w:val="24"/>
        </w:rPr>
        <w:t>CMR</w:t>
      </w:r>
      <w:proofErr w:type="spellEnd"/>
      <w:r w:rsidR="003E228A">
        <w:rPr>
          <w:sz w:val="24"/>
          <w:szCs w:val="24"/>
        </w:rPr>
        <w:t xml:space="preserve"> 28.10</w:t>
      </w:r>
      <w:r>
        <w:rPr>
          <w:sz w:val="24"/>
          <w:szCs w:val="24"/>
        </w:rPr>
        <w:t>(4) cited above, applies would be to convert “mother”</w:t>
      </w:r>
      <w:r w:rsidR="003E228A">
        <w:rPr>
          <w:sz w:val="24"/>
          <w:szCs w:val="24"/>
        </w:rPr>
        <w:t xml:space="preserve"> into “relative.” 603 </w:t>
      </w:r>
      <w:proofErr w:type="spellStart"/>
      <w:r w:rsidR="003E228A">
        <w:rPr>
          <w:sz w:val="24"/>
          <w:szCs w:val="24"/>
        </w:rPr>
        <w:t>CMR</w:t>
      </w:r>
      <w:proofErr w:type="spellEnd"/>
      <w:r w:rsidR="003E228A">
        <w:rPr>
          <w:sz w:val="24"/>
          <w:szCs w:val="24"/>
        </w:rPr>
        <w:t xml:space="preserve"> 28.10</w:t>
      </w:r>
      <w:r>
        <w:rPr>
          <w:sz w:val="24"/>
          <w:szCs w:val="24"/>
        </w:rPr>
        <w:t xml:space="preserve">(4) clearly contemplates </w:t>
      </w:r>
      <w:r w:rsidR="00044544">
        <w:rPr>
          <w:sz w:val="24"/>
          <w:szCs w:val="24"/>
        </w:rPr>
        <w:t xml:space="preserve">a situation where a student’s parent or guardian lives in one location but the student lives with some other relative, not a parent or guardian, in a different location. I cannot contort 603 </w:t>
      </w:r>
      <w:proofErr w:type="spellStart"/>
      <w:r w:rsidR="00044544">
        <w:rPr>
          <w:sz w:val="24"/>
          <w:szCs w:val="24"/>
        </w:rPr>
        <w:t>CMR</w:t>
      </w:r>
      <w:proofErr w:type="spellEnd"/>
      <w:r w:rsidR="00044544">
        <w:rPr>
          <w:sz w:val="24"/>
          <w:szCs w:val="24"/>
        </w:rPr>
        <w:t xml:space="preserve"> 28.10(4) to mean what </w:t>
      </w:r>
      <w:proofErr w:type="spellStart"/>
      <w:r w:rsidR="00044544">
        <w:rPr>
          <w:sz w:val="24"/>
          <w:szCs w:val="24"/>
        </w:rPr>
        <w:t>RPS</w:t>
      </w:r>
      <w:proofErr w:type="spellEnd"/>
      <w:r w:rsidR="00044544">
        <w:rPr>
          <w:sz w:val="24"/>
          <w:szCs w:val="24"/>
        </w:rPr>
        <w:t xml:space="preserve"> contends that it means. Mother is Student’s mother, not some other relative simply becau</w:t>
      </w:r>
      <w:r w:rsidR="007853B3">
        <w:rPr>
          <w:sz w:val="24"/>
          <w:szCs w:val="24"/>
        </w:rPr>
        <w:t>se Student has a legal guardian who was appointed at a time when mother was presumed dead.</w:t>
      </w:r>
      <w:r w:rsidR="00A54BC5">
        <w:rPr>
          <w:rStyle w:val="FootnoteReference"/>
          <w:sz w:val="24"/>
          <w:szCs w:val="24"/>
        </w:rPr>
        <w:footnoteReference w:id="1"/>
      </w:r>
    </w:p>
    <w:p w:rsidR="00044544" w:rsidRDefault="00044544" w:rsidP="00F35B58">
      <w:pPr>
        <w:rPr>
          <w:sz w:val="24"/>
          <w:szCs w:val="24"/>
        </w:rPr>
      </w:pPr>
    </w:p>
    <w:p w:rsidR="00044544" w:rsidRPr="00D4276B" w:rsidRDefault="00044544" w:rsidP="00F35B58">
      <w:pPr>
        <w:rPr>
          <w:sz w:val="24"/>
          <w:szCs w:val="24"/>
        </w:rPr>
      </w:pPr>
      <w:r>
        <w:rPr>
          <w:sz w:val="24"/>
          <w:szCs w:val="24"/>
        </w:rPr>
        <w:tab/>
        <w:t xml:space="preserve">I conclude that the </w:t>
      </w:r>
      <w:r w:rsidR="007853B3">
        <w:rPr>
          <w:sz w:val="24"/>
          <w:szCs w:val="24"/>
        </w:rPr>
        <w:t>“</w:t>
      </w:r>
      <w:r>
        <w:rPr>
          <w:sz w:val="24"/>
          <w:szCs w:val="24"/>
        </w:rPr>
        <w:t>Move In Law</w:t>
      </w:r>
      <w:r w:rsidR="007853B3">
        <w:rPr>
          <w:sz w:val="24"/>
          <w:szCs w:val="24"/>
        </w:rPr>
        <w:t>”</w:t>
      </w:r>
      <w:r>
        <w:rPr>
          <w:sz w:val="24"/>
          <w:szCs w:val="24"/>
        </w:rPr>
        <w:t xml:space="preserve"> does not apply to the </w:t>
      </w:r>
      <w:r w:rsidR="007853B3">
        <w:rPr>
          <w:sz w:val="24"/>
          <w:szCs w:val="24"/>
        </w:rPr>
        <w:t>facts of this case. Here,</w:t>
      </w:r>
      <w:r>
        <w:rPr>
          <w:sz w:val="24"/>
          <w:szCs w:val="24"/>
        </w:rPr>
        <w:t xml:space="preserve"> Student was in a public school placement in BPS prior to her move to Randolph. She only began attending a private day school after she had moved to and was enrolled in </w:t>
      </w:r>
      <w:proofErr w:type="spellStart"/>
      <w:r>
        <w:rPr>
          <w:sz w:val="24"/>
          <w:szCs w:val="24"/>
        </w:rPr>
        <w:t>RPS</w:t>
      </w:r>
      <w:proofErr w:type="spellEnd"/>
      <w:r>
        <w:rPr>
          <w:sz w:val="24"/>
          <w:szCs w:val="24"/>
        </w:rPr>
        <w:t xml:space="preserve">. The </w:t>
      </w:r>
      <w:r w:rsidR="007853B3">
        <w:rPr>
          <w:sz w:val="24"/>
          <w:szCs w:val="24"/>
        </w:rPr>
        <w:t>“</w:t>
      </w:r>
      <w:r>
        <w:rPr>
          <w:sz w:val="24"/>
          <w:szCs w:val="24"/>
        </w:rPr>
        <w:t>Move In Law</w:t>
      </w:r>
      <w:r w:rsidR="007853B3">
        <w:rPr>
          <w:sz w:val="24"/>
          <w:szCs w:val="24"/>
        </w:rPr>
        <w:t>”</w:t>
      </w:r>
      <w:r>
        <w:rPr>
          <w:sz w:val="24"/>
          <w:szCs w:val="24"/>
        </w:rPr>
        <w:t xml:space="preserve"> applies only when a student was in a private day or</w:t>
      </w:r>
      <w:r w:rsidR="007853B3">
        <w:rPr>
          <w:sz w:val="24"/>
          <w:szCs w:val="24"/>
        </w:rPr>
        <w:t xml:space="preserve"> residential school prior to a</w:t>
      </w:r>
      <w:r>
        <w:rPr>
          <w:sz w:val="24"/>
          <w:szCs w:val="24"/>
        </w:rPr>
        <w:t xml:space="preserve"> move</w:t>
      </w:r>
      <w:r w:rsidR="001E7A2B">
        <w:rPr>
          <w:sz w:val="24"/>
          <w:szCs w:val="24"/>
        </w:rPr>
        <w:t xml:space="preserve"> from one LEA to anot</w:t>
      </w:r>
      <w:r w:rsidR="007853B3">
        <w:rPr>
          <w:sz w:val="24"/>
          <w:szCs w:val="24"/>
        </w:rPr>
        <w:t>her</w:t>
      </w:r>
      <w:r>
        <w:rPr>
          <w:sz w:val="24"/>
          <w:szCs w:val="24"/>
        </w:rPr>
        <w:t xml:space="preserve"> after June 30 of the fiscal year.</w:t>
      </w:r>
    </w:p>
    <w:p w:rsidR="00D4276B" w:rsidRPr="00D4276B" w:rsidRDefault="00D4276B" w:rsidP="00D4276B">
      <w:pPr>
        <w:rPr>
          <w:sz w:val="24"/>
          <w:szCs w:val="24"/>
        </w:rPr>
      </w:pPr>
    </w:p>
    <w:p w:rsidR="00D4276B" w:rsidRPr="00D4276B" w:rsidRDefault="00D4276B" w:rsidP="00D4276B">
      <w:pPr>
        <w:rPr>
          <w:sz w:val="24"/>
          <w:szCs w:val="24"/>
        </w:rPr>
      </w:pPr>
    </w:p>
    <w:p w:rsidR="00D4276B" w:rsidRDefault="00F616E1" w:rsidP="00D4276B">
      <w:pPr>
        <w:rPr>
          <w:sz w:val="24"/>
          <w:szCs w:val="24"/>
        </w:rPr>
      </w:pPr>
      <w:r>
        <w:rPr>
          <w:sz w:val="24"/>
          <w:szCs w:val="24"/>
        </w:rPr>
        <w:t>By the Hearing Officer,</w:t>
      </w:r>
    </w:p>
    <w:p w:rsidR="00F616E1" w:rsidRDefault="00F616E1" w:rsidP="00D4276B">
      <w:pPr>
        <w:rPr>
          <w:sz w:val="24"/>
          <w:szCs w:val="24"/>
        </w:rPr>
      </w:pPr>
    </w:p>
    <w:p w:rsidR="00F616E1" w:rsidRDefault="00F616E1" w:rsidP="00D4276B">
      <w:pPr>
        <w:rPr>
          <w:sz w:val="24"/>
          <w:szCs w:val="24"/>
        </w:rPr>
      </w:pPr>
    </w:p>
    <w:p w:rsidR="00F616E1" w:rsidRDefault="00F616E1" w:rsidP="00D4276B">
      <w:pPr>
        <w:rPr>
          <w:sz w:val="24"/>
          <w:szCs w:val="24"/>
        </w:rPr>
      </w:pPr>
    </w:p>
    <w:p w:rsidR="00F616E1" w:rsidRPr="00D4276B" w:rsidRDefault="00F616E1" w:rsidP="00D4276B">
      <w:pPr>
        <w:rPr>
          <w:sz w:val="24"/>
          <w:szCs w:val="24"/>
        </w:rPr>
      </w:pPr>
    </w:p>
    <w:p w:rsidR="001E3DC6" w:rsidRPr="009D05A1" w:rsidRDefault="00D4276B" w:rsidP="001E3DC6">
      <w:pPr>
        <w:rPr>
          <w:sz w:val="24"/>
          <w:szCs w:val="24"/>
        </w:rPr>
      </w:pPr>
      <w:r w:rsidRPr="00D4276B">
        <w:rPr>
          <w:sz w:val="24"/>
          <w:szCs w:val="24"/>
        </w:rPr>
        <w:t>________________________________</w:t>
      </w:r>
      <w:r w:rsidRPr="00D4276B">
        <w:rPr>
          <w:sz w:val="24"/>
          <w:szCs w:val="24"/>
        </w:rPr>
        <w:tab/>
      </w:r>
      <w:r w:rsidRPr="00D4276B">
        <w:rPr>
          <w:sz w:val="24"/>
          <w:szCs w:val="24"/>
        </w:rPr>
        <w:tab/>
        <w:t>Date:_________________________</w:t>
      </w:r>
    </w:p>
    <w:sectPr w:rsidR="001E3DC6" w:rsidRPr="009D05A1" w:rsidSect="005A1F0A">
      <w:footerReference w:type="default" r:id="rId9"/>
      <w:pgSz w:w="12240" w:h="15840"/>
      <w:pgMar w:top="1440" w:right="1080" w:bottom="1440" w:left="108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D75" w:rsidRDefault="00062D75" w:rsidP="00577E5D">
      <w:r>
        <w:separator/>
      </w:r>
    </w:p>
  </w:endnote>
  <w:endnote w:type="continuationSeparator" w:id="0">
    <w:p w:rsidR="00062D75" w:rsidRDefault="00062D75" w:rsidP="0057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392548"/>
      <w:docPartObj>
        <w:docPartGallery w:val="Page Numbers (Bottom of Page)"/>
        <w:docPartUnique/>
      </w:docPartObj>
    </w:sdtPr>
    <w:sdtEndPr>
      <w:rPr>
        <w:noProof/>
      </w:rPr>
    </w:sdtEndPr>
    <w:sdtContent>
      <w:p w:rsidR="000A5CBB" w:rsidRDefault="000A5CBB">
        <w:pPr>
          <w:pStyle w:val="Footer"/>
          <w:jc w:val="right"/>
        </w:pPr>
        <w:r>
          <w:fldChar w:fldCharType="begin"/>
        </w:r>
        <w:r>
          <w:instrText xml:space="preserve"> PAGE   \* MERGEFORMAT </w:instrText>
        </w:r>
        <w:r>
          <w:fldChar w:fldCharType="separate"/>
        </w:r>
        <w:r w:rsidR="007D7EC3">
          <w:rPr>
            <w:noProof/>
          </w:rPr>
          <w:t>0</w:t>
        </w:r>
        <w:r>
          <w:rPr>
            <w:noProof/>
          </w:rPr>
          <w:fldChar w:fldCharType="end"/>
        </w:r>
      </w:p>
    </w:sdtContent>
  </w:sdt>
  <w:p w:rsidR="00577E5D" w:rsidRDefault="00577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D75" w:rsidRDefault="00062D75" w:rsidP="00577E5D">
      <w:r>
        <w:separator/>
      </w:r>
    </w:p>
  </w:footnote>
  <w:footnote w:type="continuationSeparator" w:id="0">
    <w:p w:rsidR="00062D75" w:rsidRDefault="00062D75" w:rsidP="00577E5D">
      <w:r>
        <w:continuationSeparator/>
      </w:r>
    </w:p>
  </w:footnote>
  <w:footnote w:id="1">
    <w:p w:rsidR="00A54BC5" w:rsidRDefault="00A54BC5" w:rsidP="00A54BC5">
      <w:pPr>
        <w:pStyle w:val="FootnoteText"/>
      </w:pPr>
      <w:r>
        <w:rPr>
          <w:rStyle w:val="FootnoteReference"/>
        </w:rPr>
        <w:footnoteRef/>
      </w:r>
      <w:r>
        <w:t xml:space="preserve"> In its argument that guardian’s residence is financially responsible for Student’s education, </w:t>
      </w:r>
      <w:proofErr w:type="spellStart"/>
      <w:r>
        <w:t>RPS</w:t>
      </w:r>
      <w:proofErr w:type="spellEnd"/>
      <w:r>
        <w:t xml:space="preserve"> relies on </w:t>
      </w:r>
      <w:r w:rsidRPr="00A54BC5">
        <w:rPr>
          <w:i/>
        </w:rPr>
        <w:t xml:space="preserve">School Committee of Stoneham v. </w:t>
      </w:r>
      <w:proofErr w:type="spellStart"/>
      <w:r w:rsidRPr="00A54BC5">
        <w:rPr>
          <w:i/>
        </w:rPr>
        <w:t>Antonucci</w:t>
      </w:r>
      <w:proofErr w:type="spellEnd"/>
      <w:r w:rsidRPr="00A54BC5">
        <w:rPr>
          <w:i/>
        </w:rPr>
        <w:t xml:space="preserve"> </w:t>
      </w:r>
      <w:r>
        <w:t xml:space="preserve">1996 WL 1186844 (Mass. Super. 1996). Such reliance is misplaced. </w:t>
      </w:r>
      <w:r w:rsidR="007853B3">
        <w:t xml:space="preserve"> First, </w:t>
      </w:r>
      <w:proofErr w:type="spellStart"/>
      <w:r w:rsidRPr="00A54BC5">
        <w:rPr>
          <w:i/>
        </w:rPr>
        <w:t>Antonucci</w:t>
      </w:r>
      <w:proofErr w:type="spellEnd"/>
      <w:r>
        <w:t xml:space="preserve"> is an unpublished, </w:t>
      </w:r>
      <w:r w:rsidR="009F4A63">
        <w:t>non-binding</w:t>
      </w:r>
      <w:r>
        <w:t xml:space="preserve"> Superior Court decision which is nearly 20 years old. Since </w:t>
      </w:r>
      <w:proofErr w:type="spellStart"/>
      <w:r w:rsidRPr="00A54BC5">
        <w:rPr>
          <w:i/>
        </w:rPr>
        <w:t>Antonucci</w:t>
      </w:r>
      <w:proofErr w:type="spellEnd"/>
      <w:r>
        <w:t xml:space="preserve"> </w:t>
      </w:r>
      <w:r w:rsidR="007853B3">
        <w:t xml:space="preserve">, </w:t>
      </w:r>
      <w:r>
        <w:t>both c.71B and its regulations have substantially change</w:t>
      </w:r>
      <w:r w:rsidR="007853B3">
        <w:t>d</w:t>
      </w:r>
      <w:r>
        <w:t xml:space="preserve">. Further, the facts in </w:t>
      </w:r>
      <w:proofErr w:type="spellStart"/>
      <w:r w:rsidRPr="007853B3">
        <w:rPr>
          <w:i/>
        </w:rPr>
        <w:t>Antonucci</w:t>
      </w:r>
      <w:proofErr w:type="spellEnd"/>
      <w:r>
        <w:t xml:space="preserve"> are </w:t>
      </w:r>
      <w:r w:rsidR="007853B3">
        <w:t>clearly distinguishable from those of the</w:t>
      </w:r>
      <w:r>
        <w:t xml:space="preserve"> instant case.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D51AB"/>
    <w:multiLevelType w:val="hybridMultilevel"/>
    <w:tmpl w:val="274276A6"/>
    <w:lvl w:ilvl="0" w:tplc="D024B48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F8770C"/>
    <w:multiLevelType w:val="hybridMultilevel"/>
    <w:tmpl w:val="8398E748"/>
    <w:lvl w:ilvl="0" w:tplc="6BC49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6E717A"/>
    <w:multiLevelType w:val="hybridMultilevel"/>
    <w:tmpl w:val="3376C6DC"/>
    <w:lvl w:ilvl="0" w:tplc="E5928F7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04EAE"/>
    <w:multiLevelType w:val="hybridMultilevel"/>
    <w:tmpl w:val="35F8E6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E5D"/>
    <w:rsid w:val="00044544"/>
    <w:rsid w:val="00060ED2"/>
    <w:rsid w:val="00062D75"/>
    <w:rsid w:val="00065205"/>
    <w:rsid w:val="000A5CBB"/>
    <w:rsid w:val="00120233"/>
    <w:rsid w:val="0014207C"/>
    <w:rsid w:val="00154F24"/>
    <w:rsid w:val="001B045A"/>
    <w:rsid w:val="001B06E5"/>
    <w:rsid w:val="001E3DC6"/>
    <w:rsid w:val="001E7A2B"/>
    <w:rsid w:val="002C4180"/>
    <w:rsid w:val="003C64DD"/>
    <w:rsid w:val="003E228A"/>
    <w:rsid w:val="003E6781"/>
    <w:rsid w:val="004212D1"/>
    <w:rsid w:val="00456FB0"/>
    <w:rsid w:val="00463EBA"/>
    <w:rsid w:val="00471CF3"/>
    <w:rsid w:val="00480F29"/>
    <w:rsid w:val="005308E5"/>
    <w:rsid w:val="00550A9E"/>
    <w:rsid w:val="0056359F"/>
    <w:rsid w:val="00575CE2"/>
    <w:rsid w:val="00577E5D"/>
    <w:rsid w:val="00586BC0"/>
    <w:rsid w:val="005A1F0A"/>
    <w:rsid w:val="005C6D7A"/>
    <w:rsid w:val="006410AB"/>
    <w:rsid w:val="00685855"/>
    <w:rsid w:val="006B7D49"/>
    <w:rsid w:val="006D28F0"/>
    <w:rsid w:val="006E6AFC"/>
    <w:rsid w:val="00701ADB"/>
    <w:rsid w:val="007252F5"/>
    <w:rsid w:val="00761B9B"/>
    <w:rsid w:val="007853B3"/>
    <w:rsid w:val="007D7EC3"/>
    <w:rsid w:val="00825081"/>
    <w:rsid w:val="008436D5"/>
    <w:rsid w:val="00877A55"/>
    <w:rsid w:val="008C36D8"/>
    <w:rsid w:val="008E1050"/>
    <w:rsid w:val="009265DE"/>
    <w:rsid w:val="00947BF1"/>
    <w:rsid w:val="009C73DB"/>
    <w:rsid w:val="009D05A1"/>
    <w:rsid w:val="009F4A63"/>
    <w:rsid w:val="00A27BCD"/>
    <w:rsid w:val="00A4208C"/>
    <w:rsid w:val="00A54BC5"/>
    <w:rsid w:val="00AB5123"/>
    <w:rsid w:val="00B01E60"/>
    <w:rsid w:val="00B15D95"/>
    <w:rsid w:val="00BC4175"/>
    <w:rsid w:val="00C31686"/>
    <w:rsid w:val="00C329AA"/>
    <w:rsid w:val="00CA12E9"/>
    <w:rsid w:val="00CB0964"/>
    <w:rsid w:val="00CC5855"/>
    <w:rsid w:val="00CD2FEB"/>
    <w:rsid w:val="00D048EA"/>
    <w:rsid w:val="00D4276B"/>
    <w:rsid w:val="00D45D55"/>
    <w:rsid w:val="00D610E2"/>
    <w:rsid w:val="00DB3B4B"/>
    <w:rsid w:val="00E05905"/>
    <w:rsid w:val="00E16608"/>
    <w:rsid w:val="00E90B59"/>
    <w:rsid w:val="00F3003F"/>
    <w:rsid w:val="00F35B58"/>
    <w:rsid w:val="00F616E1"/>
    <w:rsid w:val="00F9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E5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77E5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7E5D"/>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D4276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4276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4276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427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E5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577E5D"/>
    <w:rPr>
      <w:rFonts w:ascii="Arial" w:eastAsia="Times New Roman" w:hAnsi="Arial" w:cs="Times New Roman"/>
      <w:b/>
      <w:i/>
      <w:sz w:val="24"/>
      <w:szCs w:val="20"/>
    </w:rPr>
  </w:style>
  <w:style w:type="paragraph" w:styleId="Header">
    <w:name w:val="header"/>
    <w:basedOn w:val="Normal"/>
    <w:link w:val="HeaderChar"/>
    <w:uiPriority w:val="99"/>
    <w:unhideWhenUsed/>
    <w:rsid w:val="00577E5D"/>
    <w:pPr>
      <w:tabs>
        <w:tab w:val="center" w:pos="4680"/>
        <w:tab w:val="right" w:pos="9360"/>
      </w:tabs>
    </w:pPr>
  </w:style>
  <w:style w:type="character" w:customStyle="1" w:styleId="HeaderChar">
    <w:name w:val="Header Char"/>
    <w:basedOn w:val="DefaultParagraphFont"/>
    <w:link w:val="Header"/>
    <w:uiPriority w:val="99"/>
    <w:rsid w:val="00577E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77E5D"/>
    <w:pPr>
      <w:tabs>
        <w:tab w:val="center" w:pos="4680"/>
        <w:tab w:val="right" w:pos="9360"/>
      </w:tabs>
    </w:pPr>
  </w:style>
  <w:style w:type="character" w:customStyle="1" w:styleId="FooterChar">
    <w:name w:val="Footer Char"/>
    <w:basedOn w:val="DefaultParagraphFont"/>
    <w:link w:val="Footer"/>
    <w:uiPriority w:val="99"/>
    <w:rsid w:val="00577E5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7E5D"/>
    <w:rPr>
      <w:rFonts w:ascii="Tahoma" w:hAnsi="Tahoma" w:cs="Tahoma"/>
      <w:sz w:val="16"/>
      <w:szCs w:val="16"/>
    </w:rPr>
  </w:style>
  <w:style w:type="character" w:customStyle="1" w:styleId="BalloonTextChar">
    <w:name w:val="Balloon Text Char"/>
    <w:basedOn w:val="DefaultParagraphFont"/>
    <w:link w:val="BalloonText"/>
    <w:uiPriority w:val="99"/>
    <w:semiHidden/>
    <w:rsid w:val="00577E5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577E5D"/>
  </w:style>
  <w:style w:type="character" w:customStyle="1" w:styleId="FootnoteTextChar">
    <w:name w:val="Footnote Text Char"/>
    <w:basedOn w:val="DefaultParagraphFont"/>
    <w:link w:val="FootnoteText"/>
    <w:uiPriority w:val="99"/>
    <w:semiHidden/>
    <w:rsid w:val="00577E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77E5D"/>
    <w:rPr>
      <w:vertAlign w:val="superscript"/>
    </w:rPr>
  </w:style>
  <w:style w:type="paragraph" w:styleId="ListParagraph">
    <w:name w:val="List Paragraph"/>
    <w:basedOn w:val="Normal"/>
    <w:uiPriority w:val="34"/>
    <w:qFormat/>
    <w:rsid w:val="00CB0964"/>
    <w:pPr>
      <w:ind w:left="720"/>
      <w:contextualSpacing/>
    </w:pPr>
  </w:style>
  <w:style w:type="character" w:customStyle="1" w:styleId="Heading3Char">
    <w:name w:val="Heading 3 Char"/>
    <w:basedOn w:val="DefaultParagraphFont"/>
    <w:link w:val="Heading3"/>
    <w:uiPriority w:val="9"/>
    <w:semiHidden/>
    <w:rsid w:val="00D4276B"/>
    <w:rPr>
      <w:rFonts w:asciiTheme="majorHAnsi" w:eastAsiaTheme="majorEastAsia" w:hAnsiTheme="majorHAnsi" w:cstheme="majorBidi"/>
      <w:b/>
      <w:bCs/>
      <w:color w:val="4F81BD" w:themeColor="accent1"/>
      <w:sz w:val="20"/>
      <w:szCs w:val="20"/>
    </w:rPr>
  </w:style>
  <w:style w:type="character" w:customStyle="1" w:styleId="Heading4Char">
    <w:name w:val="Heading 4 Char"/>
    <w:basedOn w:val="DefaultParagraphFont"/>
    <w:link w:val="Heading4"/>
    <w:uiPriority w:val="9"/>
    <w:semiHidden/>
    <w:rsid w:val="00D4276B"/>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4276B"/>
    <w:rPr>
      <w:rFonts w:asciiTheme="majorHAnsi" w:eastAsiaTheme="majorEastAsia" w:hAnsiTheme="majorHAnsi" w:cstheme="majorBidi"/>
      <w:color w:val="243F60" w:themeColor="accent1" w:themeShade="7F"/>
      <w:sz w:val="20"/>
      <w:szCs w:val="20"/>
    </w:rPr>
  </w:style>
  <w:style w:type="character" w:customStyle="1" w:styleId="Heading6Char">
    <w:name w:val="Heading 6 Char"/>
    <w:basedOn w:val="DefaultParagraphFont"/>
    <w:link w:val="Heading6"/>
    <w:uiPriority w:val="9"/>
    <w:semiHidden/>
    <w:rsid w:val="00D4276B"/>
    <w:rPr>
      <w:rFonts w:asciiTheme="majorHAnsi" w:eastAsiaTheme="majorEastAsia" w:hAnsiTheme="majorHAnsi" w:cstheme="majorBidi"/>
      <w:i/>
      <w:iCs/>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95128">
      <w:bodyDiv w:val="1"/>
      <w:marLeft w:val="0"/>
      <w:marRight w:val="0"/>
      <w:marTop w:val="0"/>
      <w:marBottom w:val="0"/>
      <w:divBdr>
        <w:top w:val="none" w:sz="0" w:space="0" w:color="auto"/>
        <w:left w:val="none" w:sz="0" w:space="0" w:color="auto"/>
        <w:bottom w:val="none" w:sz="0" w:space="0" w:color="auto"/>
        <w:right w:val="none" w:sz="0" w:space="0" w:color="auto"/>
      </w:divBdr>
    </w:div>
    <w:div w:id="14984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A2D27-C472-452C-B03B-10C33DE72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Randolph, Boston, DESE BSEA # 14-02067</vt:lpstr>
    </vt:vector>
  </TitlesOfParts>
  <Company/>
  <LinksUpToDate>false</LinksUpToDate>
  <CharactersWithSpaces>11356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Randolph, Boston, DESE BSEA # 14-02067</category>
  <dcterms:created xsi:type="dcterms:W3CDTF">2014-03-17T18:25:00Z</dcterms:created>
  <dc:creator>LeBlanc, Tiana (ALA)</dc:creator>
  <keywords>Randolph, Boston, DESE BSEA # 14-02067</keywords>
  <lastModifiedBy>Erlichman, Reece (ALA)</lastModifiedBy>
  <lastPrinted>2014-03-06T16:46:00Z</lastPrinted>
  <dcterms:modified xsi:type="dcterms:W3CDTF">2014-03-17T18:26:00Z</dcterms:modified>
  <revision>3</revision>
  <dc:subject>Randolph, Boston, DESE BSEA # 14-02067</dc:subject>
  <dc:title>Randolph, Boston, DESE BSEA # 14-02067</dc:title>
</coreProperties>
</file>