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9A" w:rsidRDefault="00A3149A" w:rsidP="00A3149A">
      <w:pPr>
        <w:pStyle w:val="Heading1"/>
        <w:jc w:val="center"/>
        <w:rPr>
          <w:rFonts w:ascii="Times New Roman" w:hAnsi="Times New Roman"/>
          <w:sz w:val="32"/>
          <w:szCs w:val="32"/>
        </w:rPr>
      </w:pPr>
      <w:bookmarkStart w:id="0" w:name="_GoBack"/>
      <w:bookmarkEnd w:id="0"/>
      <w:r>
        <w:rPr>
          <w:rFonts w:ascii="Times New Roman" w:hAnsi="Times New Roman"/>
          <w:sz w:val="32"/>
          <w:szCs w:val="32"/>
        </w:rPr>
        <w:t>COMMONWEALTH OF MASSACHUSETTS</w:t>
      </w:r>
    </w:p>
    <w:p w:rsidR="00A3149A" w:rsidRDefault="00A3149A" w:rsidP="00A3149A">
      <w:pPr>
        <w:pStyle w:val="Heading2"/>
        <w:jc w:val="center"/>
        <w:rPr>
          <w:i w:val="0"/>
          <w:sz w:val="28"/>
          <w:szCs w:val="28"/>
        </w:rPr>
      </w:pPr>
      <w:r>
        <w:rPr>
          <w:i w:val="0"/>
          <w:sz w:val="28"/>
          <w:szCs w:val="28"/>
        </w:rPr>
        <w:t>Division of Administrative Law Appeals</w:t>
      </w:r>
    </w:p>
    <w:p w:rsidR="00A3149A" w:rsidRDefault="00A3149A" w:rsidP="00A3149A">
      <w:pPr>
        <w:jc w:val="center"/>
      </w:pPr>
    </w:p>
    <w:p w:rsidR="00A3149A" w:rsidRDefault="00A3149A" w:rsidP="00A3149A">
      <w:pPr>
        <w:jc w:val="center"/>
        <w:rPr>
          <w:b/>
          <w:sz w:val="28"/>
          <w:szCs w:val="28"/>
        </w:rPr>
      </w:pPr>
      <w:r>
        <w:rPr>
          <w:b/>
          <w:sz w:val="28"/>
          <w:szCs w:val="28"/>
        </w:rPr>
        <w:t>Bureau of Special Education Appeals</w:t>
      </w:r>
    </w:p>
    <w:p w:rsidR="00A3149A" w:rsidRDefault="00A3149A" w:rsidP="00A3149A">
      <w:pPr>
        <w:tabs>
          <w:tab w:val="center" w:pos="4320"/>
        </w:tabs>
        <w:rPr>
          <w:szCs w:val="20"/>
        </w:rPr>
      </w:pPr>
      <w:r>
        <w:tab/>
      </w:r>
    </w:p>
    <w:p w:rsidR="00A3149A" w:rsidRDefault="00A3149A" w:rsidP="00A3149A">
      <w:pPr>
        <w:rPr>
          <w:sz w:val="20"/>
        </w:rPr>
      </w:pP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w:t>
      </w:r>
    </w:p>
    <w:p w:rsidR="00A3149A" w:rsidRDefault="00A3149A" w:rsidP="00A3149A"/>
    <w:p w:rsidR="00930D51" w:rsidRDefault="00A3149A" w:rsidP="00A3149A">
      <w:pPr>
        <w:rPr>
          <w:rFonts w:ascii="Arial" w:hAnsi="Arial"/>
        </w:rPr>
      </w:pPr>
      <w:r>
        <w:rPr>
          <w:rFonts w:ascii="Arial" w:hAnsi="Arial"/>
        </w:rPr>
        <w:t xml:space="preserve">In Re:    </w:t>
      </w:r>
      <w:r w:rsidR="00930D51">
        <w:rPr>
          <w:rFonts w:ascii="Arial" w:hAnsi="Arial"/>
        </w:rPr>
        <w:t>Amesbury Public Schools</w:t>
      </w:r>
      <w:r w:rsidR="00930D51">
        <w:rPr>
          <w:rFonts w:ascii="Arial" w:hAnsi="Arial"/>
        </w:rPr>
        <w:tab/>
      </w:r>
      <w:r w:rsidR="00930D51">
        <w:rPr>
          <w:rFonts w:ascii="Arial" w:hAnsi="Arial"/>
        </w:rPr>
        <w:tab/>
      </w:r>
      <w:r w:rsidR="00930D51">
        <w:rPr>
          <w:rFonts w:ascii="Arial" w:hAnsi="Arial"/>
        </w:rPr>
        <w:tab/>
      </w:r>
      <w:r w:rsidR="00930D51">
        <w:rPr>
          <w:rFonts w:ascii="Arial" w:hAnsi="Arial"/>
        </w:rPr>
        <w:tab/>
        <w:t>BSEA #1406933</w:t>
      </w:r>
    </w:p>
    <w:p w:rsidR="00A3149A" w:rsidRDefault="00930D51" w:rsidP="00A3149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3149A" w:rsidRDefault="00A3149A" w:rsidP="00A3149A">
      <w:pPr>
        <w:rPr>
          <w:sz w:val="20"/>
        </w:rPr>
      </w:pPr>
      <w:r>
        <w:t xml:space="preserve"> _____________________________________</w:t>
      </w:r>
      <w:r>
        <w:tab/>
      </w:r>
      <w:r>
        <w:tab/>
      </w:r>
      <w:r>
        <w:tab/>
      </w:r>
      <w:r>
        <w:tab/>
      </w:r>
      <w:r>
        <w:tab/>
      </w:r>
      <w:r>
        <w:tab/>
      </w:r>
    </w:p>
    <w:p w:rsidR="00A3149A" w:rsidRDefault="00A3149A" w:rsidP="00A3149A"/>
    <w:p w:rsidR="00930D51" w:rsidRDefault="00930D51" w:rsidP="00B826DB">
      <w:pPr>
        <w:pStyle w:val="NoSpacing"/>
      </w:pPr>
    </w:p>
    <w:p w:rsidR="00563068" w:rsidRDefault="00563068" w:rsidP="00B826DB">
      <w:pPr>
        <w:pStyle w:val="NoSpacing"/>
        <w:jc w:val="center"/>
        <w:rPr>
          <w:rFonts w:ascii="Times New Roman" w:hAnsi="Times New Roman"/>
          <w:b/>
          <w:u w:val="single"/>
        </w:rPr>
      </w:pPr>
      <w:r w:rsidRPr="00B826DB">
        <w:rPr>
          <w:rFonts w:ascii="Times New Roman" w:hAnsi="Times New Roman"/>
          <w:b/>
          <w:u w:val="single"/>
        </w:rPr>
        <w:t>RULING ON AMESBURY MOTION FOR SUMMARY JUDGMENT</w:t>
      </w:r>
    </w:p>
    <w:p w:rsidR="00B826DB" w:rsidRPr="00B826DB" w:rsidRDefault="00B826DB" w:rsidP="00B826DB">
      <w:pPr>
        <w:pStyle w:val="NoSpacing"/>
        <w:jc w:val="center"/>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This matter comes before the BSEA on Amesbury Public School’s (“Amesbury”) challenge to the assignment by the Department of Elementary and Secondary Education (“DESE”) of sole fiscal and programmatic responsibility for Student Q</w:t>
      </w:r>
      <w:r w:rsidRPr="00B826DB">
        <w:rPr>
          <w:rStyle w:val="FootnoteReference"/>
          <w:rFonts w:ascii="Times New Roman" w:hAnsi="Times New Roman"/>
        </w:rPr>
        <w:footnoteReference w:id="1"/>
      </w:r>
      <w:r w:rsidRPr="00B826DB">
        <w:rPr>
          <w:rFonts w:ascii="Times New Roman" w:hAnsi="Times New Roman"/>
        </w:rPr>
        <w:t xml:space="preserve">.  Amesbury asserts that it should share responsibility for Student Q.’s out-of-district placement with Bedford Public Schools (“Bedford”).  Bedford and DESE join in Opposition to Amesbury’s position.  The Parties agreed to submit this matter for resolution on a Motion for Summary Judgment. </w:t>
      </w:r>
    </w:p>
    <w:p w:rsidR="00563068" w:rsidRPr="00B826DB" w:rsidRDefault="00563068" w:rsidP="00B826DB">
      <w:pPr>
        <w:pStyle w:val="NoSpacing"/>
        <w:rPr>
          <w:rFonts w:ascii="Times New Roman" w:hAnsi="Times New Roman"/>
        </w:rPr>
      </w:pPr>
    </w:p>
    <w:p w:rsidR="00563068" w:rsidRDefault="00563068" w:rsidP="00B826DB">
      <w:pPr>
        <w:pStyle w:val="NoSpacing"/>
        <w:rPr>
          <w:rFonts w:ascii="Times New Roman" w:hAnsi="Times New Roman"/>
          <w:u w:val="single"/>
        </w:rPr>
      </w:pPr>
      <w:r w:rsidRPr="00B826DB">
        <w:rPr>
          <w:rFonts w:ascii="Times New Roman" w:hAnsi="Times New Roman"/>
          <w:u w:val="single"/>
        </w:rPr>
        <w:t>FACTUAL BACKGROUND</w:t>
      </w:r>
    </w:p>
    <w:p w:rsidR="00B826DB" w:rsidRPr="00B826DB" w:rsidRDefault="00B826DB" w:rsidP="00B826DB">
      <w:pPr>
        <w:pStyle w:val="NoSpacing"/>
        <w:rPr>
          <w:rFonts w:ascii="Times New Roman" w:hAnsi="Times New Roman"/>
          <w:u w:val="single"/>
        </w:rPr>
      </w:pPr>
    </w:p>
    <w:p w:rsidR="00563068" w:rsidRDefault="00563068" w:rsidP="00B826DB">
      <w:pPr>
        <w:pStyle w:val="NoSpacing"/>
        <w:rPr>
          <w:rFonts w:ascii="Times New Roman" w:hAnsi="Times New Roman"/>
        </w:rPr>
      </w:pPr>
      <w:r w:rsidRPr="00B826DB">
        <w:rPr>
          <w:rFonts w:ascii="Times New Roman" w:hAnsi="Times New Roman"/>
        </w:rPr>
        <w:tab/>
        <w:t>The facts, taken only from Amesbury’s submissions to the DESE, are not in dispute:</w:t>
      </w:r>
    </w:p>
    <w:p w:rsidR="00B826DB" w:rsidRPr="00B826DB" w:rsidRDefault="00B826DB"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1.  Student Q., a minor, is eligible to receive special education services pursuant to the IDEA and M.G.L. c. 71 B.</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2.  Since March 2011 Student Q. has attended an out-of-district, substantially separate, public day school operated by the Greater Lawrence Educational Collaborative in Methuen through an IEP developed by Amesbury.</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3.  Student Q.’s parents are divorced.  Student Q. has lived</w:t>
      </w:r>
      <w:r w:rsidR="00B57E67">
        <w:rPr>
          <w:rFonts w:ascii="Times New Roman" w:hAnsi="Times New Roman"/>
        </w:rPr>
        <w:t xml:space="preserve"> with her mother in Amesbury, MA</w:t>
      </w:r>
      <w:r w:rsidRPr="00B826DB">
        <w:rPr>
          <w:rFonts w:ascii="Times New Roman" w:hAnsi="Times New Roman"/>
        </w:rPr>
        <w:t xml:space="preserve">. </w:t>
      </w:r>
      <w:proofErr w:type="gramStart"/>
      <w:r w:rsidRPr="00B826DB">
        <w:rPr>
          <w:rFonts w:ascii="Times New Roman" w:hAnsi="Times New Roman"/>
        </w:rPr>
        <w:t>since</w:t>
      </w:r>
      <w:proofErr w:type="gramEnd"/>
      <w:r w:rsidRPr="00B826DB">
        <w:rPr>
          <w:rFonts w:ascii="Times New Roman" w:hAnsi="Times New Roman"/>
        </w:rPr>
        <w:t xml:space="preserve"> March 2011.  (A-4)</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4.  Student Q.’s</w:t>
      </w:r>
      <w:r w:rsidR="00B826DB">
        <w:rPr>
          <w:rFonts w:ascii="Times New Roman" w:hAnsi="Times New Roman"/>
        </w:rPr>
        <w:t xml:space="preserve"> father has lived in Bedford, MA</w:t>
      </w:r>
      <w:r w:rsidR="00B57E67">
        <w:rPr>
          <w:rFonts w:ascii="Times New Roman" w:hAnsi="Times New Roman"/>
        </w:rPr>
        <w:t xml:space="preserve">. </w:t>
      </w:r>
      <w:proofErr w:type="gramStart"/>
      <w:r w:rsidR="00B57E67">
        <w:rPr>
          <w:rFonts w:ascii="Times New Roman" w:hAnsi="Times New Roman"/>
        </w:rPr>
        <w:t>s</w:t>
      </w:r>
      <w:r w:rsidRPr="00B826DB">
        <w:rPr>
          <w:rFonts w:ascii="Times New Roman" w:hAnsi="Times New Roman"/>
        </w:rPr>
        <w:t>ince</w:t>
      </w:r>
      <w:proofErr w:type="gramEnd"/>
      <w:r w:rsidRPr="00B826DB">
        <w:rPr>
          <w:rFonts w:ascii="Times New Roman" w:hAnsi="Times New Roman"/>
        </w:rPr>
        <w:t xml:space="preserve"> at least July 2010.  (A-4)</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5.  An undated, unsigned, uncertified document resembling a portion of a probate court parenting plan provides that the father will have parenting time with Student Q. on alternate weekends from Friday 7:00 pm to Sunday 7:00 pm.  The document available for review does not explicitly address legal or physical custody of Student Q.  (A-1)</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6.  Amesbury requested clarification of school district responsibility for Student Q. from DESE on December 6, 2013.  (A-1)</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7.  On January 8, 2014 DESE issued an “Assignment of School District Responsibility” finding that Amesbury and Bedford should share programmatic and fiscal responsibility for Student Q.’s special education day placement pursuant to 603 CMR 28.10 (2) (a) (2) because “it is reported that the Student lives with both parents throughout the school year irrespective of school vacation periods.”  The first finding on DESE Assignment provides: “Student is currently living wi</w:t>
      </w:r>
      <w:r w:rsidR="00B57E67">
        <w:rPr>
          <w:rFonts w:ascii="Times New Roman" w:hAnsi="Times New Roman"/>
        </w:rPr>
        <w:t xml:space="preserve">th her mother in Amesbury, MA. </w:t>
      </w:r>
      <w:proofErr w:type="gramStart"/>
      <w:r w:rsidR="00B57E67">
        <w:rPr>
          <w:rFonts w:ascii="Times New Roman" w:hAnsi="Times New Roman"/>
        </w:rPr>
        <w:t>and</w:t>
      </w:r>
      <w:proofErr w:type="gramEnd"/>
      <w:r w:rsidR="00B57E67">
        <w:rPr>
          <w:rFonts w:ascii="Times New Roman" w:hAnsi="Times New Roman"/>
        </w:rPr>
        <w:t xml:space="preserve"> has been since March </w:t>
      </w:r>
      <w:r w:rsidRPr="00B826DB">
        <w:rPr>
          <w:rFonts w:ascii="Times New Roman" w:hAnsi="Times New Roman"/>
        </w:rPr>
        <w:t xml:space="preserve">2011.”  (A-2)  </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8.  On January 23, 2014 DESE issued a “Corrected Assignment of School Responsibility”.  There is no evidence that either school district requested reconsideration of the previous assignment.  The Corrected Assignment repeated its earlier finding that Student Q. “is currently living</w:t>
      </w:r>
      <w:r w:rsidR="00B57E67">
        <w:rPr>
          <w:rFonts w:ascii="Times New Roman" w:hAnsi="Times New Roman"/>
        </w:rPr>
        <w:t xml:space="preserve"> with her mother in Amesbury, MA. </w:t>
      </w:r>
      <w:proofErr w:type="gramStart"/>
      <w:r w:rsidR="00B57E67">
        <w:rPr>
          <w:rFonts w:ascii="Times New Roman" w:hAnsi="Times New Roman"/>
        </w:rPr>
        <w:t>and</w:t>
      </w:r>
      <w:proofErr w:type="gramEnd"/>
      <w:r w:rsidR="00B57E67">
        <w:rPr>
          <w:rFonts w:ascii="Times New Roman" w:hAnsi="Times New Roman"/>
        </w:rPr>
        <w:t xml:space="preserve"> has been since March </w:t>
      </w:r>
      <w:r w:rsidRPr="00B826DB">
        <w:rPr>
          <w:rFonts w:ascii="Times New Roman" w:hAnsi="Times New Roman"/>
        </w:rPr>
        <w:t>2011.”  DESE concluded that the regulation applicable to the facts brought to its attention by</w:t>
      </w:r>
      <w:r w:rsidR="00B57E67">
        <w:rPr>
          <w:rFonts w:ascii="Times New Roman" w:hAnsi="Times New Roman"/>
        </w:rPr>
        <w:t xml:space="preserve"> Amesbury was 603 CMR 28.10 (2</w:t>
      </w:r>
      <w:proofErr w:type="gramStart"/>
      <w:r w:rsidR="00B57E67">
        <w:rPr>
          <w:rFonts w:ascii="Times New Roman" w:hAnsi="Times New Roman"/>
        </w:rPr>
        <w:t>)</w:t>
      </w:r>
      <w:r w:rsidRPr="00B826DB">
        <w:rPr>
          <w:rFonts w:ascii="Times New Roman" w:hAnsi="Times New Roman"/>
        </w:rPr>
        <w:t>(</w:t>
      </w:r>
      <w:proofErr w:type="gramEnd"/>
      <w:r w:rsidRPr="00B826DB">
        <w:rPr>
          <w:rFonts w:ascii="Times New Roman" w:hAnsi="Times New Roman"/>
        </w:rPr>
        <w:t>a), and assigned sole programmatic and fiscal responsibility for Student Q.’s special education placement to Amesbury.  (A-3)</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9.  On March 24, 2014 Amesbury filed a Hearing Request with the BSEA seeking to overturn DESE’s corrected assignment.</w:t>
      </w:r>
    </w:p>
    <w:p w:rsidR="00563068" w:rsidRDefault="00563068" w:rsidP="00B826DB">
      <w:pPr>
        <w:pStyle w:val="NoSpacing"/>
        <w:rPr>
          <w:rFonts w:ascii="Times New Roman" w:hAnsi="Times New Roman"/>
        </w:rPr>
      </w:pPr>
    </w:p>
    <w:p w:rsidR="00F56D13" w:rsidRPr="00B826DB" w:rsidRDefault="00F56D13" w:rsidP="00B826DB">
      <w:pPr>
        <w:pStyle w:val="NoSpacing"/>
        <w:rPr>
          <w:rFonts w:ascii="Times New Roman" w:hAnsi="Times New Roman"/>
        </w:rPr>
      </w:pPr>
    </w:p>
    <w:p w:rsidR="00563068" w:rsidRDefault="00563068" w:rsidP="00B826DB">
      <w:pPr>
        <w:pStyle w:val="NoSpacing"/>
        <w:rPr>
          <w:rFonts w:ascii="Times New Roman" w:hAnsi="Times New Roman"/>
          <w:u w:val="single"/>
        </w:rPr>
      </w:pPr>
      <w:r w:rsidRPr="00B826DB">
        <w:rPr>
          <w:rFonts w:ascii="Times New Roman" w:hAnsi="Times New Roman"/>
          <w:u w:val="single"/>
        </w:rPr>
        <w:t>LEGAL FRAMEWORK</w:t>
      </w:r>
    </w:p>
    <w:p w:rsidR="00F56D13" w:rsidRPr="00B826DB" w:rsidRDefault="00F56D13" w:rsidP="00B826DB">
      <w:pPr>
        <w:pStyle w:val="NoSpacing"/>
        <w:rPr>
          <w:rFonts w:ascii="Times New Roman" w:hAnsi="Times New Roman"/>
          <w:u w:val="single"/>
        </w:rPr>
      </w:pPr>
    </w:p>
    <w:p w:rsidR="00563068" w:rsidRPr="00B826DB" w:rsidRDefault="00563068" w:rsidP="00B826DB">
      <w:pPr>
        <w:pStyle w:val="NoSpacing"/>
        <w:rPr>
          <w:rFonts w:ascii="Times New Roman" w:hAnsi="Times New Roman"/>
        </w:rPr>
      </w:pPr>
    </w:p>
    <w:p w:rsidR="00563068" w:rsidRDefault="00563068" w:rsidP="00B826DB">
      <w:pPr>
        <w:pStyle w:val="NoSpacing"/>
        <w:rPr>
          <w:rFonts w:ascii="Times New Roman" w:hAnsi="Times New Roman"/>
        </w:rPr>
      </w:pPr>
      <w:r w:rsidRPr="00B826DB">
        <w:rPr>
          <w:rFonts w:ascii="Times New Roman" w:hAnsi="Times New Roman"/>
        </w:rPr>
        <w:t>a. Standard of Review</w:t>
      </w:r>
    </w:p>
    <w:p w:rsidR="00B826DB" w:rsidRPr="00B826DB" w:rsidRDefault="00B826DB" w:rsidP="00B826DB">
      <w:pPr>
        <w:pStyle w:val="NoSpacing"/>
        <w:rPr>
          <w:rFonts w:ascii="Times New Roman" w:hAnsi="Times New Roman"/>
        </w:rPr>
      </w:pPr>
    </w:p>
    <w:p w:rsidR="00563068" w:rsidRDefault="00563068" w:rsidP="00B826DB">
      <w:pPr>
        <w:pStyle w:val="NoSpacing"/>
        <w:rPr>
          <w:rFonts w:ascii="Times New Roman" w:hAnsi="Times New Roman"/>
        </w:rPr>
      </w:pPr>
      <w:r w:rsidRPr="00B826DB">
        <w:rPr>
          <w:rFonts w:ascii="Times New Roman" w:hAnsi="Times New Roman"/>
        </w:rPr>
        <w:tab/>
        <w:t xml:space="preserve">First, this matter is presented for Decision in the form of a Motion for Summary Judgment which is permissible under BSEA rules.  </w:t>
      </w:r>
      <w:r w:rsidRPr="00B826DB">
        <w:rPr>
          <w:rFonts w:ascii="Times New Roman" w:hAnsi="Times New Roman"/>
          <w:i/>
        </w:rPr>
        <w:t>Westborough Public Schools</w:t>
      </w:r>
      <w:r w:rsidRPr="00B826DB">
        <w:rPr>
          <w:rFonts w:ascii="Times New Roman" w:hAnsi="Times New Roman"/>
        </w:rPr>
        <w:t xml:space="preserve">, 17 </w:t>
      </w:r>
      <w:r w:rsidR="00F56D13">
        <w:rPr>
          <w:rFonts w:ascii="Times New Roman" w:hAnsi="Times New Roman"/>
        </w:rPr>
        <w:t xml:space="preserve">MSER </w:t>
      </w:r>
      <w:proofErr w:type="gramStart"/>
      <w:r w:rsidR="00F56D13">
        <w:rPr>
          <w:rFonts w:ascii="Times New Roman" w:hAnsi="Times New Roman"/>
        </w:rPr>
        <w:t>317  (</w:t>
      </w:r>
      <w:proofErr w:type="gramEnd"/>
      <w:r w:rsidR="00F56D13">
        <w:rPr>
          <w:rFonts w:ascii="Times New Roman" w:hAnsi="Times New Roman"/>
        </w:rPr>
        <w:t>2011); 801 CMR 1.01(7)</w:t>
      </w:r>
      <w:r w:rsidR="00B57E67">
        <w:rPr>
          <w:rFonts w:ascii="Times New Roman" w:hAnsi="Times New Roman"/>
        </w:rPr>
        <w:t>(b).  Entry of Summary J</w:t>
      </w:r>
      <w:r w:rsidRPr="00B826DB">
        <w:rPr>
          <w:rFonts w:ascii="Times New Roman" w:hAnsi="Times New Roman"/>
        </w:rPr>
        <w:t xml:space="preserve">udgment is appropriate when there is no genuine issue of material fact relating to the claim and application of governing law clearly establishes </w:t>
      </w:r>
      <w:r w:rsidR="00B57E67">
        <w:rPr>
          <w:rFonts w:ascii="Times New Roman" w:hAnsi="Times New Roman"/>
        </w:rPr>
        <w:t>the prevailing party.  Summary J</w:t>
      </w:r>
      <w:r w:rsidRPr="00B826DB">
        <w:rPr>
          <w:rFonts w:ascii="Times New Roman" w:hAnsi="Times New Roman"/>
        </w:rPr>
        <w:t>udgment</w:t>
      </w:r>
      <w:r w:rsidR="00F56D13">
        <w:rPr>
          <w:rFonts w:ascii="Times New Roman" w:hAnsi="Times New Roman"/>
        </w:rPr>
        <w:t xml:space="preserve"> functions as an alternate </w:t>
      </w:r>
      <w:r w:rsidRPr="00B826DB">
        <w:rPr>
          <w:rFonts w:ascii="Times New Roman" w:hAnsi="Times New Roman"/>
        </w:rPr>
        <w:t xml:space="preserve">vehicle for </w:t>
      </w:r>
      <w:r w:rsidR="00F56D13">
        <w:rPr>
          <w:rFonts w:ascii="Times New Roman" w:hAnsi="Times New Roman"/>
        </w:rPr>
        <w:t xml:space="preserve">resolving challenges to LEA Assignments, equivalent, though not identical, </w:t>
      </w:r>
      <w:r w:rsidRPr="00B826DB">
        <w:rPr>
          <w:rFonts w:ascii="Times New Roman" w:hAnsi="Times New Roman"/>
        </w:rPr>
        <w:t>to the Decision on written submissions exp</w:t>
      </w:r>
      <w:r w:rsidR="00F56D13">
        <w:rPr>
          <w:rFonts w:ascii="Times New Roman" w:hAnsi="Times New Roman"/>
        </w:rPr>
        <w:t xml:space="preserve">licitly authorized by BSEA Rule XII. </w:t>
      </w:r>
      <w:r w:rsidRPr="00B826DB">
        <w:rPr>
          <w:rFonts w:ascii="Times New Roman" w:hAnsi="Times New Roman"/>
        </w:rPr>
        <w:t xml:space="preserve"> Here entry of Summary Judgment is appropriate as there are no facts in dispute and application of the correct law to those facts determines the prevailing party.</w:t>
      </w:r>
    </w:p>
    <w:p w:rsidR="00B826DB" w:rsidRPr="00B826DB" w:rsidRDefault="00B826DB"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 xml:space="preserve">Second, in reviewing whether the DESE has properly applied the law on residence to the facts before it, the BSEA must give due deference to DESE’s interpretation of its own regulations and must uphold that interpretation “unless it is inconsistent with the plain language of the regulation or otherwise arbitrary or unreasonable.”  </w:t>
      </w:r>
      <w:proofErr w:type="spellStart"/>
      <w:proofErr w:type="gramStart"/>
      <w:r w:rsidRPr="00B826DB">
        <w:rPr>
          <w:rFonts w:ascii="Times New Roman" w:hAnsi="Times New Roman"/>
          <w:i/>
        </w:rPr>
        <w:t>Moslyn</w:t>
      </w:r>
      <w:proofErr w:type="spellEnd"/>
      <w:r w:rsidRPr="00B826DB">
        <w:rPr>
          <w:rFonts w:ascii="Times New Roman" w:hAnsi="Times New Roman"/>
          <w:i/>
        </w:rPr>
        <w:t xml:space="preserve"> v. Dep’t of </w:t>
      </w:r>
      <w:proofErr w:type="spellStart"/>
      <w:r w:rsidRPr="00B826DB">
        <w:rPr>
          <w:rFonts w:ascii="Times New Roman" w:hAnsi="Times New Roman"/>
          <w:i/>
        </w:rPr>
        <w:t>Envtl</w:t>
      </w:r>
      <w:proofErr w:type="spellEnd"/>
      <w:r w:rsidRPr="00B826DB">
        <w:rPr>
          <w:rFonts w:ascii="Times New Roman" w:hAnsi="Times New Roman"/>
          <w:i/>
        </w:rPr>
        <w:t>.</w:t>
      </w:r>
      <w:proofErr w:type="gramEnd"/>
      <w:r w:rsidRPr="00B826DB">
        <w:rPr>
          <w:rFonts w:ascii="Times New Roman" w:hAnsi="Times New Roman"/>
          <w:i/>
        </w:rPr>
        <w:t xml:space="preserve"> Prot.</w:t>
      </w:r>
      <w:r w:rsidRPr="00B826DB">
        <w:rPr>
          <w:rFonts w:ascii="Times New Roman" w:hAnsi="Times New Roman"/>
        </w:rPr>
        <w:t xml:space="preserve">, 83 Mass App. Ct. 788, 794 (2013); </w:t>
      </w:r>
      <w:r w:rsidRPr="00B826DB">
        <w:rPr>
          <w:rFonts w:ascii="Times New Roman" w:hAnsi="Times New Roman"/>
          <w:i/>
        </w:rPr>
        <w:t>see also: Salem v. Bureau of Special Educ. Appeals</w:t>
      </w:r>
      <w:r w:rsidRPr="00B826DB">
        <w:rPr>
          <w:rFonts w:ascii="Times New Roman" w:hAnsi="Times New Roman"/>
        </w:rPr>
        <w:t>, 44 Mass. 476, 481 (2005) (an agency’s “construction of its own regulation… is one to which considerable deference is due</w:t>
      </w:r>
      <w:r w:rsidR="00B57E67">
        <w:rPr>
          <w:rFonts w:ascii="Times New Roman" w:hAnsi="Times New Roman"/>
        </w:rPr>
        <w:t>.</w:t>
      </w:r>
      <w:r w:rsidRPr="00B826DB">
        <w:rPr>
          <w:rFonts w:ascii="Times New Roman" w:hAnsi="Times New Roman"/>
        </w:rPr>
        <w:t xml:space="preserve">”).   The party appealing the administrative decision bears the burden of </w:t>
      </w:r>
      <w:r w:rsidRPr="00B826DB">
        <w:rPr>
          <w:rFonts w:ascii="Times New Roman" w:hAnsi="Times New Roman"/>
        </w:rPr>
        <w:lastRenderedPageBreak/>
        <w:t xml:space="preserve">demonstrating the invalidity of the agency determination.  </w:t>
      </w:r>
      <w:proofErr w:type="spellStart"/>
      <w:proofErr w:type="gramStart"/>
      <w:r w:rsidRPr="00B826DB">
        <w:rPr>
          <w:rFonts w:ascii="Times New Roman" w:hAnsi="Times New Roman"/>
          <w:i/>
        </w:rPr>
        <w:t>Coggins</w:t>
      </w:r>
      <w:proofErr w:type="spellEnd"/>
      <w:r w:rsidRPr="00B826DB">
        <w:rPr>
          <w:rFonts w:ascii="Times New Roman" w:hAnsi="Times New Roman"/>
          <w:i/>
        </w:rPr>
        <w:t xml:space="preserve"> v. Mass. Parole Board</w:t>
      </w:r>
      <w:r w:rsidRPr="00B826DB">
        <w:rPr>
          <w:rFonts w:ascii="Times New Roman" w:hAnsi="Times New Roman"/>
        </w:rPr>
        <w:t>, 42 Mass. App. Ct.</w:t>
      </w:r>
      <w:proofErr w:type="gramEnd"/>
      <w:r w:rsidRPr="00B826DB">
        <w:rPr>
          <w:rFonts w:ascii="Times New Roman" w:hAnsi="Times New Roman"/>
        </w:rPr>
        <w:t xml:space="preserve">  </w:t>
      </w:r>
      <w:proofErr w:type="gramStart"/>
      <w:r w:rsidRPr="00B826DB">
        <w:rPr>
          <w:rFonts w:ascii="Times New Roman" w:hAnsi="Times New Roman"/>
        </w:rPr>
        <w:t>584 (1997).</w:t>
      </w:r>
      <w:proofErr w:type="gramEnd"/>
    </w:p>
    <w:p w:rsidR="00563068" w:rsidRPr="00B826DB" w:rsidRDefault="00563068" w:rsidP="00B826DB">
      <w:pPr>
        <w:pStyle w:val="NoSpacing"/>
        <w:rPr>
          <w:rFonts w:ascii="Times New Roman" w:hAnsi="Times New Roman"/>
        </w:rPr>
      </w:pPr>
    </w:p>
    <w:p w:rsidR="00563068" w:rsidRDefault="00563068" w:rsidP="00B826DB">
      <w:pPr>
        <w:pStyle w:val="NoSpacing"/>
        <w:rPr>
          <w:rFonts w:ascii="Times New Roman" w:hAnsi="Times New Roman"/>
        </w:rPr>
      </w:pPr>
      <w:proofErr w:type="gramStart"/>
      <w:r w:rsidRPr="00B826DB">
        <w:rPr>
          <w:rFonts w:ascii="Times New Roman" w:hAnsi="Times New Roman"/>
        </w:rPr>
        <w:t>b.  Residence</w:t>
      </w:r>
      <w:proofErr w:type="gramEnd"/>
    </w:p>
    <w:p w:rsidR="00B826DB" w:rsidRPr="00B826DB" w:rsidRDefault="00B826DB" w:rsidP="00B826DB">
      <w:pPr>
        <w:pStyle w:val="NoSpacing"/>
        <w:rPr>
          <w:rFonts w:ascii="Times New Roman" w:hAnsi="Times New Roman"/>
        </w:rPr>
      </w:pPr>
    </w:p>
    <w:p w:rsidR="00563068" w:rsidRDefault="00563068" w:rsidP="00B826DB">
      <w:pPr>
        <w:pStyle w:val="NoSpacing"/>
        <w:rPr>
          <w:rFonts w:ascii="Times New Roman" w:hAnsi="Times New Roman"/>
        </w:rPr>
      </w:pPr>
      <w:r w:rsidRPr="00B826DB">
        <w:rPr>
          <w:rFonts w:ascii="Times New Roman" w:hAnsi="Times New Roman"/>
        </w:rPr>
        <w:tab/>
        <w:t xml:space="preserve">School districts are responsible for providing special education services to eligible school age residents.  </w:t>
      </w:r>
      <w:proofErr w:type="spellStart"/>
      <w:proofErr w:type="gramStart"/>
      <w:r w:rsidRPr="00B826DB">
        <w:rPr>
          <w:rFonts w:ascii="Times New Roman" w:hAnsi="Times New Roman"/>
        </w:rPr>
        <w:t>M.G.L</w:t>
      </w:r>
      <w:r w:rsidR="00B57E67">
        <w:rPr>
          <w:rFonts w:ascii="Times New Roman" w:hAnsi="Times New Roman"/>
        </w:rPr>
        <w:t>.c</w:t>
      </w:r>
      <w:proofErr w:type="spellEnd"/>
      <w:r w:rsidR="00B57E67">
        <w:rPr>
          <w:rFonts w:ascii="Times New Roman" w:hAnsi="Times New Roman"/>
        </w:rPr>
        <w:t>. 71B §3; 603 CMR 28.20</w:t>
      </w:r>
      <w:r w:rsidRPr="00B826DB">
        <w:rPr>
          <w:rFonts w:ascii="Times New Roman" w:hAnsi="Times New Roman"/>
        </w:rPr>
        <w:t>(1).</w:t>
      </w:r>
      <w:proofErr w:type="gramEnd"/>
      <w:r w:rsidRPr="00B826DB">
        <w:rPr>
          <w:rFonts w:ascii="Times New Roman" w:hAnsi="Times New Roman"/>
        </w:rPr>
        <w:t xml:space="preserve">  The residence of a minor child is generally the same as the domicile of the parent who has physical custody of the child.  </w:t>
      </w:r>
      <w:proofErr w:type="gramStart"/>
      <w:r w:rsidRPr="00B826DB">
        <w:rPr>
          <w:rFonts w:ascii="Times New Roman" w:hAnsi="Times New Roman"/>
          <w:i/>
        </w:rPr>
        <w:t>George H. &amp; Irene L. Walker Home for Children, In. v. Franklin</w:t>
      </w:r>
      <w:r w:rsidRPr="00B826DB">
        <w:rPr>
          <w:rFonts w:ascii="Times New Roman" w:hAnsi="Times New Roman"/>
        </w:rPr>
        <w:t>, 416 Mass. 291, 295 (1993).</w:t>
      </w:r>
      <w:proofErr w:type="gramEnd"/>
      <w:r w:rsidRPr="00B826DB">
        <w:rPr>
          <w:rFonts w:ascii="Times New Roman" w:hAnsi="Times New Roman"/>
        </w:rPr>
        <w:t xml:space="preserve">  Where parental physical custody is not readily apparent, or not applicable, a child’s residence is determined by ascertaining where the </w:t>
      </w:r>
      <w:r w:rsidR="00F56D13">
        <w:rPr>
          <w:rFonts w:ascii="Times New Roman" w:hAnsi="Times New Roman"/>
        </w:rPr>
        <w:t xml:space="preserve">child actually lives, that is, </w:t>
      </w:r>
      <w:r w:rsidRPr="00B826DB">
        <w:rPr>
          <w:rFonts w:ascii="Times New Roman" w:hAnsi="Times New Roman"/>
        </w:rPr>
        <w:t xml:space="preserve">identifying the center of the child’s domestic, social and civil life.  </w:t>
      </w:r>
      <w:proofErr w:type="gramStart"/>
      <w:r w:rsidRPr="00B826DB">
        <w:rPr>
          <w:rFonts w:ascii="Times New Roman" w:hAnsi="Times New Roman"/>
          <w:i/>
        </w:rPr>
        <w:t>Walker, supra,</w:t>
      </w:r>
      <w:r w:rsidRPr="00B826DB">
        <w:rPr>
          <w:rFonts w:ascii="Times New Roman" w:hAnsi="Times New Roman"/>
        </w:rPr>
        <w:t xml:space="preserve"> at 295.</w:t>
      </w:r>
      <w:proofErr w:type="gramEnd"/>
      <w:r w:rsidRPr="00B826DB">
        <w:rPr>
          <w:rFonts w:ascii="Times New Roman" w:hAnsi="Times New Roman"/>
        </w:rPr>
        <w:t xml:space="preserve">   To that end DESE promulgated regulations which attempt to provide clarity and certainty to determinations of student residence.</w:t>
      </w:r>
      <w:r w:rsidRPr="00B826DB">
        <w:rPr>
          <w:rStyle w:val="FootnoteReference"/>
          <w:rFonts w:ascii="Times New Roman" w:hAnsi="Times New Roman"/>
        </w:rPr>
        <w:footnoteReference w:id="2"/>
      </w:r>
      <w:r w:rsidRPr="00B826DB">
        <w:rPr>
          <w:rFonts w:ascii="Times New Roman" w:hAnsi="Times New Roman"/>
        </w:rPr>
        <w:t xml:space="preserve">  See 603 CMR 28.10 </w:t>
      </w:r>
      <w:r w:rsidRPr="00B826DB">
        <w:rPr>
          <w:rFonts w:ascii="Times New Roman" w:hAnsi="Times New Roman"/>
          <w:i/>
        </w:rPr>
        <w:t>et seq</w:t>
      </w:r>
      <w:r w:rsidRPr="00B826DB">
        <w:rPr>
          <w:rFonts w:ascii="Times New Roman" w:hAnsi="Times New Roman"/>
        </w:rPr>
        <w:t xml:space="preserve">. </w:t>
      </w:r>
    </w:p>
    <w:p w:rsidR="00B826DB" w:rsidRPr="00B826DB" w:rsidRDefault="00B826DB" w:rsidP="00B826DB">
      <w:pPr>
        <w:pStyle w:val="NoSpacing"/>
        <w:rPr>
          <w:rFonts w:ascii="Times New Roman" w:hAnsi="Times New Roman"/>
        </w:rPr>
      </w:pPr>
    </w:p>
    <w:p w:rsidR="00563068" w:rsidRDefault="00563068" w:rsidP="00B826DB">
      <w:pPr>
        <w:pStyle w:val="NoSpacing"/>
        <w:rPr>
          <w:rFonts w:ascii="Times New Roman" w:hAnsi="Times New Roman"/>
        </w:rPr>
      </w:pPr>
      <w:r w:rsidRPr="00B826DB">
        <w:rPr>
          <w:rFonts w:ascii="Times New Roman" w:hAnsi="Times New Roman"/>
        </w:rPr>
        <w:tab/>
        <w:t>The regulatory language in dispute here is:</w:t>
      </w:r>
    </w:p>
    <w:p w:rsidR="00B826DB" w:rsidRPr="00B826DB" w:rsidRDefault="00B826DB" w:rsidP="00B826DB">
      <w:pPr>
        <w:pStyle w:val="NoSpacing"/>
        <w:rPr>
          <w:rFonts w:ascii="Times New Roman" w:hAnsi="Times New Roman"/>
        </w:rPr>
      </w:pPr>
    </w:p>
    <w:p w:rsidR="00563068" w:rsidRDefault="00B57E67" w:rsidP="00B826DB">
      <w:pPr>
        <w:pStyle w:val="NoSpacing"/>
        <w:rPr>
          <w:rFonts w:ascii="Times New Roman" w:hAnsi="Times New Roman"/>
        </w:rPr>
      </w:pPr>
      <w:r>
        <w:rPr>
          <w:rFonts w:ascii="Times New Roman" w:hAnsi="Times New Roman"/>
        </w:rPr>
        <w:tab/>
        <w:t>603 CMR 28.10(2</w:t>
      </w:r>
      <w:proofErr w:type="gramStart"/>
      <w:r>
        <w:rPr>
          <w:rFonts w:ascii="Times New Roman" w:hAnsi="Times New Roman"/>
        </w:rPr>
        <w:t>)</w:t>
      </w:r>
      <w:r w:rsidR="00563068" w:rsidRPr="00B826DB">
        <w:rPr>
          <w:rFonts w:ascii="Times New Roman" w:hAnsi="Times New Roman"/>
        </w:rPr>
        <w:t>(</w:t>
      </w:r>
      <w:proofErr w:type="gramEnd"/>
      <w:r w:rsidR="00563068" w:rsidRPr="00B826DB">
        <w:rPr>
          <w:rFonts w:ascii="Times New Roman" w:hAnsi="Times New Roman"/>
        </w:rPr>
        <w:t xml:space="preserve">a):   </w:t>
      </w:r>
      <w:r w:rsidR="00563068" w:rsidRPr="00B826DB">
        <w:rPr>
          <w:rFonts w:ascii="Times New Roman" w:hAnsi="Times New Roman"/>
          <w:b/>
        </w:rPr>
        <w:t>School district responsibility based on student resident</w:t>
      </w:r>
      <w:r w:rsidR="00563068" w:rsidRPr="00B826DB">
        <w:rPr>
          <w:rFonts w:ascii="Times New Roman" w:hAnsi="Times New Roman"/>
        </w:rPr>
        <w:t>.  The school district where the student resides shall have both programmatic and financial responsibility under the following circumstances:</w:t>
      </w:r>
      <w:r w:rsidR="00563068" w:rsidRPr="00B826DB">
        <w:rPr>
          <w:rFonts w:ascii="Times New Roman" w:hAnsi="Times New Roman"/>
        </w:rPr>
        <w:tab/>
      </w:r>
    </w:p>
    <w:p w:rsidR="00B826DB" w:rsidRPr="00B826DB" w:rsidRDefault="00B826DB" w:rsidP="00B826DB">
      <w:pPr>
        <w:pStyle w:val="NoSpacing"/>
        <w:rPr>
          <w:rFonts w:ascii="Times New Roman" w:hAnsi="Times New Roman"/>
        </w:rPr>
      </w:pPr>
    </w:p>
    <w:p w:rsidR="00563068" w:rsidRDefault="00563068" w:rsidP="00B826DB">
      <w:pPr>
        <w:pStyle w:val="NoSpacing"/>
        <w:rPr>
          <w:rFonts w:ascii="Times New Roman" w:hAnsi="Times New Roman"/>
        </w:rPr>
      </w:pPr>
      <w:r w:rsidRPr="00B826DB">
        <w:rPr>
          <w:rFonts w:ascii="Times New Roman" w:hAnsi="Times New Roman"/>
        </w:rPr>
        <w:tab/>
      </w:r>
      <w:r w:rsidRPr="00B826DB">
        <w:rPr>
          <w:rFonts w:ascii="Times New Roman" w:hAnsi="Times New Roman"/>
        </w:rPr>
        <w:tab/>
        <w:t xml:space="preserve"> </w:t>
      </w:r>
      <w:proofErr w:type="gramStart"/>
      <w:r w:rsidRPr="00B826DB">
        <w:rPr>
          <w:rFonts w:ascii="Times New Roman" w:hAnsi="Times New Roman"/>
        </w:rPr>
        <w:t>When students live with their parent(s) or legal guardian.</w:t>
      </w:r>
      <w:proofErr w:type="gramEnd"/>
    </w:p>
    <w:p w:rsidR="00F56D13" w:rsidRPr="00B826DB" w:rsidRDefault="00F56D13" w:rsidP="00B826DB">
      <w:pPr>
        <w:pStyle w:val="NoSpacing"/>
        <w:rPr>
          <w:rFonts w:ascii="Times New Roman" w:hAnsi="Times New Roman"/>
        </w:rPr>
      </w:pPr>
    </w:p>
    <w:p w:rsidR="00563068" w:rsidRDefault="00F56D13" w:rsidP="00B826DB">
      <w:pPr>
        <w:pStyle w:val="NoSpacing"/>
        <w:rPr>
          <w:rFonts w:ascii="Times New Roman" w:hAnsi="Times New Roman"/>
        </w:rPr>
      </w:pPr>
      <w:r w:rsidRPr="00B826DB">
        <w:rPr>
          <w:rFonts w:ascii="Times New Roman" w:hAnsi="Times New Roman"/>
        </w:rPr>
        <w:t>A</w:t>
      </w:r>
      <w:r w:rsidR="00563068" w:rsidRPr="00B826DB">
        <w:rPr>
          <w:rFonts w:ascii="Times New Roman" w:hAnsi="Times New Roman"/>
        </w:rPr>
        <w:t>nd</w:t>
      </w:r>
    </w:p>
    <w:p w:rsidR="00F56D13" w:rsidRPr="00B826DB" w:rsidRDefault="00F56D13" w:rsidP="00B826DB">
      <w:pPr>
        <w:pStyle w:val="NoSpacing"/>
        <w:rPr>
          <w:rFonts w:ascii="Times New Roman" w:hAnsi="Times New Roman"/>
        </w:rPr>
      </w:pPr>
    </w:p>
    <w:p w:rsidR="00563068" w:rsidRDefault="00B57E67" w:rsidP="00B826DB">
      <w:pPr>
        <w:pStyle w:val="NoSpacing"/>
        <w:rPr>
          <w:rFonts w:ascii="Times New Roman" w:hAnsi="Times New Roman"/>
        </w:rPr>
      </w:pPr>
      <w:r>
        <w:rPr>
          <w:rFonts w:ascii="Times New Roman" w:hAnsi="Times New Roman"/>
        </w:rPr>
        <w:tab/>
        <w:t>603 CMR 28.10 (2</w:t>
      </w:r>
      <w:proofErr w:type="gramStart"/>
      <w:r>
        <w:rPr>
          <w:rFonts w:ascii="Times New Roman" w:hAnsi="Times New Roman"/>
        </w:rPr>
        <w:t>)(</w:t>
      </w:r>
      <w:proofErr w:type="gramEnd"/>
      <w:r>
        <w:rPr>
          <w:rFonts w:ascii="Times New Roman" w:hAnsi="Times New Roman"/>
        </w:rPr>
        <w:t>a)</w:t>
      </w:r>
      <w:r w:rsidR="00563068" w:rsidRPr="00B826DB">
        <w:rPr>
          <w:rFonts w:ascii="Times New Roman" w:hAnsi="Times New Roman"/>
        </w:rPr>
        <w:t>(2):   When a student who requires an out-of-district placement to implement his or her IEP lives with both of his or her parents during the school year, irrespective of school vacation periods, and the parents live in two different Massachusetts school districts, the school districts where the parents reside shall be equally responsible for fulfilling the requirements of 603 CMR 28.00.</w:t>
      </w:r>
    </w:p>
    <w:p w:rsidR="00F56D13" w:rsidRPr="00B826DB" w:rsidRDefault="00F56D13"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Default="00563068" w:rsidP="00B826DB">
      <w:pPr>
        <w:pStyle w:val="NoSpacing"/>
        <w:rPr>
          <w:rFonts w:ascii="Times New Roman" w:hAnsi="Times New Roman"/>
          <w:u w:val="single"/>
        </w:rPr>
      </w:pPr>
      <w:r w:rsidRPr="00B826DB">
        <w:rPr>
          <w:rFonts w:ascii="Times New Roman" w:hAnsi="Times New Roman"/>
          <w:u w:val="single"/>
        </w:rPr>
        <w:t>DISCUSSION</w:t>
      </w:r>
    </w:p>
    <w:p w:rsidR="00F56D13" w:rsidRPr="00B826DB" w:rsidRDefault="00F56D13" w:rsidP="00B826DB">
      <w:pPr>
        <w:pStyle w:val="NoSpacing"/>
        <w:rPr>
          <w:rFonts w:ascii="Times New Roman" w:hAnsi="Times New Roman"/>
          <w:u w:val="single"/>
        </w:rPr>
      </w:pPr>
      <w:r>
        <w:rPr>
          <w:rFonts w:ascii="Times New Roman" w:hAnsi="Times New Roman"/>
          <w:u w:val="single"/>
        </w:rPr>
        <w:t xml:space="preserve">  </w:t>
      </w:r>
    </w:p>
    <w:p w:rsidR="00563068" w:rsidRPr="00B826DB" w:rsidRDefault="00563068" w:rsidP="00B826DB">
      <w:pPr>
        <w:pStyle w:val="NoSpacing"/>
        <w:rPr>
          <w:rFonts w:ascii="Times New Roman" w:hAnsi="Times New Roman"/>
        </w:rPr>
      </w:pPr>
    </w:p>
    <w:p w:rsidR="00E47E6F" w:rsidRDefault="00563068" w:rsidP="00B826DB">
      <w:pPr>
        <w:pStyle w:val="NoSpacing"/>
        <w:rPr>
          <w:rFonts w:ascii="Times New Roman" w:hAnsi="Times New Roman"/>
        </w:rPr>
      </w:pPr>
      <w:r w:rsidRPr="00B826DB">
        <w:rPr>
          <w:rFonts w:ascii="Times New Roman" w:hAnsi="Times New Roman"/>
        </w:rPr>
        <w:tab/>
      </w:r>
      <w:r w:rsidR="00F56D13">
        <w:rPr>
          <w:rFonts w:ascii="Times New Roman" w:hAnsi="Times New Roman"/>
        </w:rPr>
        <w:t xml:space="preserve">Both DESE regulations at issue here correctly place programmatic and fiscal responsibility for a student’s special education placement on the school district in which the student lives.  The critical factor in </w:t>
      </w:r>
      <w:r w:rsidR="00E47E6F">
        <w:rPr>
          <w:rFonts w:ascii="Times New Roman" w:hAnsi="Times New Roman"/>
        </w:rPr>
        <w:t>deciding which of the two sections to apply</w:t>
      </w:r>
      <w:r w:rsidR="00F56D13">
        <w:rPr>
          <w:rFonts w:ascii="Times New Roman" w:hAnsi="Times New Roman"/>
        </w:rPr>
        <w:t xml:space="preserve"> is not the phrase “when a student requires an out of district placement” which is, in this factual context, a “red herring</w:t>
      </w:r>
      <w:r w:rsidR="00E47E6F">
        <w:rPr>
          <w:rFonts w:ascii="Times New Roman" w:hAnsi="Times New Roman"/>
        </w:rPr>
        <w:t>.</w:t>
      </w:r>
      <w:r w:rsidR="00F56D13">
        <w:rPr>
          <w:rFonts w:ascii="Times New Roman" w:hAnsi="Times New Roman"/>
        </w:rPr>
        <w:t>”</w:t>
      </w:r>
      <w:r w:rsidR="00E47E6F">
        <w:rPr>
          <w:rFonts w:ascii="Times New Roman" w:hAnsi="Times New Roman"/>
        </w:rPr>
        <w:t xml:space="preserve">  Determining which regulation applies requires first establishing where the student lives.  603 CMR 28.10(2</w:t>
      </w:r>
      <w:proofErr w:type="gramStart"/>
      <w:r w:rsidR="00E47E6F">
        <w:rPr>
          <w:rFonts w:ascii="Times New Roman" w:hAnsi="Times New Roman"/>
        </w:rPr>
        <w:t>)(</w:t>
      </w:r>
      <w:proofErr w:type="gramEnd"/>
      <w:r w:rsidR="00E47E6F">
        <w:rPr>
          <w:rFonts w:ascii="Times New Roman" w:hAnsi="Times New Roman"/>
        </w:rPr>
        <w:t>a) applies when a student lives in one home with a parent(s).  603 CMR 28.10(2)(a)(2) applies when a student lives in two homes located in two different school districts with a parent in each home.</w:t>
      </w:r>
    </w:p>
    <w:p w:rsidR="00563068" w:rsidRDefault="00E47E6F" w:rsidP="00B826DB">
      <w:pPr>
        <w:pStyle w:val="NoSpacing"/>
        <w:rPr>
          <w:rFonts w:ascii="Times New Roman" w:hAnsi="Times New Roman"/>
        </w:rPr>
      </w:pPr>
      <w:r>
        <w:rPr>
          <w:rFonts w:ascii="Times New Roman" w:hAnsi="Times New Roman"/>
        </w:rPr>
        <w:lastRenderedPageBreak/>
        <w:t xml:space="preserve">          </w:t>
      </w:r>
      <w:r w:rsidR="00563068" w:rsidRPr="00B826DB">
        <w:rPr>
          <w:rFonts w:ascii="Times New Roman" w:hAnsi="Times New Roman"/>
        </w:rPr>
        <w:t>Amesbury argues that DESE in</w:t>
      </w:r>
      <w:r w:rsidR="00B57E67">
        <w:rPr>
          <w:rFonts w:ascii="Times New Roman" w:hAnsi="Times New Roman"/>
        </w:rPr>
        <w:t>correctly applied 603 CMR 28.10(2</w:t>
      </w:r>
      <w:proofErr w:type="gramStart"/>
      <w:r w:rsidR="00B57E67">
        <w:rPr>
          <w:rFonts w:ascii="Times New Roman" w:hAnsi="Times New Roman"/>
        </w:rPr>
        <w:t>)</w:t>
      </w:r>
      <w:r w:rsidR="00563068" w:rsidRPr="00B826DB">
        <w:rPr>
          <w:rFonts w:ascii="Times New Roman" w:hAnsi="Times New Roman"/>
        </w:rPr>
        <w:t>(</w:t>
      </w:r>
      <w:proofErr w:type="gramEnd"/>
      <w:r w:rsidR="00563068" w:rsidRPr="00B826DB">
        <w:rPr>
          <w:rFonts w:ascii="Times New Roman" w:hAnsi="Times New Roman"/>
        </w:rPr>
        <w:t>a) to the facts when it issued its January 2014 Corrected Order.  That regulation would be appropriate if Student Q. lived only with her mother in Amesbury.  Instead, Amesbury asserts, Student Q. lives with both her parents and attends an out-of-district day placement.  Those facts, Amesbury argues, requi</w:t>
      </w:r>
      <w:r w:rsidR="00B57E67">
        <w:rPr>
          <w:rFonts w:ascii="Times New Roman" w:hAnsi="Times New Roman"/>
        </w:rPr>
        <w:t>re application of 603 CMR 28.10(2</w:t>
      </w:r>
      <w:proofErr w:type="gramStart"/>
      <w:r w:rsidR="00B57E67">
        <w:rPr>
          <w:rFonts w:ascii="Times New Roman" w:hAnsi="Times New Roman"/>
        </w:rPr>
        <w:t>)(</w:t>
      </w:r>
      <w:proofErr w:type="gramEnd"/>
      <w:r w:rsidR="00B57E67">
        <w:rPr>
          <w:rFonts w:ascii="Times New Roman" w:hAnsi="Times New Roman"/>
        </w:rPr>
        <w:t>a)</w:t>
      </w:r>
      <w:r w:rsidR="00563068" w:rsidRPr="00B826DB">
        <w:rPr>
          <w:rFonts w:ascii="Times New Roman" w:hAnsi="Times New Roman"/>
        </w:rPr>
        <w:t xml:space="preserve">(2) providing for shared responsibility between the towns where the two parents live.  Amesbury’s argument would be persuasive if the Student were, in fact, living with both Parents.  There was no evidence presented to the DESE, however, and none to the BSEA, that she does.  </w:t>
      </w:r>
    </w:p>
    <w:p w:rsidR="00B826DB" w:rsidRPr="00B826DB" w:rsidRDefault="00B826DB" w:rsidP="00B826DB">
      <w:pPr>
        <w:pStyle w:val="NoSpacing"/>
        <w:rPr>
          <w:rFonts w:ascii="Times New Roman" w:hAnsi="Times New Roman"/>
        </w:rPr>
      </w:pPr>
    </w:p>
    <w:p w:rsidR="00563068" w:rsidRDefault="00563068" w:rsidP="00B826DB">
      <w:pPr>
        <w:pStyle w:val="NoSpacing"/>
        <w:rPr>
          <w:rFonts w:ascii="Times New Roman" w:hAnsi="Times New Roman"/>
        </w:rPr>
      </w:pPr>
      <w:r w:rsidRPr="00B826DB">
        <w:rPr>
          <w:rFonts w:ascii="Times New Roman" w:hAnsi="Times New Roman"/>
        </w:rPr>
        <w:tab/>
        <w:t>Amesbury’s original submission to the DESE recites that Student Q.</w:t>
      </w:r>
      <w:proofErr w:type="gramStart"/>
      <w:r w:rsidRPr="00B826DB">
        <w:rPr>
          <w:rFonts w:ascii="Times New Roman" w:hAnsi="Times New Roman"/>
        </w:rPr>
        <w:t>: ”</w:t>
      </w:r>
      <w:proofErr w:type="gramEnd"/>
      <w:r w:rsidR="00653895">
        <w:rPr>
          <w:rFonts w:ascii="Times New Roman" w:hAnsi="Times New Roman"/>
        </w:rPr>
        <w:t xml:space="preserve"> </w:t>
      </w:r>
      <w:r w:rsidRPr="00B826DB">
        <w:rPr>
          <w:rFonts w:ascii="Times New Roman" w:hAnsi="Times New Roman"/>
        </w:rPr>
        <w:t>lives… with</w:t>
      </w:r>
      <w:r w:rsidR="00B57E67">
        <w:rPr>
          <w:rFonts w:ascii="Times New Roman" w:hAnsi="Times New Roman"/>
        </w:rPr>
        <w:t xml:space="preserve"> her mother”. </w:t>
      </w:r>
      <w:proofErr w:type="gramStart"/>
      <w:r w:rsidR="00B57E67">
        <w:rPr>
          <w:rFonts w:ascii="Times New Roman" w:hAnsi="Times New Roman"/>
        </w:rPr>
        <w:t>(A-1 p.</w:t>
      </w:r>
      <w:r w:rsidRPr="00B826DB">
        <w:rPr>
          <w:rFonts w:ascii="Times New Roman" w:hAnsi="Times New Roman"/>
        </w:rPr>
        <w:t>1).</w:t>
      </w:r>
      <w:proofErr w:type="gramEnd"/>
      <w:r w:rsidRPr="00B826DB">
        <w:rPr>
          <w:rFonts w:ascii="Times New Roman" w:hAnsi="Times New Roman"/>
        </w:rPr>
        <w:t xml:space="preserve">  Amesbury then lists the residence o</w:t>
      </w:r>
      <w:r w:rsidR="00B57E67">
        <w:rPr>
          <w:rFonts w:ascii="Times New Roman" w:hAnsi="Times New Roman"/>
        </w:rPr>
        <w:t>f Student Q.’s father.  (A-1 p.</w:t>
      </w:r>
      <w:r w:rsidRPr="00B826DB">
        <w:rPr>
          <w:rFonts w:ascii="Times New Roman" w:hAnsi="Times New Roman"/>
        </w:rPr>
        <w:t>3)      There is no assertion that Student Q. “lives with” her father at his Bedford residence.  Amesbury relies on an undated, unsigned, uncertified parenting agr</w:t>
      </w:r>
      <w:r w:rsidR="00653895">
        <w:rPr>
          <w:rFonts w:ascii="Times New Roman" w:hAnsi="Times New Roman"/>
        </w:rPr>
        <w:t xml:space="preserve">eement to show that Student Q. </w:t>
      </w:r>
      <w:r w:rsidRPr="00B826DB">
        <w:rPr>
          <w:rFonts w:ascii="Times New Roman" w:hAnsi="Times New Roman"/>
        </w:rPr>
        <w:t>lives in Be</w:t>
      </w:r>
      <w:r w:rsidR="00B57E67">
        <w:rPr>
          <w:rFonts w:ascii="Times New Roman" w:hAnsi="Times New Roman"/>
        </w:rPr>
        <w:t>dford with her father.  (A-1 p.</w:t>
      </w:r>
      <w:r w:rsidRPr="00B826DB">
        <w:rPr>
          <w:rFonts w:ascii="Times New Roman" w:hAnsi="Times New Roman"/>
        </w:rPr>
        <w:t>5-6)   It does not.</w:t>
      </w:r>
      <w:r w:rsidR="00B57E67">
        <w:rPr>
          <w:rStyle w:val="FootnoteReference"/>
          <w:rFonts w:ascii="Times New Roman" w:hAnsi="Times New Roman"/>
        </w:rPr>
        <w:footnoteReference w:id="3"/>
      </w:r>
      <w:r w:rsidRPr="00B826DB">
        <w:rPr>
          <w:rFonts w:ascii="Times New Roman" w:hAnsi="Times New Roman"/>
        </w:rPr>
        <w:t xml:space="preserve">  Even if it were a reliable and current document, which it is not, the document by itself is insufficient to prove residence. </w:t>
      </w:r>
      <w:r w:rsidRPr="00B826DB">
        <w:rPr>
          <w:rFonts w:ascii="Times New Roman" w:hAnsi="Times New Roman"/>
          <w:i/>
        </w:rPr>
        <w:t>Walker</w:t>
      </w:r>
      <w:r w:rsidRPr="00B826DB">
        <w:rPr>
          <w:rFonts w:ascii="Times New Roman" w:hAnsi="Times New Roman"/>
        </w:rPr>
        <w:t>,</w:t>
      </w:r>
      <w:r w:rsidRPr="00B826DB">
        <w:rPr>
          <w:rFonts w:ascii="Times New Roman" w:hAnsi="Times New Roman"/>
          <w:i/>
        </w:rPr>
        <w:t xml:space="preserve"> supra,</w:t>
      </w:r>
      <w:r w:rsidRPr="00B826DB">
        <w:rPr>
          <w:rFonts w:ascii="Times New Roman" w:hAnsi="Times New Roman"/>
        </w:rPr>
        <w:t xml:space="preserve"> and its progeny, as well as the DESE residency regulations, require a determination of where the student “actually lives”.  That determination is highly individualized and fact dependent, taking in factors such as where the child sleeps, gets ready for school, does homework, participates in community activities, attends family, religious, cultural and civic events, etc.  In this matter there is no evidence in the documents available to DESE when it </w:t>
      </w:r>
      <w:proofErr w:type="gramStart"/>
      <w:r w:rsidRPr="00B826DB">
        <w:rPr>
          <w:rFonts w:ascii="Times New Roman" w:hAnsi="Times New Roman"/>
        </w:rPr>
        <w:t>m</w:t>
      </w:r>
      <w:r w:rsidR="00E47E6F">
        <w:rPr>
          <w:rFonts w:ascii="Times New Roman" w:hAnsi="Times New Roman"/>
        </w:rPr>
        <w:t>ade</w:t>
      </w:r>
      <w:proofErr w:type="gramEnd"/>
      <w:r w:rsidR="00E47E6F">
        <w:rPr>
          <w:rFonts w:ascii="Times New Roman" w:hAnsi="Times New Roman"/>
        </w:rPr>
        <w:t xml:space="preserve"> its LEA assignment, nor</w:t>
      </w:r>
      <w:r w:rsidRPr="00B826DB">
        <w:rPr>
          <w:rFonts w:ascii="Times New Roman" w:hAnsi="Times New Roman"/>
        </w:rPr>
        <w:t xml:space="preserve"> to the BSEA on Amesbury’s challenge to that assignment, that would indicate that Student Q. is living, or has at any time lived, with her father.  Therefore DESE’s original LEA as</w:t>
      </w:r>
      <w:r w:rsidR="00653895">
        <w:rPr>
          <w:rFonts w:ascii="Times New Roman" w:hAnsi="Times New Roman"/>
        </w:rPr>
        <w:t>signment applying 603 CMR 28.10(2</w:t>
      </w:r>
      <w:proofErr w:type="gramStart"/>
      <w:r w:rsidR="00653895">
        <w:rPr>
          <w:rFonts w:ascii="Times New Roman" w:hAnsi="Times New Roman"/>
        </w:rPr>
        <w:t>)(</w:t>
      </w:r>
      <w:proofErr w:type="gramEnd"/>
      <w:r w:rsidR="00653895">
        <w:rPr>
          <w:rFonts w:ascii="Times New Roman" w:hAnsi="Times New Roman"/>
        </w:rPr>
        <w:t>a)</w:t>
      </w:r>
      <w:r w:rsidRPr="00B826DB">
        <w:rPr>
          <w:rFonts w:ascii="Times New Roman" w:hAnsi="Times New Roman"/>
        </w:rPr>
        <w:t>(2) was incorrect.  That regulatory section addresses allocation of responsibility between school districts when a student “lives with</w:t>
      </w:r>
      <w:r w:rsidR="00653895">
        <w:rPr>
          <w:rFonts w:ascii="Times New Roman" w:hAnsi="Times New Roman"/>
        </w:rPr>
        <w:t xml:space="preserve"> both of his or her parents….” </w:t>
      </w:r>
      <w:r w:rsidRPr="00B826DB">
        <w:rPr>
          <w:rFonts w:ascii="Times New Roman" w:hAnsi="Times New Roman"/>
        </w:rPr>
        <w:t xml:space="preserve">  Student Q. did not live with both of her parents.</w:t>
      </w:r>
    </w:p>
    <w:p w:rsidR="00B826DB" w:rsidRPr="00B826DB" w:rsidRDefault="00B826DB"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DESE’s Corrected Assignment, issued on January 23, 2014 applies the proper section of the residency regulations to the facts presented to</w:t>
      </w:r>
      <w:r w:rsidR="00653895">
        <w:rPr>
          <w:rFonts w:ascii="Times New Roman" w:hAnsi="Times New Roman"/>
        </w:rPr>
        <w:t xml:space="preserve"> it by Amesbury:  603 CMR 28.10(2</w:t>
      </w:r>
      <w:proofErr w:type="gramStart"/>
      <w:r w:rsidR="00653895">
        <w:rPr>
          <w:rFonts w:ascii="Times New Roman" w:hAnsi="Times New Roman"/>
        </w:rPr>
        <w:t>)</w:t>
      </w:r>
      <w:r w:rsidRPr="00B826DB">
        <w:rPr>
          <w:rFonts w:ascii="Times New Roman" w:hAnsi="Times New Roman"/>
        </w:rPr>
        <w:t>(</w:t>
      </w:r>
      <w:proofErr w:type="gramEnd"/>
      <w:r w:rsidRPr="00B826DB">
        <w:rPr>
          <w:rFonts w:ascii="Times New Roman" w:hAnsi="Times New Roman"/>
        </w:rPr>
        <w:t xml:space="preserve">a). </w:t>
      </w:r>
    </w:p>
    <w:p w:rsidR="00563068" w:rsidRPr="00B826DB" w:rsidRDefault="00563068" w:rsidP="00B826DB">
      <w:pPr>
        <w:pStyle w:val="NoSpacing"/>
        <w:rPr>
          <w:rFonts w:ascii="Times New Roman" w:hAnsi="Times New Roman"/>
        </w:rPr>
      </w:pPr>
      <w:r w:rsidRPr="00B826DB">
        <w:rPr>
          <w:rFonts w:ascii="Times New Roman" w:hAnsi="Times New Roman"/>
        </w:rPr>
        <w:t xml:space="preserve"> (A-3)</w:t>
      </w:r>
      <w:r w:rsidRPr="00B826DB">
        <w:rPr>
          <w:rFonts w:ascii="Times New Roman" w:hAnsi="Times New Roman"/>
        </w:rPr>
        <w:tab/>
        <w:t>Cons</w:t>
      </w:r>
      <w:r w:rsidR="00B826DB">
        <w:rPr>
          <w:rFonts w:ascii="Times New Roman" w:hAnsi="Times New Roman"/>
        </w:rPr>
        <w:t xml:space="preserve">istent with M.G.L. c 71B §3 and </w:t>
      </w:r>
      <w:r w:rsidRPr="00B826DB">
        <w:rPr>
          <w:rFonts w:ascii="Times New Roman" w:hAnsi="Times New Roman"/>
          <w:i/>
        </w:rPr>
        <w:t>Walker</w:t>
      </w:r>
      <w:r w:rsidRPr="00B826DB">
        <w:rPr>
          <w:rFonts w:ascii="Times New Roman" w:hAnsi="Times New Roman"/>
        </w:rPr>
        <w:t>,</w:t>
      </w:r>
      <w:r w:rsidR="00B826DB">
        <w:rPr>
          <w:rFonts w:ascii="Times New Roman" w:hAnsi="Times New Roman"/>
        </w:rPr>
        <w:t xml:space="preserve"> </w:t>
      </w:r>
      <w:r w:rsidRPr="00B826DB">
        <w:rPr>
          <w:rFonts w:ascii="Times New Roman" w:hAnsi="Times New Roman"/>
          <w:i/>
        </w:rPr>
        <w:t>supra</w:t>
      </w:r>
      <w:r w:rsidRPr="00B826DB">
        <w:rPr>
          <w:rFonts w:ascii="Times New Roman" w:hAnsi="Times New Roman"/>
        </w:rPr>
        <w:t>, that section makes it plain that it is the student’s residence that determines the school district responsible for her special education program when the student actually lives with her parent, as she does here.  There being no evidence to the contrary, DESE’s determination that Student Q. lives with her moth</w:t>
      </w:r>
      <w:r w:rsidR="00B826DB">
        <w:rPr>
          <w:rFonts w:ascii="Times New Roman" w:hAnsi="Times New Roman"/>
        </w:rPr>
        <w:t xml:space="preserve">er in Amesbury and, therefore, </w:t>
      </w:r>
      <w:r w:rsidR="00653895">
        <w:rPr>
          <w:rFonts w:ascii="Times New Roman" w:hAnsi="Times New Roman"/>
        </w:rPr>
        <w:t>pursuant to 603 CMR 28.10(2</w:t>
      </w:r>
      <w:proofErr w:type="gramStart"/>
      <w:r w:rsidR="00653895">
        <w:rPr>
          <w:rFonts w:ascii="Times New Roman" w:hAnsi="Times New Roman"/>
        </w:rPr>
        <w:t>)</w:t>
      </w:r>
      <w:r w:rsidRPr="00B826DB">
        <w:rPr>
          <w:rFonts w:ascii="Times New Roman" w:hAnsi="Times New Roman"/>
        </w:rPr>
        <w:t>(</w:t>
      </w:r>
      <w:proofErr w:type="gramEnd"/>
      <w:r w:rsidRPr="00B826DB">
        <w:rPr>
          <w:rFonts w:ascii="Times New Roman" w:hAnsi="Times New Roman"/>
        </w:rPr>
        <w:t>a), that Amesbury is programmatically and fiscally responsible for her out-of-district special education program is confirmed.</w:t>
      </w:r>
    </w:p>
    <w:p w:rsidR="00563068" w:rsidRPr="00B826DB" w:rsidRDefault="00563068" w:rsidP="00B826DB">
      <w:pPr>
        <w:pStyle w:val="NoSpacing"/>
        <w:rPr>
          <w:rFonts w:ascii="Times New Roman" w:hAnsi="Times New Roman"/>
        </w:rPr>
      </w:pPr>
    </w:p>
    <w:p w:rsidR="00563068" w:rsidRDefault="00563068" w:rsidP="00B826DB">
      <w:pPr>
        <w:pStyle w:val="NoSpacing"/>
        <w:rPr>
          <w:rFonts w:ascii="Times New Roman" w:hAnsi="Times New Roman"/>
          <w:u w:val="single"/>
        </w:rPr>
      </w:pPr>
    </w:p>
    <w:p w:rsidR="00B826DB" w:rsidRPr="00B826DB" w:rsidRDefault="00B826DB"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C45D31" w:rsidRDefault="00C45D31" w:rsidP="00B826DB">
      <w:pPr>
        <w:pStyle w:val="NoSpacing"/>
        <w:rPr>
          <w:rFonts w:ascii="Times New Roman" w:hAnsi="Times New Roman"/>
          <w:u w:val="single"/>
        </w:rPr>
      </w:pPr>
    </w:p>
    <w:p w:rsidR="00563068" w:rsidRPr="00B826DB" w:rsidRDefault="00563068" w:rsidP="00B826DB">
      <w:pPr>
        <w:pStyle w:val="NoSpacing"/>
        <w:rPr>
          <w:rFonts w:ascii="Times New Roman" w:hAnsi="Times New Roman"/>
          <w:u w:val="single"/>
        </w:rPr>
      </w:pPr>
      <w:r w:rsidRPr="00B826DB">
        <w:rPr>
          <w:rFonts w:ascii="Times New Roman" w:hAnsi="Times New Roman"/>
          <w:u w:val="single"/>
        </w:rPr>
        <w:lastRenderedPageBreak/>
        <w:t>ORDER</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t>The Motion of the Amesbury Public Schools for Summary Judgment in its favor is DENIED.  The Corrected LEA Assignment issued by the DESE on January 23, 2014 is confirmed.</w:t>
      </w:r>
    </w:p>
    <w:p w:rsidR="00563068" w:rsidRPr="00B826DB" w:rsidRDefault="00563068" w:rsidP="00B826DB">
      <w:pPr>
        <w:pStyle w:val="NoSpacing"/>
        <w:rPr>
          <w:rFonts w:ascii="Times New Roman" w:hAnsi="Times New Roman"/>
        </w:rPr>
      </w:pPr>
      <w:r w:rsidRPr="00B826DB">
        <w:rPr>
          <w:rFonts w:ascii="Times New Roman" w:hAnsi="Times New Roman"/>
        </w:rPr>
        <w:tab/>
      </w:r>
    </w:p>
    <w:p w:rsidR="00563068" w:rsidRPr="00B826DB" w:rsidRDefault="00563068" w:rsidP="00B826DB">
      <w:pPr>
        <w:pStyle w:val="NoSpacing"/>
        <w:rPr>
          <w:rFonts w:ascii="Times New Roman" w:hAnsi="Times New Roman"/>
        </w:rPr>
      </w:pPr>
    </w:p>
    <w:p w:rsidR="00B826DB" w:rsidRDefault="00B826DB" w:rsidP="00B826DB">
      <w:pPr>
        <w:pStyle w:val="NoSpacing"/>
        <w:rPr>
          <w:rFonts w:ascii="Times New Roman" w:hAnsi="Times New Roman"/>
        </w:rPr>
      </w:pPr>
    </w:p>
    <w:p w:rsidR="00B826DB" w:rsidRDefault="00B826DB" w:rsidP="00B826DB">
      <w:pPr>
        <w:pStyle w:val="NoSpacing"/>
        <w:rPr>
          <w:rFonts w:ascii="Times New Roman" w:hAnsi="Times New Roman"/>
        </w:rPr>
      </w:pPr>
    </w:p>
    <w:p w:rsidR="00B826DB" w:rsidRDefault="00B826DB" w:rsidP="00B826DB">
      <w:pPr>
        <w:pStyle w:val="NoSpacing"/>
        <w:rPr>
          <w:rFonts w:ascii="Times New Roman" w:hAnsi="Times New Roman"/>
        </w:rPr>
      </w:pPr>
    </w:p>
    <w:p w:rsidR="00C45D31" w:rsidRDefault="00C45D31" w:rsidP="00B826DB">
      <w:pPr>
        <w:pStyle w:val="NoSpacing"/>
        <w:rPr>
          <w:rFonts w:ascii="Times New Roman" w:hAnsi="Times New Roman"/>
        </w:rPr>
      </w:pPr>
    </w:p>
    <w:p w:rsidR="00C45D31" w:rsidRDefault="00C45D31" w:rsidP="00B826DB">
      <w:pPr>
        <w:pStyle w:val="NoSpacing"/>
        <w:rPr>
          <w:rFonts w:ascii="Times New Roman" w:hAnsi="Times New Roman"/>
        </w:rPr>
      </w:pPr>
    </w:p>
    <w:p w:rsidR="00C45D31" w:rsidRDefault="00C45D31" w:rsidP="00B826DB">
      <w:pPr>
        <w:pStyle w:val="NoSpacing"/>
        <w:rPr>
          <w:rFonts w:ascii="Times New Roman" w:hAnsi="Times New Roman"/>
        </w:rPr>
      </w:pPr>
    </w:p>
    <w:p w:rsidR="00B826DB" w:rsidRDefault="00B826DB"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r>
      <w:r w:rsidRPr="00B826DB">
        <w:rPr>
          <w:rFonts w:ascii="Times New Roman" w:hAnsi="Times New Roman"/>
        </w:rPr>
        <w:tab/>
      </w:r>
      <w:r w:rsidRPr="00B826DB">
        <w:rPr>
          <w:rFonts w:ascii="Times New Roman" w:hAnsi="Times New Roman"/>
        </w:rPr>
        <w:tab/>
      </w:r>
      <w:r w:rsidRPr="00B826DB">
        <w:rPr>
          <w:rFonts w:ascii="Times New Roman" w:hAnsi="Times New Roman"/>
        </w:rPr>
        <w:tab/>
      </w:r>
      <w:r w:rsidRPr="00B826DB">
        <w:rPr>
          <w:rFonts w:ascii="Times New Roman" w:hAnsi="Times New Roman"/>
        </w:rPr>
        <w:tab/>
      </w:r>
    </w:p>
    <w:p w:rsidR="00563068" w:rsidRPr="00B826DB" w:rsidRDefault="00563068" w:rsidP="00B826DB">
      <w:pPr>
        <w:pStyle w:val="NoSpacing"/>
        <w:rPr>
          <w:rFonts w:ascii="Times New Roman" w:hAnsi="Times New Roman"/>
        </w:rPr>
      </w:pPr>
    </w:p>
    <w:p w:rsidR="00B826DB" w:rsidRDefault="00B826DB" w:rsidP="00B826DB">
      <w:pPr>
        <w:pStyle w:val="NoSpacing"/>
        <w:rPr>
          <w:rFonts w:ascii="Times New Roman" w:hAnsi="Times New Roman"/>
        </w:rPr>
      </w:pPr>
      <w:r>
        <w:rPr>
          <w:rFonts w:ascii="Times New Roman" w:hAnsi="Times New Roman"/>
        </w:rPr>
        <w:t>By the Hearing Officer</w:t>
      </w:r>
    </w:p>
    <w:p w:rsidR="00B826DB" w:rsidRDefault="00B826DB" w:rsidP="00B826DB">
      <w:pPr>
        <w:pStyle w:val="NoSpacing"/>
        <w:rPr>
          <w:rFonts w:ascii="Times New Roman" w:hAnsi="Times New Roman"/>
        </w:rPr>
      </w:pPr>
    </w:p>
    <w:p w:rsidR="00B826DB" w:rsidRDefault="00B826DB" w:rsidP="00B826DB">
      <w:pPr>
        <w:pStyle w:val="NoSpacing"/>
        <w:rPr>
          <w:rFonts w:ascii="Times New Roman" w:hAnsi="Times New Roman"/>
        </w:rPr>
      </w:pPr>
    </w:p>
    <w:p w:rsidR="00B826DB" w:rsidRDefault="00B826DB" w:rsidP="00B826DB">
      <w:pPr>
        <w:pStyle w:val="NoSpacing"/>
        <w:rPr>
          <w:rFonts w:ascii="Times New Roman" w:hAnsi="Times New Roman"/>
        </w:rPr>
      </w:pPr>
      <w:r>
        <w:rPr>
          <w:rFonts w:ascii="Times New Roman" w:hAnsi="Times New Roman"/>
        </w:rPr>
        <w:t>_________________________</w:t>
      </w:r>
      <w:r w:rsidR="00563068" w:rsidRPr="00B826DB">
        <w:rPr>
          <w:rFonts w:ascii="Times New Roman" w:hAnsi="Times New Roman"/>
        </w:rPr>
        <w:tab/>
      </w:r>
      <w:r w:rsidR="00563068" w:rsidRPr="00B826DB">
        <w:rPr>
          <w:rFonts w:ascii="Times New Roman" w:hAnsi="Times New Roman"/>
        </w:rPr>
        <w:tab/>
      </w:r>
      <w:r w:rsidR="00563068" w:rsidRPr="00B826DB">
        <w:rPr>
          <w:rFonts w:ascii="Times New Roman" w:hAnsi="Times New Roman"/>
        </w:rPr>
        <w:tab/>
      </w:r>
      <w:r w:rsidR="00563068" w:rsidRPr="00B826DB">
        <w:rPr>
          <w:rFonts w:ascii="Times New Roman" w:hAnsi="Times New Roman"/>
        </w:rPr>
        <w:tab/>
      </w:r>
      <w:r w:rsidR="00563068" w:rsidRPr="00B826DB">
        <w:rPr>
          <w:rFonts w:ascii="Times New Roman" w:hAnsi="Times New Roman"/>
        </w:rPr>
        <w:tab/>
        <w:t xml:space="preserve"> </w:t>
      </w:r>
    </w:p>
    <w:p w:rsidR="00B826DB" w:rsidRDefault="00C45D31" w:rsidP="00B826DB">
      <w:pPr>
        <w:pStyle w:val="NoSpacing"/>
        <w:rPr>
          <w:rFonts w:ascii="Times New Roman" w:hAnsi="Times New Roman"/>
        </w:rPr>
      </w:pPr>
      <w:r>
        <w:rPr>
          <w:rFonts w:ascii="Times New Roman" w:hAnsi="Times New Roman"/>
        </w:rPr>
        <w:t>Dated:  October 17</w:t>
      </w:r>
      <w:r w:rsidR="00B826DB">
        <w:rPr>
          <w:rFonts w:ascii="Times New Roman" w:hAnsi="Times New Roman"/>
        </w:rPr>
        <w:t>, 2014</w:t>
      </w:r>
    </w:p>
    <w:p w:rsidR="00563068" w:rsidRPr="00B826DB" w:rsidRDefault="00563068" w:rsidP="00B826DB">
      <w:pPr>
        <w:pStyle w:val="NoSpacing"/>
        <w:rPr>
          <w:rFonts w:ascii="Times New Roman" w:eastAsia="Times New Roman" w:hAnsi="Times New Roman"/>
          <w:color w:val="333333"/>
        </w:rPr>
      </w:pPr>
      <w:r w:rsidRPr="00B826DB">
        <w:rPr>
          <w:rFonts w:ascii="Times New Roman" w:hAnsi="Times New Roman"/>
        </w:rPr>
        <w:t>Lindsay Byrne</w:t>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p>
    <w:p w:rsidR="00563068" w:rsidRPr="00B826DB" w:rsidRDefault="00563068" w:rsidP="00B826DB">
      <w:pPr>
        <w:pStyle w:val="NoSpacing"/>
        <w:rPr>
          <w:rFonts w:ascii="Times New Roman" w:hAnsi="Times New Roman"/>
        </w:rPr>
      </w:pPr>
      <w:r w:rsidRPr="00B826DB">
        <w:rPr>
          <w:rFonts w:ascii="Times New Roman" w:hAnsi="Times New Roman"/>
        </w:rPr>
        <w:tab/>
      </w:r>
      <w:r w:rsidRPr="00B826DB">
        <w:rPr>
          <w:rFonts w:ascii="Times New Roman" w:hAnsi="Times New Roman"/>
        </w:rPr>
        <w:tab/>
      </w:r>
      <w:r w:rsidRPr="00B826DB">
        <w:rPr>
          <w:rFonts w:ascii="Times New Roman" w:hAnsi="Times New Roman"/>
        </w:rPr>
        <w:tab/>
      </w:r>
    </w:p>
    <w:p w:rsidR="00563068" w:rsidRPr="00B826DB" w:rsidRDefault="00563068" w:rsidP="00B826DB">
      <w:pPr>
        <w:pStyle w:val="NoSpacing"/>
        <w:rPr>
          <w:rFonts w:ascii="Times New Roman" w:hAnsi="Times New Roman"/>
        </w:rPr>
      </w:pPr>
    </w:p>
    <w:p w:rsidR="00F45CC7" w:rsidRPr="00B826DB" w:rsidRDefault="00F45CC7" w:rsidP="00B826DB">
      <w:pPr>
        <w:pStyle w:val="NoSpacing"/>
        <w:rPr>
          <w:rFonts w:ascii="Times New Roman" w:hAnsi="Times New Roman"/>
        </w:rPr>
      </w:pPr>
    </w:p>
    <w:sectPr w:rsidR="00F45CC7" w:rsidRPr="00B826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EB" w:rsidRDefault="00670AEB" w:rsidP="00563068">
      <w:r>
        <w:separator/>
      </w:r>
    </w:p>
  </w:endnote>
  <w:endnote w:type="continuationSeparator" w:id="0">
    <w:p w:rsidR="00670AEB" w:rsidRDefault="00670AEB" w:rsidP="0056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811433"/>
      <w:docPartObj>
        <w:docPartGallery w:val="Page Numbers (Bottom of Page)"/>
        <w:docPartUnique/>
      </w:docPartObj>
    </w:sdtPr>
    <w:sdtEndPr>
      <w:rPr>
        <w:noProof/>
      </w:rPr>
    </w:sdtEndPr>
    <w:sdtContent>
      <w:p w:rsidR="00653895" w:rsidRDefault="00653895">
        <w:pPr>
          <w:pStyle w:val="Footer"/>
          <w:jc w:val="center"/>
        </w:pPr>
        <w:r>
          <w:fldChar w:fldCharType="begin"/>
        </w:r>
        <w:r>
          <w:instrText xml:space="preserve"> PAGE   \* MERGEFORMAT </w:instrText>
        </w:r>
        <w:r>
          <w:fldChar w:fldCharType="separate"/>
        </w:r>
        <w:r w:rsidR="00FD435B">
          <w:rPr>
            <w:noProof/>
          </w:rPr>
          <w:t>1</w:t>
        </w:r>
        <w:r>
          <w:rPr>
            <w:noProof/>
          </w:rPr>
          <w:fldChar w:fldCharType="end"/>
        </w:r>
      </w:p>
    </w:sdtContent>
  </w:sdt>
  <w:p w:rsidR="00653895" w:rsidRDefault="00653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EB" w:rsidRDefault="00670AEB" w:rsidP="00563068">
      <w:r>
        <w:separator/>
      </w:r>
    </w:p>
  </w:footnote>
  <w:footnote w:type="continuationSeparator" w:id="0">
    <w:p w:rsidR="00670AEB" w:rsidRDefault="00670AEB" w:rsidP="00563068">
      <w:r>
        <w:continuationSeparator/>
      </w:r>
    </w:p>
  </w:footnote>
  <w:footnote w:id="1">
    <w:p w:rsidR="00563068" w:rsidRDefault="00563068" w:rsidP="00563068">
      <w:pPr>
        <w:pStyle w:val="FootnoteText"/>
      </w:pPr>
      <w:r>
        <w:rPr>
          <w:rStyle w:val="FootnoteReference"/>
        </w:rPr>
        <w:footnoteRef/>
      </w:r>
      <w:r>
        <w:t xml:space="preserve"> “Student Q” is a pseudonym selected by the Hearing Officer to protect the privacy of the Student in documents available to the public.</w:t>
      </w:r>
    </w:p>
  </w:footnote>
  <w:footnote w:id="2">
    <w:p w:rsidR="00563068" w:rsidRDefault="00563068" w:rsidP="00563068">
      <w:pPr>
        <w:pStyle w:val="FootnoteText"/>
      </w:pPr>
      <w:r>
        <w:rPr>
          <w:rStyle w:val="FootnoteReference"/>
        </w:rPr>
        <w:footnoteRef/>
      </w:r>
      <w:r>
        <w:t xml:space="preserve"> That they do so poorly has been noted in many previous BSEA decisions and has created a mini-industry of LEA assignment appeals.</w:t>
      </w:r>
    </w:p>
    <w:p w:rsidR="00563068" w:rsidRDefault="00563068" w:rsidP="00563068">
      <w:pPr>
        <w:pStyle w:val="FootnoteText"/>
      </w:pPr>
    </w:p>
  </w:footnote>
  <w:footnote w:id="3">
    <w:p w:rsidR="00B57E67" w:rsidRDefault="00B57E67">
      <w:pPr>
        <w:pStyle w:val="FootnoteText"/>
      </w:pPr>
      <w:r>
        <w:rPr>
          <w:rStyle w:val="FootnoteReference"/>
        </w:rPr>
        <w:footnoteRef/>
      </w:r>
      <w:r>
        <w:t xml:space="preserve"> At best, the language Amesbury relies upon in the “parenting agreement” could be read to cover </w:t>
      </w:r>
      <w:r w:rsidR="00653895">
        <w:t xml:space="preserve">a </w:t>
      </w:r>
      <w:r>
        <w:t>visitation</w:t>
      </w:r>
      <w:r w:rsidR="00653895">
        <w:t xml:space="preserve"> arrangement.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68"/>
    <w:rsid w:val="00563068"/>
    <w:rsid w:val="00653895"/>
    <w:rsid w:val="00670AEB"/>
    <w:rsid w:val="00930D51"/>
    <w:rsid w:val="00940FD9"/>
    <w:rsid w:val="00A2123D"/>
    <w:rsid w:val="00A3149A"/>
    <w:rsid w:val="00B57E67"/>
    <w:rsid w:val="00B826DB"/>
    <w:rsid w:val="00C45D31"/>
    <w:rsid w:val="00E47E6F"/>
    <w:rsid w:val="00F45CC7"/>
    <w:rsid w:val="00F56D13"/>
    <w:rsid w:val="00FD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68"/>
    <w:rPr>
      <w:rFonts w:cs="Times New Roman"/>
      <w:sz w:val="24"/>
      <w:szCs w:val="24"/>
    </w:rPr>
  </w:style>
  <w:style w:type="paragraph" w:styleId="Heading1">
    <w:name w:val="heading 1"/>
    <w:basedOn w:val="Normal"/>
    <w:next w:val="Normal"/>
    <w:link w:val="Heading1Char"/>
    <w:qFormat/>
    <w:rsid w:val="00A3149A"/>
    <w:pPr>
      <w:keepNext/>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semiHidden/>
    <w:unhideWhenUsed/>
    <w:qFormat/>
    <w:rsid w:val="00A3149A"/>
    <w:pPr>
      <w:keepNext/>
      <w:spacing w:before="240" w:after="60"/>
      <w:outlineLvl w:val="1"/>
    </w:pPr>
    <w:rPr>
      <w:rFonts w:ascii="Arial" w:eastAsia="Times New Roman"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3068"/>
    <w:rPr>
      <w:sz w:val="20"/>
      <w:szCs w:val="20"/>
    </w:rPr>
  </w:style>
  <w:style w:type="character" w:customStyle="1" w:styleId="FootnoteTextChar">
    <w:name w:val="Footnote Text Char"/>
    <w:basedOn w:val="DefaultParagraphFont"/>
    <w:link w:val="FootnoteText"/>
    <w:uiPriority w:val="99"/>
    <w:semiHidden/>
    <w:rsid w:val="00563068"/>
    <w:rPr>
      <w:rFonts w:cs="Times New Roman"/>
      <w:sz w:val="20"/>
      <w:szCs w:val="20"/>
    </w:rPr>
  </w:style>
  <w:style w:type="character" w:styleId="FootnoteReference">
    <w:name w:val="footnote reference"/>
    <w:basedOn w:val="DefaultParagraphFont"/>
    <w:uiPriority w:val="99"/>
    <w:semiHidden/>
    <w:unhideWhenUsed/>
    <w:rsid w:val="00563068"/>
    <w:rPr>
      <w:vertAlign w:val="superscript"/>
    </w:rPr>
  </w:style>
  <w:style w:type="character" w:customStyle="1" w:styleId="Heading1Char">
    <w:name w:val="Heading 1 Char"/>
    <w:basedOn w:val="DefaultParagraphFont"/>
    <w:link w:val="Heading1"/>
    <w:rsid w:val="00A3149A"/>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A3149A"/>
    <w:rPr>
      <w:rFonts w:ascii="Arial" w:eastAsia="Times New Roman" w:hAnsi="Arial" w:cs="Times New Roman"/>
      <w:b/>
      <w:i/>
      <w:sz w:val="24"/>
      <w:szCs w:val="20"/>
    </w:rPr>
  </w:style>
  <w:style w:type="paragraph" w:styleId="NoSpacing">
    <w:name w:val="No Spacing"/>
    <w:uiPriority w:val="1"/>
    <w:qFormat/>
    <w:rsid w:val="00B826DB"/>
    <w:rPr>
      <w:rFonts w:cs="Times New Roman"/>
      <w:sz w:val="24"/>
      <w:szCs w:val="24"/>
    </w:rPr>
  </w:style>
  <w:style w:type="paragraph" w:styleId="Header">
    <w:name w:val="header"/>
    <w:basedOn w:val="Normal"/>
    <w:link w:val="HeaderChar"/>
    <w:uiPriority w:val="99"/>
    <w:unhideWhenUsed/>
    <w:rsid w:val="00653895"/>
    <w:pPr>
      <w:tabs>
        <w:tab w:val="center" w:pos="4680"/>
        <w:tab w:val="right" w:pos="9360"/>
      </w:tabs>
    </w:pPr>
  </w:style>
  <w:style w:type="character" w:customStyle="1" w:styleId="HeaderChar">
    <w:name w:val="Header Char"/>
    <w:basedOn w:val="DefaultParagraphFont"/>
    <w:link w:val="Header"/>
    <w:uiPriority w:val="99"/>
    <w:rsid w:val="00653895"/>
    <w:rPr>
      <w:rFonts w:cs="Times New Roman"/>
      <w:sz w:val="24"/>
      <w:szCs w:val="24"/>
    </w:rPr>
  </w:style>
  <w:style w:type="paragraph" w:styleId="Footer">
    <w:name w:val="footer"/>
    <w:basedOn w:val="Normal"/>
    <w:link w:val="FooterChar"/>
    <w:uiPriority w:val="99"/>
    <w:unhideWhenUsed/>
    <w:rsid w:val="00653895"/>
    <w:pPr>
      <w:tabs>
        <w:tab w:val="center" w:pos="4680"/>
        <w:tab w:val="right" w:pos="9360"/>
      </w:tabs>
    </w:pPr>
  </w:style>
  <w:style w:type="character" w:customStyle="1" w:styleId="FooterChar">
    <w:name w:val="Footer Char"/>
    <w:basedOn w:val="DefaultParagraphFont"/>
    <w:link w:val="Footer"/>
    <w:uiPriority w:val="99"/>
    <w:rsid w:val="00653895"/>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68"/>
    <w:rPr>
      <w:rFonts w:cs="Times New Roman"/>
      <w:sz w:val="24"/>
      <w:szCs w:val="24"/>
    </w:rPr>
  </w:style>
  <w:style w:type="paragraph" w:styleId="Heading1">
    <w:name w:val="heading 1"/>
    <w:basedOn w:val="Normal"/>
    <w:next w:val="Normal"/>
    <w:link w:val="Heading1Char"/>
    <w:qFormat/>
    <w:rsid w:val="00A3149A"/>
    <w:pPr>
      <w:keepNext/>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semiHidden/>
    <w:unhideWhenUsed/>
    <w:qFormat/>
    <w:rsid w:val="00A3149A"/>
    <w:pPr>
      <w:keepNext/>
      <w:spacing w:before="240" w:after="60"/>
      <w:outlineLvl w:val="1"/>
    </w:pPr>
    <w:rPr>
      <w:rFonts w:ascii="Arial" w:eastAsia="Times New Roman"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3068"/>
    <w:rPr>
      <w:sz w:val="20"/>
      <w:szCs w:val="20"/>
    </w:rPr>
  </w:style>
  <w:style w:type="character" w:customStyle="1" w:styleId="FootnoteTextChar">
    <w:name w:val="Footnote Text Char"/>
    <w:basedOn w:val="DefaultParagraphFont"/>
    <w:link w:val="FootnoteText"/>
    <w:uiPriority w:val="99"/>
    <w:semiHidden/>
    <w:rsid w:val="00563068"/>
    <w:rPr>
      <w:rFonts w:cs="Times New Roman"/>
      <w:sz w:val="20"/>
      <w:szCs w:val="20"/>
    </w:rPr>
  </w:style>
  <w:style w:type="character" w:styleId="FootnoteReference">
    <w:name w:val="footnote reference"/>
    <w:basedOn w:val="DefaultParagraphFont"/>
    <w:uiPriority w:val="99"/>
    <w:semiHidden/>
    <w:unhideWhenUsed/>
    <w:rsid w:val="00563068"/>
    <w:rPr>
      <w:vertAlign w:val="superscript"/>
    </w:rPr>
  </w:style>
  <w:style w:type="character" w:customStyle="1" w:styleId="Heading1Char">
    <w:name w:val="Heading 1 Char"/>
    <w:basedOn w:val="DefaultParagraphFont"/>
    <w:link w:val="Heading1"/>
    <w:rsid w:val="00A3149A"/>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A3149A"/>
    <w:rPr>
      <w:rFonts w:ascii="Arial" w:eastAsia="Times New Roman" w:hAnsi="Arial" w:cs="Times New Roman"/>
      <w:b/>
      <w:i/>
      <w:sz w:val="24"/>
      <w:szCs w:val="20"/>
    </w:rPr>
  </w:style>
  <w:style w:type="paragraph" w:styleId="NoSpacing">
    <w:name w:val="No Spacing"/>
    <w:uiPriority w:val="1"/>
    <w:qFormat/>
    <w:rsid w:val="00B826DB"/>
    <w:rPr>
      <w:rFonts w:cs="Times New Roman"/>
      <w:sz w:val="24"/>
      <w:szCs w:val="24"/>
    </w:rPr>
  </w:style>
  <w:style w:type="paragraph" w:styleId="Header">
    <w:name w:val="header"/>
    <w:basedOn w:val="Normal"/>
    <w:link w:val="HeaderChar"/>
    <w:uiPriority w:val="99"/>
    <w:unhideWhenUsed/>
    <w:rsid w:val="00653895"/>
    <w:pPr>
      <w:tabs>
        <w:tab w:val="center" w:pos="4680"/>
        <w:tab w:val="right" w:pos="9360"/>
      </w:tabs>
    </w:pPr>
  </w:style>
  <w:style w:type="character" w:customStyle="1" w:styleId="HeaderChar">
    <w:name w:val="Header Char"/>
    <w:basedOn w:val="DefaultParagraphFont"/>
    <w:link w:val="Header"/>
    <w:uiPriority w:val="99"/>
    <w:rsid w:val="00653895"/>
    <w:rPr>
      <w:rFonts w:cs="Times New Roman"/>
      <w:sz w:val="24"/>
      <w:szCs w:val="24"/>
    </w:rPr>
  </w:style>
  <w:style w:type="paragraph" w:styleId="Footer">
    <w:name w:val="footer"/>
    <w:basedOn w:val="Normal"/>
    <w:link w:val="FooterChar"/>
    <w:uiPriority w:val="99"/>
    <w:unhideWhenUsed/>
    <w:rsid w:val="00653895"/>
    <w:pPr>
      <w:tabs>
        <w:tab w:val="center" w:pos="4680"/>
        <w:tab w:val="right" w:pos="9360"/>
      </w:tabs>
    </w:pPr>
  </w:style>
  <w:style w:type="character" w:customStyle="1" w:styleId="FooterChar">
    <w:name w:val="Footer Char"/>
    <w:basedOn w:val="DefaultParagraphFont"/>
    <w:link w:val="Footer"/>
    <w:uiPriority w:val="99"/>
    <w:rsid w:val="0065389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53D3-16FA-4CB7-99E7-AF3815FE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8736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2014-10-28T14:37:00Z</dcterms:created>
  <dc:creator>ANF</dc:creator>
  <lastModifiedBy>ANF</lastModifiedBy>
  <dcterms:modified xsi:type="dcterms:W3CDTF">2014-10-28T14:37:00Z</dcterms:modified>
  <revision>2</revision>
</coreProperties>
</file>