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891CDB8" w14:textId="52FE216F" w:rsidR="00A94F63" w:rsidRPr="00331E3A"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CF7D60">
        <w:rPr>
          <w:rFonts w:ascii="Times New Roman" w:hAnsi="Times New Roman" w:cs="Times New Roman"/>
          <w:sz w:val="24"/>
          <w:szCs w:val="24"/>
        </w:rPr>
        <w:t>Beatrice and Charlie</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2C3362">
        <w:rPr>
          <w:rFonts w:ascii="Times New Roman" w:hAnsi="Times New Roman" w:cs="Times New Roman"/>
          <w:sz w:val="24"/>
          <w:szCs w:val="24"/>
        </w:rPr>
        <w:t>1502412</w:t>
      </w:r>
      <w:r w:rsidRPr="00331E3A">
        <w:rPr>
          <w:rFonts w:ascii="Times New Roman" w:hAnsi="Times New Roman" w:cs="Times New Roman"/>
          <w:sz w:val="24"/>
          <w:szCs w:val="24"/>
        </w:rPr>
        <w:t xml:space="preserve"> </w:t>
      </w:r>
    </w:p>
    <w:p w14:paraId="703EFBEF" w14:textId="55783E36" w:rsidR="007E6E45" w:rsidRDefault="00331E3A" w:rsidP="00A94F63">
      <w:pPr>
        <w:pStyle w:val="NoSpacing"/>
        <w:rPr>
          <w:rFonts w:ascii="Times New Roman" w:hAnsi="Times New Roman" w:cs="Times New Roman"/>
          <w:sz w:val="24"/>
          <w:szCs w:val="24"/>
        </w:rPr>
      </w:pPr>
      <w:r>
        <w:rPr>
          <w:rFonts w:ascii="Times New Roman" w:hAnsi="Times New Roman" w:cs="Times New Roman"/>
          <w:sz w:val="24"/>
          <w:szCs w:val="24"/>
        </w:rPr>
        <w:tab/>
      </w:r>
      <w:r w:rsidR="007E6E45" w:rsidRPr="00331E3A">
        <w:rPr>
          <w:rFonts w:ascii="Times New Roman" w:hAnsi="Times New Roman" w:cs="Times New Roman"/>
          <w:sz w:val="24"/>
          <w:szCs w:val="24"/>
        </w:rPr>
        <w:t xml:space="preserve"> </w:t>
      </w:r>
      <w:r w:rsidR="002C3362">
        <w:rPr>
          <w:rFonts w:ascii="Times New Roman" w:hAnsi="Times New Roman" w:cs="Times New Roman"/>
          <w:sz w:val="24"/>
          <w:szCs w:val="24"/>
        </w:rPr>
        <w:tab/>
      </w:r>
      <w:r w:rsidR="002C3362">
        <w:rPr>
          <w:rFonts w:ascii="Times New Roman" w:hAnsi="Times New Roman" w:cs="Times New Roman"/>
          <w:sz w:val="24"/>
          <w:szCs w:val="24"/>
        </w:rPr>
        <w:tab/>
      </w:r>
      <w:r w:rsidR="002C3362">
        <w:rPr>
          <w:rFonts w:ascii="Times New Roman" w:hAnsi="Times New Roman" w:cs="Times New Roman"/>
          <w:sz w:val="24"/>
          <w:szCs w:val="24"/>
        </w:rPr>
        <w:tab/>
      </w:r>
      <w:r w:rsidR="002C3362">
        <w:rPr>
          <w:rFonts w:ascii="Times New Roman" w:hAnsi="Times New Roman" w:cs="Times New Roman"/>
          <w:sz w:val="24"/>
          <w:szCs w:val="24"/>
        </w:rPr>
        <w:tab/>
      </w:r>
      <w:r w:rsidR="002C3362">
        <w:rPr>
          <w:rFonts w:ascii="Times New Roman" w:hAnsi="Times New Roman" w:cs="Times New Roman"/>
          <w:sz w:val="24"/>
          <w:szCs w:val="24"/>
        </w:rPr>
        <w:tab/>
      </w:r>
      <w:r w:rsidR="002C3362">
        <w:rPr>
          <w:rFonts w:ascii="Times New Roman" w:hAnsi="Times New Roman" w:cs="Times New Roman"/>
          <w:sz w:val="24"/>
          <w:szCs w:val="24"/>
        </w:rPr>
        <w:tab/>
      </w:r>
      <w:r w:rsidR="002C3362">
        <w:rPr>
          <w:rFonts w:ascii="Times New Roman" w:hAnsi="Times New Roman" w:cs="Times New Roman"/>
          <w:sz w:val="24"/>
          <w:szCs w:val="24"/>
        </w:rPr>
        <w:tab/>
      </w:r>
      <w:r w:rsidR="002C3362" w:rsidRPr="00331E3A">
        <w:rPr>
          <w:rFonts w:ascii="Times New Roman" w:hAnsi="Times New Roman" w:cs="Times New Roman"/>
          <w:sz w:val="24"/>
          <w:szCs w:val="24"/>
        </w:rPr>
        <w:t>BSEA</w:t>
      </w:r>
      <w:r w:rsidR="002C3362" w:rsidRPr="00331E3A">
        <w:rPr>
          <w:rFonts w:ascii="Times New Roman" w:hAnsi="Times New Roman" w:cs="Times New Roman"/>
          <w:b/>
          <w:sz w:val="24"/>
          <w:szCs w:val="24"/>
        </w:rPr>
        <w:t xml:space="preserve"> #</w:t>
      </w:r>
      <w:r w:rsidR="002C3362">
        <w:rPr>
          <w:rFonts w:ascii="Times New Roman" w:hAnsi="Times New Roman" w:cs="Times New Roman"/>
          <w:sz w:val="24"/>
          <w:szCs w:val="24"/>
        </w:rPr>
        <w:t>1502413</w:t>
      </w:r>
    </w:p>
    <w:p w14:paraId="416186AC" w14:textId="77777777" w:rsidR="002C3362" w:rsidRPr="00331E3A" w:rsidRDefault="002C3362" w:rsidP="00A94F63">
      <w:pPr>
        <w:pStyle w:val="NoSpacing"/>
        <w:rPr>
          <w:rFonts w:ascii="Times New Roman" w:hAnsi="Times New Roman" w:cs="Times New Roman"/>
          <w:sz w:val="24"/>
          <w:szCs w:val="24"/>
        </w:rPr>
      </w:pP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217AD212"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2C3362">
        <w:rPr>
          <w:rFonts w:ascii="Times New Roman" w:hAnsi="Times New Roman" w:cs="Times New Roman"/>
          <w:b/>
          <w:sz w:val="24"/>
          <w:szCs w:val="24"/>
          <w:u w:val="single"/>
        </w:rPr>
        <w:t>SCHOOL DISTRICT’S MOTION TO DISMISS</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714CDC08" w14:textId="4767E511" w:rsidR="00331E3A" w:rsidRP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 xml:space="preserve">This matter comes before the Hearing Officer on the Motion of the </w:t>
      </w:r>
      <w:r w:rsidR="002C3362">
        <w:rPr>
          <w:rFonts w:ascii="Times New Roman" w:hAnsi="Times New Roman" w:cs="Times New Roman"/>
          <w:sz w:val="24"/>
          <w:szCs w:val="24"/>
        </w:rPr>
        <w:t>Winthrop Public Schools</w:t>
      </w:r>
      <w:r w:rsidRPr="00331E3A">
        <w:rPr>
          <w:rFonts w:ascii="Times New Roman" w:hAnsi="Times New Roman" w:cs="Times New Roman"/>
          <w:sz w:val="24"/>
          <w:szCs w:val="24"/>
        </w:rPr>
        <w:t xml:space="preserve"> (hereinafter </w:t>
      </w:r>
      <w:r w:rsidR="002C3362">
        <w:rPr>
          <w:rFonts w:ascii="Times New Roman" w:hAnsi="Times New Roman" w:cs="Times New Roman"/>
          <w:sz w:val="24"/>
          <w:szCs w:val="24"/>
        </w:rPr>
        <w:t>“the District</w:t>
      </w:r>
      <w:r w:rsidRPr="00331E3A">
        <w:rPr>
          <w:rFonts w:ascii="Times New Roman" w:hAnsi="Times New Roman" w:cs="Times New Roman"/>
          <w:sz w:val="24"/>
          <w:szCs w:val="24"/>
        </w:rPr>
        <w:t>”) to Dismiss</w:t>
      </w:r>
      <w:r w:rsidR="002C3362">
        <w:rPr>
          <w:rFonts w:ascii="Times New Roman" w:hAnsi="Times New Roman" w:cs="Times New Roman"/>
          <w:sz w:val="24"/>
          <w:szCs w:val="24"/>
        </w:rPr>
        <w:t xml:space="preserve"> the Hearing Request filed by the Parent.  The Motion to Dismiss was filed on October 20</w:t>
      </w:r>
      <w:r w:rsidRPr="00331E3A">
        <w:rPr>
          <w:rFonts w:ascii="Times New Roman" w:hAnsi="Times New Roman" w:cs="Times New Roman"/>
          <w:sz w:val="24"/>
          <w:szCs w:val="24"/>
        </w:rPr>
        <w:t xml:space="preserve">, 2014.  </w:t>
      </w:r>
      <w:r w:rsidR="00976D70">
        <w:rPr>
          <w:rFonts w:ascii="Times New Roman" w:hAnsi="Times New Roman" w:cs="Times New Roman"/>
          <w:sz w:val="24"/>
          <w:szCs w:val="24"/>
        </w:rPr>
        <w:t xml:space="preserve">The Parents </w:t>
      </w:r>
      <w:r w:rsidR="002C3362">
        <w:rPr>
          <w:rFonts w:ascii="Times New Roman" w:hAnsi="Times New Roman" w:cs="Times New Roman"/>
          <w:sz w:val="24"/>
          <w:szCs w:val="24"/>
        </w:rPr>
        <w:t xml:space="preserve">filed an Opposition to the </w:t>
      </w:r>
      <w:proofErr w:type="gramStart"/>
      <w:r w:rsidR="002C3362">
        <w:rPr>
          <w:rFonts w:ascii="Times New Roman" w:hAnsi="Times New Roman" w:cs="Times New Roman"/>
          <w:sz w:val="24"/>
          <w:szCs w:val="24"/>
        </w:rPr>
        <w:t>Motion  on</w:t>
      </w:r>
      <w:proofErr w:type="gramEnd"/>
      <w:r w:rsidR="002C3362">
        <w:rPr>
          <w:rFonts w:ascii="Times New Roman" w:hAnsi="Times New Roman" w:cs="Times New Roman"/>
          <w:sz w:val="24"/>
          <w:szCs w:val="24"/>
        </w:rPr>
        <w:t xml:space="preserve"> October 27, 2014.  </w:t>
      </w:r>
      <w:r w:rsidRPr="00331E3A">
        <w:rPr>
          <w:rFonts w:ascii="Times New Roman" w:hAnsi="Times New Roman" w:cs="Times New Roman"/>
          <w:sz w:val="24"/>
          <w:szCs w:val="24"/>
        </w:rPr>
        <w:t>The Hearing Officer</w:t>
      </w:r>
      <w:r>
        <w:rPr>
          <w:rFonts w:ascii="Times New Roman" w:hAnsi="Times New Roman" w:cs="Times New Roman"/>
          <w:sz w:val="24"/>
          <w:szCs w:val="24"/>
        </w:rPr>
        <w:t xml:space="preserve"> </w:t>
      </w:r>
      <w:r w:rsidRPr="00331E3A">
        <w:rPr>
          <w:rFonts w:ascii="Times New Roman" w:hAnsi="Times New Roman" w:cs="Times New Roman"/>
          <w:sz w:val="24"/>
          <w:szCs w:val="24"/>
        </w:rPr>
        <w:t xml:space="preserve">took additional arguments during a telephonic </w:t>
      </w:r>
      <w:r w:rsidR="002C3362">
        <w:rPr>
          <w:rFonts w:ascii="Times New Roman" w:hAnsi="Times New Roman" w:cs="Times New Roman"/>
          <w:sz w:val="24"/>
          <w:szCs w:val="24"/>
        </w:rPr>
        <w:t>motion session held on November 13</w:t>
      </w:r>
      <w:r>
        <w:rPr>
          <w:rFonts w:ascii="Times New Roman" w:hAnsi="Times New Roman" w:cs="Times New Roman"/>
          <w:sz w:val="24"/>
          <w:szCs w:val="24"/>
        </w:rPr>
        <w:t>, 2</w:t>
      </w:r>
      <w:r w:rsidRPr="00331E3A">
        <w:rPr>
          <w:rFonts w:ascii="Times New Roman" w:hAnsi="Times New Roman" w:cs="Times New Roman"/>
          <w:sz w:val="24"/>
          <w:szCs w:val="24"/>
        </w:rPr>
        <w:t>014.</w:t>
      </w:r>
      <w:r>
        <w:rPr>
          <w:rFonts w:ascii="Times New Roman" w:hAnsi="Times New Roman" w:cs="Times New Roman"/>
          <w:sz w:val="24"/>
          <w:szCs w:val="24"/>
        </w:rPr>
        <w:t xml:space="preserve">  For th</w:t>
      </w:r>
      <w:r w:rsidR="002C3362">
        <w:rPr>
          <w:rFonts w:ascii="Times New Roman" w:hAnsi="Times New Roman" w:cs="Times New Roman"/>
          <w:sz w:val="24"/>
          <w:szCs w:val="24"/>
        </w:rPr>
        <w:t>e reasons set forth below, the District’s</w:t>
      </w:r>
      <w:r>
        <w:rPr>
          <w:rFonts w:ascii="Times New Roman" w:hAnsi="Times New Roman" w:cs="Times New Roman"/>
          <w:sz w:val="24"/>
          <w:szCs w:val="24"/>
        </w:rPr>
        <w:t xml:space="preserve"> Motion</w:t>
      </w:r>
      <w:r w:rsidR="002C3362">
        <w:rPr>
          <w:rFonts w:ascii="Times New Roman" w:hAnsi="Times New Roman" w:cs="Times New Roman"/>
          <w:sz w:val="24"/>
          <w:szCs w:val="24"/>
        </w:rPr>
        <w:t xml:space="preserve"> to Dismiss</w:t>
      </w:r>
      <w:r>
        <w:rPr>
          <w:rFonts w:ascii="Times New Roman" w:hAnsi="Times New Roman" w:cs="Times New Roman"/>
          <w:sz w:val="24"/>
          <w:szCs w:val="24"/>
        </w:rPr>
        <w:t xml:space="preserve"> is hereby </w:t>
      </w:r>
      <w:r w:rsidR="004003D9">
        <w:rPr>
          <w:rFonts w:ascii="Times New Roman" w:hAnsi="Times New Roman" w:cs="Times New Roman"/>
          <w:sz w:val="24"/>
          <w:szCs w:val="24"/>
        </w:rPr>
        <w:t>GRANTED</w:t>
      </w:r>
      <w:r>
        <w:rPr>
          <w:rFonts w:ascii="Times New Roman" w:hAnsi="Times New Roman" w:cs="Times New Roman"/>
          <w:sz w:val="24"/>
          <w:szCs w:val="24"/>
        </w:rPr>
        <w:t>.</w:t>
      </w:r>
      <w:r w:rsidR="004003D9">
        <w:rPr>
          <w:rFonts w:ascii="Times New Roman" w:hAnsi="Times New Roman" w:cs="Times New Roman"/>
          <w:sz w:val="24"/>
          <w:szCs w:val="24"/>
        </w:rPr>
        <w:t xml:space="preserve">  </w:t>
      </w:r>
    </w:p>
    <w:p w14:paraId="2CA20B1B" w14:textId="77777777" w:rsidR="00331E3A" w:rsidRPr="00331E3A" w:rsidRDefault="00331E3A" w:rsidP="00331E3A">
      <w:pPr>
        <w:pStyle w:val="NoSpacing"/>
        <w:rPr>
          <w:rFonts w:ascii="Times New Roman" w:hAnsi="Times New Roman" w:cs="Times New Roman"/>
          <w:sz w:val="24"/>
          <w:szCs w:val="24"/>
          <w:u w:val="single"/>
        </w:rPr>
      </w:pPr>
    </w:p>
    <w:p w14:paraId="72F35908" w14:textId="7D23ADCD" w:rsidR="00331E3A" w:rsidRPr="00331E3A" w:rsidRDefault="00331E3A" w:rsidP="00331E3A">
      <w:pPr>
        <w:pStyle w:val="NoSpacing"/>
        <w:rPr>
          <w:rFonts w:ascii="Times New Roman" w:hAnsi="Times New Roman" w:cs="Times New Roman"/>
          <w:sz w:val="24"/>
          <w:szCs w:val="24"/>
        </w:rPr>
      </w:pPr>
    </w:p>
    <w:p w14:paraId="7CAB89E7" w14:textId="7E02C1CC" w:rsidR="00331E3A" w:rsidRPr="00331E3A" w:rsidRDefault="000173EF"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FACTUAL BACKGROUND AND </w:t>
      </w:r>
      <w:r w:rsidR="002C3362">
        <w:rPr>
          <w:rFonts w:ascii="Times New Roman" w:hAnsi="Times New Roman" w:cs="Times New Roman"/>
          <w:sz w:val="24"/>
          <w:szCs w:val="24"/>
          <w:u w:val="single"/>
        </w:rPr>
        <w:t>PROCEDURAL HISTORY</w:t>
      </w:r>
    </w:p>
    <w:p w14:paraId="5BD668D0" w14:textId="77777777" w:rsidR="00331E3A" w:rsidRPr="00331E3A" w:rsidRDefault="00331E3A" w:rsidP="00331E3A">
      <w:pPr>
        <w:pStyle w:val="NoSpacing"/>
        <w:rPr>
          <w:rFonts w:ascii="Times New Roman" w:hAnsi="Times New Roman" w:cs="Times New Roman"/>
          <w:sz w:val="24"/>
          <w:szCs w:val="24"/>
        </w:rPr>
      </w:pPr>
    </w:p>
    <w:p w14:paraId="4B7FE42E" w14:textId="669BE020"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906D08">
        <w:rPr>
          <w:rFonts w:ascii="Times New Roman" w:hAnsi="Times New Roman" w:cs="Times New Roman"/>
          <w:sz w:val="24"/>
          <w:szCs w:val="24"/>
        </w:rPr>
        <w:t xml:space="preserve">On September 19, 2014, the Parent of Beatrice and the Parent of Charlie filed two separate Hearing Requests with the Bureau of Special Education Appeals (“BSEA”) against the Winthrop Public Schools alleging that their children had suffered at school due to the District’s negligent and intentional actions and inactions with regard to a teacher </w:t>
      </w:r>
      <w:r w:rsidR="000173EF">
        <w:rPr>
          <w:rFonts w:ascii="Times New Roman" w:hAnsi="Times New Roman" w:cs="Times New Roman"/>
          <w:sz w:val="24"/>
          <w:szCs w:val="24"/>
        </w:rPr>
        <w:t xml:space="preserve">at the Arthur T. Cummings School </w:t>
      </w:r>
      <w:r w:rsidR="00906D08">
        <w:rPr>
          <w:rFonts w:ascii="Times New Roman" w:hAnsi="Times New Roman" w:cs="Times New Roman"/>
          <w:sz w:val="24"/>
          <w:szCs w:val="24"/>
        </w:rPr>
        <w:t xml:space="preserve">who allegedly abused, neglected, and assaulted Beatrice and Charlie.  </w:t>
      </w:r>
      <w:r w:rsidR="000173EF">
        <w:rPr>
          <w:rFonts w:ascii="Times New Roman" w:hAnsi="Times New Roman" w:cs="Times New Roman"/>
          <w:sz w:val="24"/>
          <w:szCs w:val="24"/>
        </w:rPr>
        <w:t xml:space="preserve">Beatrice was described as having been diagnosed with Autism Spectrum Disorder, anxiety and seizure disorder.  Charlie was described as having been diagnosed with Autism Spectrum Disorder.  </w:t>
      </w:r>
      <w:r w:rsidR="00906D08">
        <w:rPr>
          <w:rFonts w:ascii="Times New Roman" w:hAnsi="Times New Roman" w:cs="Times New Roman"/>
          <w:sz w:val="24"/>
          <w:szCs w:val="24"/>
        </w:rPr>
        <w:t>In each Hearing Request, Parents requested that the matters be assigned to the same hearing officer and joined to the other.</w:t>
      </w:r>
      <w:r w:rsidR="00E2215D">
        <w:rPr>
          <w:rStyle w:val="FootnoteReference"/>
          <w:rFonts w:ascii="Times New Roman" w:hAnsi="Times New Roman" w:cs="Times New Roman"/>
          <w:sz w:val="24"/>
          <w:szCs w:val="24"/>
        </w:rPr>
        <w:footnoteReference w:id="2"/>
      </w:r>
    </w:p>
    <w:p w14:paraId="15E3A81A" w14:textId="77777777" w:rsidR="00E2215D" w:rsidRDefault="00E2215D" w:rsidP="00331E3A">
      <w:pPr>
        <w:pStyle w:val="NoSpacing"/>
        <w:rPr>
          <w:rFonts w:ascii="Times New Roman" w:hAnsi="Times New Roman" w:cs="Times New Roman"/>
          <w:sz w:val="24"/>
          <w:szCs w:val="24"/>
        </w:rPr>
      </w:pPr>
    </w:p>
    <w:p w14:paraId="2F1FEEDE" w14:textId="54518019" w:rsidR="00E2215D" w:rsidRDefault="00E2215D" w:rsidP="00331E3A">
      <w:pPr>
        <w:pStyle w:val="NoSpacing"/>
        <w:rPr>
          <w:rFonts w:ascii="Times New Roman" w:hAnsi="Times New Roman" w:cs="Times New Roman"/>
          <w:sz w:val="24"/>
          <w:szCs w:val="24"/>
        </w:rPr>
      </w:pPr>
      <w:r>
        <w:rPr>
          <w:rFonts w:ascii="Times New Roman" w:hAnsi="Times New Roman" w:cs="Times New Roman"/>
          <w:sz w:val="24"/>
          <w:szCs w:val="24"/>
        </w:rPr>
        <w:tab/>
        <w:t>The Hearing Requests filed by Beatrice</w:t>
      </w:r>
      <w:r w:rsidR="00614A92">
        <w:rPr>
          <w:rFonts w:ascii="Times New Roman" w:hAnsi="Times New Roman" w:cs="Times New Roman"/>
          <w:sz w:val="24"/>
          <w:szCs w:val="24"/>
        </w:rPr>
        <w:t>’s</w:t>
      </w:r>
      <w:r>
        <w:rPr>
          <w:rFonts w:ascii="Times New Roman" w:hAnsi="Times New Roman" w:cs="Times New Roman"/>
          <w:sz w:val="24"/>
          <w:szCs w:val="24"/>
        </w:rPr>
        <w:t xml:space="preserve"> and Charlie’s parents both sought “an order finding them entitled to recover damages for violation of [their child]’s due process rights and 42 U.S.C. §</w:t>
      </w:r>
      <w:r w:rsidR="00BA4DAD">
        <w:rPr>
          <w:rFonts w:ascii="Times New Roman" w:hAnsi="Times New Roman" w:cs="Times New Roman"/>
          <w:sz w:val="24"/>
          <w:szCs w:val="24"/>
        </w:rPr>
        <w:t xml:space="preserve"> 1983</w:t>
      </w:r>
      <w:r>
        <w:rPr>
          <w:rFonts w:ascii="Times New Roman" w:hAnsi="Times New Roman" w:cs="Times New Roman"/>
          <w:sz w:val="24"/>
          <w:szCs w:val="24"/>
        </w:rPr>
        <w:t>, 42 U.S.C. §§ 12131-12165, Title IX, 20 U.S.C. § 1681, the Massachusetts Civil Rights Act, Mass. Gen. L. c. 12 § 11(I), and for Winthrop’s negligence, and loss of consortium based on Winthrop’s knowing and willful failure to take adequate steps to ensure [the child]’s safety stemming from the assaults.”  Separate hearings and different hearing officers were initially assigned to the matters.</w:t>
      </w:r>
    </w:p>
    <w:p w14:paraId="17733771" w14:textId="77777777" w:rsidR="00E2215D" w:rsidRDefault="00E2215D" w:rsidP="00331E3A">
      <w:pPr>
        <w:pStyle w:val="NoSpacing"/>
        <w:rPr>
          <w:rFonts w:ascii="Times New Roman" w:hAnsi="Times New Roman" w:cs="Times New Roman"/>
          <w:sz w:val="24"/>
          <w:szCs w:val="24"/>
        </w:rPr>
      </w:pPr>
    </w:p>
    <w:p w14:paraId="07DFDEE7" w14:textId="448BDA85" w:rsidR="00C235D9" w:rsidRDefault="00E2215D" w:rsidP="00331E3A">
      <w:pPr>
        <w:pStyle w:val="NoSpacing"/>
        <w:rPr>
          <w:rFonts w:ascii="Times New Roman" w:hAnsi="Times New Roman" w:cs="Times New Roman"/>
          <w:sz w:val="24"/>
          <w:szCs w:val="24"/>
        </w:rPr>
      </w:pPr>
      <w:r>
        <w:rPr>
          <w:rFonts w:ascii="Times New Roman" w:hAnsi="Times New Roman" w:cs="Times New Roman"/>
          <w:sz w:val="24"/>
          <w:szCs w:val="24"/>
        </w:rPr>
        <w:tab/>
        <w:t xml:space="preserve">On October 1, 2014, the parties filed a </w:t>
      </w:r>
      <w:r w:rsidR="00614A92">
        <w:rPr>
          <w:rFonts w:ascii="Times New Roman" w:hAnsi="Times New Roman" w:cs="Times New Roman"/>
          <w:sz w:val="24"/>
          <w:szCs w:val="24"/>
        </w:rPr>
        <w:t>joint request that the initial</w:t>
      </w:r>
      <w:r>
        <w:rPr>
          <w:rFonts w:ascii="Times New Roman" w:hAnsi="Times New Roman" w:cs="Times New Roman"/>
          <w:sz w:val="24"/>
          <w:szCs w:val="24"/>
        </w:rPr>
        <w:t xml:space="preserve"> hearing date be postponed and that the District be allowed additional time to file its Response to the Hearing Request. Also on October 1, 2014, the District indicated in writing that it did not object to </w:t>
      </w:r>
      <w:r>
        <w:rPr>
          <w:rFonts w:ascii="Times New Roman" w:hAnsi="Times New Roman" w:cs="Times New Roman"/>
          <w:sz w:val="24"/>
          <w:szCs w:val="24"/>
        </w:rPr>
        <w:lastRenderedPageBreak/>
        <w:t>Parents’ Moti</w:t>
      </w:r>
      <w:r w:rsidR="00C235D9">
        <w:rPr>
          <w:rFonts w:ascii="Times New Roman" w:hAnsi="Times New Roman" w:cs="Times New Roman"/>
          <w:sz w:val="24"/>
          <w:szCs w:val="24"/>
        </w:rPr>
        <w:t xml:space="preserve">on to </w:t>
      </w:r>
      <w:proofErr w:type="gramStart"/>
      <w:r w:rsidR="00C235D9">
        <w:rPr>
          <w:rFonts w:ascii="Times New Roman" w:hAnsi="Times New Roman" w:cs="Times New Roman"/>
          <w:sz w:val="24"/>
          <w:szCs w:val="24"/>
        </w:rPr>
        <w:t>Consolidate</w:t>
      </w:r>
      <w:proofErr w:type="gramEnd"/>
      <w:r w:rsidR="00C235D9">
        <w:rPr>
          <w:rFonts w:ascii="Times New Roman" w:hAnsi="Times New Roman" w:cs="Times New Roman"/>
          <w:sz w:val="24"/>
          <w:szCs w:val="24"/>
        </w:rPr>
        <w:t xml:space="preserve"> the two cases.  On October 2, 2014, the first two requests were allowed by Hearing Officer Amy </w:t>
      </w:r>
      <w:proofErr w:type="spellStart"/>
      <w:r w:rsidR="00C235D9">
        <w:rPr>
          <w:rFonts w:ascii="Times New Roman" w:hAnsi="Times New Roman" w:cs="Times New Roman"/>
          <w:sz w:val="24"/>
          <w:szCs w:val="24"/>
        </w:rPr>
        <w:t>Reichbach</w:t>
      </w:r>
      <w:proofErr w:type="spellEnd"/>
      <w:r w:rsidR="00C235D9">
        <w:rPr>
          <w:rFonts w:ascii="Times New Roman" w:hAnsi="Times New Roman" w:cs="Times New Roman"/>
          <w:sz w:val="24"/>
          <w:szCs w:val="24"/>
        </w:rPr>
        <w:t xml:space="preserve"> in the case involving Beatrice.  On October 22, 2014 the cases were consolidated and on October 29, 2014, the case involving Charlie was reassigned to Hearing Officer </w:t>
      </w:r>
      <w:proofErr w:type="spellStart"/>
      <w:r w:rsidR="00C235D9">
        <w:rPr>
          <w:rFonts w:ascii="Times New Roman" w:hAnsi="Times New Roman" w:cs="Times New Roman"/>
          <w:sz w:val="24"/>
          <w:szCs w:val="24"/>
        </w:rPr>
        <w:t>Reichbach</w:t>
      </w:r>
      <w:proofErr w:type="spellEnd"/>
      <w:r w:rsidR="00C235D9">
        <w:rPr>
          <w:rFonts w:ascii="Times New Roman" w:hAnsi="Times New Roman" w:cs="Times New Roman"/>
          <w:sz w:val="24"/>
          <w:szCs w:val="24"/>
        </w:rPr>
        <w:t>.</w:t>
      </w:r>
    </w:p>
    <w:p w14:paraId="705BCC88" w14:textId="77777777" w:rsidR="00C235D9" w:rsidRDefault="00C235D9" w:rsidP="00331E3A">
      <w:pPr>
        <w:pStyle w:val="NoSpacing"/>
        <w:rPr>
          <w:rFonts w:ascii="Times New Roman" w:hAnsi="Times New Roman" w:cs="Times New Roman"/>
          <w:sz w:val="24"/>
          <w:szCs w:val="24"/>
        </w:rPr>
      </w:pPr>
    </w:p>
    <w:p w14:paraId="0CC26F27" w14:textId="75C7463C" w:rsidR="00C235D9" w:rsidRDefault="00C235D9" w:rsidP="00331E3A">
      <w:pPr>
        <w:pStyle w:val="NoSpacing"/>
        <w:rPr>
          <w:rFonts w:ascii="Times New Roman" w:hAnsi="Times New Roman" w:cs="Times New Roman"/>
          <w:sz w:val="24"/>
          <w:szCs w:val="24"/>
        </w:rPr>
      </w:pPr>
      <w:r>
        <w:rPr>
          <w:rFonts w:ascii="Times New Roman" w:hAnsi="Times New Roman" w:cs="Times New Roman"/>
          <w:sz w:val="24"/>
          <w:szCs w:val="24"/>
        </w:rPr>
        <w:tab/>
        <w:t>As discussed above, the District filed a Motion to Dismiss</w:t>
      </w:r>
      <w:r w:rsidR="004003D9">
        <w:rPr>
          <w:rFonts w:ascii="Times New Roman" w:hAnsi="Times New Roman" w:cs="Times New Roman"/>
          <w:sz w:val="24"/>
          <w:szCs w:val="24"/>
        </w:rPr>
        <w:t>,</w:t>
      </w:r>
      <w:r w:rsidR="00BA4DAD">
        <w:rPr>
          <w:rStyle w:val="FootnoteReference"/>
          <w:rFonts w:ascii="Times New Roman" w:hAnsi="Times New Roman" w:cs="Times New Roman"/>
          <w:sz w:val="24"/>
          <w:szCs w:val="24"/>
        </w:rPr>
        <w:footnoteReference w:id="3"/>
      </w:r>
      <w:r w:rsidR="000173EF">
        <w:rPr>
          <w:rFonts w:ascii="Times New Roman" w:hAnsi="Times New Roman" w:cs="Times New Roman"/>
          <w:sz w:val="24"/>
          <w:szCs w:val="24"/>
        </w:rPr>
        <w:t xml:space="preserve"> which the Parents opposed.  This ruling follows a telephonic motion session during which the parties, through their attorneys, were given the opportunity to supplement their Motion and Opposition, respectively.</w:t>
      </w:r>
    </w:p>
    <w:p w14:paraId="3FAE6A36" w14:textId="77777777" w:rsidR="00331E3A" w:rsidRPr="008E61AB" w:rsidRDefault="00331E3A" w:rsidP="00331E3A">
      <w:pPr>
        <w:pStyle w:val="NoSpacing"/>
        <w:rPr>
          <w:rFonts w:ascii="Times New Roman" w:hAnsi="Times New Roman"/>
        </w:rPr>
      </w:pPr>
    </w:p>
    <w:p w14:paraId="3518B69A" w14:textId="77777777" w:rsidR="00331E3A" w:rsidRDefault="00331E3A" w:rsidP="00331E3A">
      <w:pPr>
        <w:pStyle w:val="NoSpacing"/>
        <w:rPr>
          <w:rFonts w:ascii="Times New Roman" w:hAnsi="Times New Roman" w:cs="Times New Roman"/>
          <w:sz w:val="24"/>
          <w:szCs w:val="24"/>
        </w:rPr>
      </w:pPr>
    </w:p>
    <w:p w14:paraId="5CCF8EAD" w14:textId="77777777" w:rsidR="00331E3A" w:rsidRDefault="00331E3A" w:rsidP="00331E3A">
      <w:pPr>
        <w:pStyle w:val="NoSpacing"/>
        <w:rPr>
          <w:rFonts w:ascii="Times New Roman" w:hAnsi="Times New Roman" w:cs="Times New Roman"/>
          <w:sz w:val="24"/>
          <w:szCs w:val="24"/>
        </w:rPr>
      </w:pPr>
    </w:p>
    <w:p w14:paraId="496FFAF3" w14:textId="0709D9EB" w:rsidR="00331E3A" w:rsidRPr="00331E3A" w:rsidRDefault="000173EF"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67FB1DC2" w14:textId="77777777" w:rsidR="00331E3A" w:rsidRPr="00025D32" w:rsidRDefault="00331E3A" w:rsidP="00331E3A">
      <w:pPr>
        <w:pStyle w:val="NoSpacing"/>
        <w:rPr>
          <w:rFonts w:ascii="Times New Roman" w:hAnsi="Times New Roman" w:cs="Times New Roman"/>
          <w:sz w:val="24"/>
          <w:szCs w:val="24"/>
          <w:u w:val="single"/>
        </w:rPr>
      </w:pPr>
    </w:p>
    <w:p w14:paraId="7B1968F5" w14:textId="4FB96FE1" w:rsidR="000173EF" w:rsidRPr="00025D32" w:rsidRDefault="000173EF" w:rsidP="00025D32">
      <w:pPr>
        <w:pStyle w:val="ListParagraph"/>
        <w:numPr>
          <w:ilvl w:val="0"/>
          <w:numId w:val="8"/>
        </w:numPr>
        <w:rPr>
          <w:rFonts w:ascii="Times New Roman" w:hAnsi="Times New Roman" w:cs="Times New Roman"/>
          <w:sz w:val="24"/>
          <w:szCs w:val="24"/>
          <w:u w:val="single"/>
        </w:rPr>
      </w:pPr>
      <w:r w:rsidRPr="00025D32">
        <w:rPr>
          <w:rFonts w:ascii="Times New Roman" w:hAnsi="Times New Roman" w:cs="Times New Roman"/>
          <w:sz w:val="24"/>
          <w:szCs w:val="24"/>
          <w:u w:val="single"/>
        </w:rPr>
        <w:t>Standard for Ruling on Motion to Dismiss</w:t>
      </w:r>
    </w:p>
    <w:p w14:paraId="18DC746B" w14:textId="77777777" w:rsidR="000173EF" w:rsidRDefault="000173EF" w:rsidP="000173EF">
      <w:pPr>
        <w:ind w:firstLine="360"/>
        <w:rPr>
          <w:rFonts w:ascii="Times New Roman" w:hAnsi="Times New Roman" w:cs="Times New Roman"/>
          <w:sz w:val="24"/>
          <w:szCs w:val="24"/>
        </w:rPr>
      </w:pPr>
      <w:r w:rsidRPr="000173EF">
        <w:rPr>
          <w:rFonts w:ascii="Times New Roman" w:hAnsi="Times New Roman" w:cs="Times New Roman"/>
          <w:sz w:val="24"/>
          <w:szCs w:val="24"/>
        </w:rPr>
        <w:t xml:space="preserve">Pursuant to the </w:t>
      </w:r>
      <w:r w:rsidRPr="000173EF">
        <w:rPr>
          <w:rFonts w:ascii="Times New Roman" w:hAnsi="Times New Roman" w:cs="Times New Roman"/>
          <w:i/>
          <w:sz w:val="24"/>
          <w:szCs w:val="24"/>
        </w:rPr>
        <w:t>Standard Adjudicatory Rules of Practice and Procedure</w:t>
      </w:r>
      <w:r w:rsidRPr="000173EF">
        <w:rPr>
          <w:rFonts w:ascii="Times New Roman" w:hAnsi="Times New Roman" w:cs="Times New Roman"/>
          <w:sz w:val="24"/>
          <w:szCs w:val="24"/>
        </w:rPr>
        <w:t xml:space="preserve">, 801 CMR 1.01(7)(g)(3) and Rule 17B of the BSEA </w:t>
      </w:r>
      <w:r w:rsidRPr="000173EF">
        <w:rPr>
          <w:rFonts w:ascii="Times New Roman" w:hAnsi="Times New Roman" w:cs="Times New Roman"/>
          <w:i/>
          <w:sz w:val="24"/>
          <w:szCs w:val="24"/>
        </w:rPr>
        <w:t>Hearing Rules for Special Education Appeals</w:t>
      </w:r>
      <w:r w:rsidRPr="000173EF">
        <w:rPr>
          <w:rFonts w:ascii="Times New Roman" w:hAnsi="Times New Roman" w:cs="Times New Roman"/>
          <w:sz w:val="24"/>
          <w:szCs w:val="24"/>
        </w:rPr>
        <w:t>, a hearing officer may allow a motion to dismiss if the party requesting the appeal fails to state a claim on which relief can be granted.  This rule is analogous to Rule 12(b)(6) of the Federal Rules of Civil Procedure and as such hearing officers have generally used the same standards as the courts in deciding motions to dismiss for failure to state a claim.  Specifically, what is required to survive a motion to dismiss “are factual ‘allegations plausibly suggesting (not merely consistent with)’ an entitlement to relief.”</w:t>
      </w:r>
      <w:r w:rsidRPr="000173EF">
        <w:rPr>
          <w:rStyle w:val="FootnoteReference"/>
          <w:rFonts w:ascii="Times New Roman" w:hAnsi="Times New Roman" w:cs="Times New Roman"/>
          <w:sz w:val="24"/>
          <w:szCs w:val="24"/>
        </w:rPr>
        <w:footnoteReference w:id="4"/>
      </w:r>
      <w:r w:rsidRPr="000173EF">
        <w:rPr>
          <w:rFonts w:ascii="Times New Roman" w:hAnsi="Times New Roman" w:cs="Times New Roman"/>
          <w:sz w:val="24"/>
          <w:szCs w:val="24"/>
        </w:rPr>
        <w:t xml:space="preserve"> In evaluating the complaint, the hearing officer must take as true “the allegations of the complaint, as well as such inferences as may be drawn therefrom in the plaintiff’s favor.”</w:t>
      </w:r>
      <w:r w:rsidRPr="000173EF">
        <w:rPr>
          <w:rStyle w:val="FootnoteReference"/>
          <w:rFonts w:ascii="Times New Roman" w:hAnsi="Times New Roman" w:cs="Times New Roman"/>
          <w:sz w:val="24"/>
          <w:szCs w:val="24"/>
        </w:rPr>
        <w:footnoteReference w:id="5"/>
      </w:r>
      <w:r w:rsidRPr="000173EF">
        <w:rPr>
          <w:rFonts w:ascii="Times New Roman" w:hAnsi="Times New Roman" w:cs="Times New Roman"/>
          <w:sz w:val="24"/>
          <w:szCs w:val="24"/>
        </w:rPr>
        <w:t xml:space="preserve"> These “[f]actual allegations must be enough to raise a right to relief above the speculative level . . . [based] on the assumption that all the allegations in the complaint are true (even if doubtful in fact). . .”</w:t>
      </w:r>
      <w:r w:rsidRPr="000173EF">
        <w:rPr>
          <w:rStyle w:val="FootnoteReference"/>
          <w:rFonts w:ascii="Times New Roman" w:hAnsi="Times New Roman" w:cs="Times New Roman"/>
          <w:sz w:val="24"/>
          <w:szCs w:val="24"/>
        </w:rPr>
        <w:footnoteReference w:id="6"/>
      </w:r>
      <w:r w:rsidRPr="000173EF">
        <w:rPr>
          <w:rFonts w:ascii="Times New Roman" w:hAnsi="Times New Roman" w:cs="Times New Roman"/>
          <w:sz w:val="24"/>
          <w:szCs w:val="24"/>
        </w:rPr>
        <w:t xml:space="preserve"> </w:t>
      </w:r>
    </w:p>
    <w:p w14:paraId="784B5688" w14:textId="16C4C41B" w:rsidR="00025D32" w:rsidRDefault="00025D32" w:rsidP="000173EF">
      <w:pPr>
        <w:ind w:firstLine="360"/>
        <w:rPr>
          <w:rFonts w:ascii="Times New Roman" w:hAnsi="Times New Roman" w:cs="Times New Roman"/>
          <w:sz w:val="24"/>
          <w:szCs w:val="24"/>
        </w:rPr>
      </w:pPr>
      <w:r>
        <w:rPr>
          <w:rFonts w:ascii="Times New Roman" w:hAnsi="Times New Roman" w:cs="Times New Roman"/>
          <w:sz w:val="24"/>
          <w:szCs w:val="24"/>
        </w:rPr>
        <w:t>The basis of the District’s Motion to Dismiss is that Beatrice and Charlie have made no claims relative to the denial of a free, appropriate, public education and that the sole basis of both hearing requests is a common law torts claim for which they seek damages. As such, the District argues, the BSEA lacks jurisdiction over the matter.</w:t>
      </w:r>
    </w:p>
    <w:p w14:paraId="15A3F5FC" w14:textId="54F00F76" w:rsidR="00025D32" w:rsidRDefault="00025D32" w:rsidP="000173EF">
      <w:pPr>
        <w:ind w:firstLine="360"/>
        <w:rPr>
          <w:rFonts w:ascii="Times New Roman" w:hAnsi="Times New Roman" w:cs="Times New Roman"/>
          <w:sz w:val="24"/>
          <w:szCs w:val="24"/>
        </w:rPr>
      </w:pPr>
      <w:r>
        <w:rPr>
          <w:rFonts w:ascii="Times New Roman" w:hAnsi="Times New Roman" w:cs="Times New Roman"/>
          <w:sz w:val="24"/>
          <w:szCs w:val="24"/>
        </w:rPr>
        <w:t>The Parents</w:t>
      </w:r>
      <w:r w:rsidR="00BA4DAD">
        <w:rPr>
          <w:rFonts w:ascii="Times New Roman" w:hAnsi="Times New Roman" w:cs="Times New Roman"/>
          <w:sz w:val="24"/>
          <w:szCs w:val="24"/>
        </w:rPr>
        <w:t xml:space="preserve">’ Opposition to the Motion states that the BSEA must retain jurisdiction and make findings regarding the Parents’ claims because the First Circuit requires that they exhaust administrative remedies for </w:t>
      </w:r>
      <w:r w:rsidR="00774264">
        <w:rPr>
          <w:rFonts w:ascii="Times New Roman" w:hAnsi="Times New Roman" w:cs="Times New Roman"/>
          <w:sz w:val="24"/>
          <w:szCs w:val="24"/>
        </w:rPr>
        <w:t>Individuals with Disabilities Education Act (“</w:t>
      </w:r>
      <w:r w:rsidR="00BA4DAD">
        <w:rPr>
          <w:rFonts w:ascii="Times New Roman" w:hAnsi="Times New Roman" w:cs="Times New Roman"/>
          <w:sz w:val="24"/>
          <w:szCs w:val="24"/>
        </w:rPr>
        <w:t>IDEA</w:t>
      </w:r>
      <w:r w:rsidR="00774264">
        <w:rPr>
          <w:rFonts w:ascii="Times New Roman" w:hAnsi="Times New Roman" w:cs="Times New Roman"/>
          <w:sz w:val="24"/>
          <w:szCs w:val="24"/>
        </w:rPr>
        <w:t>”)</w:t>
      </w:r>
      <w:r w:rsidR="00BA4DAD">
        <w:rPr>
          <w:rFonts w:ascii="Times New Roman" w:hAnsi="Times New Roman" w:cs="Times New Roman"/>
          <w:sz w:val="24"/>
          <w:szCs w:val="24"/>
        </w:rPr>
        <w:t>-related claims prior to filing in federal court.</w:t>
      </w:r>
    </w:p>
    <w:p w14:paraId="5C89746E" w14:textId="44A125F2" w:rsidR="00BA4DAD" w:rsidRDefault="00BA4DAD" w:rsidP="000173EF">
      <w:pPr>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issue before the BSEA, therefore, is whether Beatrice and Charlie, who are seeking monetary damages as compensation for </w:t>
      </w:r>
      <w:r w:rsidR="000D3435">
        <w:rPr>
          <w:rFonts w:ascii="Times New Roman" w:hAnsi="Times New Roman" w:cs="Times New Roman"/>
          <w:sz w:val="24"/>
          <w:szCs w:val="24"/>
        </w:rPr>
        <w:t>“</w:t>
      </w:r>
      <w:r>
        <w:rPr>
          <w:rFonts w:ascii="Times New Roman" w:hAnsi="Times New Roman" w:cs="Times New Roman"/>
          <w:sz w:val="24"/>
          <w:szCs w:val="24"/>
        </w:rPr>
        <w:t>significant emotional injuries</w:t>
      </w:r>
      <w:r w:rsidR="000D3435">
        <w:rPr>
          <w:rFonts w:ascii="Times New Roman" w:hAnsi="Times New Roman" w:cs="Times New Roman"/>
          <w:sz w:val="24"/>
          <w:szCs w:val="24"/>
        </w:rPr>
        <w:t>”</w:t>
      </w:r>
      <w:r w:rsidR="000D3435">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and </w:t>
      </w:r>
      <w:r w:rsidR="000D3435">
        <w:rPr>
          <w:rFonts w:ascii="Times New Roman" w:hAnsi="Times New Roman" w:cs="Times New Roman"/>
          <w:sz w:val="24"/>
          <w:szCs w:val="24"/>
        </w:rPr>
        <w:t>“</w:t>
      </w:r>
      <w:r>
        <w:rPr>
          <w:rFonts w:ascii="Times New Roman" w:hAnsi="Times New Roman" w:cs="Times New Roman"/>
          <w:sz w:val="24"/>
          <w:szCs w:val="24"/>
        </w:rPr>
        <w:t>physica</w:t>
      </w:r>
      <w:r w:rsidR="000D3435">
        <w:rPr>
          <w:rFonts w:ascii="Times New Roman" w:hAnsi="Times New Roman" w:cs="Times New Roman"/>
          <w:sz w:val="24"/>
          <w:szCs w:val="24"/>
        </w:rPr>
        <w:t>l and severe emotional injuries,”</w:t>
      </w:r>
      <w:r w:rsidR="000D3435">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respectively, stemming from abuse and neglect by Winthrop school personnel, must exhaust the administrative dispute resolution procedures available to them under the IDEA, even though they explicitly state that they make “no claims pursuant to the Individuals with Disabilities Education Act (“IDEA”), 20 U.S.C.  § 1400 et seq.; Section 504 of the Rehabilitation Act, 29 U.S.C. § 794; M.G.L.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71B; or any of the regulations promulgated thereunder,” nor are they “seeking, through this action, any special education services from Winthrop.”</w:t>
      </w:r>
      <w:r>
        <w:rPr>
          <w:rStyle w:val="FootnoteReference"/>
          <w:rFonts w:ascii="Times New Roman" w:hAnsi="Times New Roman" w:cs="Times New Roman"/>
          <w:sz w:val="24"/>
          <w:szCs w:val="24"/>
        </w:rPr>
        <w:footnoteReference w:id="9"/>
      </w:r>
    </w:p>
    <w:p w14:paraId="19FE30B6" w14:textId="73080E7F" w:rsidR="00025D32" w:rsidRDefault="00025D32" w:rsidP="00025D32">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u w:val="single"/>
        </w:rPr>
        <w:t>Exhaustion</w:t>
      </w:r>
    </w:p>
    <w:p w14:paraId="00DC0E4D" w14:textId="0A3C7A21" w:rsidR="001450FB" w:rsidRPr="001450FB" w:rsidRDefault="00B8756E" w:rsidP="00D66A1F">
      <w:pPr>
        <w:ind w:firstLine="360"/>
        <w:rPr>
          <w:rFonts w:ascii="Times New Roman" w:hAnsi="Times New Roman" w:cs="Times New Roman"/>
          <w:sz w:val="24"/>
          <w:szCs w:val="24"/>
        </w:rPr>
      </w:pPr>
      <w:r>
        <w:rPr>
          <w:rFonts w:ascii="Times New Roman" w:hAnsi="Times New Roman" w:cs="Times New Roman"/>
          <w:sz w:val="24"/>
          <w:szCs w:val="24"/>
        </w:rPr>
        <w:t>Among other things t</w:t>
      </w:r>
      <w:r w:rsidR="001450FB">
        <w:rPr>
          <w:rFonts w:ascii="Times New Roman" w:hAnsi="Times New Roman" w:cs="Times New Roman"/>
          <w:sz w:val="24"/>
          <w:szCs w:val="24"/>
        </w:rPr>
        <w:t xml:space="preserve">he IDEA, 20 U.S.C. § 1400 </w:t>
      </w:r>
      <w:r w:rsidR="001450FB" w:rsidRPr="001450FB">
        <w:rPr>
          <w:rFonts w:ascii="Times New Roman" w:hAnsi="Times New Roman" w:cs="Times New Roman"/>
          <w:i/>
          <w:sz w:val="24"/>
          <w:szCs w:val="24"/>
        </w:rPr>
        <w:t>et seq</w:t>
      </w:r>
      <w:r w:rsidR="001450FB">
        <w:rPr>
          <w:rFonts w:ascii="Times New Roman" w:hAnsi="Times New Roman" w:cs="Times New Roman"/>
          <w:i/>
          <w:sz w:val="24"/>
          <w:szCs w:val="24"/>
        </w:rPr>
        <w:t>.</w:t>
      </w:r>
      <w:r w:rsidR="001450FB">
        <w:rPr>
          <w:rFonts w:ascii="Times New Roman" w:hAnsi="Times New Roman" w:cs="Times New Roman"/>
          <w:sz w:val="24"/>
          <w:szCs w:val="24"/>
        </w:rPr>
        <w:t xml:space="preserve">, </w:t>
      </w:r>
      <w:r>
        <w:rPr>
          <w:rFonts w:ascii="Times New Roman" w:hAnsi="Times New Roman" w:cs="Times New Roman"/>
          <w:sz w:val="24"/>
          <w:szCs w:val="24"/>
        </w:rPr>
        <w:t>provides parents with a formal complaint process with respect to “any matter relating to the identification, evaluation, or educational placement of the child, or the provision of a free appropriate public education to such child.” 20 U.S.C. § 1415(b</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6).  In Massachusetts, the BSEA is the administrative agency before which any impartial due process hearing regarding these issues takes place.  </w:t>
      </w:r>
      <w:proofErr w:type="gramStart"/>
      <w:r>
        <w:rPr>
          <w:rFonts w:ascii="Times New Roman" w:hAnsi="Times New Roman" w:cs="Times New Roman"/>
          <w:sz w:val="24"/>
          <w:szCs w:val="24"/>
        </w:rPr>
        <w:t xml:space="preserve">603 </w:t>
      </w:r>
      <w:r w:rsidR="000D3435">
        <w:rPr>
          <w:rFonts w:ascii="Times New Roman" w:hAnsi="Times New Roman" w:cs="Times New Roman"/>
          <w:sz w:val="24"/>
          <w:szCs w:val="24"/>
        </w:rPr>
        <w:t>CMR</w:t>
      </w:r>
      <w:r>
        <w:rPr>
          <w:rFonts w:ascii="Times New Roman" w:hAnsi="Times New Roman" w:cs="Times New Roman"/>
          <w:sz w:val="24"/>
          <w:szCs w:val="24"/>
        </w:rPr>
        <w:t xml:space="preserve"> 28.08.</w:t>
      </w:r>
      <w:proofErr w:type="gramEnd"/>
      <w:r>
        <w:rPr>
          <w:rFonts w:ascii="Times New Roman" w:hAnsi="Times New Roman" w:cs="Times New Roman"/>
          <w:sz w:val="24"/>
          <w:szCs w:val="24"/>
        </w:rPr>
        <w:t xml:space="preserve">  A party aggrieved by the result of the BSEA’s administrative process may file an appeal in state or federal court, but may not do so unless and until that party has exhausted all administrative procedures under the IDEA.  </w:t>
      </w:r>
      <w:proofErr w:type="gramStart"/>
      <w:r>
        <w:rPr>
          <w:rFonts w:ascii="Times New Roman" w:hAnsi="Times New Roman" w:cs="Times New Roman"/>
          <w:sz w:val="24"/>
          <w:szCs w:val="24"/>
        </w:rPr>
        <w:t>20 U.S.C. § 1415(l).</w:t>
      </w:r>
      <w:proofErr w:type="gramEnd"/>
      <w:r>
        <w:rPr>
          <w:rStyle w:val="FootnoteReference"/>
          <w:rFonts w:ascii="Times New Roman" w:hAnsi="Times New Roman" w:cs="Times New Roman"/>
          <w:sz w:val="24"/>
          <w:szCs w:val="24"/>
        </w:rPr>
        <w:footnoteReference w:id="10"/>
      </w:r>
    </w:p>
    <w:p w14:paraId="4347EBE2" w14:textId="5497A11A" w:rsidR="00774264" w:rsidRDefault="00342307" w:rsidP="00D66A1F">
      <w:pPr>
        <w:ind w:firstLine="360"/>
        <w:rPr>
          <w:rFonts w:ascii="Times New Roman" w:hAnsi="Times New Roman" w:cs="Times New Roman"/>
          <w:sz w:val="24"/>
          <w:szCs w:val="24"/>
        </w:rPr>
      </w:pPr>
      <w:r>
        <w:rPr>
          <w:rFonts w:ascii="Times New Roman" w:hAnsi="Times New Roman" w:cs="Times New Roman"/>
          <w:sz w:val="24"/>
          <w:szCs w:val="24"/>
        </w:rPr>
        <w:t>As a preliminary matter</w:t>
      </w:r>
      <w:r w:rsidR="00DE7DF8">
        <w:rPr>
          <w:rFonts w:ascii="Times New Roman" w:hAnsi="Times New Roman" w:cs="Times New Roman"/>
          <w:sz w:val="24"/>
          <w:szCs w:val="24"/>
        </w:rPr>
        <w:t>,</w:t>
      </w:r>
      <w:r w:rsidR="00774264">
        <w:rPr>
          <w:rFonts w:ascii="Times New Roman" w:hAnsi="Times New Roman" w:cs="Times New Roman"/>
          <w:sz w:val="24"/>
          <w:szCs w:val="24"/>
        </w:rPr>
        <w:t xml:space="preserve"> the BSEA is not deprived of jurisdiction</w:t>
      </w:r>
      <w:r w:rsidR="00FF79AC">
        <w:rPr>
          <w:rFonts w:ascii="Times New Roman" w:hAnsi="Times New Roman" w:cs="Times New Roman"/>
          <w:sz w:val="24"/>
          <w:szCs w:val="24"/>
        </w:rPr>
        <w:t xml:space="preserve"> by the fact that the claim is not based directly upon violations of the IDEA, nor</w:t>
      </w:r>
      <w:r w:rsidR="00774264">
        <w:rPr>
          <w:rFonts w:ascii="Times New Roman" w:hAnsi="Times New Roman" w:cs="Times New Roman"/>
          <w:sz w:val="24"/>
          <w:szCs w:val="24"/>
        </w:rPr>
        <w:t xml:space="preserve"> by the</w:t>
      </w:r>
      <w:r>
        <w:rPr>
          <w:rFonts w:ascii="Times New Roman" w:hAnsi="Times New Roman" w:cs="Times New Roman"/>
          <w:sz w:val="24"/>
          <w:szCs w:val="24"/>
        </w:rPr>
        <w:t xml:space="preserve"> </w:t>
      </w:r>
      <w:r w:rsidR="00DE7DF8">
        <w:rPr>
          <w:rFonts w:ascii="Times New Roman" w:hAnsi="Times New Roman" w:cs="Times New Roman"/>
          <w:sz w:val="24"/>
          <w:szCs w:val="24"/>
        </w:rPr>
        <w:t xml:space="preserve">fact that the relief </w:t>
      </w:r>
      <w:r>
        <w:rPr>
          <w:rFonts w:ascii="Times New Roman" w:hAnsi="Times New Roman" w:cs="Times New Roman"/>
          <w:sz w:val="24"/>
          <w:szCs w:val="24"/>
        </w:rPr>
        <w:t>the plaintiffs seek</w:t>
      </w:r>
      <w:r w:rsidR="00774264">
        <w:rPr>
          <w:rFonts w:ascii="Times New Roman" w:hAnsi="Times New Roman" w:cs="Times New Roman"/>
          <w:sz w:val="24"/>
          <w:szCs w:val="24"/>
        </w:rPr>
        <w:t xml:space="preserve"> </w:t>
      </w:r>
      <w:r w:rsidR="00DE7DF8">
        <w:rPr>
          <w:rFonts w:ascii="Times New Roman" w:hAnsi="Times New Roman" w:cs="Times New Roman"/>
          <w:sz w:val="24"/>
          <w:szCs w:val="24"/>
        </w:rPr>
        <w:t xml:space="preserve">cannot be awarded by the </w:t>
      </w:r>
      <w:r w:rsidR="00774264">
        <w:rPr>
          <w:rFonts w:ascii="Times New Roman" w:hAnsi="Times New Roman" w:cs="Times New Roman"/>
          <w:sz w:val="24"/>
          <w:szCs w:val="24"/>
        </w:rPr>
        <w:t>agency</w:t>
      </w:r>
      <w:r w:rsidR="00DE7DF8">
        <w:rPr>
          <w:rFonts w:ascii="Times New Roman" w:hAnsi="Times New Roman" w:cs="Times New Roman"/>
          <w:sz w:val="24"/>
          <w:szCs w:val="24"/>
        </w:rPr>
        <w:t xml:space="preserve">.  </w:t>
      </w:r>
      <w:r w:rsidR="00774264" w:rsidRPr="00774264">
        <w:rPr>
          <w:rFonts w:ascii="Times New Roman" w:hAnsi="Times New Roman" w:cs="Times New Roman"/>
          <w:sz w:val="24"/>
          <w:szCs w:val="24"/>
          <w:u w:val="single"/>
        </w:rPr>
        <w:t>See</w:t>
      </w:r>
      <w:r w:rsidR="00774264">
        <w:rPr>
          <w:rFonts w:ascii="Times New Roman" w:hAnsi="Times New Roman" w:cs="Times New Roman"/>
          <w:sz w:val="24"/>
          <w:szCs w:val="24"/>
        </w:rPr>
        <w:t xml:space="preserve"> </w:t>
      </w:r>
      <w:r w:rsidR="00DE7DF8">
        <w:rPr>
          <w:rFonts w:ascii="Times New Roman" w:hAnsi="Times New Roman" w:cs="Times New Roman"/>
          <w:i/>
          <w:sz w:val="24"/>
          <w:szCs w:val="24"/>
        </w:rPr>
        <w:t>Frazier v. Fairhaven Sch. Comm.</w:t>
      </w:r>
      <w:r w:rsidR="00774264">
        <w:rPr>
          <w:rFonts w:ascii="Times New Roman" w:hAnsi="Times New Roman" w:cs="Times New Roman"/>
          <w:sz w:val="24"/>
          <w:szCs w:val="24"/>
        </w:rPr>
        <w:t xml:space="preserve">, </w:t>
      </w:r>
      <w:proofErr w:type="gramStart"/>
      <w:r w:rsidR="00774264">
        <w:rPr>
          <w:rFonts w:ascii="Times New Roman" w:hAnsi="Times New Roman" w:cs="Times New Roman"/>
          <w:sz w:val="24"/>
          <w:szCs w:val="24"/>
        </w:rPr>
        <w:t xml:space="preserve">276 F.3d 52, </w:t>
      </w:r>
      <w:r w:rsidR="00FF79AC">
        <w:rPr>
          <w:rFonts w:ascii="Times New Roman" w:hAnsi="Times New Roman" w:cs="Times New Roman"/>
          <w:sz w:val="24"/>
          <w:szCs w:val="24"/>
        </w:rPr>
        <w:t xml:space="preserve">59, </w:t>
      </w:r>
      <w:r w:rsidR="00982AD4">
        <w:rPr>
          <w:rFonts w:ascii="Times New Roman" w:hAnsi="Times New Roman" w:cs="Times New Roman"/>
          <w:sz w:val="24"/>
          <w:szCs w:val="24"/>
        </w:rPr>
        <w:t>64</w:t>
      </w:r>
      <w:proofErr w:type="gramEnd"/>
      <w:r w:rsidR="00982AD4">
        <w:rPr>
          <w:rFonts w:ascii="Times New Roman" w:hAnsi="Times New Roman" w:cs="Times New Roman"/>
          <w:sz w:val="24"/>
          <w:szCs w:val="24"/>
        </w:rPr>
        <w:t xml:space="preserve"> </w:t>
      </w:r>
      <w:r w:rsidR="00DE7DF8">
        <w:rPr>
          <w:rFonts w:ascii="Times New Roman" w:hAnsi="Times New Roman" w:cs="Times New Roman"/>
          <w:sz w:val="24"/>
          <w:szCs w:val="24"/>
        </w:rPr>
        <w:t>(</w:t>
      </w:r>
      <w:r w:rsidR="00774264">
        <w:rPr>
          <w:rFonts w:ascii="Times New Roman" w:hAnsi="Times New Roman" w:cs="Times New Roman"/>
          <w:sz w:val="24"/>
          <w:szCs w:val="24"/>
        </w:rPr>
        <w:t>1st Cir. 2002)</w:t>
      </w:r>
      <w:r w:rsidR="00FF79AC">
        <w:rPr>
          <w:rFonts w:ascii="Times New Roman" w:hAnsi="Times New Roman" w:cs="Times New Roman"/>
          <w:sz w:val="24"/>
          <w:szCs w:val="24"/>
        </w:rPr>
        <w:t>.  The</w:t>
      </w:r>
      <w:r w:rsidR="00774264">
        <w:rPr>
          <w:rFonts w:ascii="Times New Roman" w:hAnsi="Times New Roman" w:cs="Times New Roman"/>
          <w:sz w:val="24"/>
          <w:szCs w:val="24"/>
        </w:rPr>
        <w:t>s</w:t>
      </w:r>
      <w:r w:rsidR="00FF79AC">
        <w:rPr>
          <w:rFonts w:ascii="Times New Roman" w:hAnsi="Times New Roman" w:cs="Times New Roman"/>
          <w:sz w:val="24"/>
          <w:szCs w:val="24"/>
        </w:rPr>
        <w:t>e</w:t>
      </w:r>
      <w:r w:rsidR="00774264">
        <w:rPr>
          <w:rFonts w:ascii="Times New Roman" w:hAnsi="Times New Roman" w:cs="Times New Roman"/>
          <w:sz w:val="24"/>
          <w:szCs w:val="24"/>
        </w:rPr>
        <w:t xml:space="preserve"> question</w:t>
      </w:r>
      <w:r w:rsidR="00FF79AC">
        <w:rPr>
          <w:rFonts w:ascii="Times New Roman" w:hAnsi="Times New Roman" w:cs="Times New Roman"/>
          <w:sz w:val="24"/>
          <w:szCs w:val="24"/>
        </w:rPr>
        <w:t>s were</w:t>
      </w:r>
      <w:r w:rsidR="00774264">
        <w:rPr>
          <w:rFonts w:ascii="Times New Roman" w:hAnsi="Times New Roman" w:cs="Times New Roman"/>
          <w:sz w:val="24"/>
          <w:szCs w:val="24"/>
        </w:rPr>
        <w:t xml:space="preserve"> resolved by the First Circuit more than a decade ago in a case involving, </w:t>
      </w:r>
      <w:r w:rsidR="00774264">
        <w:rPr>
          <w:rFonts w:ascii="Times New Roman" w:hAnsi="Times New Roman" w:cs="Times New Roman"/>
          <w:i/>
          <w:sz w:val="24"/>
          <w:szCs w:val="24"/>
        </w:rPr>
        <w:t>inter alia</w:t>
      </w:r>
      <w:r w:rsidR="00774264">
        <w:rPr>
          <w:rFonts w:ascii="Times New Roman" w:hAnsi="Times New Roman" w:cs="Times New Roman"/>
          <w:sz w:val="24"/>
          <w:szCs w:val="24"/>
        </w:rPr>
        <w:t xml:space="preserve">, a claim under 42 U.S.C.  § 1983 that a school district had frustrated a student’s right to a free and appropriate public education and was, therefore, liable for money damages. </w:t>
      </w:r>
      <w:proofErr w:type="gramStart"/>
      <w:r w:rsidR="00774264">
        <w:rPr>
          <w:rFonts w:ascii="Times New Roman" w:hAnsi="Times New Roman" w:cs="Times New Roman"/>
          <w:i/>
          <w:sz w:val="24"/>
          <w:szCs w:val="24"/>
        </w:rPr>
        <w:t>Id</w:t>
      </w:r>
      <w:r w:rsidR="00774264">
        <w:rPr>
          <w:rFonts w:ascii="Times New Roman" w:hAnsi="Times New Roman" w:cs="Times New Roman"/>
          <w:sz w:val="24"/>
          <w:szCs w:val="24"/>
        </w:rPr>
        <w:t>. at 57.</w:t>
      </w:r>
      <w:proofErr w:type="gramEnd"/>
      <w:r w:rsidR="00774264">
        <w:rPr>
          <w:rFonts w:ascii="Times New Roman" w:hAnsi="Times New Roman" w:cs="Times New Roman"/>
          <w:sz w:val="24"/>
          <w:szCs w:val="24"/>
        </w:rPr>
        <w:t xml:space="preserve">  Faced with arguments that the IDEA’</w:t>
      </w:r>
      <w:r w:rsidR="00D66A1F">
        <w:rPr>
          <w:rFonts w:ascii="Times New Roman" w:hAnsi="Times New Roman" w:cs="Times New Roman"/>
          <w:sz w:val="24"/>
          <w:szCs w:val="24"/>
        </w:rPr>
        <w:t>s exhaustion requirement</w:t>
      </w:r>
      <w:r w:rsidR="00D66A1F">
        <w:rPr>
          <w:rStyle w:val="FootnoteReference"/>
          <w:rFonts w:ascii="Times New Roman" w:hAnsi="Times New Roman" w:cs="Times New Roman"/>
          <w:sz w:val="24"/>
          <w:szCs w:val="24"/>
        </w:rPr>
        <w:footnoteReference w:id="11"/>
      </w:r>
      <w:r w:rsidR="00D66A1F">
        <w:rPr>
          <w:rFonts w:ascii="Times New Roman" w:hAnsi="Times New Roman" w:cs="Times New Roman"/>
          <w:sz w:val="24"/>
          <w:szCs w:val="24"/>
        </w:rPr>
        <w:t xml:space="preserve"> did not apply because </w:t>
      </w:r>
      <w:r w:rsidR="00774264">
        <w:rPr>
          <w:rFonts w:ascii="Times New Roman" w:hAnsi="Times New Roman" w:cs="Times New Roman"/>
          <w:sz w:val="24"/>
          <w:szCs w:val="24"/>
        </w:rPr>
        <w:t xml:space="preserve">the lawsuit had been brought pursuant to a statute </w:t>
      </w:r>
      <w:r w:rsidR="00D66A1F">
        <w:rPr>
          <w:rFonts w:ascii="Times New Roman" w:hAnsi="Times New Roman" w:cs="Times New Roman"/>
          <w:sz w:val="24"/>
          <w:szCs w:val="24"/>
        </w:rPr>
        <w:t xml:space="preserve">other than the IDEA and </w:t>
      </w:r>
      <w:r w:rsidR="00D66A1F">
        <w:rPr>
          <w:rFonts w:ascii="Times New Roman" w:hAnsi="Times New Roman" w:cs="Times New Roman"/>
          <w:sz w:val="24"/>
          <w:szCs w:val="24"/>
        </w:rPr>
        <w:lastRenderedPageBreak/>
        <w:t xml:space="preserve">because the relief sought, money damages, was not available under the IDEA, the First Circuit held otherwise, concluding that “plaintiffs who bring an IDEA-based claim . . . in which they seek only money damages, must exhaust the administrative process available under the IDEA.” </w:t>
      </w:r>
      <w:proofErr w:type="gramStart"/>
      <w:r w:rsidR="00D66A1F">
        <w:rPr>
          <w:rFonts w:ascii="Times New Roman" w:hAnsi="Times New Roman" w:cs="Times New Roman"/>
          <w:i/>
          <w:sz w:val="24"/>
          <w:szCs w:val="24"/>
        </w:rPr>
        <w:t>Id</w:t>
      </w:r>
      <w:r w:rsidR="00D66A1F">
        <w:rPr>
          <w:rFonts w:ascii="Times New Roman" w:hAnsi="Times New Roman" w:cs="Times New Roman"/>
          <w:sz w:val="24"/>
          <w:szCs w:val="24"/>
        </w:rPr>
        <w:t>. at 64.</w:t>
      </w:r>
      <w:proofErr w:type="gramEnd"/>
      <w:r w:rsidR="00D66A1F">
        <w:rPr>
          <w:rFonts w:ascii="Times New Roman" w:hAnsi="Times New Roman" w:cs="Times New Roman"/>
          <w:sz w:val="24"/>
          <w:szCs w:val="24"/>
        </w:rPr>
        <w:t xml:space="preserve">  </w:t>
      </w:r>
    </w:p>
    <w:p w14:paraId="3C90A198" w14:textId="153485CE" w:rsidR="00FF79AC" w:rsidRDefault="00774264" w:rsidP="00FF79AC">
      <w:pPr>
        <w:ind w:firstLine="360"/>
        <w:rPr>
          <w:rFonts w:ascii="Times New Roman" w:hAnsi="Times New Roman" w:cs="Times New Roman"/>
          <w:sz w:val="24"/>
          <w:szCs w:val="24"/>
        </w:rPr>
      </w:pPr>
      <w:r>
        <w:rPr>
          <w:rFonts w:ascii="Times New Roman" w:hAnsi="Times New Roman" w:cs="Times New Roman"/>
          <w:sz w:val="24"/>
          <w:szCs w:val="24"/>
        </w:rPr>
        <w:t>In so holding</w:t>
      </w:r>
      <w:r w:rsidR="00D66A1F">
        <w:rPr>
          <w:rFonts w:ascii="Times New Roman" w:hAnsi="Times New Roman" w:cs="Times New Roman"/>
          <w:sz w:val="24"/>
          <w:szCs w:val="24"/>
        </w:rPr>
        <w:t>, the Court</w:t>
      </w:r>
      <w:r w:rsidR="00147A9C">
        <w:rPr>
          <w:rFonts w:ascii="Times New Roman" w:hAnsi="Times New Roman" w:cs="Times New Roman"/>
          <w:sz w:val="24"/>
          <w:szCs w:val="24"/>
        </w:rPr>
        <w:t xml:space="preserve"> discussed the rationale behind the exhaustion requirement.  First, exhaustion “enables the [educational] agency to develop a factual record, to apply its expertise to the problem, to exercise its discretion, and to correct its own mistakes, and is credited with promoting accuracy, efficiency, agency autonomy, and judicial economy.” </w:t>
      </w:r>
      <w:r w:rsidR="00D66A1F">
        <w:rPr>
          <w:rFonts w:ascii="Times New Roman" w:hAnsi="Times New Roman" w:cs="Times New Roman"/>
          <w:i/>
          <w:sz w:val="24"/>
          <w:szCs w:val="24"/>
        </w:rPr>
        <w:t>Frazier</w:t>
      </w:r>
      <w:r w:rsidR="00D66A1F">
        <w:rPr>
          <w:rFonts w:ascii="Times New Roman" w:hAnsi="Times New Roman" w:cs="Times New Roman"/>
          <w:sz w:val="24"/>
          <w:szCs w:val="24"/>
        </w:rPr>
        <w:t xml:space="preserve">, </w:t>
      </w:r>
      <w:r w:rsidR="00147A9C">
        <w:rPr>
          <w:rFonts w:ascii="Times New Roman" w:hAnsi="Times New Roman" w:cs="Times New Roman"/>
          <w:sz w:val="24"/>
          <w:szCs w:val="24"/>
        </w:rPr>
        <w:t xml:space="preserve">276 F.3d at 60 (quoting </w:t>
      </w:r>
      <w:r w:rsidR="00147A9C">
        <w:rPr>
          <w:rFonts w:ascii="Times New Roman" w:hAnsi="Times New Roman" w:cs="Times New Roman"/>
          <w:i/>
          <w:sz w:val="24"/>
          <w:szCs w:val="24"/>
        </w:rPr>
        <w:t>Christopher W</w:t>
      </w:r>
      <w:r w:rsidR="00117CA4">
        <w:rPr>
          <w:rFonts w:ascii="Times New Roman" w:hAnsi="Times New Roman" w:cs="Times New Roman"/>
          <w:i/>
          <w:sz w:val="24"/>
          <w:szCs w:val="24"/>
        </w:rPr>
        <w:t>.</w:t>
      </w:r>
      <w:r w:rsidR="00147A9C">
        <w:rPr>
          <w:rFonts w:ascii="Times New Roman" w:hAnsi="Times New Roman" w:cs="Times New Roman"/>
          <w:i/>
          <w:sz w:val="24"/>
          <w:szCs w:val="24"/>
        </w:rPr>
        <w:t xml:space="preserve"> v. </w:t>
      </w:r>
      <w:r w:rsidR="00DE7DF8">
        <w:rPr>
          <w:rFonts w:ascii="Times New Roman" w:hAnsi="Times New Roman" w:cs="Times New Roman"/>
          <w:i/>
          <w:sz w:val="24"/>
          <w:szCs w:val="24"/>
        </w:rPr>
        <w:t>Portsmouth Sch. Comm.</w:t>
      </w:r>
      <w:r w:rsidR="00DE7DF8">
        <w:rPr>
          <w:rFonts w:ascii="Times New Roman" w:hAnsi="Times New Roman" w:cs="Times New Roman"/>
          <w:sz w:val="24"/>
          <w:szCs w:val="24"/>
        </w:rPr>
        <w:t>, 877 F.2d 1089, 1094 (1</w:t>
      </w:r>
      <w:r w:rsidR="00DE7DF8" w:rsidRPr="00DE7DF8">
        <w:rPr>
          <w:rFonts w:ascii="Times New Roman" w:hAnsi="Times New Roman" w:cs="Times New Roman"/>
          <w:sz w:val="24"/>
          <w:szCs w:val="24"/>
          <w:vertAlign w:val="superscript"/>
        </w:rPr>
        <w:t>st</w:t>
      </w:r>
      <w:r w:rsidR="000D3435">
        <w:rPr>
          <w:rFonts w:ascii="Times New Roman" w:hAnsi="Times New Roman" w:cs="Times New Roman"/>
          <w:sz w:val="24"/>
          <w:szCs w:val="24"/>
        </w:rPr>
        <w:t xml:space="preserve"> Cir. 19</w:t>
      </w:r>
      <w:r w:rsidR="00DE7DF8">
        <w:rPr>
          <w:rFonts w:ascii="Times New Roman" w:hAnsi="Times New Roman" w:cs="Times New Roman"/>
          <w:sz w:val="24"/>
          <w:szCs w:val="24"/>
        </w:rPr>
        <w:t>89), in</w:t>
      </w:r>
      <w:r w:rsidR="00D66A1F">
        <w:rPr>
          <w:rFonts w:ascii="Times New Roman" w:hAnsi="Times New Roman" w:cs="Times New Roman"/>
          <w:sz w:val="24"/>
          <w:szCs w:val="24"/>
        </w:rPr>
        <w:t xml:space="preserve">ternal </w:t>
      </w:r>
      <w:r w:rsidR="004003D9">
        <w:rPr>
          <w:rFonts w:ascii="Times New Roman" w:hAnsi="Times New Roman" w:cs="Times New Roman"/>
          <w:sz w:val="24"/>
          <w:szCs w:val="24"/>
        </w:rPr>
        <w:t>quotation marks omitted).  The C</w:t>
      </w:r>
      <w:r w:rsidR="00D66A1F">
        <w:rPr>
          <w:rFonts w:ascii="Times New Roman" w:hAnsi="Times New Roman" w:cs="Times New Roman"/>
          <w:sz w:val="24"/>
          <w:szCs w:val="24"/>
        </w:rPr>
        <w:t>ourt referred to the agency’s</w:t>
      </w:r>
      <w:r w:rsidR="000D3435">
        <w:rPr>
          <w:rFonts w:ascii="Times New Roman" w:hAnsi="Times New Roman" w:cs="Times New Roman"/>
          <w:sz w:val="24"/>
          <w:szCs w:val="24"/>
        </w:rPr>
        <w:t xml:space="preserve"> “specialized knowledge,” which, </w:t>
      </w:r>
      <w:r w:rsidR="00D66A1F">
        <w:rPr>
          <w:rFonts w:ascii="Times New Roman" w:hAnsi="Times New Roman" w:cs="Times New Roman"/>
          <w:sz w:val="24"/>
          <w:szCs w:val="24"/>
        </w:rPr>
        <w:t>pursuant to the “IDEA’s administrative machinery</w:t>
      </w:r>
      <w:r w:rsidR="000D3435">
        <w:rPr>
          <w:rFonts w:ascii="Times New Roman" w:hAnsi="Times New Roman" w:cs="Times New Roman"/>
          <w:sz w:val="24"/>
          <w:szCs w:val="24"/>
        </w:rPr>
        <w:t>,</w:t>
      </w:r>
      <w:r w:rsidR="00D66A1F">
        <w:rPr>
          <w:rFonts w:ascii="Times New Roman" w:hAnsi="Times New Roman" w:cs="Times New Roman"/>
          <w:sz w:val="24"/>
          <w:szCs w:val="24"/>
        </w:rPr>
        <w:t xml:space="preserve">” </w:t>
      </w:r>
      <w:r w:rsidR="000D3435">
        <w:rPr>
          <w:rFonts w:ascii="Times New Roman" w:hAnsi="Times New Roman" w:cs="Times New Roman"/>
          <w:sz w:val="24"/>
          <w:szCs w:val="24"/>
        </w:rPr>
        <w:t xml:space="preserve">it would be in a position </w:t>
      </w:r>
      <w:r w:rsidR="00D66A1F">
        <w:rPr>
          <w:rFonts w:ascii="Times New Roman" w:hAnsi="Times New Roman" w:cs="Times New Roman"/>
          <w:sz w:val="24"/>
          <w:szCs w:val="24"/>
        </w:rPr>
        <w:t xml:space="preserve">to apply to the “initial evaluation </w:t>
      </w:r>
      <w:r w:rsidR="00DE7DF8">
        <w:rPr>
          <w:rFonts w:ascii="Times New Roman" w:hAnsi="Times New Roman" w:cs="Times New Roman"/>
          <w:sz w:val="24"/>
          <w:szCs w:val="24"/>
        </w:rPr>
        <w:t>of whether a disabled student is receiving a free, appropriate public ed</w:t>
      </w:r>
      <w:r w:rsidR="00FF79AC">
        <w:rPr>
          <w:rFonts w:ascii="Times New Roman" w:hAnsi="Times New Roman" w:cs="Times New Roman"/>
          <w:sz w:val="24"/>
          <w:szCs w:val="24"/>
        </w:rPr>
        <w:t>ucation</w:t>
      </w:r>
      <w:r w:rsidR="00DE7DF8">
        <w:rPr>
          <w:rFonts w:ascii="Times New Roman" w:hAnsi="Times New Roman" w:cs="Times New Roman"/>
          <w:sz w:val="24"/>
          <w:szCs w:val="24"/>
        </w:rPr>
        <w:t>”</w:t>
      </w:r>
      <w:r w:rsidR="00FF79AC">
        <w:rPr>
          <w:rFonts w:ascii="Times New Roman" w:hAnsi="Times New Roman" w:cs="Times New Roman"/>
          <w:sz w:val="24"/>
          <w:szCs w:val="24"/>
        </w:rPr>
        <w:t xml:space="preserve"> in a</w:t>
      </w:r>
      <w:r w:rsidR="00977FD7">
        <w:rPr>
          <w:rFonts w:ascii="Times New Roman" w:hAnsi="Times New Roman" w:cs="Times New Roman"/>
          <w:sz w:val="24"/>
          <w:szCs w:val="24"/>
        </w:rPr>
        <w:t>n</w:t>
      </w:r>
      <w:r w:rsidR="00FF79AC">
        <w:rPr>
          <w:rFonts w:ascii="Times New Roman" w:hAnsi="Times New Roman" w:cs="Times New Roman"/>
          <w:sz w:val="24"/>
          <w:szCs w:val="24"/>
        </w:rPr>
        <w:t xml:space="preserve"> IDEA-based claim.</w:t>
      </w:r>
      <w:r w:rsidR="00FF79AC">
        <w:rPr>
          <w:rFonts w:ascii="Times New Roman" w:hAnsi="Times New Roman" w:cs="Times New Roman"/>
          <w:i/>
          <w:sz w:val="24"/>
          <w:szCs w:val="24"/>
        </w:rPr>
        <w:t xml:space="preserve"> </w:t>
      </w:r>
      <w:r w:rsidR="005D6405">
        <w:rPr>
          <w:rFonts w:ascii="Times New Roman" w:hAnsi="Times New Roman" w:cs="Times New Roman"/>
          <w:i/>
          <w:sz w:val="24"/>
          <w:szCs w:val="24"/>
        </w:rPr>
        <w:t xml:space="preserve"> </w:t>
      </w:r>
      <w:r w:rsidR="00D66A1F">
        <w:rPr>
          <w:rFonts w:ascii="Times New Roman" w:hAnsi="Times New Roman" w:cs="Times New Roman"/>
          <w:i/>
          <w:sz w:val="24"/>
          <w:szCs w:val="24"/>
        </w:rPr>
        <w:t>Id</w:t>
      </w:r>
      <w:r w:rsidR="00DE7DF8">
        <w:rPr>
          <w:rFonts w:ascii="Times New Roman" w:hAnsi="Times New Roman" w:cs="Times New Roman"/>
          <w:sz w:val="24"/>
          <w:szCs w:val="24"/>
        </w:rPr>
        <w:t xml:space="preserve">.  </w:t>
      </w:r>
      <w:r w:rsidR="00FF79AC">
        <w:rPr>
          <w:rFonts w:ascii="Times New Roman" w:hAnsi="Times New Roman" w:cs="Times New Roman"/>
          <w:sz w:val="24"/>
          <w:szCs w:val="24"/>
        </w:rPr>
        <w:t xml:space="preserve">Moreover </w:t>
      </w:r>
      <w:r w:rsidR="00DE7DF8">
        <w:rPr>
          <w:rFonts w:ascii="Times New Roman" w:hAnsi="Times New Roman" w:cs="Times New Roman"/>
          <w:sz w:val="24"/>
          <w:szCs w:val="24"/>
        </w:rPr>
        <w:t>“</w:t>
      </w:r>
      <w:r w:rsidR="00FF79AC">
        <w:rPr>
          <w:rFonts w:ascii="Times New Roman" w:hAnsi="Times New Roman" w:cs="Times New Roman"/>
          <w:sz w:val="24"/>
          <w:szCs w:val="24"/>
        </w:rPr>
        <w:t>t</w:t>
      </w:r>
      <w:r w:rsidR="00DE7DF8">
        <w:rPr>
          <w:rFonts w:ascii="Times New Roman" w:hAnsi="Times New Roman" w:cs="Times New Roman"/>
          <w:sz w:val="24"/>
          <w:szCs w:val="24"/>
        </w:rPr>
        <w:t>hese administrative procedures also ensure that educational agencies will have an opportunity to correct shortcomings in a disabled student’s individualized education program.”</w:t>
      </w:r>
      <w:r w:rsidR="005D6405">
        <w:rPr>
          <w:rFonts w:ascii="Times New Roman" w:hAnsi="Times New Roman" w:cs="Times New Roman"/>
          <w:i/>
          <w:sz w:val="24"/>
          <w:szCs w:val="24"/>
        </w:rPr>
        <w:t xml:space="preserve"> </w:t>
      </w:r>
      <w:r w:rsidR="00FF79AC">
        <w:rPr>
          <w:rFonts w:ascii="Times New Roman" w:hAnsi="Times New Roman" w:cs="Times New Roman"/>
          <w:i/>
          <w:sz w:val="24"/>
          <w:szCs w:val="24"/>
        </w:rPr>
        <w:t>Id</w:t>
      </w:r>
      <w:r w:rsidR="00FF79AC">
        <w:rPr>
          <w:rFonts w:ascii="Times New Roman" w:hAnsi="Times New Roman" w:cs="Times New Roman"/>
          <w:sz w:val="24"/>
          <w:szCs w:val="24"/>
        </w:rPr>
        <w:t>.</w:t>
      </w:r>
      <w:r w:rsidR="00DE7DF8">
        <w:rPr>
          <w:rFonts w:ascii="Times New Roman" w:hAnsi="Times New Roman" w:cs="Times New Roman"/>
          <w:sz w:val="24"/>
          <w:szCs w:val="24"/>
        </w:rPr>
        <w:t xml:space="preserve"> at 60-61.</w:t>
      </w:r>
    </w:p>
    <w:p w14:paraId="3451F71F" w14:textId="652F8F26" w:rsidR="00FF79AC" w:rsidRPr="00FF79AC" w:rsidRDefault="00FF79AC" w:rsidP="00FF79A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u w:val="single"/>
        </w:rPr>
        <w:t>Analysis</w:t>
      </w:r>
    </w:p>
    <w:p w14:paraId="6654EBCC" w14:textId="4D2E31BF" w:rsidR="005D6405" w:rsidRPr="00B8756E" w:rsidRDefault="00FF79AC" w:rsidP="00FF79AC">
      <w:pPr>
        <w:ind w:firstLine="360"/>
        <w:rPr>
          <w:rFonts w:ascii="Times New Roman" w:hAnsi="Times New Roman" w:cs="Times New Roman"/>
          <w:sz w:val="24"/>
          <w:szCs w:val="24"/>
        </w:rPr>
      </w:pPr>
      <w:r>
        <w:rPr>
          <w:rFonts w:ascii="Times New Roman" w:hAnsi="Times New Roman" w:cs="Times New Roman"/>
          <w:sz w:val="24"/>
          <w:szCs w:val="24"/>
        </w:rPr>
        <w:t xml:space="preserve">Based on </w:t>
      </w:r>
      <w:r>
        <w:rPr>
          <w:rFonts w:ascii="Times New Roman" w:hAnsi="Times New Roman" w:cs="Times New Roman"/>
          <w:i/>
          <w:sz w:val="24"/>
          <w:szCs w:val="24"/>
        </w:rPr>
        <w:t xml:space="preserve">Frazier </w:t>
      </w:r>
      <w:r>
        <w:rPr>
          <w:rFonts w:ascii="Times New Roman" w:hAnsi="Times New Roman" w:cs="Times New Roman"/>
          <w:sz w:val="24"/>
          <w:szCs w:val="24"/>
        </w:rPr>
        <w:t>and its progeny, whether the BSEA must hold a hearing at which a hearing officer develops a factual record and applies her expertise to the issues before her in order to enable the plaintiffs to exhaust their claims before proceeding to court turns on whether the plaintiffs’ claims are “IDEA-based.”</w:t>
      </w:r>
      <w:r w:rsidR="00982AD4">
        <w:rPr>
          <w:rStyle w:val="FootnoteReference"/>
          <w:rFonts w:ascii="Times New Roman" w:hAnsi="Times New Roman" w:cs="Times New Roman"/>
          <w:sz w:val="24"/>
          <w:szCs w:val="24"/>
        </w:rPr>
        <w:footnoteReference w:id="12"/>
      </w:r>
      <w:r w:rsidR="00A271CD">
        <w:rPr>
          <w:rFonts w:ascii="Times New Roman" w:hAnsi="Times New Roman" w:cs="Times New Roman"/>
          <w:sz w:val="24"/>
          <w:szCs w:val="24"/>
        </w:rPr>
        <w:t xml:space="preserve">  Those claims that the First Circuit has recognized as “IDEA-based” are generally those in which the plaintiff brings an action under 42 U.S.C. § 1983, asserting a violation of the IDEA.  </w:t>
      </w:r>
      <w:r w:rsidR="00A271CD">
        <w:rPr>
          <w:rFonts w:ascii="Times New Roman" w:hAnsi="Times New Roman" w:cs="Times New Roman"/>
          <w:i/>
          <w:sz w:val="24"/>
          <w:szCs w:val="24"/>
        </w:rPr>
        <w:t xml:space="preserve">See, e.g., </w:t>
      </w:r>
      <w:r w:rsidR="00982AD4">
        <w:rPr>
          <w:rFonts w:ascii="Times New Roman" w:hAnsi="Times New Roman" w:cs="Times New Roman"/>
          <w:i/>
          <w:sz w:val="24"/>
          <w:szCs w:val="24"/>
        </w:rPr>
        <w:t>Diaz-Fonseca v. Puerto Rico</w:t>
      </w:r>
      <w:r w:rsidR="00982AD4">
        <w:rPr>
          <w:rFonts w:ascii="Times New Roman" w:hAnsi="Times New Roman" w:cs="Times New Roman"/>
          <w:sz w:val="24"/>
          <w:szCs w:val="24"/>
        </w:rPr>
        <w:t>, 451 F.3d 13, 29 (2006) (holding that exhaustion applied in a case “where the underlying claim is one of violation of the IDEA”)</w:t>
      </w:r>
      <w:r w:rsidR="00982AD4">
        <w:rPr>
          <w:rFonts w:ascii="Arial" w:hAnsi="Arial" w:cs="Arial"/>
          <w:color w:val="252525"/>
          <w:sz w:val="21"/>
          <w:szCs w:val="21"/>
        </w:rPr>
        <w:t xml:space="preserve">; </w:t>
      </w:r>
      <w:r w:rsidR="000D3435">
        <w:rPr>
          <w:rFonts w:ascii="Times New Roman" w:hAnsi="Times New Roman" w:cs="Times New Roman"/>
          <w:i/>
          <w:sz w:val="24"/>
          <w:szCs w:val="24"/>
        </w:rPr>
        <w:t>Frazier</w:t>
      </w:r>
      <w:r w:rsidR="00982AD4">
        <w:rPr>
          <w:rFonts w:ascii="Times New Roman" w:hAnsi="Times New Roman" w:cs="Times New Roman"/>
          <w:sz w:val="24"/>
          <w:szCs w:val="24"/>
        </w:rPr>
        <w:t>, 276 F.3d at 64</w:t>
      </w:r>
      <w:r w:rsidR="001450FB">
        <w:rPr>
          <w:rFonts w:ascii="Times New Roman" w:hAnsi="Times New Roman" w:cs="Times New Roman"/>
          <w:sz w:val="24"/>
          <w:szCs w:val="24"/>
        </w:rPr>
        <w:t xml:space="preserve">.  </w:t>
      </w:r>
      <w:r w:rsidR="00B8756E">
        <w:rPr>
          <w:rFonts w:ascii="Times New Roman" w:hAnsi="Times New Roman" w:cs="Times New Roman"/>
          <w:sz w:val="24"/>
          <w:szCs w:val="24"/>
        </w:rPr>
        <w:t xml:space="preserve">In </w:t>
      </w:r>
      <w:r w:rsidR="00B8756E">
        <w:rPr>
          <w:rFonts w:ascii="Times New Roman" w:hAnsi="Times New Roman" w:cs="Times New Roman"/>
          <w:i/>
          <w:sz w:val="24"/>
          <w:szCs w:val="24"/>
        </w:rPr>
        <w:t>In Re</w:t>
      </w:r>
      <w:r w:rsidR="00117CA4">
        <w:rPr>
          <w:rFonts w:ascii="Times New Roman" w:hAnsi="Times New Roman" w:cs="Times New Roman"/>
          <w:i/>
          <w:sz w:val="24"/>
          <w:szCs w:val="24"/>
        </w:rPr>
        <w:t>:</w:t>
      </w:r>
      <w:r w:rsidR="00B8756E">
        <w:rPr>
          <w:rFonts w:ascii="Times New Roman" w:hAnsi="Times New Roman" w:cs="Times New Roman"/>
          <w:i/>
          <w:sz w:val="24"/>
          <w:szCs w:val="24"/>
        </w:rPr>
        <w:t xml:space="preserve"> </w:t>
      </w:r>
      <w:proofErr w:type="spellStart"/>
      <w:r w:rsidR="00B8756E">
        <w:rPr>
          <w:rFonts w:ascii="Times New Roman" w:hAnsi="Times New Roman" w:cs="Times New Roman"/>
          <w:i/>
          <w:sz w:val="24"/>
          <w:szCs w:val="24"/>
        </w:rPr>
        <w:t>Xylia</w:t>
      </w:r>
      <w:proofErr w:type="spellEnd"/>
      <w:r w:rsidR="00B8756E">
        <w:rPr>
          <w:rFonts w:ascii="Times New Roman" w:hAnsi="Times New Roman" w:cs="Times New Roman"/>
          <w:sz w:val="24"/>
          <w:szCs w:val="24"/>
        </w:rPr>
        <w:t>, Hearing Officer Lindsay Byrn</w:t>
      </w:r>
      <w:r w:rsidR="00003624">
        <w:rPr>
          <w:rFonts w:ascii="Times New Roman" w:hAnsi="Times New Roman" w:cs="Times New Roman"/>
          <w:sz w:val="24"/>
          <w:szCs w:val="24"/>
        </w:rPr>
        <w:t>e r</w:t>
      </w:r>
      <w:r w:rsidR="000D3435">
        <w:rPr>
          <w:rFonts w:ascii="Times New Roman" w:hAnsi="Times New Roman" w:cs="Times New Roman"/>
          <w:sz w:val="24"/>
          <w:szCs w:val="24"/>
        </w:rPr>
        <w:t>eviewed these and sev</w:t>
      </w:r>
      <w:r w:rsidR="00003624">
        <w:rPr>
          <w:rFonts w:ascii="Times New Roman" w:hAnsi="Times New Roman" w:cs="Times New Roman"/>
          <w:sz w:val="24"/>
          <w:szCs w:val="24"/>
        </w:rPr>
        <w:t>eral unpublished cases, concluding that “[e]</w:t>
      </w:r>
      <w:proofErr w:type="spellStart"/>
      <w:r w:rsidR="00003624">
        <w:rPr>
          <w:rFonts w:ascii="Times New Roman" w:hAnsi="Times New Roman" w:cs="Times New Roman"/>
          <w:sz w:val="24"/>
          <w:szCs w:val="24"/>
        </w:rPr>
        <w:t>xhaustion</w:t>
      </w:r>
      <w:proofErr w:type="spellEnd"/>
      <w:r w:rsidR="00003624">
        <w:rPr>
          <w:rFonts w:ascii="Times New Roman" w:hAnsi="Times New Roman" w:cs="Times New Roman"/>
          <w:sz w:val="24"/>
          <w:szCs w:val="24"/>
        </w:rPr>
        <w:t xml:space="preserve"> of the IDEA’s administrative process is not required when the student is seeking solely money damages for tort like injuries not subsumed in a federal statutory claim . . . [n]or . . . where there are no factual allegations to indicate that a dispute exists concerning the individual student’s eligibility under the IDEA or Section 504 or the discharge of the School’s procedural and substantive responsibilities under the IDEA or Section 504.”</w:t>
      </w:r>
      <w:r w:rsidR="00003624">
        <w:rPr>
          <w:rStyle w:val="FootnoteReference"/>
          <w:rFonts w:ascii="Times New Roman" w:hAnsi="Times New Roman" w:cs="Times New Roman"/>
          <w:sz w:val="24"/>
          <w:szCs w:val="24"/>
        </w:rPr>
        <w:footnoteReference w:id="13"/>
      </w:r>
    </w:p>
    <w:p w14:paraId="187139C7" w14:textId="069FF415" w:rsidR="001450FB" w:rsidRDefault="00C37747" w:rsidP="00FF79AC">
      <w:pPr>
        <w:ind w:firstLine="360"/>
        <w:rPr>
          <w:rFonts w:ascii="Times New Roman" w:hAnsi="Times New Roman" w:cs="Times New Roman"/>
          <w:sz w:val="24"/>
          <w:szCs w:val="24"/>
        </w:rPr>
      </w:pPr>
      <w:r>
        <w:rPr>
          <w:rFonts w:ascii="Times New Roman" w:hAnsi="Times New Roman" w:cs="Times New Roman"/>
          <w:sz w:val="24"/>
          <w:szCs w:val="24"/>
        </w:rPr>
        <w:lastRenderedPageBreak/>
        <w:t>In the instant case</w:t>
      </w:r>
      <w:r w:rsidR="001450FB">
        <w:rPr>
          <w:rFonts w:ascii="Times New Roman" w:hAnsi="Times New Roman" w:cs="Times New Roman"/>
          <w:sz w:val="24"/>
          <w:szCs w:val="24"/>
        </w:rPr>
        <w:t xml:space="preserve">, </w:t>
      </w:r>
      <w:r w:rsidR="00117CA4">
        <w:rPr>
          <w:rFonts w:ascii="Times New Roman" w:hAnsi="Times New Roman" w:cs="Times New Roman"/>
          <w:sz w:val="24"/>
          <w:szCs w:val="24"/>
        </w:rPr>
        <w:t xml:space="preserve">Beatrice </w:t>
      </w:r>
      <w:r w:rsidR="001450FB">
        <w:rPr>
          <w:rFonts w:ascii="Times New Roman" w:hAnsi="Times New Roman" w:cs="Times New Roman"/>
          <w:sz w:val="24"/>
          <w:szCs w:val="24"/>
        </w:rPr>
        <w:t xml:space="preserve">and </w:t>
      </w:r>
      <w:r w:rsidR="00117CA4">
        <w:rPr>
          <w:rFonts w:ascii="Times New Roman" w:hAnsi="Times New Roman" w:cs="Times New Roman"/>
          <w:sz w:val="24"/>
          <w:szCs w:val="24"/>
        </w:rPr>
        <w:t>Charlie seek money damages pursuant to several statutes, none of which includes</w:t>
      </w:r>
      <w:r w:rsidR="00E33B63">
        <w:rPr>
          <w:rFonts w:ascii="Times New Roman" w:hAnsi="Times New Roman" w:cs="Times New Roman"/>
          <w:sz w:val="24"/>
          <w:szCs w:val="24"/>
        </w:rPr>
        <w:t xml:space="preserve"> the</w:t>
      </w:r>
      <w:r w:rsidR="00117CA4">
        <w:rPr>
          <w:rFonts w:ascii="Times New Roman" w:hAnsi="Times New Roman" w:cs="Times New Roman"/>
          <w:sz w:val="24"/>
          <w:szCs w:val="24"/>
        </w:rPr>
        <w:t xml:space="preserve"> IDEA or Section 504 of the Rehabilitation Act.</w:t>
      </w:r>
      <w:r w:rsidR="00117CA4">
        <w:rPr>
          <w:rStyle w:val="FootnoteReference"/>
          <w:rFonts w:ascii="Times New Roman" w:hAnsi="Times New Roman" w:cs="Times New Roman"/>
          <w:sz w:val="24"/>
          <w:szCs w:val="24"/>
        </w:rPr>
        <w:footnoteReference w:id="14"/>
      </w:r>
      <w:r w:rsidR="00CA233A">
        <w:rPr>
          <w:rFonts w:ascii="Times New Roman" w:hAnsi="Times New Roman" w:cs="Times New Roman"/>
          <w:sz w:val="24"/>
          <w:szCs w:val="24"/>
        </w:rPr>
        <w:t xml:space="preserve">  </w:t>
      </w:r>
      <w:r w:rsidR="00977FD7">
        <w:rPr>
          <w:rFonts w:ascii="Times New Roman" w:hAnsi="Times New Roman" w:cs="Times New Roman"/>
          <w:sz w:val="24"/>
          <w:szCs w:val="24"/>
        </w:rPr>
        <w:t>They do not argue that the District has violated the IDEA’s guarantee of a free, appropriate public education</w:t>
      </w:r>
      <w:r w:rsidR="00352E41">
        <w:rPr>
          <w:rFonts w:ascii="Times New Roman" w:hAnsi="Times New Roman" w:cs="Times New Roman"/>
          <w:sz w:val="24"/>
          <w:szCs w:val="24"/>
        </w:rPr>
        <w:t xml:space="preserve"> (FAPE)</w:t>
      </w:r>
      <w:r w:rsidR="00343A32">
        <w:rPr>
          <w:rFonts w:ascii="Times New Roman" w:hAnsi="Times New Roman" w:cs="Times New Roman"/>
          <w:sz w:val="24"/>
          <w:szCs w:val="24"/>
        </w:rPr>
        <w:t>, or that their claim for money damages is causally connected to their status as students with disabilities.</w:t>
      </w:r>
      <w:r w:rsidR="00977FD7">
        <w:rPr>
          <w:rFonts w:ascii="Times New Roman" w:hAnsi="Times New Roman" w:cs="Times New Roman"/>
          <w:sz w:val="24"/>
          <w:szCs w:val="24"/>
        </w:rPr>
        <w:t xml:space="preserve">  </w:t>
      </w:r>
      <w:r w:rsidR="00CA233A">
        <w:rPr>
          <w:rFonts w:ascii="Times New Roman" w:hAnsi="Times New Roman" w:cs="Times New Roman"/>
          <w:sz w:val="24"/>
          <w:szCs w:val="24"/>
        </w:rPr>
        <w:t xml:space="preserve">They do not claim that the District’s alleged knowing and willful failure to take adequate steps to ensure </w:t>
      </w:r>
      <w:r>
        <w:rPr>
          <w:rFonts w:ascii="Times New Roman" w:hAnsi="Times New Roman" w:cs="Times New Roman"/>
          <w:sz w:val="24"/>
          <w:szCs w:val="24"/>
        </w:rPr>
        <w:t>their safety somehow</w:t>
      </w:r>
      <w:r w:rsidR="00977FD7">
        <w:rPr>
          <w:rFonts w:ascii="Times New Roman" w:hAnsi="Times New Roman" w:cs="Times New Roman"/>
          <w:sz w:val="24"/>
          <w:szCs w:val="24"/>
        </w:rPr>
        <w:t xml:space="preserve"> creates a dispute pursuant to the IDEA or Section 504; in fact they state explicitly that they make no claims pursuant to these Acts, and that they do not seek any special education services from the District in this action.  </w:t>
      </w:r>
      <w:r w:rsidR="00352E41">
        <w:rPr>
          <w:rFonts w:ascii="Times New Roman" w:hAnsi="Times New Roman" w:cs="Times New Roman"/>
          <w:sz w:val="24"/>
          <w:szCs w:val="24"/>
        </w:rPr>
        <w:t xml:space="preserve">As in </w:t>
      </w:r>
      <w:r w:rsidR="00352E41">
        <w:rPr>
          <w:rFonts w:ascii="Times New Roman" w:hAnsi="Times New Roman" w:cs="Times New Roman"/>
          <w:i/>
          <w:sz w:val="24"/>
          <w:szCs w:val="24"/>
        </w:rPr>
        <w:t xml:space="preserve">In Re: </w:t>
      </w:r>
      <w:proofErr w:type="spellStart"/>
      <w:r w:rsidR="00352E41">
        <w:rPr>
          <w:rFonts w:ascii="Times New Roman" w:hAnsi="Times New Roman" w:cs="Times New Roman"/>
          <w:i/>
          <w:sz w:val="24"/>
          <w:szCs w:val="24"/>
        </w:rPr>
        <w:t>Xylia</w:t>
      </w:r>
      <w:proofErr w:type="spellEnd"/>
      <w:r w:rsidR="00352E41">
        <w:rPr>
          <w:rFonts w:ascii="Times New Roman" w:hAnsi="Times New Roman" w:cs="Times New Roman"/>
          <w:i/>
          <w:sz w:val="24"/>
          <w:szCs w:val="24"/>
        </w:rPr>
        <w:t xml:space="preserve">, </w:t>
      </w:r>
      <w:r w:rsidR="00352E41">
        <w:rPr>
          <w:rFonts w:ascii="Times New Roman" w:hAnsi="Times New Roman" w:cs="Times New Roman"/>
          <w:sz w:val="24"/>
          <w:szCs w:val="24"/>
        </w:rPr>
        <w:t>here the “plaintiffs do not offer a plausible set of facts that could be fairly construed as a special education claim even if not identified as such in the pleadings.”</w:t>
      </w:r>
      <w:r w:rsidR="004003D9">
        <w:rPr>
          <w:rStyle w:val="FootnoteReference"/>
          <w:rFonts w:ascii="Times New Roman" w:hAnsi="Times New Roman" w:cs="Times New Roman"/>
          <w:sz w:val="24"/>
          <w:szCs w:val="24"/>
        </w:rPr>
        <w:footnoteReference w:id="15"/>
      </w:r>
      <w:r w:rsidR="00352E41">
        <w:rPr>
          <w:rFonts w:ascii="Times New Roman" w:hAnsi="Times New Roman" w:cs="Times New Roman"/>
          <w:sz w:val="24"/>
          <w:szCs w:val="24"/>
        </w:rPr>
        <w:t xml:space="preserve"> </w:t>
      </w:r>
      <w:r w:rsidR="00977FD7">
        <w:rPr>
          <w:rFonts w:ascii="Times New Roman" w:hAnsi="Times New Roman" w:cs="Times New Roman"/>
          <w:sz w:val="24"/>
          <w:szCs w:val="24"/>
        </w:rPr>
        <w:t>The fact that Beatrice and Charlie are both eligible for, and receiving, special education and related services, does not automatically transform the claims they are making into “IDEA-based” claims.</w:t>
      </w:r>
    </w:p>
    <w:p w14:paraId="7EDB62F9" w14:textId="648D1292" w:rsidR="00E950DC" w:rsidRPr="00BA2D8C" w:rsidRDefault="00977FD7" w:rsidP="00352E41">
      <w:pPr>
        <w:ind w:firstLine="360"/>
        <w:rPr>
          <w:rFonts w:ascii="Times New Roman" w:hAnsi="Times New Roman" w:cs="Times New Roman"/>
          <w:sz w:val="24"/>
          <w:szCs w:val="24"/>
        </w:rPr>
      </w:pPr>
      <w:r>
        <w:rPr>
          <w:rFonts w:ascii="Times New Roman" w:hAnsi="Times New Roman" w:cs="Times New Roman"/>
          <w:sz w:val="24"/>
          <w:szCs w:val="24"/>
        </w:rPr>
        <w:t>As the First Circuit has recognized, for “IDEA-based” claims the BSEA’s administrative process is useful, as it “enables the agency to develop a factual record [and] to apply its expertise to the problem.”</w:t>
      </w:r>
      <w:r w:rsidR="00352E41">
        <w:rPr>
          <w:rFonts w:ascii="Times New Roman" w:hAnsi="Times New Roman" w:cs="Times New Roman"/>
          <w:sz w:val="24"/>
          <w:szCs w:val="24"/>
        </w:rPr>
        <w:t xml:space="preserve"> </w:t>
      </w:r>
      <w:r w:rsidR="00352E41">
        <w:rPr>
          <w:rFonts w:ascii="Times New Roman" w:hAnsi="Times New Roman" w:cs="Times New Roman"/>
          <w:i/>
          <w:sz w:val="24"/>
          <w:szCs w:val="24"/>
        </w:rPr>
        <w:t>Frazier</w:t>
      </w:r>
      <w:r w:rsidR="00352E41">
        <w:rPr>
          <w:rFonts w:ascii="Times New Roman" w:hAnsi="Times New Roman" w:cs="Times New Roman"/>
          <w:sz w:val="24"/>
          <w:szCs w:val="24"/>
        </w:rPr>
        <w:t xml:space="preserve">, </w:t>
      </w:r>
      <w:proofErr w:type="gramStart"/>
      <w:r w:rsidR="00352E41">
        <w:rPr>
          <w:rFonts w:ascii="Times New Roman" w:hAnsi="Times New Roman" w:cs="Times New Roman"/>
          <w:sz w:val="24"/>
          <w:szCs w:val="24"/>
        </w:rPr>
        <w:t>276 F.3d at 60</w:t>
      </w:r>
      <w:proofErr w:type="gramEnd"/>
      <w:r w:rsidR="00352E41">
        <w:rPr>
          <w:rFonts w:ascii="Times New Roman" w:hAnsi="Times New Roman" w:cs="Times New Roman"/>
          <w:sz w:val="24"/>
          <w:szCs w:val="24"/>
        </w:rPr>
        <w:t>.  In the instant case, the facts to be presented to the tribunal are not those in which special education hearing officers have any special expertise.  Beatrice and Charlie are not asking for findings regarding the appropriateness of the services Winthrop is providing to them or the District’s failure to provide them with FAPE.</w:t>
      </w:r>
      <w:r w:rsidR="00343A32">
        <w:rPr>
          <w:rFonts w:ascii="Times New Roman" w:hAnsi="Times New Roman" w:cs="Times New Roman"/>
          <w:sz w:val="24"/>
          <w:szCs w:val="24"/>
        </w:rPr>
        <w:t xml:space="preserve">  They are </w:t>
      </w:r>
      <w:proofErr w:type="gramStart"/>
      <w:r w:rsidR="00343A32">
        <w:rPr>
          <w:rFonts w:ascii="Times New Roman" w:hAnsi="Times New Roman" w:cs="Times New Roman"/>
          <w:sz w:val="24"/>
          <w:szCs w:val="24"/>
        </w:rPr>
        <w:t>not asking</w:t>
      </w:r>
      <w:proofErr w:type="gramEnd"/>
      <w:r w:rsidR="00343A32">
        <w:rPr>
          <w:rFonts w:ascii="Times New Roman" w:hAnsi="Times New Roman" w:cs="Times New Roman"/>
          <w:sz w:val="24"/>
          <w:szCs w:val="24"/>
        </w:rPr>
        <w:t xml:space="preserve"> for reimbursement for special education or related services, nor are they seeking an award of compensatory education for services they should have received but did not.  Rather Beatrice and Charlie</w:t>
      </w:r>
      <w:r w:rsidR="00352E41">
        <w:rPr>
          <w:rFonts w:ascii="Times New Roman" w:hAnsi="Times New Roman" w:cs="Times New Roman"/>
          <w:sz w:val="24"/>
          <w:szCs w:val="24"/>
        </w:rPr>
        <w:t xml:space="preserve"> seek to prove that Winthrop supervised its employee negligently and that as a result they were harmed.  </w:t>
      </w:r>
      <w:proofErr w:type="gramStart"/>
      <w:r w:rsidR="00352E41">
        <w:rPr>
          <w:rFonts w:ascii="Times New Roman" w:hAnsi="Times New Roman" w:cs="Times New Roman"/>
          <w:sz w:val="24"/>
          <w:szCs w:val="24"/>
        </w:rPr>
        <w:t xml:space="preserve">As in </w:t>
      </w:r>
      <w:r w:rsidR="00352E41">
        <w:rPr>
          <w:rFonts w:ascii="Times New Roman" w:hAnsi="Times New Roman" w:cs="Times New Roman"/>
          <w:i/>
          <w:sz w:val="24"/>
          <w:szCs w:val="24"/>
        </w:rPr>
        <w:t xml:space="preserve">In Re </w:t>
      </w:r>
      <w:proofErr w:type="spellStart"/>
      <w:r w:rsidR="00352E41">
        <w:rPr>
          <w:rFonts w:ascii="Times New Roman" w:hAnsi="Times New Roman" w:cs="Times New Roman"/>
          <w:i/>
          <w:sz w:val="24"/>
          <w:szCs w:val="24"/>
        </w:rPr>
        <w:t>Xylia</w:t>
      </w:r>
      <w:proofErr w:type="spellEnd"/>
      <w:r w:rsidR="00352E41">
        <w:rPr>
          <w:rFonts w:ascii="Times New Roman" w:hAnsi="Times New Roman" w:cs="Times New Roman"/>
          <w:sz w:val="24"/>
          <w:szCs w:val="24"/>
        </w:rPr>
        <w:t>, the “facts alleged cannot be logically connected to any denial of FAPE,” and “a reviewing court could not rely on the expertise or experience of an administrative hearing officer in this matter.”</w:t>
      </w:r>
      <w:proofErr w:type="gramEnd"/>
      <w:r w:rsidR="004003D9" w:rsidRPr="004003D9">
        <w:rPr>
          <w:rStyle w:val="FootnoteReference"/>
          <w:rFonts w:ascii="Times New Roman" w:hAnsi="Times New Roman" w:cs="Times New Roman"/>
          <w:sz w:val="24"/>
          <w:szCs w:val="24"/>
        </w:rPr>
        <w:t xml:space="preserve"> </w:t>
      </w:r>
      <w:r w:rsidR="004003D9">
        <w:rPr>
          <w:rStyle w:val="FootnoteReference"/>
          <w:rFonts w:ascii="Times New Roman" w:hAnsi="Times New Roman" w:cs="Times New Roman"/>
          <w:sz w:val="24"/>
          <w:szCs w:val="24"/>
        </w:rPr>
        <w:footnoteReference w:id="16"/>
      </w:r>
      <w:r w:rsidR="004003D9">
        <w:rPr>
          <w:rFonts w:ascii="Times New Roman" w:hAnsi="Times New Roman" w:cs="Times New Roman"/>
          <w:sz w:val="24"/>
          <w:szCs w:val="24"/>
        </w:rPr>
        <w:t xml:space="preserve"> </w:t>
      </w:r>
      <w:r w:rsidR="00352E41">
        <w:rPr>
          <w:rFonts w:ascii="Times New Roman" w:hAnsi="Times New Roman" w:cs="Times New Roman"/>
          <w:sz w:val="24"/>
          <w:szCs w:val="24"/>
        </w:rPr>
        <w:t xml:space="preserve">  As such, requiring that the matter be adjudicated fully by the BSEA before the plaintiffs may proceed to court will impede, rather than promote</w:t>
      </w:r>
      <w:r w:rsidR="00E33B63">
        <w:rPr>
          <w:rFonts w:ascii="Times New Roman" w:hAnsi="Times New Roman" w:cs="Times New Roman"/>
          <w:sz w:val="24"/>
          <w:szCs w:val="24"/>
        </w:rPr>
        <w:t>,</w:t>
      </w:r>
      <w:r w:rsidR="00352E41">
        <w:rPr>
          <w:rFonts w:ascii="Times New Roman" w:hAnsi="Times New Roman" w:cs="Times New Roman"/>
          <w:sz w:val="24"/>
          <w:szCs w:val="24"/>
        </w:rPr>
        <w:t xml:space="preserve"> </w:t>
      </w:r>
      <w:r w:rsidR="00343A32">
        <w:rPr>
          <w:rFonts w:ascii="Times New Roman" w:hAnsi="Times New Roman" w:cs="Times New Roman"/>
          <w:sz w:val="24"/>
          <w:szCs w:val="24"/>
        </w:rPr>
        <w:t xml:space="preserve">several of the goals of the exhaustion requirement: </w:t>
      </w:r>
      <w:r w:rsidR="00352E41">
        <w:rPr>
          <w:rFonts w:ascii="Times New Roman" w:hAnsi="Times New Roman" w:cs="Times New Roman"/>
          <w:sz w:val="24"/>
          <w:szCs w:val="24"/>
        </w:rPr>
        <w:t>“</w:t>
      </w:r>
      <w:r>
        <w:rPr>
          <w:rFonts w:ascii="Times New Roman" w:hAnsi="Times New Roman" w:cs="Times New Roman"/>
          <w:sz w:val="24"/>
          <w:szCs w:val="24"/>
        </w:rPr>
        <w:t xml:space="preserve">efficiency, agency autonomy, and judicial economy.” </w:t>
      </w:r>
      <w:r>
        <w:rPr>
          <w:rFonts w:ascii="Times New Roman" w:hAnsi="Times New Roman" w:cs="Times New Roman"/>
          <w:i/>
          <w:sz w:val="24"/>
          <w:szCs w:val="24"/>
        </w:rPr>
        <w:t>Frazier</w:t>
      </w:r>
      <w:r>
        <w:rPr>
          <w:rFonts w:ascii="Times New Roman" w:hAnsi="Times New Roman" w:cs="Times New Roman"/>
          <w:sz w:val="24"/>
          <w:szCs w:val="24"/>
        </w:rPr>
        <w:t xml:space="preserve">, </w:t>
      </w:r>
      <w:proofErr w:type="gramStart"/>
      <w:r>
        <w:rPr>
          <w:rFonts w:ascii="Times New Roman" w:hAnsi="Times New Roman" w:cs="Times New Roman"/>
          <w:sz w:val="24"/>
          <w:szCs w:val="24"/>
        </w:rPr>
        <w:t>276 F.3d at 60</w:t>
      </w:r>
      <w:proofErr w:type="gramEnd"/>
      <w:r w:rsidR="00352E41">
        <w:rPr>
          <w:rFonts w:ascii="Times New Roman" w:hAnsi="Times New Roman" w:cs="Times New Roman"/>
          <w:sz w:val="24"/>
          <w:szCs w:val="24"/>
        </w:rPr>
        <w:t>.</w:t>
      </w:r>
    </w:p>
    <w:p w14:paraId="21A170C5" w14:textId="77777777" w:rsidR="00331E3A" w:rsidRPr="00331E3A" w:rsidRDefault="00331E3A" w:rsidP="00331E3A">
      <w:pPr>
        <w:pStyle w:val="NoSpacing"/>
        <w:rPr>
          <w:rFonts w:ascii="Times New Roman" w:hAnsi="Times New Roman" w:cs="Times New Roman"/>
          <w:sz w:val="24"/>
          <w:szCs w:val="24"/>
        </w:rPr>
      </w:pPr>
    </w:p>
    <w:p w14:paraId="076907EE" w14:textId="16E35F89" w:rsidR="00352E41" w:rsidRPr="00352E41" w:rsidRDefault="005E427D" w:rsidP="00352E41">
      <w:pPr>
        <w:pStyle w:val="NoSpacing"/>
        <w:spacing w:after="200"/>
        <w:rPr>
          <w:rFonts w:ascii="Times New Roman" w:hAnsi="Times New Roman" w:cs="Times New Roman"/>
          <w:sz w:val="24"/>
          <w:szCs w:val="24"/>
        </w:rPr>
      </w:pPr>
      <w:r>
        <w:rPr>
          <w:rFonts w:ascii="Times New Roman" w:hAnsi="Times New Roman" w:cs="Times New Roman"/>
          <w:sz w:val="24"/>
          <w:szCs w:val="24"/>
          <w:u w:val="single"/>
        </w:rPr>
        <w:t>CONCLUSION</w:t>
      </w:r>
    </w:p>
    <w:p w14:paraId="37641CA8" w14:textId="49119DEA" w:rsidR="00352E41" w:rsidRPr="00343A32" w:rsidRDefault="00352E41" w:rsidP="00352E41">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Upon consideration</w:t>
      </w:r>
      <w:r w:rsidR="00343A32">
        <w:rPr>
          <w:rFonts w:ascii="Times New Roman" w:hAnsi="Times New Roman" w:cs="Times New Roman"/>
          <w:sz w:val="24"/>
          <w:szCs w:val="24"/>
        </w:rPr>
        <w:t xml:space="preserve"> of the facts alleged in the </w:t>
      </w:r>
      <w:r w:rsidR="00343A32">
        <w:rPr>
          <w:rFonts w:ascii="Times New Roman" w:hAnsi="Times New Roman" w:cs="Times New Roman"/>
          <w:i/>
          <w:sz w:val="24"/>
          <w:szCs w:val="24"/>
        </w:rPr>
        <w:t>Hearing Request</w:t>
      </w:r>
      <w:r w:rsidR="00343A32">
        <w:rPr>
          <w:rFonts w:ascii="Times New Roman" w:hAnsi="Times New Roman" w:cs="Times New Roman"/>
          <w:sz w:val="24"/>
          <w:szCs w:val="24"/>
        </w:rPr>
        <w:t xml:space="preserve"> and the arguments made by the parties, I find that Beatrice and Charlie’s claims for relief </w:t>
      </w:r>
      <w:r w:rsidR="004003D9">
        <w:rPr>
          <w:rFonts w:ascii="Times New Roman" w:hAnsi="Times New Roman" w:cs="Times New Roman"/>
          <w:sz w:val="24"/>
          <w:szCs w:val="24"/>
        </w:rPr>
        <w:t xml:space="preserve">are not “IDEA-based.”  As such </w:t>
      </w:r>
      <w:r w:rsidR="00C46F10">
        <w:rPr>
          <w:rFonts w:ascii="Times New Roman" w:hAnsi="Times New Roman" w:cs="Times New Roman"/>
          <w:sz w:val="24"/>
          <w:szCs w:val="24"/>
        </w:rPr>
        <w:t>they need not exhaust</w:t>
      </w:r>
      <w:r w:rsidR="00343A32">
        <w:rPr>
          <w:rFonts w:ascii="Times New Roman" w:hAnsi="Times New Roman" w:cs="Times New Roman"/>
          <w:sz w:val="24"/>
          <w:szCs w:val="24"/>
        </w:rPr>
        <w:t xml:space="preserve"> the administrative remedies available to them as students with disabilities und</w:t>
      </w:r>
      <w:r w:rsidR="004003D9">
        <w:rPr>
          <w:rFonts w:ascii="Times New Roman" w:hAnsi="Times New Roman" w:cs="Times New Roman"/>
          <w:sz w:val="24"/>
          <w:szCs w:val="24"/>
        </w:rPr>
        <w:t>er the IDEA</w:t>
      </w:r>
      <w:r w:rsidR="00C46F10">
        <w:rPr>
          <w:rFonts w:ascii="Times New Roman" w:hAnsi="Times New Roman" w:cs="Times New Roman"/>
          <w:sz w:val="24"/>
          <w:szCs w:val="24"/>
        </w:rPr>
        <w:t xml:space="preserve"> before proceeding to court</w:t>
      </w:r>
      <w:r w:rsidR="00343A32">
        <w:rPr>
          <w:rFonts w:ascii="Times New Roman" w:hAnsi="Times New Roman" w:cs="Times New Roman"/>
          <w:sz w:val="24"/>
          <w:szCs w:val="24"/>
        </w:rPr>
        <w:t>.  Dismissal is therefore appropriate.</w:t>
      </w: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lastRenderedPageBreak/>
        <w:t>ORDER</w:t>
      </w:r>
    </w:p>
    <w:p w14:paraId="4B102250" w14:textId="658FF237" w:rsidR="00343A32" w:rsidRP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As there are no IDEA-based issues before t</w:t>
      </w:r>
      <w:r w:rsidR="00E33B63">
        <w:rPr>
          <w:rFonts w:ascii="Times New Roman" w:hAnsi="Times New Roman" w:cs="Times New Roman"/>
          <w:sz w:val="24"/>
          <w:szCs w:val="24"/>
        </w:rPr>
        <w:t>he BSEA, Winthrop Public School</w:t>
      </w:r>
      <w:r>
        <w:rPr>
          <w:rFonts w:ascii="Times New Roman" w:hAnsi="Times New Roman" w:cs="Times New Roman"/>
          <w:sz w:val="24"/>
          <w:szCs w:val="24"/>
        </w:rPr>
        <w:t>s</w:t>
      </w:r>
      <w:r w:rsidR="00E33B63">
        <w:rPr>
          <w:rFonts w:ascii="Times New Roman" w:hAnsi="Times New Roman" w:cs="Times New Roman"/>
          <w:sz w:val="24"/>
          <w:szCs w:val="24"/>
        </w:rPr>
        <w:t>’</w:t>
      </w:r>
      <w:r>
        <w:rPr>
          <w:rFonts w:ascii="Times New Roman" w:hAnsi="Times New Roman" w:cs="Times New Roman"/>
          <w:sz w:val="24"/>
          <w:szCs w:val="24"/>
        </w:rPr>
        <w:t xml:space="preserve"> Motion to Dismiss is GRANTED.</w:t>
      </w: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2BF6A7D7"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Amy M. </w:t>
      </w:r>
      <w:proofErr w:type="spellStart"/>
      <w:r>
        <w:rPr>
          <w:rFonts w:ascii="Times New Roman" w:hAnsi="Times New Roman" w:cs="Times New Roman"/>
          <w:sz w:val="24"/>
          <w:szCs w:val="24"/>
        </w:rPr>
        <w:t>Reichbach</w:t>
      </w:r>
      <w:proofErr w:type="spellEnd"/>
    </w:p>
    <w:p w14:paraId="3D2DC6A0" w14:textId="3F7E8BC7"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343A32">
        <w:rPr>
          <w:rFonts w:ascii="Times New Roman" w:hAnsi="Times New Roman" w:cs="Times New Roman"/>
          <w:sz w:val="24"/>
          <w:szCs w:val="24"/>
        </w:rPr>
        <w:t>November 24</w:t>
      </w:r>
      <w:r>
        <w:rPr>
          <w:rFonts w:ascii="Times New Roman" w:hAnsi="Times New Roman" w:cs="Times New Roman"/>
          <w:sz w:val="24"/>
          <w:szCs w:val="24"/>
        </w:rPr>
        <w:t>, 2014</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05E2D" w14:textId="77777777" w:rsidR="0044197E" w:rsidRDefault="0044197E" w:rsidP="00C17B47">
      <w:pPr>
        <w:spacing w:after="0" w:line="240" w:lineRule="auto"/>
      </w:pPr>
      <w:r>
        <w:separator/>
      </w:r>
    </w:p>
  </w:endnote>
  <w:endnote w:type="continuationSeparator" w:id="0">
    <w:p w14:paraId="39EC199B" w14:textId="77777777" w:rsidR="0044197E" w:rsidRDefault="0044197E"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E27947" w:rsidRDefault="00E27947">
        <w:pPr>
          <w:pStyle w:val="Footer"/>
          <w:jc w:val="center"/>
        </w:pPr>
        <w:r>
          <w:fldChar w:fldCharType="begin"/>
        </w:r>
        <w:r>
          <w:instrText xml:space="preserve"> PAGE   \* MERGEFORMAT </w:instrText>
        </w:r>
        <w:r>
          <w:fldChar w:fldCharType="separate"/>
        </w:r>
        <w:r w:rsidR="007740EF">
          <w:rPr>
            <w:noProof/>
          </w:rPr>
          <w:t>6</w:t>
        </w:r>
        <w:r>
          <w:rPr>
            <w:noProof/>
          </w:rPr>
          <w:fldChar w:fldCharType="end"/>
        </w:r>
      </w:p>
    </w:sdtContent>
  </w:sdt>
  <w:p w14:paraId="6EECF0F7" w14:textId="77777777" w:rsidR="004D033C" w:rsidRDefault="004D0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25539" w14:textId="77777777" w:rsidR="0044197E" w:rsidRDefault="0044197E" w:rsidP="00C17B47">
      <w:pPr>
        <w:spacing w:after="0" w:line="240" w:lineRule="auto"/>
      </w:pPr>
      <w:r>
        <w:separator/>
      </w:r>
    </w:p>
  </w:footnote>
  <w:footnote w:type="continuationSeparator" w:id="0">
    <w:p w14:paraId="089D57CA" w14:textId="77777777" w:rsidR="0044197E" w:rsidRDefault="0044197E" w:rsidP="00C17B47">
      <w:pPr>
        <w:spacing w:after="0" w:line="240" w:lineRule="auto"/>
      </w:pPr>
      <w:r>
        <w:continuationSeparator/>
      </w:r>
    </w:p>
  </w:footnote>
  <w:footnote w:id="1">
    <w:p w14:paraId="2F5391DB" w14:textId="6545144B" w:rsidR="00E46BD9" w:rsidRPr="00E46BD9" w:rsidRDefault="00E46BD9">
      <w:pPr>
        <w:pStyle w:val="FootnoteText"/>
        <w:rPr>
          <w:rFonts w:ascii="Times New Roman" w:hAnsi="Times New Roman" w:cs="Times New Roman"/>
        </w:rPr>
      </w:pPr>
      <w:r w:rsidRPr="00E46BD9">
        <w:rPr>
          <w:rStyle w:val="FootnoteReference"/>
          <w:rFonts w:ascii="Times New Roman" w:hAnsi="Times New Roman" w:cs="Times New Roman"/>
        </w:rPr>
        <w:footnoteRef/>
      </w:r>
      <w:r w:rsidR="00CF7D60">
        <w:rPr>
          <w:rFonts w:ascii="Times New Roman" w:hAnsi="Times New Roman" w:cs="Times New Roman"/>
        </w:rPr>
        <w:t xml:space="preserve"> “Beatrice</w:t>
      </w:r>
      <w:r w:rsidRPr="00E46BD9">
        <w:rPr>
          <w:rFonts w:ascii="Times New Roman" w:hAnsi="Times New Roman" w:cs="Times New Roman"/>
        </w:rPr>
        <w:t>”</w:t>
      </w:r>
      <w:r w:rsidR="00CF7D60">
        <w:rPr>
          <w:rFonts w:ascii="Times New Roman" w:hAnsi="Times New Roman" w:cs="Times New Roman"/>
        </w:rPr>
        <w:t xml:space="preserve"> and “Charlie”</w:t>
      </w:r>
      <w:r>
        <w:rPr>
          <w:rFonts w:ascii="Times New Roman" w:hAnsi="Times New Roman" w:cs="Times New Roman"/>
        </w:rPr>
        <w:t xml:space="preserve"> </w:t>
      </w:r>
      <w:r w:rsidR="00CF7D60">
        <w:rPr>
          <w:rFonts w:ascii="Times New Roman" w:hAnsi="Times New Roman" w:cs="Times New Roman"/>
        </w:rPr>
        <w:t>are</w:t>
      </w:r>
      <w:r w:rsidRPr="00E46BD9">
        <w:rPr>
          <w:rFonts w:ascii="Times New Roman" w:hAnsi="Times New Roman" w:cs="Times New Roman"/>
        </w:rPr>
        <w:t xml:space="preserve"> pseudonym</w:t>
      </w:r>
      <w:r w:rsidR="00CF7D60">
        <w:rPr>
          <w:rFonts w:ascii="Times New Roman" w:hAnsi="Times New Roman" w:cs="Times New Roman"/>
        </w:rPr>
        <w:t>s</w:t>
      </w:r>
      <w:r w:rsidRPr="00E46BD9">
        <w:rPr>
          <w:rFonts w:ascii="Times New Roman" w:hAnsi="Times New Roman" w:cs="Times New Roman"/>
        </w:rPr>
        <w:t xml:space="preserve"> chosen by the Hearing Officer to protect the privacy of the Student</w:t>
      </w:r>
      <w:r w:rsidR="00CF7D60">
        <w:rPr>
          <w:rFonts w:ascii="Times New Roman" w:hAnsi="Times New Roman" w:cs="Times New Roman"/>
        </w:rPr>
        <w:t>s</w:t>
      </w:r>
      <w:r w:rsidRPr="00E46BD9">
        <w:rPr>
          <w:rFonts w:ascii="Times New Roman" w:hAnsi="Times New Roman" w:cs="Times New Roman"/>
        </w:rPr>
        <w:t xml:space="preserve"> in documents available to the public.</w:t>
      </w:r>
    </w:p>
  </w:footnote>
  <w:footnote w:id="2">
    <w:p w14:paraId="676A7AF4" w14:textId="5AA8B990" w:rsidR="00E2215D" w:rsidRDefault="00E2215D">
      <w:pPr>
        <w:pStyle w:val="FootnoteText"/>
      </w:pPr>
      <w:r>
        <w:rPr>
          <w:rStyle w:val="FootnoteReference"/>
        </w:rPr>
        <w:footnoteRef/>
      </w:r>
      <w:r>
        <w:t xml:space="preserve"> </w:t>
      </w:r>
      <w:r w:rsidRPr="00E2215D">
        <w:rPr>
          <w:rFonts w:ascii="Times New Roman" w:hAnsi="Times New Roman" w:cs="Times New Roman"/>
        </w:rPr>
        <w:t xml:space="preserve">Both </w:t>
      </w:r>
      <w:r>
        <w:rPr>
          <w:rFonts w:ascii="Times New Roman" w:hAnsi="Times New Roman" w:cs="Times New Roman"/>
        </w:rPr>
        <w:t xml:space="preserve">Beatrice and Charlie are represented by the same attorney. </w:t>
      </w:r>
    </w:p>
  </w:footnote>
  <w:footnote w:id="3">
    <w:p w14:paraId="3C6D9368" w14:textId="064653D5" w:rsidR="00BA4DAD" w:rsidRDefault="00BA4DAD">
      <w:pPr>
        <w:pStyle w:val="FootnoteText"/>
      </w:pPr>
      <w:r>
        <w:rPr>
          <w:rStyle w:val="FootnoteReference"/>
        </w:rPr>
        <w:footnoteRef/>
      </w:r>
      <w:r>
        <w:t xml:space="preserve"> </w:t>
      </w:r>
      <w:r w:rsidRPr="00BA4DAD">
        <w:rPr>
          <w:rFonts w:ascii="Times New Roman" w:hAnsi="Times New Roman" w:cs="Times New Roman"/>
        </w:rPr>
        <w:t xml:space="preserve">Although the District filed two separate Motions and the </w:t>
      </w:r>
      <w:r>
        <w:rPr>
          <w:rFonts w:ascii="Times New Roman" w:hAnsi="Times New Roman" w:cs="Times New Roman"/>
        </w:rPr>
        <w:t>Parents filed two separate Oppositions because the cases had not yet been consolidated, the substance of each set of documents was the same and they will therefore be treated as though one Motion and one Opposition were filed in a consolidated case.</w:t>
      </w:r>
    </w:p>
  </w:footnote>
  <w:footnote w:id="4">
    <w:p w14:paraId="5C6AF89F" w14:textId="77777777" w:rsidR="000173EF" w:rsidRPr="00B7296D" w:rsidRDefault="000173EF" w:rsidP="000173EF">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proofErr w:type="spellStart"/>
      <w:r w:rsidRPr="00B7296D">
        <w:rPr>
          <w:rFonts w:ascii="Times New Roman" w:hAnsi="Times New Roman" w:cs="Times New Roman"/>
          <w:i/>
        </w:rPr>
        <w:t>Iannocchino</w:t>
      </w:r>
      <w:proofErr w:type="spellEnd"/>
      <w:r w:rsidRPr="00B7296D">
        <w:rPr>
          <w:rFonts w:ascii="Times New Roman" w:hAnsi="Times New Roman" w:cs="Times New Roman"/>
          <w:i/>
        </w:rPr>
        <w:t xml:space="preserve"> v. Ford Motor Co.</w:t>
      </w:r>
      <w:r w:rsidRPr="00B7296D">
        <w:rPr>
          <w:rFonts w:ascii="Times New Roman" w:hAnsi="Times New Roman" w:cs="Times New Roman"/>
        </w:rPr>
        <w:t xml:space="preserve">, 451 Mass. 623, 636 (2008) (quoting </w:t>
      </w:r>
      <w:r w:rsidRPr="00B7296D">
        <w:rPr>
          <w:rFonts w:ascii="Times New Roman" w:hAnsi="Times New Roman" w:cs="Times New Roman"/>
          <w:i/>
        </w:rPr>
        <w:t xml:space="preserve">Bell Atl. Corp. v. </w:t>
      </w:r>
      <w:proofErr w:type="spellStart"/>
      <w:r w:rsidRPr="00B7296D">
        <w:rPr>
          <w:rFonts w:ascii="Times New Roman" w:hAnsi="Times New Roman" w:cs="Times New Roman"/>
          <w:i/>
        </w:rPr>
        <w:t>Twombly</w:t>
      </w:r>
      <w:proofErr w:type="spellEnd"/>
      <w:r w:rsidRPr="00B7296D">
        <w:rPr>
          <w:rFonts w:ascii="Times New Roman" w:hAnsi="Times New Roman" w:cs="Times New Roman"/>
        </w:rPr>
        <w:t>, 550 U.S. 544, 557 (2007)).</w:t>
      </w:r>
      <w:r w:rsidRPr="00B7296D">
        <w:rPr>
          <w:rFonts w:ascii="Times New Roman" w:hAnsi="Times New Roman" w:cs="Times New Roman"/>
          <w:sz w:val="24"/>
          <w:szCs w:val="24"/>
        </w:rPr>
        <w:t xml:space="preserve">   </w:t>
      </w:r>
    </w:p>
  </w:footnote>
  <w:footnote w:id="5">
    <w:p w14:paraId="0ED0DE1B" w14:textId="77777777" w:rsidR="000173EF" w:rsidRPr="00B7296D" w:rsidRDefault="000173EF" w:rsidP="000173EF">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proofErr w:type="gramStart"/>
      <w:r w:rsidRPr="00B7296D">
        <w:rPr>
          <w:rFonts w:ascii="Times New Roman" w:hAnsi="Times New Roman" w:cs="Times New Roman"/>
          <w:i/>
        </w:rPr>
        <w:t>Blank v. Chelmsford Ob/</w:t>
      </w:r>
      <w:proofErr w:type="spellStart"/>
      <w:r w:rsidRPr="00B7296D">
        <w:rPr>
          <w:rFonts w:ascii="Times New Roman" w:hAnsi="Times New Roman" w:cs="Times New Roman"/>
          <w:i/>
        </w:rPr>
        <w:t>Gyn</w:t>
      </w:r>
      <w:proofErr w:type="spellEnd"/>
      <w:r w:rsidRPr="00B7296D">
        <w:rPr>
          <w:rFonts w:ascii="Times New Roman" w:hAnsi="Times New Roman" w:cs="Times New Roman"/>
          <w:i/>
        </w:rPr>
        <w:t>, P.C.</w:t>
      </w:r>
      <w:r w:rsidRPr="00B7296D">
        <w:rPr>
          <w:rFonts w:ascii="Times New Roman" w:hAnsi="Times New Roman" w:cs="Times New Roman"/>
        </w:rPr>
        <w:t>, 420 Mass. 404, 407 (1995).</w:t>
      </w:r>
      <w:proofErr w:type="gramEnd"/>
      <w:r w:rsidRPr="00B7296D">
        <w:rPr>
          <w:rFonts w:ascii="Times New Roman" w:hAnsi="Times New Roman" w:cs="Times New Roman"/>
        </w:rPr>
        <w:t xml:space="preserve">  </w:t>
      </w:r>
    </w:p>
  </w:footnote>
  <w:footnote w:id="6">
    <w:p w14:paraId="7DE56C53" w14:textId="77777777" w:rsidR="000173EF" w:rsidRPr="00B7296D" w:rsidRDefault="000173EF" w:rsidP="000173EF">
      <w:pPr>
        <w:pStyle w:val="FootnoteText"/>
        <w:rPr>
          <w:rFonts w:ascii="Times New Roman" w:hAnsi="Times New Roman" w:cs="Times New Roman"/>
        </w:rPr>
      </w:pPr>
      <w:r w:rsidRPr="00B7296D">
        <w:rPr>
          <w:rStyle w:val="FootnoteReference"/>
          <w:rFonts w:ascii="Times New Roman" w:hAnsi="Times New Roman" w:cs="Times New Roman"/>
        </w:rPr>
        <w:footnoteRef/>
      </w:r>
      <w:r w:rsidRPr="00B7296D">
        <w:rPr>
          <w:rFonts w:ascii="Times New Roman" w:hAnsi="Times New Roman" w:cs="Times New Roman"/>
        </w:rPr>
        <w:t xml:space="preserve"> </w:t>
      </w:r>
      <w:proofErr w:type="spellStart"/>
      <w:proofErr w:type="gramStart"/>
      <w:r w:rsidRPr="00B7296D">
        <w:rPr>
          <w:rFonts w:ascii="Times New Roman" w:hAnsi="Times New Roman" w:cs="Times New Roman"/>
          <w:i/>
        </w:rPr>
        <w:t>Golchin</w:t>
      </w:r>
      <w:proofErr w:type="spellEnd"/>
      <w:r w:rsidRPr="00B7296D">
        <w:rPr>
          <w:rFonts w:ascii="Times New Roman" w:hAnsi="Times New Roman" w:cs="Times New Roman"/>
          <w:i/>
        </w:rPr>
        <w:t xml:space="preserve"> v. Liberty </w:t>
      </w:r>
      <w:proofErr w:type="spellStart"/>
      <w:r w:rsidRPr="00B7296D">
        <w:rPr>
          <w:rFonts w:ascii="Times New Roman" w:hAnsi="Times New Roman" w:cs="Times New Roman"/>
          <w:i/>
        </w:rPr>
        <w:t>Mut</w:t>
      </w:r>
      <w:proofErr w:type="spellEnd"/>
      <w:r w:rsidRPr="00B7296D">
        <w:rPr>
          <w:rFonts w:ascii="Times New Roman" w:hAnsi="Times New Roman" w:cs="Times New Roman"/>
          <w:i/>
        </w:rPr>
        <w:t>.</w:t>
      </w:r>
      <w:proofErr w:type="gramEnd"/>
      <w:r w:rsidRPr="00B7296D">
        <w:rPr>
          <w:rFonts w:ascii="Times New Roman" w:hAnsi="Times New Roman" w:cs="Times New Roman"/>
          <w:i/>
        </w:rPr>
        <w:t xml:space="preserve"> </w:t>
      </w:r>
      <w:proofErr w:type="gramStart"/>
      <w:r w:rsidRPr="00B7296D">
        <w:rPr>
          <w:rFonts w:ascii="Times New Roman" w:hAnsi="Times New Roman" w:cs="Times New Roman"/>
          <w:i/>
        </w:rPr>
        <w:t>Ins. Co.</w:t>
      </w:r>
      <w:r w:rsidRPr="00B7296D">
        <w:rPr>
          <w:rFonts w:ascii="Times New Roman" w:hAnsi="Times New Roman" w:cs="Times New Roman"/>
        </w:rPr>
        <w:t>, 460 Mass. 222, 223 (2011) (internal quotation marks and citations omitted).</w:t>
      </w:r>
      <w:proofErr w:type="gramEnd"/>
    </w:p>
  </w:footnote>
  <w:footnote w:id="7">
    <w:p w14:paraId="60E7F692" w14:textId="78CE4697" w:rsidR="000D3435" w:rsidRDefault="000D3435">
      <w:pPr>
        <w:pStyle w:val="FootnoteText"/>
      </w:pPr>
      <w:r>
        <w:rPr>
          <w:rStyle w:val="FootnoteReference"/>
        </w:rPr>
        <w:footnoteRef/>
      </w:r>
      <w:r>
        <w:t xml:space="preserve"> </w:t>
      </w:r>
      <w:proofErr w:type="gramStart"/>
      <w:r w:rsidRPr="000D3435">
        <w:rPr>
          <w:rFonts w:ascii="Times New Roman" w:hAnsi="Times New Roman" w:cs="Times New Roman"/>
        </w:rPr>
        <w:t>Beatrice’s Hearing Request p. 2.</w:t>
      </w:r>
      <w:proofErr w:type="gramEnd"/>
    </w:p>
  </w:footnote>
  <w:footnote w:id="8">
    <w:p w14:paraId="7539908C" w14:textId="4C744F52" w:rsidR="000D3435" w:rsidRPr="000D3435" w:rsidRDefault="000D3435">
      <w:pPr>
        <w:pStyle w:val="FootnoteText"/>
        <w:rPr>
          <w:rFonts w:ascii="Times New Roman" w:hAnsi="Times New Roman" w:cs="Times New Roman"/>
        </w:rPr>
      </w:pPr>
      <w:r>
        <w:rPr>
          <w:rStyle w:val="FootnoteReference"/>
        </w:rPr>
        <w:footnoteRef/>
      </w:r>
      <w:r>
        <w:t xml:space="preserve"> </w:t>
      </w:r>
      <w:proofErr w:type="gramStart"/>
      <w:r w:rsidRPr="000D3435">
        <w:rPr>
          <w:rFonts w:ascii="Times New Roman" w:hAnsi="Times New Roman" w:cs="Times New Roman"/>
        </w:rPr>
        <w:t>Charlie’s Hearing Request p. 1.</w:t>
      </w:r>
      <w:proofErr w:type="gramEnd"/>
    </w:p>
  </w:footnote>
  <w:footnote w:id="9">
    <w:p w14:paraId="3F4D5F25" w14:textId="50E339AE" w:rsidR="00BA4DAD" w:rsidRDefault="00BA4DAD">
      <w:pPr>
        <w:pStyle w:val="FootnoteText"/>
      </w:pPr>
      <w:r>
        <w:rPr>
          <w:rStyle w:val="FootnoteReference"/>
        </w:rPr>
        <w:footnoteRef/>
      </w:r>
      <w:r>
        <w:t xml:space="preserve"> </w:t>
      </w:r>
      <w:proofErr w:type="gramStart"/>
      <w:r w:rsidRPr="00BA4DAD">
        <w:rPr>
          <w:rFonts w:ascii="Times New Roman" w:hAnsi="Times New Roman" w:cs="Times New Roman"/>
        </w:rPr>
        <w:t>Parents’ Opposition to District</w:t>
      </w:r>
      <w:r w:rsidR="000D3435">
        <w:rPr>
          <w:rFonts w:ascii="Times New Roman" w:hAnsi="Times New Roman" w:cs="Times New Roman"/>
        </w:rPr>
        <w:t>’</w:t>
      </w:r>
      <w:r w:rsidRPr="00BA4DAD">
        <w:rPr>
          <w:rFonts w:ascii="Times New Roman" w:hAnsi="Times New Roman" w:cs="Times New Roman"/>
        </w:rPr>
        <w:t>s Motion to Dismiss, p. 2.</w:t>
      </w:r>
      <w:proofErr w:type="gramEnd"/>
    </w:p>
  </w:footnote>
  <w:footnote w:id="10">
    <w:p w14:paraId="06D9112D" w14:textId="2AAEB8FE" w:rsidR="00B8756E" w:rsidRPr="00B8756E" w:rsidRDefault="00B8756E">
      <w:pPr>
        <w:pStyle w:val="FootnoteText"/>
      </w:pPr>
      <w:r>
        <w:rPr>
          <w:rStyle w:val="FootnoteReference"/>
        </w:rPr>
        <w:footnoteRef/>
      </w:r>
      <w:r>
        <w:t xml:space="preserve"> </w:t>
      </w:r>
      <w:r w:rsidRPr="00B8756E">
        <w:rPr>
          <w:rFonts w:ascii="Times New Roman" w:hAnsi="Times New Roman" w:cs="Times New Roman"/>
        </w:rPr>
        <w:t>20 U.S.C. § 14</w:t>
      </w:r>
      <w:r>
        <w:rPr>
          <w:rFonts w:ascii="Times New Roman" w:hAnsi="Times New Roman" w:cs="Times New Roman"/>
        </w:rPr>
        <w:t xml:space="preserve">15(l) provides:  “Nothing in this chapter shall be construed to restrict or limit the rights, procedures, and remedies available under the Constitution, the Americans with Disabilities Act of 1990 [42 U.S.C. </w:t>
      </w:r>
      <w:r w:rsidRPr="00B8756E">
        <w:rPr>
          <w:rFonts w:ascii="Times New Roman" w:hAnsi="Times New Roman" w:cs="Times New Roman"/>
        </w:rPr>
        <w:t>§</w:t>
      </w:r>
      <w:r>
        <w:rPr>
          <w:rFonts w:ascii="Times New Roman" w:hAnsi="Times New Roman" w:cs="Times New Roman"/>
        </w:rPr>
        <w:t xml:space="preserve"> 12101 </w:t>
      </w:r>
      <w:r>
        <w:rPr>
          <w:rFonts w:ascii="Times New Roman" w:hAnsi="Times New Roman" w:cs="Times New Roman"/>
          <w:i/>
        </w:rPr>
        <w:t>et seq.</w:t>
      </w:r>
      <w:r>
        <w:rPr>
          <w:rFonts w:ascii="Times New Roman" w:hAnsi="Times New Roman" w:cs="Times New Roman"/>
        </w:rPr>
        <w:t xml:space="preserve">], title V of the Rehabilitation Act of 1973 [29 U.S.C. </w:t>
      </w:r>
      <w:r w:rsidRPr="00B8756E">
        <w:rPr>
          <w:rFonts w:ascii="Times New Roman" w:hAnsi="Times New Roman" w:cs="Times New Roman"/>
        </w:rPr>
        <w:t>§</w:t>
      </w:r>
      <w:r>
        <w:rPr>
          <w:rFonts w:ascii="Times New Roman" w:hAnsi="Times New Roman" w:cs="Times New Roman"/>
        </w:rPr>
        <w:t xml:space="preserve"> 79.0 </w:t>
      </w:r>
      <w:r>
        <w:rPr>
          <w:rFonts w:ascii="Times New Roman" w:hAnsi="Times New Roman" w:cs="Times New Roman"/>
          <w:i/>
        </w:rPr>
        <w:t>et seq.</w:t>
      </w:r>
      <w:r>
        <w:rPr>
          <w:rFonts w:ascii="Times New Roman" w:hAnsi="Times New Roman" w:cs="Times New Roman"/>
        </w:rPr>
        <w:t>], or other Federal laws protecting the rights of children with disabilities, except that before the filing of a civil action under such laws seeking relief that is also available under this subchapter, the procedures under subsections (f) and (g) shall be exhausted to the same extent as would be required had the action been brought under this subchapter.”  Subsections (f) and (g) refer to the administrative due process system required under the I</w:t>
      </w:r>
      <w:r w:rsidR="000D3435">
        <w:rPr>
          <w:rFonts w:ascii="Times New Roman" w:hAnsi="Times New Roman" w:cs="Times New Roman"/>
        </w:rPr>
        <w:t>ndividuals with Disabilities Education Act (“I</w:t>
      </w:r>
      <w:r>
        <w:rPr>
          <w:rFonts w:ascii="Times New Roman" w:hAnsi="Times New Roman" w:cs="Times New Roman"/>
        </w:rPr>
        <w:t>DEA</w:t>
      </w:r>
      <w:r w:rsidR="000D3435">
        <w:rPr>
          <w:rFonts w:ascii="Times New Roman" w:hAnsi="Times New Roman" w:cs="Times New Roman"/>
        </w:rPr>
        <w:t>”)</w:t>
      </w:r>
      <w:r>
        <w:rPr>
          <w:rFonts w:ascii="Times New Roman" w:hAnsi="Times New Roman" w:cs="Times New Roman"/>
        </w:rPr>
        <w:t>.</w:t>
      </w:r>
    </w:p>
  </w:footnote>
  <w:footnote w:id="11">
    <w:p w14:paraId="42C68049" w14:textId="75A6C523" w:rsidR="00D66A1F" w:rsidRDefault="00D66A1F">
      <w:pPr>
        <w:pStyle w:val="FootnoteText"/>
      </w:pPr>
      <w:r>
        <w:rPr>
          <w:rStyle w:val="FootnoteReference"/>
        </w:rPr>
        <w:footnoteRef/>
      </w:r>
      <w:r>
        <w:t xml:space="preserve"> </w:t>
      </w:r>
      <w:r w:rsidRPr="00342307">
        <w:rPr>
          <w:rFonts w:ascii="Times New Roman" w:hAnsi="Times New Roman" w:cs="Times New Roman"/>
        </w:rPr>
        <w:t xml:space="preserve">As the United States Supreme Court has recognized, the IDEA’s exhaustion requirement is not absolute, and parties “may bypass </w:t>
      </w:r>
      <w:r>
        <w:rPr>
          <w:rFonts w:ascii="Times New Roman" w:hAnsi="Times New Roman" w:cs="Times New Roman"/>
        </w:rPr>
        <w:t xml:space="preserve">the administrative process where exhaustion would be futile or inadequate.” </w:t>
      </w:r>
      <w:proofErr w:type="spellStart"/>
      <w:proofErr w:type="gramStart"/>
      <w:r>
        <w:rPr>
          <w:rFonts w:ascii="Times New Roman" w:hAnsi="Times New Roman" w:cs="Times New Roman"/>
          <w:i/>
        </w:rPr>
        <w:t>Honig</w:t>
      </w:r>
      <w:proofErr w:type="spellEnd"/>
      <w:r>
        <w:rPr>
          <w:rFonts w:ascii="Times New Roman" w:hAnsi="Times New Roman" w:cs="Times New Roman"/>
          <w:i/>
        </w:rPr>
        <w:t xml:space="preserve"> v. Doe</w:t>
      </w:r>
      <w:r>
        <w:rPr>
          <w:rFonts w:ascii="Times New Roman" w:hAnsi="Times New Roman" w:cs="Times New Roman"/>
        </w:rPr>
        <w:t>, 484 U.S. 205, 327 (1988).</w:t>
      </w:r>
      <w:proofErr w:type="gramEnd"/>
      <w:r>
        <w:rPr>
          <w:rFonts w:ascii="Times New Roman" w:hAnsi="Times New Roman" w:cs="Times New Roman"/>
        </w:rPr>
        <w:t xml:space="preserve"> The IDEA’s exhaustion requirement, however, “remains the general rule, and a party who seeks to invoke an exemption bears the burden of showing that it applies.” </w:t>
      </w:r>
      <w:proofErr w:type="gramStart"/>
      <w:r>
        <w:rPr>
          <w:rFonts w:ascii="Times New Roman" w:hAnsi="Times New Roman" w:cs="Times New Roman"/>
          <w:i/>
        </w:rPr>
        <w:t>Frazier v. Fairhaven Sch. Comm</w:t>
      </w:r>
      <w:r>
        <w:rPr>
          <w:rFonts w:ascii="Times New Roman" w:hAnsi="Times New Roman" w:cs="Times New Roman"/>
        </w:rPr>
        <w:t>., 276 F.3d 52, 59 (1st Cir. 2002).</w:t>
      </w:r>
      <w:proofErr w:type="gramEnd"/>
      <w:r>
        <w:rPr>
          <w:rFonts w:ascii="Times New Roman" w:hAnsi="Times New Roman" w:cs="Times New Roman"/>
        </w:rPr>
        <w:t xml:space="preserve">  In this case, the parties argue not about whether exhaustion would be futile, but whether it applies at all.</w:t>
      </w:r>
    </w:p>
  </w:footnote>
  <w:footnote w:id="12">
    <w:p w14:paraId="74B875C5" w14:textId="320629FF" w:rsidR="00982AD4" w:rsidRPr="001450FB" w:rsidRDefault="00982AD4">
      <w:pPr>
        <w:pStyle w:val="FootnoteText"/>
        <w:rPr>
          <w:rFonts w:ascii="Times New Roman" w:hAnsi="Times New Roman" w:cs="Times New Roman"/>
        </w:rPr>
      </w:pPr>
      <w:r w:rsidRPr="001450FB">
        <w:rPr>
          <w:rStyle w:val="FootnoteReference"/>
          <w:rFonts w:ascii="Times New Roman" w:hAnsi="Times New Roman" w:cs="Times New Roman"/>
        </w:rPr>
        <w:footnoteRef/>
      </w:r>
      <w:r w:rsidR="000D3435">
        <w:rPr>
          <w:rFonts w:ascii="Times New Roman" w:hAnsi="Times New Roman" w:cs="Times New Roman"/>
        </w:rPr>
        <w:t xml:space="preserve"> The IDEA</w:t>
      </w:r>
      <w:r w:rsidRPr="001450FB">
        <w:rPr>
          <w:rFonts w:ascii="Times New Roman" w:hAnsi="Times New Roman" w:cs="Times New Roman"/>
        </w:rPr>
        <w:t>’s exhaustion requirement</w:t>
      </w:r>
      <w:r w:rsidR="001450FB" w:rsidRPr="001450FB">
        <w:rPr>
          <w:rFonts w:ascii="Times New Roman" w:hAnsi="Times New Roman" w:cs="Times New Roman"/>
        </w:rPr>
        <w:t xml:space="preserve"> is not limited to IDEA claims, as it “applies even when the suit is brought pursuant to a different statute so long as the party is seeking relief that is available under subchapter II of IDEA.”  </w:t>
      </w:r>
      <w:r w:rsidR="001450FB" w:rsidRPr="001450FB">
        <w:rPr>
          <w:rFonts w:ascii="Times New Roman" w:hAnsi="Times New Roman" w:cs="Times New Roman"/>
          <w:i/>
        </w:rPr>
        <w:t xml:space="preserve">Rose v. </w:t>
      </w:r>
      <w:proofErr w:type="spellStart"/>
      <w:r w:rsidR="001450FB" w:rsidRPr="001450FB">
        <w:rPr>
          <w:rFonts w:ascii="Times New Roman" w:hAnsi="Times New Roman" w:cs="Times New Roman"/>
          <w:i/>
        </w:rPr>
        <w:t>Yeaw</w:t>
      </w:r>
      <w:proofErr w:type="spellEnd"/>
      <w:r w:rsidR="001450FB" w:rsidRPr="001450FB">
        <w:rPr>
          <w:rFonts w:ascii="Times New Roman" w:hAnsi="Times New Roman" w:cs="Times New Roman"/>
        </w:rPr>
        <w:t xml:space="preserve">, 214 F.3d 206, 210 (1st Cir. 2000).  </w:t>
      </w:r>
      <w:r w:rsidR="00B8756E">
        <w:rPr>
          <w:rFonts w:ascii="Times New Roman" w:hAnsi="Times New Roman" w:cs="Times New Roman"/>
          <w:i/>
        </w:rPr>
        <w:t xml:space="preserve">See </w:t>
      </w:r>
      <w:r w:rsidR="000D3435">
        <w:rPr>
          <w:rFonts w:ascii="Times New Roman" w:hAnsi="Times New Roman" w:cs="Times New Roman"/>
        </w:rPr>
        <w:t>Note 10</w:t>
      </w:r>
      <w:r w:rsidR="00B8756E">
        <w:rPr>
          <w:rFonts w:ascii="Times New Roman" w:hAnsi="Times New Roman" w:cs="Times New Roman"/>
        </w:rPr>
        <w:t xml:space="preserve">, </w:t>
      </w:r>
      <w:r w:rsidR="00B8756E" w:rsidRPr="00B8756E">
        <w:rPr>
          <w:rFonts w:ascii="Times New Roman" w:hAnsi="Times New Roman" w:cs="Times New Roman"/>
          <w:i/>
        </w:rPr>
        <w:t>supra</w:t>
      </w:r>
      <w:r w:rsidR="00B8756E">
        <w:rPr>
          <w:rFonts w:ascii="Times New Roman" w:hAnsi="Times New Roman" w:cs="Times New Roman"/>
        </w:rPr>
        <w:t xml:space="preserve">, and accompanying text. </w:t>
      </w:r>
      <w:r w:rsidR="001450FB" w:rsidRPr="00B8756E">
        <w:rPr>
          <w:rFonts w:ascii="Times New Roman" w:hAnsi="Times New Roman" w:cs="Times New Roman"/>
        </w:rPr>
        <w:t>In</w:t>
      </w:r>
      <w:r w:rsidR="001450FB" w:rsidRPr="001450FB">
        <w:rPr>
          <w:rFonts w:ascii="Times New Roman" w:hAnsi="Times New Roman" w:cs="Times New Roman"/>
        </w:rPr>
        <w:t xml:space="preserve"> the instant case, the plaintiffs do not seek any relief available under the IDEA, nor does either party claim they do.</w:t>
      </w:r>
      <w:r w:rsidR="001450FB">
        <w:rPr>
          <w:rFonts w:ascii="Times New Roman" w:hAnsi="Times New Roman" w:cs="Times New Roman"/>
        </w:rPr>
        <w:t xml:space="preserve">  This ruling, therefore, focuses on whether the plaintiffs’ claims are “IDEA-based.”</w:t>
      </w:r>
    </w:p>
  </w:footnote>
  <w:footnote w:id="13">
    <w:p w14:paraId="4B00F378" w14:textId="4268CEF8" w:rsidR="00003624" w:rsidRPr="00003624" w:rsidRDefault="0000362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 xml:space="preserve">In Re: </w:t>
      </w:r>
      <w:proofErr w:type="spellStart"/>
      <w:r>
        <w:rPr>
          <w:rFonts w:ascii="Times New Roman" w:hAnsi="Times New Roman" w:cs="Times New Roman"/>
          <w:i/>
        </w:rPr>
        <w:t>Xylia</w:t>
      </w:r>
      <w:proofErr w:type="spellEnd"/>
      <w:r>
        <w:rPr>
          <w:rFonts w:ascii="Times New Roman" w:hAnsi="Times New Roman" w:cs="Times New Roman"/>
          <w:i/>
        </w:rPr>
        <w:t xml:space="preserve">, </w:t>
      </w:r>
      <w:r>
        <w:rPr>
          <w:rFonts w:ascii="Times New Roman" w:hAnsi="Times New Roman" w:cs="Times New Roman"/>
        </w:rPr>
        <w:t>BSEA #12-0781</w:t>
      </w:r>
      <w:r w:rsidR="00C37747">
        <w:rPr>
          <w:rFonts w:ascii="Times New Roman" w:hAnsi="Times New Roman" w:cs="Times New Roman"/>
        </w:rPr>
        <w:t>, 18 MSER 373</w:t>
      </w:r>
      <w:r w:rsidR="004003D9">
        <w:rPr>
          <w:rFonts w:ascii="Times New Roman" w:hAnsi="Times New Roman" w:cs="Times New Roman"/>
        </w:rPr>
        <w:t>, 376</w:t>
      </w:r>
      <w:r w:rsidR="00C37747">
        <w:rPr>
          <w:rFonts w:ascii="Times New Roman" w:hAnsi="Times New Roman" w:cs="Times New Roman"/>
        </w:rPr>
        <w:t xml:space="preserve"> (Nov. 26, 2012</w:t>
      </w:r>
      <w:r>
        <w:rPr>
          <w:rFonts w:ascii="Times New Roman" w:hAnsi="Times New Roman" w:cs="Times New Roman"/>
        </w:rPr>
        <w:t>).</w:t>
      </w:r>
    </w:p>
  </w:footnote>
  <w:footnote w:id="14">
    <w:p w14:paraId="5A2477EA" w14:textId="46559DD0" w:rsidR="00117CA4" w:rsidRDefault="00117CA4">
      <w:pPr>
        <w:pStyle w:val="FootnoteText"/>
      </w:pPr>
      <w:r>
        <w:rPr>
          <w:rStyle w:val="FootnoteReference"/>
        </w:rPr>
        <w:footnoteRef/>
      </w:r>
      <w:r>
        <w:t xml:space="preserve"> </w:t>
      </w:r>
      <w:r>
        <w:rPr>
          <w:rFonts w:ascii="Times New Roman" w:hAnsi="Times New Roman" w:cs="Times New Roman"/>
        </w:rPr>
        <w:t>Specifically, Beatrice and Charlie seek</w:t>
      </w:r>
      <w:r w:rsidR="00CA233A">
        <w:rPr>
          <w:rFonts w:ascii="Times New Roman" w:hAnsi="Times New Roman" w:cs="Times New Roman"/>
        </w:rPr>
        <w:t xml:space="preserve"> money damages pursuant to</w:t>
      </w:r>
      <w:r>
        <w:rPr>
          <w:rFonts w:ascii="Times New Roman" w:hAnsi="Times New Roman" w:cs="Times New Roman"/>
        </w:rPr>
        <w:t xml:space="preserve"> </w:t>
      </w:r>
      <w:r w:rsidR="00CA233A" w:rsidRPr="00CA233A">
        <w:rPr>
          <w:rFonts w:ascii="Times New Roman" w:hAnsi="Times New Roman" w:cs="Times New Roman"/>
        </w:rPr>
        <w:t>42 U.S.C. § 1983, 42 U.S.C. §§ 12131-12165, Title IX, 20 U.S.C. § 1681, the Massachusetts Civil Rights Act, Mass. Gen. L. c. 12 § 11(I), and for Winthrop’s negligence, and loss of consortium</w:t>
      </w:r>
      <w:r w:rsidR="00CA233A">
        <w:rPr>
          <w:rFonts w:ascii="Times New Roman" w:hAnsi="Times New Roman" w:cs="Times New Roman"/>
        </w:rPr>
        <w:t>.</w:t>
      </w:r>
    </w:p>
  </w:footnote>
  <w:footnote w:id="15">
    <w:p w14:paraId="757D1635" w14:textId="3D621F02" w:rsidR="004003D9" w:rsidRDefault="004003D9">
      <w:pPr>
        <w:pStyle w:val="FootnoteText"/>
      </w:pPr>
      <w:r>
        <w:rPr>
          <w:rStyle w:val="FootnoteReference"/>
        </w:rPr>
        <w:footnoteRef/>
      </w:r>
      <w:r>
        <w:t xml:space="preserve"> </w:t>
      </w:r>
      <w:proofErr w:type="gramStart"/>
      <w:r>
        <w:rPr>
          <w:rFonts w:ascii="Times New Roman" w:hAnsi="Times New Roman" w:cs="Times New Roman"/>
        </w:rPr>
        <w:t>18 MSER 373, 377.</w:t>
      </w:r>
      <w:proofErr w:type="gramEnd"/>
    </w:p>
  </w:footnote>
  <w:footnote w:id="16">
    <w:p w14:paraId="5DB4E986" w14:textId="55C43E0B" w:rsidR="004003D9" w:rsidRDefault="004003D9" w:rsidP="004003D9">
      <w:pPr>
        <w:pStyle w:val="FootnoteText"/>
      </w:pPr>
      <w:r>
        <w:rPr>
          <w:rStyle w:val="FootnoteReference"/>
        </w:rPr>
        <w:footnoteRef/>
      </w:r>
      <w:r>
        <w:t xml:space="preserve"> </w:t>
      </w:r>
      <w:r>
        <w:rPr>
          <w:rFonts w:ascii="Times New Roman" w:hAnsi="Times New Roman" w:cs="Times New Roman"/>
        </w:rPr>
        <w:t>18 MSER 373, 377 (“Factual findings centered on the Student’s IDEA experience would not provide useful information to a court considering an award of damages due to negligence</w:t>
      </w:r>
      <w:r w:rsidR="00E33B63">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4"/>
  </w:num>
  <w:num w:numId="5">
    <w:abstractNumId w:val="5"/>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161DA"/>
    <w:rsid w:val="000173EF"/>
    <w:rsid w:val="00025D32"/>
    <w:rsid w:val="00037AA5"/>
    <w:rsid w:val="00037B42"/>
    <w:rsid w:val="00044090"/>
    <w:rsid w:val="00051607"/>
    <w:rsid w:val="00053E48"/>
    <w:rsid w:val="0006098F"/>
    <w:rsid w:val="000B6DE3"/>
    <w:rsid w:val="000D3435"/>
    <w:rsid w:val="000E3014"/>
    <w:rsid w:val="00117CA4"/>
    <w:rsid w:val="001264F0"/>
    <w:rsid w:val="00137D8B"/>
    <w:rsid w:val="001450FB"/>
    <w:rsid w:val="00145F73"/>
    <w:rsid w:val="00147A9C"/>
    <w:rsid w:val="00172D6B"/>
    <w:rsid w:val="001734C2"/>
    <w:rsid w:val="001735CF"/>
    <w:rsid w:val="001B6F20"/>
    <w:rsid w:val="001D3D4C"/>
    <w:rsid w:val="001D58C8"/>
    <w:rsid w:val="001F0844"/>
    <w:rsid w:val="00200922"/>
    <w:rsid w:val="00236E5A"/>
    <w:rsid w:val="002C3362"/>
    <w:rsid w:val="002C7304"/>
    <w:rsid w:val="00331E3A"/>
    <w:rsid w:val="003368E0"/>
    <w:rsid w:val="00342307"/>
    <w:rsid w:val="00343A32"/>
    <w:rsid w:val="00352E26"/>
    <w:rsid w:val="00352E41"/>
    <w:rsid w:val="00363700"/>
    <w:rsid w:val="00396142"/>
    <w:rsid w:val="003C34D3"/>
    <w:rsid w:val="003D42BE"/>
    <w:rsid w:val="003E4A80"/>
    <w:rsid w:val="004003D9"/>
    <w:rsid w:val="004030E7"/>
    <w:rsid w:val="00427EC8"/>
    <w:rsid w:val="00430C13"/>
    <w:rsid w:val="00433C17"/>
    <w:rsid w:val="00436B3C"/>
    <w:rsid w:val="0044197E"/>
    <w:rsid w:val="00462D63"/>
    <w:rsid w:val="0048106F"/>
    <w:rsid w:val="004B361B"/>
    <w:rsid w:val="004B43AC"/>
    <w:rsid w:val="004D033C"/>
    <w:rsid w:val="004F4025"/>
    <w:rsid w:val="004F4E44"/>
    <w:rsid w:val="00512A85"/>
    <w:rsid w:val="00580B43"/>
    <w:rsid w:val="00585C77"/>
    <w:rsid w:val="00597057"/>
    <w:rsid w:val="005A361D"/>
    <w:rsid w:val="005B7568"/>
    <w:rsid w:val="005B7D2D"/>
    <w:rsid w:val="005D6405"/>
    <w:rsid w:val="005E427D"/>
    <w:rsid w:val="006007CC"/>
    <w:rsid w:val="00614A92"/>
    <w:rsid w:val="00627016"/>
    <w:rsid w:val="00635D79"/>
    <w:rsid w:val="0065295A"/>
    <w:rsid w:val="006572F2"/>
    <w:rsid w:val="00683C51"/>
    <w:rsid w:val="006A180D"/>
    <w:rsid w:val="006A4BB2"/>
    <w:rsid w:val="006A4E1E"/>
    <w:rsid w:val="006A65A3"/>
    <w:rsid w:val="006C58FF"/>
    <w:rsid w:val="006D3FE9"/>
    <w:rsid w:val="006E1C01"/>
    <w:rsid w:val="00705DE3"/>
    <w:rsid w:val="00724C44"/>
    <w:rsid w:val="00727805"/>
    <w:rsid w:val="00732104"/>
    <w:rsid w:val="00750211"/>
    <w:rsid w:val="0076007D"/>
    <w:rsid w:val="00762A68"/>
    <w:rsid w:val="00771BDB"/>
    <w:rsid w:val="007740EF"/>
    <w:rsid w:val="00774264"/>
    <w:rsid w:val="00774BEA"/>
    <w:rsid w:val="007B2BC2"/>
    <w:rsid w:val="007C4089"/>
    <w:rsid w:val="007E6E45"/>
    <w:rsid w:val="00804ED5"/>
    <w:rsid w:val="0081242C"/>
    <w:rsid w:val="00812753"/>
    <w:rsid w:val="00817DA0"/>
    <w:rsid w:val="008408BB"/>
    <w:rsid w:val="00880759"/>
    <w:rsid w:val="00884893"/>
    <w:rsid w:val="00897272"/>
    <w:rsid w:val="008C36D8"/>
    <w:rsid w:val="008E19BE"/>
    <w:rsid w:val="008F293C"/>
    <w:rsid w:val="00900104"/>
    <w:rsid w:val="00901772"/>
    <w:rsid w:val="00906D08"/>
    <w:rsid w:val="00926C0A"/>
    <w:rsid w:val="00975087"/>
    <w:rsid w:val="00976D70"/>
    <w:rsid w:val="00977FD7"/>
    <w:rsid w:val="00982AD4"/>
    <w:rsid w:val="00987768"/>
    <w:rsid w:val="00993B08"/>
    <w:rsid w:val="009F6C62"/>
    <w:rsid w:val="00A0672D"/>
    <w:rsid w:val="00A271CD"/>
    <w:rsid w:val="00A56BCB"/>
    <w:rsid w:val="00A84AC1"/>
    <w:rsid w:val="00A910A6"/>
    <w:rsid w:val="00A94F63"/>
    <w:rsid w:val="00A96ECE"/>
    <w:rsid w:val="00AB055C"/>
    <w:rsid w:val="00AB2DBA"/>
    <w:rsid w:val="00AE2851"/>
    <w:rsid w:val="00AF4FE6"/>
    <w:rsid w:val="00B22DE6"/>
    <w:rsid w:val="00B33F13"/>
    <w:rsid w:val="00B705CA"/>
    <w:rsid w:val="00B7296D"/>
    <w:rsid w:val="00B73950"/>
    <w:rsid w:val="00B84CC3"/>
    <w:rsid w:val="00B8756E"/>
    <w:rsid w:val="00B91029"/>
    <w:rsid w:val="00B94B62"/>
    <w:rsid w:val="00BA2D8C"/>
    <w:rsid w:val="00BA4DAD"/>
    <w:rsid w:val="00BB3430"/>
    <w:rsid w:val="00BC093E"/>
    <w:rsid w:val="00BE3FA7"/>
    <w:rsid w:val="00BF0DE0"/>
    <w:rsid w:val="00C17B47"/>
    <w:rsid w:val="00C213F6"/>
    <w:rsid w:val="00C235D9"/>
    <w:rsid w:val="00C27A7E"/>
    <w:rsid w:val="00C37747"/>
    <w:rsid w:val="00C412A1"/>
    <w:rsid w:val="00C46F10"/>
    <w:rsid w:val="00C7445B"/>
    <w:rsid w:val="00CA233A"/>
    <w:rsid w:val="00CE1014"/>
    <w:rsid w:val="00CE4DC8"/>
    <w:rsid w:val="00CF10F6"/>
    <w:rsid w:val="00CF3104"/>
    <w:rsid w:val="00CF7D60"/>
    <w:rsid w:val="00D3002D"/>
    <w:rsid w:val="00D62E1D"/>
    <w:rsid w:val="00D66A1F"/>
    <w:rsid w:val="00DB43F7"/>
    <w:rsid w:val="00DC2FAD"/>
    <w:rsid w:val="00DE030D"/>
    <w:rsid w:val="00DE4EA0"/>
    <w:rsid w:val="00DE7DF8"/>
    <w:rsid w:val="00DF06F2"/>
    <w:rsid w:val="00DF7B2F"/>
    <w:rsid w:val="00E12F54"/>
    <w:rsid w:val="00E13B26"/>
    <w:rsid w:val="00E2215D"/>
    <w:rsid w:val="00E27947"/>
    <w:rsid w:val="00E33B63"/>
    <w:rsid w:val="00E46245"/>
    <w:rsid w:val="00E46BD9"/>
    <w:rsid w:val="00E501CC"/>
    <w:rsid w:val="00E565A7"/>
    <w:rsid w:val="00E56ACC"/>
    <w:rsid w:val="00E9495E"/>
    <w:rsid w:val="00E950DC"/>
    <w:rsid w:val="00E97F64"/>
    <w:rsid w:val="00EA2710"/>
    <w:rsid w:val="00ED7DA3"/>
    <w:rsid w:val="00EE22D7"/>
    <w:rsid w:val="00F32747"/>
    <w:rsid w:val="00F444F2"/>
    <w:rsid w:val="00F55E91"/>
    <w:rsid w:val="00F5642C"/>
    <w:rsid w:val="00F60E83"/>
    <w:rsid w:val="00F81DD8"/>
    <w:rsid w:val="00F85003"/>
    <w:rsid w:val="00F85231"/>
    <w:rsid w:val="00F86CB4"/>
    <w:rsid w:val="00F91A02"/>
    <w:rsid w:val="00F9785D"/>
    <w:rsid w:val="00FA27E2"/>
    <w:rsid w:val="00FD1BA5"/>
    <w:rsid w:val="00FD7155"/>
    <w:rsid w:val="00FE1D85"/>
    <w:rsid w:val="00FF50E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6E79-A4F2-4BEE-97C0-1F62CBB1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1895</Words>
  <Characters>10808</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12678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2014-11-26T13:31:00Z</dcterms:created>
  <dc:creator>LeBlanc, Tiana (ALA)</dc:creator>
  <keywords>Georgetown and DMH, BSEA # 15-00020</keywords>
  <lastModifiedBy>ANF</lastModifiedBy>
  <lastPrinted>2014-11-21T21:08:00Z</lastPrinted>
  <dcterms:modified xsi:type="dcterms:W3CDTF">2014-11-26T13:31:00Z</dcterms:modified>
  <revision>2</revision>
  <dc:subject>Georgetown and DMH, BSEA # 15-00020</dc:subject>
  <dc:title>Georgetown and DMH, BSEA # 15-00020</dc:title>
</coreProperties>
</file>