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7F4101E0"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AC49BE">
        <w:rPr>
          <w:rFonts w:ascii="Times New Roman" w:hAnsi="Times New Roman" w:cs="Times New Roman"/>
          <w:sz w:val="24"/>
          <w:szCs w:val="24"/>
        </w:rPr>
        <w:t>Gabrielle</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5A560B">
        <w:rPr>
          <w:rFonts w:ascii="Times New Roman" w:hAnsi="Times New Roman" w:cs="Times New Roman"/>
          <w:sz w:val="24"/>
          <w:szCs w:val="24"/>
        </w:rPr>
        <w:t>1505232</w:t>
      </w:r>
    </w:p>
    <w:p w14:paraId="416186AC" w14:textId="77777777" w:rsidR="002C3362" w:rsidRPr="00331E3A" w:rsidRDefault="002C3362" w:rsidP="00A94F63">
      <w:pPr>
        <w:pStyle w:val="NoSpacing"/>
        <w:rPr>
          <w:rFonts w:ascii="Times New Roman" w:hAnsi="Times New Roman" w:cs="Times New Roman"/>
          <w:sz w:val="24"/>
          <w:szCs w:val="24"/>
        </w:rPr>
      </w:pP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21ABB7C2"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5A560B">
        <w:rPr>
          <w:rFonts w:ascii="Times New Roman" w:hAnsi="Times New Roman" w:cs="Times New Roman"/>
          <w:b/>
          <w:sz w:val="24"/>
          <w:szCs w:val="24"/>
          <w:u w:val="single"/>
        </w:rPr>
        <w:t>CLINTON PUBLIC</w:t>
      </w:r>
      <w:r w:rsidR="00817701">
        <w:rPr>
          <w:rFonts w:ascii="Times New Roman" w:hAnsi="Times New Roman" w:cs="Times New Roman"/>
          <w:b/>
          <w:sz w:val="24"/>
          <w:szCs w:val="24"/>
          <w:u w:val="single"/>
        </w:rPr>
        <w:t xml:space="preserve"> SCHOOLS’ MOTION </w:t>
      </w:r>
      <w:r w:rsidR="00567293">
        <w:rPr>
          <w:rFonts w:ascii="Times New Roman" w:hAnsi="Times New Roman" w:cs="Times New Roman"/>
          <w:b/>
          <w:sz w:val="24"/>
          <w:szCs w:val="24"/>
          <w:u w:val="single"/>
        </w:rPr>
        <w:t xml:space="preserve">TO </w:t>
      </w:r>
      <w:r w:rsidR="005A560B">
        <w:rPr>
          <w:rFonts w:ascii="Times New Roman" w:hAnsi="Times New Roman" w:cs="Times New Roman"/>
          <w:b/>
          <w:sz w:val="24"/>
          <w:szCs w:val="24"/>
          <w:u w:val="single"/>
        </w:rPr>
        <w:t>DISMISS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2CA20B1B" w14:textId="6567F558" w:rsidR="00331E3A"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w:t>
      </w:r>
      <w:r w:rsidR="001C18EA">
        <w:rPr>
          <w:rFonts w:ascii="Times New Roman" w:hAnsi="Times New Roman" w:cs="Times New Roman"/>
          <w:sz w:val="24"/>
          <w:szCs w:val="24"/>
        </w:rPr>
        <w:t xml:space="preserve">ng Officer on </w:t>
      </w:r>
      <w:r w:rsidR="00244A24">
        <w:rPr>
          <w:rFonts w:ascii="Times New Roman" w:hAnsi="Times New Roman" w:cs="Times New Roman"/>
          <w:sz w:val="24"/>
          <w:szCs w:val="24"/>
        </w:rPr>
        <w:t xml:space="preserve">the Motion of the </w:t>
      </w:r>
      <w:r w:rsidR="005A560B">
        <w:rPr>
          <w:rFonts w:ascii="Times New Roman" w:hAnsi="Times New Roman" w:cs="Times New Roman"/>
          <w:sz w:val="24"/>
          <w:szCs w:val="24"/>
        </w:rPr>
        <w:t>Clinton</w:t>
      </w:r>
      <w:r w:rsidR="0088467C">
        <w:rPr>
          <w:rFonts w:ascii="Times New Roman" w:hAnsi="Times New Roman" w:cs="Times New Roman"/>
          <w:sz w:val="24"/>
          <w:szCs w:val="24"/>
        </w:rPr>
        <w:t xml:space="preserve"> Public Schools</w:t>
      </w:r>
      <w:r w:rsidR="00244A24">
        <w:rPr>
          <w:rFonts w:ascii="Times New Roman" w:hAnsi="Times New Roman" w:cs="Times New Roman"/>
          <w:sz w:val="24"/>
          <w:szCs w:val="24"/>
        </w:rPr>
        <w:t xml:space="preserve"> (hereinafter “Clinton” or “the District”) to</w:t>
      </w:r>
      <w:r w:rsidR="001C18EA">
        <w:rPr>
          <w:rFonts w:ascii="Times New Roman" w:hAnsi="Times New Roman" w:cs="Times New Roman"/>
          <w:sz w:val="24"/>
          <w:szCs w:val="24"/>
        </w:rPr>
        <w:t xml:space="preserve"> Dismiss the Hearing Request filed by the </w:t>
      </w:r>
      <w:r w:rsidR="00D45172">
        <w:rPr>
          <w:rFonts w:ascii="Times New Roman" w:hAnsi="Times New Roman" w:cs="Times New Roman"/>
          <w:sz w:val="24"/>
          <w:szCs w:val="24"/>
        </w:rPr>
        <w:t>Grandparents/Caregivers</w:t>
      </w:r>
      <w:r w:rsidR="00544680">
        <w:rPr>
          <w:rFonts w:ascii="Times New Roman" w:hAnsi="Times New Roman" w:cs="Times New Roman"/>
          <w:sz w:val="24"/>
          <w:szCs w:val="24"/>
        </w:rPr>
        <w:t xml:space="preserve"> (hereinafter “the Grandparents”)</w:t>
      </w:r>
      <w:r w:rsidR="00D45172">
        <w:rPr>
          <w:rFonts w:ascii="Times New Roman" w:hAnsi="Times New Roman" w:cs="Times New Roman"/>
          <w:sz w:val="24"/>
          <w:szCs w:val="24"/>
        </w:rPr>
        <w:t xml:space="preserve"> on behalf of the </w:t>
      </w:r>
      <w:r w:rsidR="001C18EA">
        <w:rPr>
          <w:rFonts w:ascii="Times New Roman" w:hAnsi="Times New Roman" w:cs="Times New Roman"/>
          <w:sz w:val="24"/>
          <w:szCs w:val="24"/>
        </w:rPr>
        <w:t>Student.</w:t>
      </w:r>
      <w:r w:rsidR="001C18EA">
        <w:rPr>
          <w:rStyle w:val="FootnoteReference"/>
          <w:rFonts w:ascii="Times New Roman" w:hAnsi="Times New Roman" w:cs="Times New Roman"/>
          <w:sz w:val="24"/>
          <w:szCs w:val="24"/>
        </w:rPr>
        <w:footnoteReference w:id="2"/>
      </w:r>
      <w:r w:rsidR="001C18EA">
        <w:rPr>
          <w:rFonts w:ascii="Times New Roman" w:hAnsi="Times New Roman" w:cs="Times New Roman"/>
          <w:sz w:val="24"/>
          <w:szCs w:val="24"/>
        </w:rPr>
        <w:t xml:space="preserve">  The Motion to Dismiss was filed on March 13, 2015.  The </w:t>
      </w:r>
      <w:r w:rsidR="00D45172">
        <w:rPr>
          <w:rFonts w:ascii="Times New Roman" w:hAnsi="Times New Roman" w:cs="Times New Roman"/>
          <w:sz w:val="24"/>
          <w:szCs w:val="24"/>
        </w:rPr>
        <w:t>Grandparents/Caregivers</w:t>
      </w:r>
      <w:r w:rsidR="001C18EA">
        <w:rPr>
          <w:rFonts w:ascii="Times New Roman" w:hAnsi="Times New Roman" w:cs="Times New Roman"/>
          <w:sz w:val="24"/>
          <w:szCs w:val="24"/>
        </w:rPr>
        <w:t xml:space="preserve"> </w:t>
      </w:r>
      <w:r w:rsidR="00244A24">
        <w:rPr>
          <w:rFonts w:ascii="Times New Roman" w:hAnsi="Times New Roman" w:cs="Times New Roman"/>
          <w:sz w:val="24"/>
          <w:szCs w:val="24"/>
        </w:rPr>
        <w:t xml:space="preserve">filed </w:t>
      </w:r>
      <w:r w:rsidR="00D45172">
        <w:rPr>
          <w:rFonts w:ascii="Times New Roman" w:hAnsi="Times New Roman" w:cs="Times New Roman"/>
          <w:sz w:val="24"/>
          <w:szCs w:val="24"/>
        </w:rPr>
        <w:t>t</w:t>
      </w:r>
      <w:r w:rsidR="00244A24">
        <w:rPr>
          <w:rFonts w:ascii="Times New Roman" w:hAnsi="Times New Roman" w:cs="Times New Roman"/>
          <w:sz w:val="24"/>
          <w:szCs w:val="24"/>
        </w:rPr>
        <w:t>he</w:t>
      </w:r>
      <w:r w:rsidR="00D45172">
        <w:rPr>
          <w:rFonts w:ascii="Times New Roman" w:hAnsi="Times New Roman" w:cs="Times New Roman"/>
          <w:sz w:val="24"/>
          <w:szCs w:val="24"/>
        </w:rPr>
        <w:t>i</w:t>
      </w:r>
      <w:r w:rsidR="00244A24">
        <w:rPr>
          <w:rFonts w:ascii="Times New Roman" w:hAnsi="Times New Roman" w:cs="Times New Roman"/>
          <w:sz w:val="24"/>
          <w:szCs w:val="24"/>
        </w:rPr>
        <w:t xml:space="preserve">r Opposition to the District’s Motion to Dismiss on March 20, 2015.  </w:t>
      </w:r>
      <w:r w:rsidR="004D7D57">
        <w:rPr>
          <w:rFonts w:ascii="Times New Roman" w:hAnsi="Times New Roman" w:cs="Times New Roman"/>
          <w:sz w:val="24"/>
          <w:szCs w:val="24"/>
        </w:rPr>
        <w:t xml:space="preserve">Neither party has requested a hearing on the Motion, and as testimony or oral argument would not advance the Hearing Officer’s understanding of the issues involved, this Ruling is being issued without a hearing pursuant </w:t>
      </w:r>
      <w:r w:rsidR="0091339B">
        <w:rPr>
          <w:rFonts w:ascii="Times New Roman" w:hAnsi="Times New Roman" w:cs="Times New Roman"/>
          <w:sz w:val="24"/>
          <w:szCs w:val="24"/>
        </w:rPr>
        <w:t xml:space="preserve">to </w:t>
      </w:r>
      <w:r w:rsidR="0091339B" w:rsidRPr="0091339B">
        <w:rPr>
          <w:rFonts w:ascii="Times New Roman" w:hAnsi="Times New Roman" w:cs="Times New Roman"/>
          <w:i/>
          <w:sz w:val="24"/>
          <w:szCs w:val="24"/>
        </w:rPr>
        <w:t>B</w:t>
      </w:r>
      <w:r w:rsidR="0091339B">
        <w:rPr>
          <w:rFonts w:ascii="Times New Roman" w:hAnsi="Times New Roman" w:cs="Times New Roman"/>
          <w:i/>
          <w:sz w:val="24"/>
          <w:szCs w:val="24"/>
        </w:rPr>
        <w:t xml:space="preserve">ureau of </w:t>
      </w:r>
      <w:r w:rsidR="0091339B" w:rsidRPr="0091339B">
        <w:rPr>
          <w:rFonts w:ascii="Times New Roman" w:hAnsi="Times New Roman" w:cs="Times New Roman"/>
          <w:i/>
          <w:sz w:val="24"/>
          <w:szCs w:val="24"/>
        </w:rPr>
        <w:t>S</w:t>
      </w:r>
      <w:r w:rsidR="0091339B">
        <w:rPr>
          <w:rFonts w:ascii="Times New Roman" w:hAnsi="Times New Roman" w:cs="Times New Roman"/>
          <w:i/>
          <w:sz w:val="24"/>
          <w:szCs w:val="24"/>
        </w:rPr>
        <w:t xml:space="preserve">pecial </w:t>
      </w:r>
      <w:r w:rsidR="0091339B" w:rsidRPr="0091339B">
        <w:rPr>
          <w:rFonts w:ascii="Times New Roman" w:hAnsi="Times New Roman" w:cs="Times New Roman"/>
          <w:i/>
          <w:sz w:val="24"/>
          <w:szCs w:val="24"/>
        </w:rPr>
        <w:t>E</w:t>
      </w:r>
      <w:r w:rsidR="0091339B">
        <w:rPr>
          <w:rFonts w:ascii="Times New Roman" w:hAnsi="Times New Roman" w:cs="Times New Roman"/>
          <w:i/>
          <w:sz w:val="24"/>
          <w:szCs w:val="24"/>
        </w:rPr>
        <w:t xml:space="preserve">ducation </w:t>
      </w:r>
      <w:r w:rsidR="0091339B" w:rsidRPr="0091339B">
        <w:rPr>
          <w:rFonts w:ascii="Times New Roman" w:hAnsi="Times New Roman" w:cs="Times New Roman"/>
          <w:i/>
          <w:sz w:val="24"/>
          <w:szCs w:val="24"/>
        </w:rPr>
        <w:t>A</w:t>
      </w:r>
      <w:r w:rsidR="0091339B">
        <w:rPr>
          <w:rFonts w:ascii="Times New Roman" w:hAnsi="Times New Roman" w:cs="Times New Roman"/>
          <w:i/>
          <w:sz w:val="24"/>
          <w:szCs w:val="24"/>
        </w:rPr>
        <w:t xml:space="preserve">ppeals </w:t>
      </w:r>
      <w:r w:rsidR="0091339B" w:rsidRPr="0091339B">
        <w:rPr>
          <w:rFonts w:ascii="Times New Roman" w:hAnsi="Times New Roman" w:cs="Times New Roman"/>
          <w:i/>
          <w:sz w:val="24"/>
          <w:szCs w:val="24"/>
        </w:rPr>
        <w:t xml:space="preserve">Hearing Rule </w:t>
      </w:r>
      <w:proofErr w:type="gramStart"/>
      <w:r w:rsidR="0091339B" w:rsidRPr="0091339B">
        <w:rPr>
          <w:rFonts w:ascii="Times New Roman" w:hAnsi="Times New Roman" w:cs="Times New Roman"/>
          <w:i/>
          <w:sz w:val="24"/>
          <w:szCs w:val="24"/>
        </w:rPr>
        <w:t>VII(</w:t>
      </w:r>
      <w:proofErr w:type="gramEnd"/>
      <w:r w:rsidR="0091339B" w:rsidRPr="0091339B">
        <w:rPr>
          <w:rFonts w:ascii="Times New Roman" w:hAnsi="Times New Roman" w:cs="Times New Roman"/>
          <w:i/>
          <w:sz w:val="24"/>
          <w:szCs w:val="24"/>
        </w:rPr>
        <w:t>D)</w:t>
      </w:r>
      <w:r w:rsidR="0091339B">
        <w:rPr>
          <w:rFonts w:ascii="Times New Roman" w:hAnsi="Times New Roman" w:cs="Times New Roman"/>
          <w:sz w:val="24"/>
          <w:szCs w:val="24"/>
        </w:rPr>
        <w:t xml:space="preserve">.  For the reasons set forth below, </w:t>
      </w:r>
      <w:r w:rsidR="001C18EA">
        <w:rPr>
          <w:rFonts w:ascii="Times New Roman" w:hAnsi="Times New Roman" w:cs="Times New Roman"/>
          <w:sz w:val="24"/>
          <w:szCs w:val="24"/>
        </w:rPr>
        <w:t>Clinton</w:t>
      </w:r>
      <w:r w:rsidR="004D7D57">
        <w:rPr>
          <w:rFonts w:ascii="Times New Roman" w:hAnsi="Times New Roman" w:cs="Times New Roman"/>
          <w:sz w:val="24"/>
          <w:szCs w:val="24"/>
        </w:rPr>
        <w:t>’</w:t>
      </w:r>
      <w:r w:rsidR="00244A24">
        <w:rPr>
          <w:rFonts w:ascii="Times New Roman" w:hAnsi="Times New Roman" w:cs="Times New Roman"/>
          <w:sz w:val="24"/>
          <w:szCs w:val="24"/>
        </w:rPr>
        <w:t>s</w:t>
      </w:r>
      <w:r w:rsidR="0091339B">
        <w:rPr>
          <w:rFonts w:ascii="Times New Roman" w:hAnsi="Times New Roman" w:cs="Times New Roman"/>
          <w:sz w:val="24"/>
          <w:szCs w:val="24"/>
        </w:rPr>
        <w:t xml:space="preserve"> Motion </w:t>
      </w:r>
      <w:r w:rsidR="0088467C">
        <w:rPr>
          <w:rFonts w:ascii="Times New Roman" w:hAnsi="Times New Roman" w:cs="Times New Roman"/>
          <w:sz w:val="24"/>
          <w:szCs w:val="24"/>
        </w:rPr>
        <w:t xml:space="preserve">to </w:t>
      </w:r>
      <w:r w:rsidR="001C18EA">
        <w:rPr>
          <w:rFonts w:ascii="Times New Roman" w:hAnsi="Times New Roman" w:cs="Times New Roman"/>
          <w:sz w:val="24"/>
          <w:szCs w:val="24"/>
        </w:rPr>
        <w:t>Dismiss</w:t>
      </w:r>
      <w:r w:rsidR="0088467C">
        <w:rPr>
          <w:rFonts w:ascii="Times New Roman" w:hAnsi="Times New Roman" w:cs="Times New Roman"/>
          <w:sz w:val="24"/>
          <w:szCs w:val="24"/>
        </w:rPr>
        <w:t xml:space="preserve"> is hereby DENIED.</w:t>
      </w:r>
    </w:p>
    <w:p w14:paraId="10C7D7AC" w14:textId="77777777" w:rsidR="005A560B" w:rsidRPr="00331E3A" w:rsidRDefault="005A560B" w:rsidP="005A560B">
      <w:pPr>
        <w:pStyle w:val="NoSpacing"/>
        <w:rPr>
          <w:rFonts w:ascii="Times New Roman" w:hAnsi="Times New Roman" w:cs="Times New Roman"/>
          <w:sz w:val="24"/>
          <w:szCs w:val="24"/>
          <w:u w:val="single"/>
        </w:rPr>
      </w:pPr>
    </w:p>
    <w:p w14:paraId="5DA99928" w14:textId="77777777" w:rsidR="005A560B" w:rsidRPr="00331E3A" w:rsidRDefault="005A560B" w:rsidP="005A560B">
      <w:pPr>
        <w:pStyle w:val="NoSpacing"/>
        <w:rPr>
          <w:rFonts w:ascii="Times New Roman" w:hAnsi="Times New Roman" w:cs="Times New Roman"/>
          <w:sz w:val="24"/>
          <w:szCs w:val="24"/>
        </w:rPr>
      </w:pPr>
    </w:p>
    <w:p w14:paraId="4E656BCC" w14:textId="77777777" w:rsidR="005A560B" w:rsidRPr="00331E3A" w:rsidRDefault="005A560B" w:rsidP="005A560B">
      <w:pPr>
        <w:pStyle w:val="NoSpacing"/>
        <w:rPr>
          <w:rFonts w:ascii="Times New Roman" w:hAnsi="Times New Roman" w:cs="Times New Roman"/>
          <w:sz w:val="24"/>
          <w:szCs w:val="24"/>
          <w:u w:val="single"/>
        </w:rPr>
      </w:pPr>
      <w:r>
        <w:rPr>
          <w:rFonts w:ascii="Times New Roman" w:hAnsi="Times New Roman" w:cs="Times New Roman"/>
          <w:sz w:val="24"/>
          <w:szCs w:val="24"/>
          <w:u w:val="single"/>
        </w:rPr>
        <w:t>FACTUAL BACKGROUND AND PROCEDURAL HISTORY</w:t>
      </w:r>
    </w:p>
    <w:p w14:paraId="23E549E7" w14:textId="77777777" w:rsidR="005A560B" w:rsidRPr="00331E3A" w:rsidRDefault="005A560B" w:rsidP="005A560B">
      <w:pPr>
        <w:pStyle w:val="NoSpacing"/>
        <w:rPr>
          <w:rFonts w:ascii="Times New Roman" w:hAnsi="Times New Roman" w:cs="Times New Roman"/>
          <w:sz w:val="24"/>
          <w:szCs w:val="24"/>
        </w:rPr>
      </w:pPr>
    </w:p>
    <w:p w14:paraId="485E71E8" w14:textId="6951AE7A" w:rsidR="00D45172" w:rsidRDefault="005A560B" w:rsidP="005A560B">
      <w:pPr>
        <w:pStyle w:val="NoSpacing"/>
        <w:rPr>
          <w:rFonts w:ascii="Times New Roman" w:hAnsi="Times New Roman" w:cs="Times New Roman"/>
          <w:sz w:val="24"/>
          <w:szCs w:val="24"/>
        </w:rPr>
      </w:pPr>
      <w:r w:rsidRPr="00331E3A">
        <w:rPr>
          <w:rFonts w:ascii="Times New Roman" w:hAnsi="Times New Roman" w:cs="Times New Roman"/>
          <w:sz w:val="24"/>
          <w:szCs w:val="24"/>
        </w:rPr>
        <w:tab/>
      </w:r>
      <w:r>
        <w:rPr>
          <w:rFonts w:ascii="Times New Roman" w:hAnsi="Times New Roman" w:cs="Times New Roman"/>
          <w:sz w:val="24"/>
          <w:szCs w:val="24"/>
        </w:rPr>
        <w:t xml:space="preserve">On </w:t>
      </w:r>
      <w:r w:rsidR="00D45172">
        <w:rPr>
          <w:rFonts w:ascii="Times New Roman" w:hAnsi="Times New Roman" w:cs="Times New Roman"/>
          <w:sz w:val="24"/>
          <w:szCs w:val="24"/>
        </w:rPr>
        <w:t xml:space="preserve">January 20, </w:t>
      </w:r>
      <w:r w:rsidR="00544680">
        <w:rPr>
          <w:rFonts w:ascii="Times New Roman" w:hAnsi="Times New Roman" w:cs="Times New Roman"/>
          <w:sz w:val="24"/>
          <w:szCs w:val="24"/>
        </w:rPr>
        <w:t>2015 the Grandparents</w:t>
      </w:r>
      <w:r w:rsidR="00D45172">
        <w:rPr>
          <w:rFonts w:ascii="Times New Roman" w:hAnsi="Times New Roman" w:cs="Times New Roman"/>
          <w:sz w:val="24"/>
          <w:szCs w:val="24"/>
        </w:rPr>
        <w:t xml:space="preserve"> of Gabrielle filed a Hearing Request with the </w:t>
      </w:r>
      <w:r>
        <w:rPr>
          <w:rFonts w:ascii="Times New Roman" w:hAnsi="Times New Roman" w:cs="Times New Roman"/>
          <w:sz w:val="24"/>
          <w:szCs w:val="24"/>
        </w:rPr>
        <w:t xml:space="preserve">Bureau of Special Education Appeals (“BSEA”) against the </w:t>
      </w:r>
      <w:r w:rsidR="009B00FF">
        <w:rPr>
          <w:rFonts w:ascii="Times New Roman" w:hAnsi="Times New Roman" w:cs="Times New Roman"/>
          <w:sz w:val="24"/>
          <w:szCs w:val="24"/>
        </w:rPr>
        <w:t>West Springfield Public Schools (hereinafter “</w:t>
      </w:r>
      <w:r w:rsidR="00C918A1">
        <w:rPr>
          <w:rFonts w:ascii="Times New Roman" w:hAnsi="Times New Roman" w:cs="Times New Roman"/>
          <w:sz w:val="24"/>
          <w:szCs w:val="24"/>
        </w:rPr>
        <w:t>WSPS</w:t>
      </w:r>
      <w:r w:rsidR="009B00FF">
        <w:rPr>
          <w:rFonts w:ascii="Times New Roman" w:hAnsi="Times New Roman" w:cs="Times New Roman"/>
          <w:sz w:val="24"/>
          <w:szCs w:val="24"/>
        </w:rPr>
        <w:t xml:space="preserve">”) </w:t>
      </w:r>
      <w:r w:rsidR="00C918A1">
        <w:rPr>
          <w:rFonts w:ascii="Times New Roman" w:hAnsi="Times New Roman" w:cs="Times New Roman"/>
          <w:sz w:val="24"/>
          <w:szCs w:val="24"/>
        </w:rPr>
        <w:t xml:space="preserve">seeking </w:t>
      </w:r>
      <w:r w:rsidR="009B00FF">
        <w:rPr>
          <w:rFonts w:ascii="Times New Roman" w:hAnsi="Times New Roman" w:cs="Times New Roman"/>
          <w:sz w:val="24"/>
          <w:szCs w:val="24"/>
        </w:rPr>
        <w:t>finding</w:t>
      </w:r>
      <w:r w:rsidR="00C918A1">
        <w:rPr>
          <w:rFonts w:ascii="Times New Roman" w:hAnsi="Times New Roman" w:cs="Times New Roman"/>
          <w:sz w:val="24"/>
          <w:szCs w:val="24"/>
        </w:rPr>
        <w:t>s</w:t>
      </w:r>
      <w:r w:rsidR="009B00FF">
        <w:rPr>
          <w:rFonts w:ascii="Times New Roman" w:hAnsi="Times New Roman" w:cs="Times New Roman"/>
          <w:sz w:val="24"/>
          <w:szCs w:val="24"/>
        </w:rPr>
        <w:t xml:space="preserve"> that </w:t>
      </w:r>
      <w:r w:rsidR="003C1E13">
        <w:rPr>
          <w:rFonts w:ascii="Times New Roman" w:hAnsi="Times New Roman" w:cs="Times New Roman"/>
          <w:sz w:val="24"/>
          <w:szCs w:val="24"/>
        </w:rPr>
        <w:t>WSPS’</w:t>
      </w:r>
      <w:r w:rsidR="009B00FF">
        <w:rPr>
          <w:rFonts w:ascii="Times New Roman" w:hAnsi="Times New Roman" w:cs="Times New Roman"/>
          <w:sz w:val="24"/>
          <w:szCs w:val="24"/>
        </w:rPr>
        <w:t xml:space="preserve"> proposed Individualized Education Program was not reasonably calculated to provide </w:t>
      </w:r>
      <w:r w:rsidR="00C918A1">
        <w:rPr>
          <w:rFonts w:ascii="Times New Roman" w:hAnsi="Times New Roman" w:cs="Times New Roman"/>
          <w:sz w:val="24"/>
          <w:szCs w:val="24"/>
        </w:rPr>
        <w:t>Gabrielle with a free, appropriate public education; that the residential special education school where the Grandparents had unilaterally placed Gabrielle at the beginning of the 2014-2015 school year is an appropriate placement; and that the Grandparents are entitled to retroactive reimb</w:t>
      </w:r>
      <w:r w:rsidR="00A44FA0">
        <w:rPr>
          <w:rFonts w:ascii="Times New Roman" w:hAnsi="Times New Roman" w:cs="Times New Roman"/>
          <w:sz w:val="24"/>
          <w:szCs w:val="24"/>
        </w:rPr>
        <w:t>ursement for this placement.  They also sought</w:t>
      </w:r>
      <w:r w:rsidR="00C918A1">
        <w:rPr>
          <w:rFonts w:ascii="Times New Roman" w:hAnsi="Times New Roman" w:cs="Times New Roman"/>
          <w:sz w:val="24"/>
          <w:szCs w:val="24"/>
        </w:rPr>
        <w:t xml:space="preserve"> an order that WSPS develop an IEP for Gabrielle’s placement at that school for the remainder of the current school year as well as the 2015-2016 school year</w:t>
      </w:r>
      <w:r w:rsidR="00D45172">
        <w:rPr>
          <w:rFonts w:ascii="Times New Roman" w:hAnsi="Times New Roman" w:cs="Times New Roman"/>
          <w:sz w:val="24"/>
          <w:szCs w:val="24"/>
        </w:rPr>
        <w:t>.  Among the Exhibits filed w</w:t>
      </w:r>
      <w:r w:rsidR="00C918A1">
        <w:rPr>
          <w:rFonts w:ascii="Times New Roman" w:hAnsi="Times New Roman" w:cs="Times New Roman"/>
          <w:sz w:val="24"/>
          <w:szCs w:val="24"/>
        </w:rPr>
        <w:t xml:space="preserve">ith their Hearing Request, the Grandparents </w:t>
      </w:r>
      <w:r w:rsidR="00D45172">
        <w:rPr>
          <w:rFonts w:ascii="Times New Roman" w:hAnsi="Times New Roman" w:cs="Times New Roman"/>
          <w:sz w:val="24"/>
          <w:szCs w:val="24"/>
        </w:rPr>
        <w:t>submitted</w:t>
      </w:r>
      <w:r w:rsidR="00544680">
        <w:rPr>
          <w:rFonts w:ascii="Times New Roman" w:hAnsi="Times New Roman" w:cs="Times New Roman"/>
          <w:sz w:val="24"/>
          <w:szCs w:val="24"/>
        </w:rPr>
        <w:t xml:space="preserve"> a Caregiver Authorization Affidavit whereby Gabrielle’s mother, who resides in Clinton, Massachusetts, authorized Gabrielle’s grandmother and grandfather, who reside in West Springfield, Massachusetts, “to exercise concurrently the rights and responsibilities . . . that [she] possess[</w:t>
      </w:r>
      <w:proofErr w:type="spellStart"/>
      <w:r w:rsidR="00544680">
        <w:rPr>
          <w:rFonts w:ascii="Times New Roman" w:hAnsi="Times New Roman" w:cs="Times New Roman"/>
          <w:sz w:val="24"/>
          <w:szCs w:val="24"/>
        </w:rPr>
        <w:t>ed</w:t>
      </w:r>
      <w:proofErr w:type="spellEnd"/>
      <w:r w:rsidR="00544680">
        <w:rPr>
          <w:rFonts w:ascii="Times New Roman" w:hAnsi="Times New Roman" w:cs="Times New Roman"/>
          <w:sz w:val="24"/>
          <w:szCs w:val="24"/>
        </w:rPr>
        <w:t>] relative to the education and health care of” Gabrielle.</w:t>
      </w:r>
      <w:r w:rsidR="00544680">
        <w:rPr>
          <w:rStyle w:val="FootnoteReference"/>
          <w:rFonts w:ascii="Times New Roman" w:hAnsi="Times New Roman" w:cs="Times New Roman"/>
          <w:sz w:val="24"/>
          <w:szCs w:val="24"/>
        </w:rPr>
        <w:footnoteReference w:id="3"/>
      </w:r>
    </w:p>
    <w:p w14:paraId="75025F02" w14:textId="77777777" w:rsidR="00CA6937" w:rsidRDefault="00CA6937" w:rsidP="005A560B">
      <w:pPr>
        <w:pStyle w:val="NoSpacing"/>
        <w:rPr>
          <w:rFonts w:ascii="Times New Roman" w:hAnsi="Times New Roman" w:cs="Times New Roman"/>
          <w:sz w:val="24"/>
          <w:szCs w:val="24"/>
        </w:rPr>
      </w:pPr>
    </w:p>
    <w:p w14:paraId="5676C00C" w14:textId="01C07F51" w:rsidR="009B00FF" w:rsidRDefault="00CA6937" w:rsidP="005A560B">
      <w:pPr>
        <w:pStyle w:val="NoSpacing"/>
        <w:rPr>
          <w:rFonts w:ascii="Times New Roman" w:hAnsi="Times New Roman" w:cs="Times New Roman"/>
          <w:sz w:val="24"/>
          <w:szCs w:val="24"/>
        </w:rPr>
      </w:pPr>
      <w:r>
        <w:rPr>
          <w:rFonts w:ascii="Times New Roman" w:hAnsi="Times New Roman" w:cs="Times New Roman"/>
          <w:sz w:val="24"/>
          <w:szCs w:val="24"/>
        </w:rPr>
        <w:tab/>
        <w:t>On February 10, 20</w:t>
      </w:r>
      <w:r w:rsidR="009B00FF">
        <w:rPr>
          <w:rFonts w:ascii="Times New Roman" w:hAnsi="Times New Roman" w:cs="Times New Roman"/>
          <w:sz w:val="24"/>
          <w:szCs w:val="24"/>
        </w:rPr>
        <w:t xml:space="preserve">15, </w:t>
      </w:r>
      <w:r w:rsidR="00C918A1">
        <w:rPr>
          <w:rFonts w:ascii="Times New Roman" w:hAnsi="Times New Roman" w:cs="Times New Roman"/>
          <w:sz w:val="24"/>
          <w:szCs w:val="24"/>
        </w:rPr>
        <w:t>WSPS</w:t>
      </w:r>
      <w:r w:rsidR="009B00FF">
        <w:rPr>
          <w:rFonts w:ascii="Times New Roman" w:hAnsi="Times New Roman" w:cs="Times New Roman"/>
          <w:sz w:val="24"/>
          <w:szCs w:val="24"/>
        </w:rPr>
        <w:t xml:space="preserve"> </w:t>
      </w:r>
      <w:r>
        <w:rPr>
          <w:rFonts w:ascii="Times New Roman" w:hAnsi="Times New Roman" w:cs="Times New Roman"/>
          <w:sz w:val="24"/>
          <w:szCs w:val="24"/>
        </w:rPr>
        <w:t>filed its Response to the Hearing Request, along with a Motion to Join the Clinton Public Schools as a Necessary Party.  In support of its Motion, West Springfield submitted an Assignment of School District Responsibility letter dated October 30, 2014, under which the Department of Elementary and Secondary Education (“DESE”) had determined that financial responsibility for Gabrielle’s education belonged to Clinton, based on her mother’s residence</w:t>
      </w:r>
      <w:r w:rsidR="009B00FF">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9B00FF">
        <w:rPr>
          <w:rFonts w:ascii="Times New Roman" w:hAnsi="Times New Roman" w:cs="Times New Roman"/>
          <w:sz w:val="24"/>
          <w:szCs w:val="24"/>
        </w:rPr>
        <w:t xml:space="preserve"> and that programmatic responsibility belonged to West Springfield, where Gabrielle was “currently living with caregivers.”  By letter dated February 11, 2015, Clinton </w:t>
      </w:r>
      <w:r w:rsidR="003C1E13">
        <w:rPr>
          <w:rFonts w:ascii="Times New Roman" w:hAnsi="Times New Roman" w:cs="Times New Roman"/>
          <w:sz w:val="24"/>
          <w:szCs w:val="24"/>
        </w:rPr>
        <w:t>acknowledged to the BSEA that it</w:t>
      </w:r>
      <w:r w:rsidR="009B00FF">
        <w:rPr>
          <w:rFonts w:ascii="Times New Roman" w:hAnsi="Times New Roman" w:cs="Times New Roman"/>
          <w:sz w:val="24"/>
          <w:szCs w:val="24"/>
        </w:rPr>
        <w:t xml:space="preserve"> was the fiscally responsible school district in the case and indicated that it did not object to being joined in the matter.</w:t>
      </w:r>
    </w:p>
    <w:p w14:paraId="414FAD8A" w14:textId="77777777" w:rsidR="009B00FF" w:rsidRDefault="009B00FF" w:rsidP="005A560B">
      <w:pPr>
        <w:pStyle w:val="NoSpacing"/>
        <w:rPr>
          <w:rFonts w:ascii="Times New Roman" w:hAnsi="Times New Roman" w:cs="Times New Roman"/>
          <w:sz w:val="24"/>
          <w:szCs w:val="24"/>
        </w:rPr>
      </w:pPr>
    </w:p>
    <w:p w14:paraId="28C154D6" w14:textId="704525BC" w:rsidR="009B00FF" w:rsidRDefault="009B00FF" w:rsidP="005A560B">
      <w:pPr>
        <w:pStyle w:val="NoSpacing"/>
        <w:rPr>
          <w:rFonts w:ascii="Times New Roman" w:hAnsi="Times New Roman" w:cs="Times New Roman"/>
          <w:sz w:val="24"/>
          <w:szCs w:val="24"/>
        </w:rPr>
      </w:pPr>
      <w:r>
        <w:rPr>
          <w:rFonts w:ascii="Times New Roman" w:hAnsi="Times New Roman" w:cs="Times New Roman"/>
          <w:sz w:val="24"/>
          <w:szCs w:val="24"/>
        </w:rPr>
        <w:tab/>
        <w:t>During a Conference Call that took place on March 3, 2015, West Springfield further elaborated on the contention it had raised in its Response to the Grandparents’ Hearing Request that the Grandparents did not have standing to file a Hearing Request on behalf of Gabrielle.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On </w:t>
      </w:r>
      <w:r w:rsidR="0087794D">
        <w:rPr>
          <w:rFonts w:ascii="Times New Roman" w:hAnsi="Times New Roman" w:cs="Times New Roman"/>
          <w:sz w:val="24"/>
          <w:szCs w:val="24"/>
        </w:rPr>
        <w:t xml:space="preserve">March 13, 2015 </w:t>
      </w:r>
      <w:r>
        <w:rPr>
          <w:rFonts w:ascii="Times New Roman" w:hAnsi="Times New Roman" w:cs="Times New Roman"/>
          <w:sz w:val="24"/>
          <w:szCs w:val="24"/>
        </w:rPr>
        <w:t>Clinton filed</w:t>
      </w:r>
      <w:r w:rsidR="0087794D">
        <w:rPr>
          <w:rFonts w:ascii="Times New Roman" w:hAnsi="Times New Roman" w:cs="Times New Roman"/>
          <w:sz w:val="24"/>
          <w:szCs w:val="24"/>
        </w:rPr>
        <w:t xml:space="preserve"> a Motion to Dismiss, along with a Memorandum in support of its Motion.  On March 20, 2015</w:t>
      </w:r>
      <w:r w:rsidR="00BB348A">
        <w:rPr>
          <w:rFonts w:ascii="Times New Roman" w:hAnsi="Times New Roman" w:cs="Times New Roman"/>
          <w:sz w:val="24"/>
          <w:szCs w:val="24"/>
        </w:rPr>
        <w:t xml:space="preserve"> the Grandparents filed the Student’s Oppositi</w:t>
      </w:r>
      <w:r w:rsidR="004414E3">
        <w:rPr>
          <w:rFonts w:ascii="Times New Roman" w:hAnsi="Times New Roman" w:cs="Times New Roman"/>
          <w:sz w:val="24"/>
          <w:szCs w:val="24"/>
        </w:rPr>
        <w:t>on to the Clinton Public School</w:t>
      </w:r>
      <w:r w:rsidR="00BB348A">
        <w:rPr>
          <w:rFonts w:ascii="Times New Roman" w:hAnsi="Times New Roman" w:cs="Times New Roman"/>
          <w:sz w:val="24"/>
          <w:szCs w:val="24"/>
        </w:rPr>
        <w:t>s</w:t>
      </w:r>
      <w:r w:rsidR="004414E3">
        <w:rPr>
          <w:rFonts w:ascii="Times New Roman" w:hAnsi="Times New Roman" w:cs="Times New Roman"/>
          <w:sz w:val="24"/>
          <w:szCs w:val="24"/>
        </w:rPr>
        <w:t>’</w:t>
      </w:r>
      <w:r w:rsidR="00BB348A">
        <w:rPr>
          <w:rFonts w:ascii="Times New Roman" w:hAnsi="Times New Roman" w:cs="Times New Roman"/>
          <w:sz w:val="24"/>
          <w:szCs w:val="24"/>
        </w:rPr>
        <w:t xml:space="preserve"> Motion to Dismiss and Memorandum in support thereof.</w:t>
      </w:r>
    </w:p>
    <w:p w14:paraId="08B0E09A" w14:textId="2BF98461" w:rsidR="005A560B" w:rsidRPr="00BB348A" w:rsidRDefault="005A560B" w:rsidP="005A560B">
      <w:pPr>
        <w:pStyle w:val="NoSpacing"/>
        <w:rPr>
          <w:rFonts w:ascii="Times New Roman" w:hAnsi="Times New Roman" w:cs="Times New Roman"/>
          <w:sz w:val="24"/>
          <w:szCs w:val="24"/>
        </w:rPr>
      </w:pPr>
    </w:p>
    <w:p w14:paraId="04A52CE5" w14:textId="77777777" w:rsidR="005A560B" w:rsidRDefault="005A560B" w:rsidP="005A560B">
      <w:pPr>
        <w:pStyle w:val="NoSpacing"/>
        <w:rPr>
          <w:rFonts w:ascii="Times New Roman" w:hAnsi="Times New Roman" w:cs="Times New Roman"/>
          <w:sz w:val="24"/>
          <w:szCs w:val="24"/>
        </w:rPr>
      </w:pPr>
    </w:p>
    <w:p w14:paraId="4FB80277" w14:textId="77777777" w:rsidR="005A560B" w:rsidRDefault="005A560B" w:rsidP="005A560B">
      <w:pPr>
        <w:pStyle w:val="NoSpacing"/>
        <w:rPr>
          <w:rFonts w:ascii="Times New Roman" w:hAnsi="Times New Roman" w:cs="Times New Roman"/>
          <w:sz w:val="24"/>
          <w:szCs w:val="24"/>
        </w:rPr>
      </w:pPr>
    </w:p>
    <w:p w14:paraId="61436EB0" w14:textId="77777777" w:rsidR="005A560B" w:rsidRPr="00331E3A" w:rsidRDefault="005A560B" w:rsidP="005A560B">
      <w:pPr>
        <w:pStyle w:val="No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72FA3F82" w14:textId="77777777" w:rsidR="005A560B" w:rsidRPr="00025D32" w:rsidRDefault="005A560B" w:rsidP="005A560B">
      <w:pPr>
        <w:pStyle w:val="NoSpacing"/>
        <w:rPr>
          <w:rFonts w:ascii="Times New Roman" w:hAnsi="Times New Roman" w:cs="Times New Roman"/>
          <w:sz w:val="24"/>
          <w:szCs w:val="24"/>
          <w:u w:val="single"/>
        </w:rPr>
      </w:pPr>
    </w:p>
    <w:p w14:paraId="05635BCF" w14:textId="77777777" w:rsidR="005A560B" w:rsidRDefault="005A560B" w:rsidP="005A560B">
      <w:pPr>
        <w:pStyle w:val="ListParagraph"/>
        <w:numPr>
          <w:ilvl w:val="0"/>
          <w:numId w:val="8"/>
        </w:numPr>
        <w:rPr>
          <w:rFonts w:ascii="Times New Roman" w:hAnsi="Times New Roman" w:cs="Times New Roman"/>
          <w:sz w:val="24"/>
          <w:szCs w:val="24"/>
          <w:u w:val="single"/>
        </w:rPr>
      </w:pPr>
      <w:r w:rsidRPr="00025D32">
        <w:rPr>
          <w:rFonts w:ascii="Times New Roman" w:hAnsi="Times New Roman" w:cs="Times New Roman"/>
          <w:sz w:val="24"/>
          <w:szCs w:val="24"/>
          <w:u w:val="single"/>
        </w:rPr>
        <w:t>Standard for Ruling on Motion to Dismiss</w:t>
      </w:r>
    </w:p>
    <w:p w14:paraId="70B3B73E" w14:textId="6DF5438F" w:rsidR="00BB348A" w:rsidRPr="00BB348A" w:rsidRDefault="00BB348A" w:rsidP="00BB348A">
      <w:pPr>
        <w:ind w:firstLine="360"/>
        <w:rPr>
          <w:rFonts w:ascii="Times New Roman" w:hAnsi="Times New Roman" w:cs="Times New Roman"/>
          <w:sz w:val="24"/>
          <w:szCs w:val="24"/>
        </w:rPr>
      </w:pPr>
      <w:r w:rsidRPr="00BB348A">
        <w:rPr>
          <w:rFonts w:ascii="Times New Roman" w:hAnsi="Times New Roman" w:cs="Times New Roman"/>
          <w:sz w:val="24"/>
          <w:szCs w:val="24"/>
        </w:rPr>
        <w:t xml:space="preserve">Pursuant to the </w:t>
      </w:r>
      <w:r w:rsidRPr="00BB348A">
        <w:rPr>
          <w:rFonts w:ascii="Times New Roman" w:hAnsi="Times New Roman" w:cs="Times New Roman"/>
          <w:i/>
          <w:sz w:val="24"/>
          <w:szCs w:val="24"/>
        </w:rPr>
        <w:t>Standard Adjudicatory Rules of Practice and Procedure</w:t>
      </w:r>
      <w:r w:rsidRPr="00BB348A">
        <w:rPr>
          <w:rFonts w:ascii="Times New Roman" w:hAnsi="Times New Roman" w:cs="Times New Roman"/>
          <w:sz w:val="24"/>
          <w:szCs w:val="24"/>
        </w:rPr>
        <w:t xml:space="preserve">, 801 CMR 1.01(7)(g)(3) and Rule 17B of the BSEA </w:t>
      </w:r>
      <w:r w:rsidRPr="00BB348A">
        <w:rPr>
          <w:rFonts w:ascii="Times New Roman" w:hAnsi="Times New Roman" w:cs="Times New Roman"/>
          <w:i/>
          <w:sz w:val="24"/>
          <w:szCs w:val="24"/>
        </w:rPr>
        <w:t>Hearing Rules for Special Education Appeals</w:t>
      </w:r>
      <w:r w:rsidRPr="00BB348A">
        <w:rPr>
          <w:rFonts w:ascii="Times New Roman" w:hAnsi="Times New Roman" w:cs="Times New Roman"/>
          <w:sz w:val="24"/>
          <w:szCs w:val="24"/>
        </w:rPr>
        <w:t>, a hearing officer may allow a motion to dismiss if the party requesting the appeal fails to state a claim o</w:t>
      </w:r>
      <w:r w:rsidR="005A010A">
        <w:rPr>
          <w:rFonts w:ascii="Times New Roman" w:hAnsi="Times New Roman" w:cs="Times New Roman"/>
          <w:sz w:val="24"/>
          <w:szCs w:val="24"/>
        </w:rPr>
        <w:t xml:space="preserve">n which relief can be granted.  </w:t>
      </w:r>
      <w:r w:rsidRPr="00BB348A">
        <w:rPr>
          <w:rFonts w:ascii="Times New Roman" w:hAnsi="Times New Roman" w:cs="Times New Roman"/>
          <w:sz w:val="24"/>
          <w:szCs w:val="24"/>
        </w:rPr>
        <w:t xml:space="preserve">This rule is analogous to Rule 12(b)(6) of the Federal Rules of Civil Procedure and as such hearing officers have generally used the same standards as the courts in deciding motions to dismiss for failure to state a claim.  Specifically, what is required to survive a motion to dismiss “are factual ‘allegations plausibly suggesting (not merely </w:t>
      </w:r>
      <w:r w:rsidRPr="00BB348A">
        <w:rPr>
          <w:rFonts w:ascii="Times New Roman" w:hAnsi="Times New Roman" w:cs="Times New Roman"/>
          <w:sz w:val="24"/>
          <w:szCs w:val="24"/>
        </w:rPr>
        <w:lastRenderedPageBreak/>
        <w:t>consistent with)’ an entitlement to relief.”</w:t>
      </w:r>
      <w:r w:rsidRPr="000173EF">
        <w:rPr>
          <w:rStyle w:val="FootnoteReference"/>
          <w:rFonts w:ascii="Times New Roman" w:hAnsi="Times New Roman" w:cs="Times New Roman"/>
          <w:sz w:val="24"/>
          <w:szCs w:val="24"/>
        </w:rPr>
        <w:footnoteReference w:id="6"/>
      </w:r>
      <w:r w:rsidRPr="00BB348A">
        <w:rPr>
          <w:rFonts w:ascii="Times New Roman" w:hAnsi="Times New Roman" w:cs="Times New Roman"/>
          <w:sz w:val="24"/>
          <w:szCs w:val="24"/>
        </w:rPr>
        <w:t xml:space="preserve"> In evaluating the complaint, the hearing officer must take as true “the allegations of the complaint, as well as such inferences as may be drawn therefrom in the plaintiff’s favor.”</w:t>
      </w:r>
      <w:r w:rsidRPr="000173EF">
        <w:rPr>
          <w:rStyle w:val="FootnoteReference"/>
          <w:rFonts w:ascii="Times New Roman" w:hAnsi="Times New Roman" w:cs="Times New Roman"/>
          <w:sz w:val="24"/>
          <w:szCs w:val="24"/>
        </w:rPr>
        <w:footnoteReference w:id="7"/>
      </w:r>
      <w:r w:rsidRPr="00BB348A">
        <w:rPr>
          <w:rFonts w:ascii="Times New Roman" w:hAnsi="Times New Roman" w:cs="Times New Roman"/>
          <w:sz w:val="24"/>
          <w:szCs w:val="24"/>
        </w:rPr>
        <w:t xml:space="preserve"> These “[f]actual allegations must be enough to raise a right to relief above the speculative level . . . [based] on the assumption that all the allegations in the complaint are true (even if doubtful in fact). . .”</w:t>
      </w:r>
      <w:r w:rsidRPr="000173EF">
        <w:rPr>
          <w:rStyle w:val="FootnoteReference"/>
          <w:rFonts w:ascii="Times New Roman" w:hAnsi="Times New Roman" w:cs="Times New Roman"/>
          <w:sz w:val="24"/>
          <w:szCs w:val="24"/>
        </w:rPr>
        <w:footnoteReference w:id="8"/>
      </w:r>
      <w:r w:rsidRPr="00BB348A">
        <w:rPr>
          <w:rFonts w:ascii="Times New Roman" w:hAnsi="Times New Roman" w:cs="Times New Roman"/>
          <w:sz w:val="24"/>
          <w:szCs w:val="24"/>
        </w:rPr>
        <w:t xml:space="preserve"> </w:t>
      </w:r>
    </w:p>
    <w:p w14:paraId="3394583D" w14:textId="41E2F351" w:rsidR="005A010A" w:rsidRPr="005A010A" w:rsidRDefault="00B16BC1" w:rsidP="005A010A">
      <w:pPr>
        <w:pStyle w:val="ListParagraph"/>
        <w:numPr>
          <w:ilvl w:val="0"/>
          <w:numId w:val="8"/>
        </w:numPr>
        <w:rPr>
          <w:rFonts w:ascii="Times New Roman" w:hAnsi="Times New Roman" w:cs="Times New Roman"/>
          <w:sz w:val="24"/>
          <w:szCs w:val="24"/>
          <w:u w:val="single"/>
        </w:rPr>
      </w:pPr>
      <w:r>
        <w:rPr>
          <w:rFonts w:ascii="Times New Roman" w:hAnsi="Times New Roman" w:cs="Times New Roman"/>
          <w:sz w:val="24"/>
          <w:szCs w:val="24"/>
          <w:u w:val="single"/>
        </w:rPr>
        <w:t>Statutory Interpretation</w:t>
      </w:r>
    </w:p>
    <w:p w14:paraId="5D09E298" w14:textId="2E928CE8" w:rsidR="005A010A" w:rsidRPr="005A010A" w:rsidRDefault="005A010A" w:rsidP="005A010A">
      <w:pPr>
        <w:ind w:firstLine="360"/>
        <w:rPr>
          <w:rFonts w:ascii="Times New Roman" w:hAnsi="Times New Roman" w:cs="Times New Roman"/>
          <w:sz w:val="24"/>
          <w:szCs w:val="24"/>
        </w:rPr>
      </w:pPr>
      <w:proofErr w:type="gramStart"/>
      <w:r>
        <w:rPr>
          <w:rFonts w:ascii="Times New Roman" w:hAnsi="Times New Roman" w:cs="Times New Roman"/>
          <w:sz w:val="24"/>
          <w:szCs w:val="24"/>
        </w:rPr>
        <w:t>Whether the Grandparents have standing to file the instant BSEA claim turns on interpretation of Massachusetts General Laws chapter 201F, the statute that authorizes the Massachusetts Caregiver Authorization Affidavit.</w:t>
      </w:r>
      <w:proofErr w:type="gramEnd"/>
      <w:r>
        <w:rPr>
          <w:rFonts w:ascii="Times New Roman" w:hAnsi="Times New Roman" w:cs="Times New Roman"/>
          <w:sz w:val="24"/>
          <w:szCs w:val="24"/>
        </w:rPr>
        <w:t xml:space="preserve">  Generally, statutes are interpreted “according to the intent of the Legislature ascertained from all its words construed by the ordinary and approved usage of the language, considered in connection with the cause of its enactment, the mischief of imperfection to be remedied and the main object to be accomplished, to the end that the purpose of its framers may be effectuated.”</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In interpreting a statute, case law dictates that the decision-maker begin with the plain language of the statute, and enforce the statute according to its plain wording as long as that wording is “clear and unambiguous” and “its application would not lead to an absurd result.”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Furthermore, the words and phrases of a statute may not be viewed in isolation; they must be understood within the larger context of the statute.</w:t>
      </w:r>
      <w:r>
        <w:rPr>
          <w:rStyle w:val="FootnoteReference"/>
          <w:rFonts w:ascii="Times New Roman" w:hAnsi="Times New Roman" w:cs="Times New Roman"/>
          <w:sz w:val="24"/>
          <w:szCs w:val="24"/>
        </w:rPr>
        <w:footnoteReference w:id="11"/>
      </w:r>
    </w:p>
    <w:p w14:paraId="3870E398" w14:textId="45E08BF7" w:rsidR="005A010A" w:rsidRDefault="005A010A" w:rsidP="005A560B">
      <w:pPr>
        <w:pStyle w:val="ListParagraph"/>
        <w:numPr>
          <w:ilvl w:val="0"/>
          <w:numId w:val="8"/>
        </w:numPr>
        <w:rPr>
          <w:rFonts w:ascii="Times New Roman" w:hAnsi="Times New Roman" w:cs="Times New Roman"/>
          <w:sz w:val="24"/>
          <w:szCs w:val="24"/>
          <w:u w:val="single"/>
        </w:rPr>
      </w:pPr>
      <w:r>
        <w:rPr>
          <w:rFonts w:ascii="Times New Roman" w:hAnsi="Times New Roman" w:cs="Times New Roman"/>
          <w:sz w:val="24"/>
          <w:szCs w:val="24"/>
          <w:u w:val="single"/>
        </w:rPr>
        <w:t>The Caregiver Authorization Affidavit</w:t>
      </w:r>
    </w:p>
    <w:p w14:paraId="56852F72" w14:textId="35AA1434" w:rsidR="004414E3" w:rsidRPr="00BD2017" w:rsidRDefault="004414E3" w:rsidP="004414E3">
      <w:pPr>
        <w:ind w:firstLine="360"/>
        <w:rPr>
          <w:rFonts w:ascii="Times New Roman" w:hAnsi="Times New Roman" w:cs="Times New Roman"/>
          <w:sz w:val="24"/>
          <w:szCs w:val="24"/>
        </w:rPr>
      </w:pPr>
      <w:r>
        <w:rPr>
          <w:rFonts w:ascii="Times New Roman" w:hAnsi="Times New Roman" w:cs="Times New Roman"/>
          <w:sz w:val="24"/>
          <w:szCs w:val="24"/>
        </w:rPr>
        <w:t xml:space="preserve">The Massachusetts Caregiver Authorization Affidavit filed in this case specifically provides the Grandparents with the authorization “to exercise concurrently the rights and responsibilities . . . that [the undersigned parent] </w:t>
      </w:r>
      <w:proofErr w:type="gramStart"/>
      <w:r>
        <w:rPr>
          <w:rFonts w:ascii="Times New Roman" w:hAnsi="Times New Roman" w:cs="Times New Roman"/>
          <w:sz w:val="24"/>
          <w:szCs w:val="24"/>
        </w:rPr>
        <w:t>possess[</w:t>
      </w:r>
      <w:proofErr w:type="spellStart"/>
      <w:proofErr w:type="gramEnd"/>
      <w:r>
        <w:rPr>
          <w:rFonts w:ascii="Times New Roman" w:hAnsi="Times New Roman" w:cs="Times New Roman"/>
          <w:sz w:val="24"/>
          <w:szCs w:val="24"/>
        </w:rPr>
        <w:t>es</w:t>
      </w:r>
      <w:proofErr w:type="spellEnd"/>
      <w:r>
        <w:rPr>
          <w:rFonts w:ascii="Times New Roman" w:hAnsi="Times New Roman" w:cs="Times New Roman"/>
          <w:sz w:val="24"/>
          <w:szCs w:val="24"/>
        </w:rPr>
        <w:t>] relative to the education of” Gabrielle.  The question before me is whether these rights and responsibilities conveyed to the Grandparents through the Affidavit include the ability to file a claim before the BSEA.</w:t>
      </w:r>
      <w:r w:rsidR="005A010A">
        <w:rPr>
          <w:rFonts w:ascii="Times New Roman" w:hAnsi="Times New Roman" w:cs="Times New Roman"/>
          <w:sz w:val="24"/>
          <w:szCs w:val="24"/>
        </w:rPr>
        <w:t xml:space="preserve"> </w:t>
      </w:r>
    </w:p>
    <w:p w14:paraId="50D950F0" w14:textId="19D48FFF" w:rsidR="004414E3" w:rsidRPr="005A010A" w:rsidRDefault="005A010A" w:rsidP="00B16BC1">
      <w:pPr>
        <w:pStyle w:val="ListParagraph"/>
        <w:numPr>
          <w:ilvl w:val="0"/>
          <w:numId w:val="8"/>
        </w:numPr>
        <w:rPr>
          <w:rFonts w:ascii="Times New Roman" w:hAnsi="Times New Roman" w:cs="Times New Roman"/>
          <w:sz w:val="24"/>
          <w:szCs w:val="24"/>
          <w:u w:val="single"/>
        </w:rPr>
      </w:pPr>
      <w:r>
        <w:rPr>
          <w:rFonts w:ascii="Times New Roman" w:hAnsi="Times New Roman" w:cs="Times New Roman"/>
          <w:sz w:val="24"/>
          <w:szCs w:val="24"/>
          <w:u w:val="single"/>
        </w:rPr>
        <w:lastRenderedPageBreak/>
        <w:t>Standing to File BSEA Claim</w:t>
      </w:r>
    </w:p>
    <w:p w14:paraId="4FC5D829" w14:textId="320A3B00" w:rsidR="005A560B" w:rsidRDefault="00BB348A" w:rsidP="005A010A">
      <w:pPr>
        <w:ind w:firstLine="360"/>
        <w:rPr>
          <w:rFonts w:ascii="Times New Roman" w:hAnsi="Times New Roman" w:cs="Times New Roman"/>
          <w:sz w:val="24"/>
          <w:szCs w:val="24"/>
        </w:rPr>
      </w:pPr>
      <w:r>
        <w:rPr>
          <w:rFonts w:ascii="Times New Roman" w:hAnsi="Times New Roman" w:cs="Times New Roman"/>
          <w:sz w:val="24"/>
          <w:szCs w:val="24"/>
        </w:rPr>
        <w:t>In its Motion to Dismiss Grandparents and Request for Retroactive Reimbursement, Clinton advances two arguments.  First, the District asserts that the Grandparents lack standing to bring the claim, because Gabrielle’s mother “is representing her in this matter.”  Second, the District argues that the claim for retroactive reimbursement must be dismissed as Gabrielle’s mother “does not have standing to request reimbursement since she has not paid any out-of-pocket expenses for the priv</w:t>
      </w:r>
      <w:r w:rsidR="00A01C6C">
        <w:rPr>
          <w:rFonts w:ascii="Times New Roman" w:hAnsi="Times New Roman" w:cs="Times New Roman"/>
          <w:sz w:val="24"/>
          <w:szCs w:val="24"/>
        </w:rPr>
        <w:t>ate school program.”  The latter</w:t>
      </w:r>
      <w:r>
        <w:rPr>
          <w:rFonts w:ascii="Times New Roman" w:hAnsi="Times New Roman" w:cs="Times New Roman"/>
          <w:sz w:val="24"/>
          <w:szCs w:val="24"/>
        </w:rPr>
        <w:t xml:space="preserve"> argument need be addressed only if the Grandparents are dismissed from the matter for lack of sta</w:t>
      </w:r>
      <w:r w:rsidR="00A01C6C">
        <w:rPr>
          <w:rFonts w:ascii="Times New Roman" w:hAnsi="Times New Roman" w:cs="Times New Roman"/>
          <w:sz w:val="24"/>
          <w:szCs w:val="24"/>
        </w:rPr>
        <w:t>nding, so I begin with the former</w:t>
      </w:r>
      <w:r>
        <w:rPr>
          <w:rFonts w:ascii="Times New Roman" w:hAnsi="Times New Roman" w:cs="Times New Roman"/>
          <w:sz w:val="24"/>
          <w:szCs w:val="24"/>
        </w:rPr>
        <w:t>.</w:t>
      </w:r>
    </w:p>
    <w:p w14:paraId="5565D1A5" w14:textId="20AA0A11" w:rsidR="003B139E" w:rsidRDefault="003B139E" w:rsidP="005A560B">
      <w:pPr>
        <w:ind w:firstLine="360"/>
        <w:rPr>
          <w:rFonts w:ascii="Times New Roman" w:hAnsi="Times New Roman" w:cs="Times New Roman"/>
          <w:sz w:val="24"/>
          <w:szCs w:val="24"/>
        </w:rPr>
      </w:pPr>
      <w:r>
        <w:rPr>
          <w:rFonts w:ascii="Times New Roman" w:hAnsi="Times New Roman" w:cs="Times New Roman"/>
          <w:sz w:val="24"/>
          <w:szCs w:val="24"/>
        </w:rPr>
        <w:t>The District acknowledges that the Caregiver Authorization Affidavit</w:t>
      </w:r>
      <w:r w:rsidR="00BD2017">
        <w:rPr>
          <w:rFonts w:ascii="Times New Roman" w:hAnsi="Times New Roman" w:cs="Times New Roman"/>
          <w:sz w:val="24"/>
          <w:szCs w:val="24"/>
        </w:rPr>
        <w:t xml:space="preserve"> statute, Massachusetts General </w:t>
      </w:r>
      <w:proofErr w:type="gramStart"/>
      <w:r w:rsidR="00BD2017">
        <w:rPr>
          <w:rFonts w:ascii="Times New Roman" w:hAnsi="Times New Roman" w:cs="Times New Roman"/>
          <w:sz w:val="24"/>
          <w:szCs w:val="24"/>
        </w:rPr>
        <w:t>Laws</w:t>
      </w:r>
      <w:proofErr w:type="gramEnd"/>
      <w:r w:rsidR="00BD2017">
        <w:rPr>
          <w:rFonts w:ascii="Times New Roman" w:hAnsi="Times New Roman" w:cs="Times New Roman"/>
          <w:sz w:val="24"/>
          <w:szCs w:val="24"/>
        </w:rPr>
        <w:t xml:space="preserve"> chapter 201F, permits a parent to authorize a designated caregiver to exercise certain concurrent parental rights and responsibilities relative to a designated minor’s education and health care.  It points to one phrase in section 3, however, to argue that a parent may only authorize a designated caregiver to represent the minor in special education matters when the caregiver is “standing in” for the parent.</w:t>
      </w:r>
      <w:r w:rsidR="00BD2017">
        <w:rPr>
          <w:rStyle w:val="FootnoteReference"/>
          <w:rFonts w:ascii="Times New Roman" w:hAnsi="Times New Roman" w:cs="Times New Roman"/>
          <w:sz w:val="24"/>
          <w:szCs w:val="24"/>
        </w:rPr>
        <w:footnoteReference w:id="12"/>
      </w:r>
      <w:r w:rsidR="00E57895">
        <w:rPr>
          <w:rFonts w:ascii="Times New Roman" w:hAnsi="Times New Roman" w:cs="Times New Roman"/>
          <w:sz w:val="24"/>
          <w:szCs w:val="24"/>
        </w:rPr>
        <w:t xml:space="preserve">  According to Clinton, which relies on a dictionary definition of “stand in”</w:t>
      </w:r>
      <w:r w:rsidR="00A01C6C">
        <w:rPr>
          <w:rFonts w:ascii="Times New Roman" w:hAnsi="Times New Roman" w:cs="Times New Roman"/>
          <w:sz w:val="24"/>
          <w:szCs w:val="24"/>
        </w:rPr>
        <w:t xml:space="preserve"> as </w:t>
      </w:r>
      <w:r w:rsidR="00E57895">
        <w:rPr>
          <w:rFonts w:ascii="Times New Roman" w:hAnsi="Times New Roman" w:cs="Times New Roman"/>
          <w:sz w:val="24"/>
          <w:szCs w:val="24"/>
        </w:rPr>
        <w:t>“a person or thing that takes the place of someone or something else for a period of time,” a caregiver may only represent a minor in special education matters when he or she is taking the place of the authorizin</w:t>
      </w:r>
      <w:r w:rsidR="00905746">
        <w:rPr>
          <w:rFonts w:ascii="Times New Roman" w:hAnsi="Times New Roman" w:cs="Times New Roman"/>
          <w:sz w:val="24"/>
          <w:szCs w:val="24"/>
        </w:rPr>
        <w:t>g parent.  In this matter, the D</w:t>
      </w:r>
      <w:r w:rsidR="00E57895">
        <w:rPr>
          <w:rFonts w:ascii="Times New Roman" w:hAnsi="Times New Roman" w:cs="Times New Roman"/>
          <w:sz w:val="24"/>
          <w:szCs w:val="24"/>
        </w:rPr>
        <w:t>istrict asserts, Gabrielle’s mother is representing her daughter because she is listed as a parent on the Request for Hearing, which states that the parent and grandparents togethe</w:t>
      </w:r>
      <w:r w:rsidR="00905746">
        <w:rPr>
          <w:rFonts w:ascii="Times New Roman" w:hAnsi="Times New Roman" w:cs="Times New Roman"/>
          <w:sz w:val="24"/>
          <w:szCs w:val="24"/>
        </w:rPr>
        <w:t xml:space="preserve">r seek a finding from the BSEA.  </w:t>
      </w:r>
      <w:r w:rsidR="00E57895">
        <w:rPr>
          <w:rFonts w:ascii="Times New Roman" w:hAnsi="Times New Roman" w:cs="Times New Roman"/>
          <w:sz w:val="24"/>
          <w:szCs w:val="24"/>
        </w:rPr>
        <w:t xml:space="preserve">Moreover, it points to the letter submitted by Grandparents’ counsel in </w:t>
      </w:r>
      <w:proofErr w:type="gramStart"/>
      <w:r w:rsidR="00E57895">
        <w:rPr>
          <w:rFonts w:ascii="Times New Roman" w:hAnsi="Times New Roman" w:cs="Times New Roman"/>
          <w:sz w:val="24"/>
          <w:szCs w:val="24"/>
        </w:rPr>
        <w:t>which</w:t>
      </w:r>
      <w:proofErr w:type="gramEnd"/>
      <w:r w:rsidR="00E57895">
        <w:rPr>
          <w:rFonts w:ascii="Times New Roman" w:hAnsi="Times New Roman" w:cs="Times New Roman"/>
          <w:sz w:val="24"/>
          <w:szCs w:val="24"/>
        </w:rPr>
        <w:t xml:space="preserve"> the mother indicates that she has been in touch with the caregivers and is in support of their decisions</w:t>
      </w:r>
      <w:r w:rsidR="009773C5">
        <w:rPr>
          <w:rFonts w:ascii="Times New Roman" w:hAnsi="Times New Roman" w:cs="Times New Roman"/>
          <w:sz w:val="24"/>
          <w:szCs w:val="24"/>
        </w:rPr>
        <w:t xml:space="preserve"> regarding Gabrielle’s education as proof that Gabrielle’s mother represents her, and therefore the Grandparents have not been taking her place</w:t>
      </w:r>
      <w:r w:rsidR="005A010A">
        <w:rPr>
          <w:rFonts w:ascii="Times New Roman" w:hAnsi="Times New Roman" w:cs="Times New Roman"/>
          <w:sz w:val="24"/>
          <w:szCs w:val="24"/>
        </w:rPr>
        <w:t xml:space="preserve"> or, therefore, standing in for her.</w:t>
      </w:r>
    </w:p>
    <w:p w14:paraId="3459D742" w14:textId="3DF1DBB4" w:rsidR="0089548E" w:rsidRDefault="0089548E" w:rsidP="005A560B">
      <w:pPr>
        <w:ind w:firstLine="360"/>
        <w:rPr>
          <w:rFonts w:ascii="Times New Roman" w:hAnsi="Times New Roman" w:cs="Times New Roman"/>
          <w:sz w:val="24"/>
          <w:szCs w:val="24"/>
        </w:rPr>
      </w:pPr>
      <w:r>
        <w:rPr>
          <w:rFonts w:ascii="Times New Roman" w:hAnsi="Times New Roman" w:cs="Times New Roman"/>
          <w:sz w:val="24"/>
          <w:szCs w:val="24"/>
        </w:rPr>
        <w:t>The Grandparents, on the other hand, emphasize the word “concurrent,” in the statute, relying on its dictionary definition of “operating or occurring at the same time,” and “acting in conjunction.” They argue that the intent of the statute is to permit caregivers to work together with the authorizing individual to make educational and other decisions on behalf of the child.  Furthermore, they assert that the fact that they – and not Gabrielle’s mother – filed the Hearing Request, demonstrates that Gabrielle’s mother is not acting as her representative in this matter, and they state that her mother’s agreement with the Grandparents’ actions does not void their caregiver authorization.  Instead, it shows that Gabrielle’s mother and her Grandparents have been working in the concurrent manner contemplated by the statute.</w:t>
      </w:r>
      <w:r w:rsidR="005F4400">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14:paraId="3BB0F1BF" w14:textId="362D0FF7" w:rsidR="00360DA0" w:rsidRDefault="001658B7" w:rsidP="005A560B">
      <w:pPr>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The plain language of </w:t>
      </w:r>
      <w:r w:rsidR="00360DA0">
        <w:rPr>
          <w:rFonts w:ascii="Times New Roman" w:hAnsi="Times New Roman" w:cs="Times New Roman"/>
          <w:sz w:val="24"/>
          <w:szCs w:val="24"/>
        </w:rPr>
        <w:t xml:space="preserve">M.G.L. </w:t>
      </w:r>
      <w:proofErr w:type="spellStart"/>
      <w:r w:rsidR="00360DA0">
        <w:rPr>
          <w:rFonts w:ascii="Times New Roman" w:hAnsi="Times New Roman" w:cs="Times New Roman"/>
          <w:sz w:val="24"/>
          <w:szCs w:val="24"/>
        </w:rPr>
        <w:t>ch.</w:t>
      </w:r>
      <w:proofErr w:type="spellEnd"/>
      <w:r w:rsidR="00360DA0">
        <w:rPr>
          <w:rFonts w:ascii="Times New Roman" w:hAnsi="Times New Roman" w:cs="Times New Roman"/>
          <w:sz w:val="24"/>
          <w:szCs w:val="24"/>
        </w:rPr>
        <w:t xml:space="preserve"> 201F § 2 reads, in pertinent part, as follows:</w:t>
      </w:r>
    </w:p>
    <w:p w14:paraId="279B76E7" w14:textId="21D274F3" w:rsidR="00360DA0" w:rsidRDefault="00360DA0" w:rsidP="005A560B">
      <w:pPr>
        <w:ind w:firstLine="360"/>
        <w:rPr>
          <w:rFonts w:ascii="Times New Roman" w:hAnsi="Times New Roman" w:cs="Times New Roman"/>
          <w:sz w:val="24"/>
          <w:szCs w:val="24"/>
        </w:rPr>
      </w:pPr>
      <w:r>
        <w:rPr>
          <w:rFonts w:ascii="Times New Roman" w:hAnsi="Times New Roman" w:cs="Times New Roman"/>
          <w:sz w:val="24"/>
          <w:szCs w:val="24"/>
        </w:rPr>
        <w:tab/>
        <w:t xml:space="preserve">A parent, legal guardian or legal custodian of a minor, by a caregiver authorization </w:t>
      </w:r>
      <w:r>
        <w:rPr>
          <w:rFonts w:ascii="Times New Roman" w:hAnsi="Times New Roman" w:cs="Times New Roman"/>
          <w:sz w:val="24"/>
          <w:szCs w:val="24"/>
        </w:rPr>
        <w:tab/>
      </w:r>
      <w:r>
        <w:rPr>
          <w:rFonts w:ascii="Times New Roman" w:hAnsi="Times New Roman" w:cs="Times New Roman"/>
          <w:sz w:val="24"/>
          <w:szCs w:val="24"/>
        </w:rPr>
        <w:tab/>
        <w:t xml:space="preserve">affidavit, may authorize a designated caregiver to exercise certain concurrent parental </w:t>
      </w:r>
      <w:r>
        <w:rPr>
          <w:rFonts w:ascii="Times New Roman" w:hAnsi="Times New Roman" w:cs="Times New Roman"/>
          <w:sz w:val="24"/>
          <w:szCs w:val="24"/>
        </w:rPr>
        <w:tab/>
      </w:r>
      <w:r>
        <w:rPr>
          <w:rFonts w:ascii="Times New Roman" w:hAnsi="Times New Roman" w:cs="Times New Roman"/>
          <w:sz w:val="24"/>
          <w:szCs w:val="24"/>
        </w:rPr>
        <w:tab/>
        <w:t xml:space="preserve">rights and responsibilities relative to a designated minor’s education and health care, as </w:t>
      </w:r>
      <w:r>
        <w:rPr>
          <w:rFonts w:ascii="Times New Roman" w:hAnsi="Times New Roman" w:cs="Times New Roman"/>
          <w:sz w:val="24"/>
          <w:szCs w:val="24"/>
        </w:rPr>
        <w:tab/>
        <w:t xml:space="preserve">described in section 3.  If a conflicting decision is made under these concurrent rights and </w:t>
      </w:r>
      <w:r>
        <w:rPr>
          <w:rFonts w:ascii="Times New Roman" w:hAnsi="Times New Roman" w:cs="Times New Roman"/>
          <w:sz w:val="24"/>
          <w:szCs w:val="24"/>
        </w:rPr>
        <w:tab/>
        <w:t xml:space="preserve">responsibilities, the decision of the authorizing party shall supersede the description of </w:t>
      </w:r>
      <w:r>
        <w:rPr>
          <w:rFonts w:ascii="Times New Roman" w:hAnsi="Times New Roman" w:cs="Times New Roman"/>
          <w:sz w:val="24"/>
          <w:szCs w:val="24"/>
        </w:rPr>
        <w:tab/>
        <w:t>the caregiver.</w:t>
      </w:r>
    </w:p>
    <w:p w14:paraId="4C74C09F" w14:textId="360E7A6A" w:rsidR="00360DA0" w:rsidRDefault="00360DA0" w:rsidP="005A560B">
      <w:pPr>
        <w:ind w:firstLine="360"/>
        <w:rPr>
          <w:rFonts w:ascii="Times New Roman" w:hAnsi="Times New Roman" w:cs="Times New Roman"/>
          <w:sz w:val="24"/>
          <w:szCs w:val="24"/>
        </w:rPr>
      </w:pPr>
      <w:r>
        <w:rPr>
          <w:rFonts w:ascii="Times New Roman" w:hAnsi="Times New Roman" w:cs="Times New Roman"/>
          <w:sz w:val="24"/>
          <w:szCs w:val="24"/>
        </w:rPr>
        <w:tab/>
        <w:t xml:space="preserve">The caregiver authorization affidavit shall only authorize those rights and responsibilities </w:t>
      </w:r>
      <w:r>
        <w:rPr>
          <w:rFonts w:ascii="Times New Roman" w:hAnsi="Times New Roman" w:cs="Times New Roman"/>
          <w:sz w:val="24"/>
          <w:szCs w:val="24"/>
        </w:rPr>
        <w:tab/>
        <w:t xml:space="preserve">that the authorizing party possesses and shall not divest the authorizing party of his rights </w:t>
      </w:r>
      <w:r>
        <w:rPr>
          <w:rFonts w:ascii="Times New Roman" w:hAnsi="Times New Roman" w:cs="Times New Roman"/>
          <w:sz w:val="24"/>
          <w:szCs w:val="24"/>
        </w:rPr>
        <w:tab/>
        <w:t>or responsibilities.</w:t>
      </w:r>
    </w:p>
    <w:p w14:paraId="5F020817" w14:textId="3E66E5AB" w:rsidR="00360DA0" w:rsidRDefault="00360DA0" w:rsidP="005A560B">
      <w:pPr>
        <w:ind w:firstLine="360"/>
        <w:rPr>
          <w:rFonts w:ascii="Times New Roman" w:hAnsi="Times New Roman" w:cs="Times New Roman"/>
          <w:sz w:val="24"/>
          <w:szCs w:val="24"/>
        </w:rPr>
      </w:pPr>
      <w:r>
        <w:rPr>
          <w:rFonts w:ascii="Times New Roman" w:hAnsi="Times New Roman" w:cs="Times New Roman"/>
          <w:sz w:val="24"/>
          <w:szCs w:val="24"/>
        </w:rPr>
        <w:t xml:space="preserve">The plain language of this section demonstrates that the authorizing party and the caregiver are meant to </w:t>
      </w:r>
      <w:r w:rsidR="00E3762E">
        <w:rPr>
          <w:rFonts w:ascii="Times New Roman" w:hAnsi="Times New Roman" w:cs="Times New Roman"/>
          <w:sz w:val="24"/>
          <w:szCs w:val="24"/>
        </w:rPr>
        <w:t>work concurrently as to the rights and responsibilities relevant to the education and health care of the designated minor.  The statute anticipates the possibility of a conflict between an authorizing party and the caregivers she authorizes.  Such a conflict would not arise if the caregivers could exercise these rights and responsibilities only in the absence of the authorizing party.</w:t>
      </w:r>
      <w:r w:rsidR="005900CA">
        <w:rPr>
          <w:rFonts w:ascii="Times New Roman" w:hAnsi="Times New Roman" w:cs="Times New Roman"/>
          <w:sz w:val="24"/>
          <w:szCs w:val="24"/>
        </w:rPr>
        <w:t xml:space="preserve"> </w:t>
      </w:r>
    </w:p>
    <w:p w14:paraId="65D6ACD1" w14:textId="5DE7A597" w:rsidR="00E3762E" w:rsidRDefault="00E3762E" w:rsidP="005A560B">
      <w:pPr>
        <w:ind w:firstLine="360"/>
        <w:rPr>
          <w:rFonts w:ascii="Times New Roman" w:hAnsi="Times New Roman" w:cs="Times New Roman"/>
          <w:sz w:val="24"/>
          <w:szCs w:val="24"/>
        </w:rPr>
      </w:pPr>
      <w:r>
        <w:rPr>
          <w:rFonts w:ascii="Times New Roman" w:hAnsi="Times New Roman" w:cs="Times New Roman"/>
          <w:sz w:val="24"/>
          <w:szCs w:val="24"/>
        </w:rPr>
        <w:t xml:space="preserve">The language of M.G.L.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201F § 3 provides, in pertinent part</w:t>
      </w:r>
      <w:r w:rsidR="005900CA">
        <w:rPr>
          <w:rFonts w:ascii="Times New Roman" w:hAnsi="Times New Roman" w:cs="Times New Roman"/>
          <w:sz w:val="24"/>
          <w:szCs w:val="24"/>
        </w:rPr>
        <w:t xml:space="preserve">, that under a caregiver authorization affidavit a caregiver may “make educational decisions on behalf of the minor and in all other ways stand in for the authorizing party with respect to federal, state, and district educational policy, including, but not limited to, accessing the minor’s educational records, representing the minor in enrollment, disciplinary, curricular, special education or other educational matters, signing permission slips for school activities and any other decision that facilitates the minor’s educational experience.”  This section of the statute provides explicit authorization for a caregiver to represent a designated minor in special education matters. Interpreted within the context of M.G.L. </w:t>
      </w:r>
      <w:proofErr w:type="spellStart"/>
      <w:r w:rsidR="005900CA">
        <w:rPr>
          <w:rFonts w:ascii="Times New Roman" w:hAnsi="Times New Roman" w:cs="Times New Roman"/>
          <w:sz w:val="24"/>
          <w:szCs w:val="24"/>
        </w:rPr>
        <w:t>ch.</w:t>
      </w:r>
      <w:proofErr w:type="spellEnd"/>
      <w:r w:rsidR="005900CA">
        <w:rPr>
          <w:rFonts w:ascii="Times New Roman" w:hAnsi="Times New Roman" w:cs="Times New Roman"/>
          <w:sz w:val="24"/>
          <w:szCs w:val="24"/>
        </w:rPr>
        <w:t xml:space="preserve"> 201F § 2, this is one of the “concurrent parental rights and responsibilities” that a designated caretaker may exercise.</w:t>
      </w:r>
      <w:r w:rsidR="00F77C34">
        <w:rPr>
          <w:rFonts w:ascii="Times New Roman" w:hAnsi="Times New Roman" w:cs="Times New Roman"/>
          <w:sz w:val="24"/>
          <w:szCs w:val="24"/>
        </w:rPr>
        <w:t xml:space="preserve">  </w:t>
      </w:r>
    </w:p>
    <w:p w14:paraId="07D05208" w14:textId="48122637" w:rsidR="00F77C34" w:rsidRDefault="00F77C34" w:rsidP="005A560B">
      <w:pPr>
        <w:ind w:firstLine="360"/>
        <w:rPr>
          <w:rFonts w:ascii="Times New Roman" w:hAnsi="Times New Roman" w:cs="Times New Roman"/>
          <w:sz w:val="24"/>
          <w:szCs w:val="24"/>
        </w:rPr>
      </w:pPr>
      <w:r>
        <w:rPr>
          <w:rFonts w:ascii="Times New Roman" w:hAnsi="Times New Roman" w:cs="Times New Roman"/>
          <w:sz w:val="24"/>
          <w:szCs w:val="24"/>
        </w:rPr>
        <w:t>The Grandparents, therefore, are authorized by the Caregiver Authorization Affidavit to represent Gabrielle in special education matters, including fil</w:t>
      </w:r>
      <w:r w:rsidR="00905746">
        <w:rPr>
          <w:rFonts w:ascii="Times New Roman" w:hAnsi="Times New Roman" w:cs="Times New Roman"/>
          <w:sz w:val="24"/>
          <w:szCs w:val="24"/>
        </w:rPr>
        <w:t>ing for hearing before the BSEA.</w:t>
      </w:r>
      <w:r w:rsidR="00905746">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Interpreted in harmony with the remainder of the statute, “stand in for the authorizing party” does not mean that a caregiver’s ability to make the educational decisions for the designated minor listed after that phrase in M.G.L.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201F § 3(3) </w:t>
      </w:r>
      <w:proofErr w:type="gramStart"/>
      <w:r>
        <w:rPr>
          <w:rFonts w:ascii="Times New Roman" w:hAnsi="Times New Roman" w:cs="Times New Roman"/>
          <w:sz w:val="24"/>
          <w:szCs w:val="24"/>
        </w:rPr>
        <w:t>requires</w:t>
      </w:r>
      <w:proofErr w:type="gramEnd"/>
      <w:r>
        <w:rPr>
          <w:rFonts w:ascii="Times New Roman" w:hAnsi="Times New Roman" w:cs="Times New Roman"/>
          <w:sz w:val="24"/>
          <w:szCs w:val="24"/>
        </w:rPr>
        <w:t xml:space="preserve"> the absence of the authorizing party.  Moreover nothing in the plain language of the statute limits the Grandparents’ ability to </w:t>
      </w:r>
      <w:r>
        <w:rPr>
          <w:rFonts w:ascii="Times New Roman" w:hAnsi="Times New Roman" w:cs="Times New Roman"/>
          <w:sz w:val="24"/>
          <w:szCs w:val="24"/>
        </w:rPr>
        <w:lastRenderedPageBreak/>
        <w:t xml:space="preserve">represent Gabrielle in special education proceedings where her mother remains involved in her life. </w:t>
      </w:r>
    </w:p>
    <w:p w14:paraId="6F36A066" w14:textId="1F3FF38B" w:rsidR="00F77C34" w:rsidRDefault="00F77C34" w:rsidP="005A560B">
      <w:pPr>
        <w:ind w:firstLine="360"/>
        <w:rPr>
          <w:rFonts w:ascii="Times New Roman" w:hAnsi="Times New Roman" w:cs="Times New Roman"/>
          <w:sz w:val="24"/>
          <w:szCs w:val="24"/>
        </w:rPr>
      </w:pPr>
      <w:r>
        <w:rPr>
          <w:rFonts w:ascii="Times New Roman" w:hAnsi="Times New Roman" w:cs="Times New Roman"/>
          <w:sz w:val="24"/>
          <w:szCs w:val="24"/>
        </w:rPr>
        <w:tab/>
        <w:t>Because I have found that the Grandparents have standing to pursue this claim before the BSEA, I need not address the District’s argument that in the absence of the Grandparents as claimants, Gabrielle’s mother cannot request retroactive reimbursement</w:t>
      </w:r>
      <w:r w:rsidR="00631F3D">
        <w:rPr>
          <w:rFonts w:ascii="Times New Roman" w:hAnsi="Times New Roman" w:cs="Times New Roman"/>
          <w:sz w:val="24"/>
          <w:szCs w:val="24"/>
        </w:rPr>
        <w:t>.</w:t>
      </w:r>
    </w:p>
    <w:p w14:paraId="77EFD974" w14:textId="3097AEE7" w:rsidR="0088467C" w:rsidRPr="00331E3A" w:rsidRDefault="00360DA0" w:rsidP="00F77C34">
      <w:pPr>
        <w:ind w:firstLine="360"/>
        <w:rPr>
          <w:rFonts w:ascii="Times New Roman" w:hAnsi="Times New Roman" w:cs="Times New Roman"/>
          <w:sz w:val="24"/>
          <w:szCs w:val="24"/>
        </w:rPr>
      </w:pPr>
      <w:r>
        <w:rPr>
          <w:rFonts w:ascii="Times New Roman" w:hAnsi="Times New Roman" w:cs="Times New Roman"/>
          <w:sz w:val="24"/>
          <w:szCs w:val="24"/>
        </w:rPr>
        <w:tab/>
      </w:r>
    </w:p>
    <w:p w14:paraId="53ABE548" w14:textId="77777777" w:rsidR="00FA022C" w:rsidRPr="00331E3A" w:rsidRDefault="00FA022C" w:rsidP="00331E3A">
      <w:pPr>
        <w:pStyle w:val="NoSpacing"/>
        <w:rPr>
          <w:rFonts w:ascii="Times New Roman" w:hAnsi="Times New Roman" w:cs="Times New Roman"/>
          <w:sz w:val="24"/>
          <w:szCs w:val="24"/>
        </w:rPr>
      </w:pPr>
    </w:p>
    <w:p w14:paraId="076907EE" w14:textId="16E35F89" w:rsidR="00352E41" w:rsidRPr="00352E41" w:rsidRDefault="005E427D" w:rsidP="00352E41">
      <w:pPr>
        <w:pStyle w:val="NoSpacing"/>
        <w:spacing w:after="200"/>
        <w:rPr>
          <w:rFonts w:ascii="Times New Roman" w:hAnsi="Times New Roman" w:cs="Times New Roman"/>
          <w:sz w:val="24"/>
          <w:szCs w:val="24"/>
        </w:rPr>
      </w:pPr>
      <w:r>
        <w:rPr>
          <w:rFonts w:ascii="Times New Roman" w:hAnsi="Times New Roman" w:cs="Times New Roman"/>
          <w:sz w:val="24"/>
          <w:szCs w:val="24"/>
          <w:u w:val="single"/>
        </w:rPr>
        <w:t>CONCLUSION</w:t>
      </w:r>
    </w:p>
    <w:p w14:paraId="06722742" w14:textId="20BC82C7" w:rsidR="00D13275" w:rsidRDefault="00352E41" w:rsidP="00352E41">
      <w:pPr>
        <w:rPr>
          <w:rFonts w:ascii="Times New Roman" w:hAnsi="Times New Roman" w:cs="Times New Roman"/>
          <w:sz w:val="24"/>
          <w:szCs w:val="24"/>
        </w:rPr>
      </w:pPr>
      <w:r>
        <w:rPr>
          <w:rFonts w:ascii="Times New Roman" w:hAnsi="Times New Roman" w:cs="Times New Roman"/>
          <w:b/>
          <w:sz w:val="24"/>
          <w:szCs w:val="24"/>
        </w:rPr>
        <w:tab/>
      </w:r>
      <w:r w:rsidR="00E4271B">
        <w:rPr>
          <w:rFonts w:ascii="Times New Roman" w:hAnsi="Times New Roman" w:cs="Times New Roman"/>
          <w:sz w:val="24"/>
          <w:szCs w:val="24"/>
        </w:rPr>
        <w:t>Upon consider</w:t>
      </w:r>
      <w:r w:rsidR="00DF10CA">
        <w:rPr>
          <w:rFonts w:ascii="Times New Roman" w:hAnsi="Times New Roman" w:cs="Times New Roman"/>
          <w:sz w:val="24"/>
          <w:szCs w:val="24"/>
        </w:rPr>
        <w:t xml:space="preserve">ation of </w:t>
      </w:r>
      <w:r w:rsidR="00F77C34">
        <w:rPr>
          <w:rFonts w:ascii="Times New Roman" w:hAnsi="Times New Roman" w:cs="Times New Roman"/>
          <w:sz w:val="24"/>
          <w:szCs w:val="24"/>
        </w:rPr>
        <w:t>Clinton Public Schools’</w:t>
      </w:r>
      <w:r w:rsidR="00DF10CA">
        <w:rPr>
          <w:rFonts w:ascii="Times New Roman" w:hAnsi="Times New Roman" w:cs="Times New Roman"/>
          <w:sz w:val="24"/>
          <w:szCs w:val="24"/>
        </w:rPr>
        <w:t xml:space="preserve"> Motion to </w:t>
      </w:r>
      <w:r w:rsidR="00F77C34">
        <w:rPr>
          <w:rFonts w:ascii="Times New Roman" w:hAnsi="Times New Roman" w:cs="Times New Roman"/>
          <w:sz w:val="24"/>
          <w:szCs w:val="24"/>
        </w:rPr>
        <w:t xml:space="preserve">Dismiss </w:t>
      </w:r>
      <w:r w:rsidR="00631F3D">
        <w:rPr>
          <w:rFonts w:ascii="Times New Roman" w:hAnsi="Times New Roman" w:cs="Times New Roman"/>
          <w:sz w:val="24"/>
          <w:szCs w:val="24"/>
        </w:rPr>
        <w:t>Grandparents and Request for Retroactive Reimbursement and the Grandparents’</w:t>
      </w:r>
      <w:r w:rsidR="007C18AA">
        <w:rPr>
          <w:rFonts w:ascii="Times New Roman" w:hAnsi="Times New Roman" w:cs="Times New Roman"/>
          <w:sz w:val="24"/>
          <w:szCs w:val="24"/>
        </w:rPr>
        <w:t xml:space="preserve"> Opposition thereto, as well as the relevant documents submitted by the parties, I find </w:t>
      </w:r>
      <w:r w:rsidR="00025645">
        <w:rPr>
          <w:rFonts w:ascii="Times New Roman" w:hAnsi="Times New Roman" w:cs="Times New Roman"/>
          <w:sz w:val="24"/>
          <w:szCs w:val="24"/>
        </w:rPr>
        <w:t xml:space="preserve">that </w:t>
      </w:r>
      <w:r w:rsidR="00631F3D">
        <w:rPr>
          <w:rFonts w:ascii="Times New Roman" w:hAnsi="Times New Roman" w:cs="Times New Roman"/>
          <w:sz w:val="24"/>
          <w:szCs w:val="24"/>
        </w:rPr>
        <w:t>the Grandparents do have standing to pursue this matter before the BSEA.</w:t>
      </w:r>
    </w:p>
    <w:p w14:paraId="6458CD8A" w14:textId="77777777" w:rsidR="00D13275" w:rsidRDefault="00D13275" w:rsidP="00352E41">
      <w:pPr>
        <w:rPr>
          <w:rFonts w:ascii="Times New Roman" w:hAnsi="Times New Roman" w:cs="Times New Roman"/>
          <w:sz w:val="24"/>
          <w:szCs w:val="24"/>
        </w:rPr>
      </w:pPr>
    </w:p>
    <w:p w14:paraId="0EE0433C" w14:textId="38AC74F8" w:rsidR="005E427D" w:rsidRDefault="005E427D" w:rsidP="00343A32">
      <w:pPr>
        <w:rPr>
          <w:rFonts w:ascii="Times New Roman" w:hAnsi="Times New Roman" w:cs="Times New Roman"/>
          <w:b/>
          <w:sz w:val="24"/>
          <w:szCs w:val="24"/>
        </w:rPr>
      </w:pPr>
      <w:r>
        <w:rPr>
          <w:rFonts w:ascii="Times New Roman" w:hAnsi="Times New Roman" w:cs="Times New Roman"/>
          <w:b/>
          <w:sz w:val="24"/>
          <w:szCs w:val="24"/>
        </w:rPr>
        <w:t>ORDER</w:t>
      </w:r>
    </w:p>
    <w:p w14:paraId="4B102250" w14:textId="574B733D" w:rsidR="00343A32" w:rsidRDefault="00343A32" w:rsidP="00343A32">
      <w:pPr>
        <w:rPr>
          <w:rFonts w:ascii="Times New Roman" w:hAnsi="Times New Roman" w:cs="Times New Roman"/>
          <w:sz w:val="24"/>
          <w:szCs w:val="24"/>
        </w:rPr>
      </w:pPr>
      <w:r>
        <w:rPr>
          <w:rFonts w:ascii="Times New Roman" w:hAnsi="Times New Roman" w:cs="Times New Roman"/>
          <w:b/>
          <w:sz w:val="24"/>
          <w:szCs w:val="24"/>
        </w:rPr>
        <w:tab/>
      </w:r>
      <w:r w:rsidR="00BE7E63">
        <w:rPr>
          <w:rFonts w:ascii="Times New Roman" w:hAnsi="Times New Roman" w:cs="Times New Roman"/>
          <w:sz w:val="24"/>
          <w:szCs w:val="24"/>
        </w:rPr>
        <w:t xml:space="preserve">The District’s </w:t>
      </w:r>
      <w:r w:rsidR="00631F3D">
        <w:rPr>
          <w:rFonts w:ascii="Times New Roman" w:hAnsi="Times New Roman" w:cs="Times New Roman"/>
          <w:sz w:val="24"/>
          <w:szCs w:val="24"/>
        </w:rPr>
        <w:t xml:space="preserve">Motion to Dismiss Grandparents and Request for Retroactive Reimbursement </w:t>
      </w:r>
      <w:r w:rsidR="00BE7E63">
        <w:rPr>
          <w:rFonts w:ascii="Times New Roman" w:hAnsi="Times New Roman" w:cs="Times New Roman"/>
          <w:sz w:val="24"/>
          <w:szCs w:val="24"/>
        </w:rPr>
        <w:t>is hereby DENIED.</w:t>
      </w:r>
    </w:p>
    <w:p w14:paraId="70337374" w14:textId="34DF5793" w:rsidR="00BE7E63" w:rsidRPr="007163BF" w:rsidRDefault="00BE7E63" w:rsidP="00343A32">
      <w:pPr>
        <w:rPr>
          <w:rFonts w:ascii="Times New Roman" w:hAnsi="Times New Roman" w:cs="Times New Roman"/>
          <w:sz w:val="24"/>
          <w:szCs w:val="24"/>
        </w:rPr>
      </w:pPr>
      <w:r>
        <w:rPr>
          <w:rFonts w:ascii="Times New Roman" w:hAnsi="Times New Roman" w:cs="Times New Roman"/>
          <w:sz w:val="24"/>
          <w:szCs w:val="24"/>
        </w:rPr>
        <w:tab/>
        <w:t xml:space="preserve">A </w:t>
      </w:r>
      <w:r w:rsidR="00631F3D">
        <w:rPr>
          <w:rFonts w:ascii="Times New Roman" w:hAnsi="Times New Roman" w:cs="Times New Roman"/>
          <w:sz w:val="24"/>
          <w:szCs w:val="24"/>
        </w:rPr>
        <w:t>pre-hearing conference in this matter is scheduled to take place at 10:00</w:t>
      </w:r>
      <w:r w:rsidR="005A010A">
        <w:rPr>
          <w:rFonts w:ascii="Times New Roman" w:hAnsi="Times New Roman" w:cs="Times New Roman"/>
          <w:sz w:val="24"/>
          <w:szCs w:val="24"/>
        </w:rPr>
        <w:t xml:space="preserve"> </w:t>
      </w:r>
      <w:r w:rsidR="00631F3D">
        <w:rPr>
          <w:rFonts w:ascii="Times New Roman" w:hAnsi="Times New Roman" w:cs="Times New Roman"/>
          <w:sz w:val="24"/>
          <w:szCs w:val="24"/>
        </w:rPr>
        <w:t>am on April 15, 2015.  The Hearing will take place on May 1, 4 and 7, 2015.</w:t>
      </w:r>
    </w:p>
    <w:p w14:paraId="2F227D19" w14:textId="2B939FAB" w:rsidR="00513C86" w:rsidRPr="00343A32" w:rsidRDefault="00513C86" w:rsidP="000C3619">
      <w:pPr>
        <w:rPr>
          <w:rFonts w:ascii="Times New Roman" w:hAnsi="Times New Roman" w:cs="Times New Roman"/>
          <w:sz w:val="24"/>
          <w:szCs w:val="24"/>
        </w:rPr>
      </w:pP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77777777"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14DB1B75" w14:textId="6AF0D812"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00DD60D5" w:rsidR="00987768" w:rsidRPr="00137D8B" w:rsidRDefault="00137D8B" w:rsidP="00137D8B">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5A010A">
        <w:rPr>
          <w:rFonts w:ascii="Times New Roman" w:hAnsi="Times New Roman" w:cs="Times New Roman"/>
          <w:sz w:val="24"/>
          <w:szCs w:val="24"/>
        </w:rPr>
        <w:t>April 6</w:t>
      </w:r>
      <w:r w:rsidR="000C3619">
        <w:rPr>
          <w:rFonts w:ascii="Times New Roman" w:hAnsi="Times New Roman" w:cs="Times New Roman"/>
          <w:sz w:val="24"/>
          <w:szCs w:val="24"/>
        </w:rPr>
        <w:t>, 2015</w:t>
      </w:r>
    </w:p>
    <w:sectPr w:rsidR="00987768"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8D909" w14:textId="77777777" w:rsidR="00F24369" w:rsidRDefault="00F24369" w:rsidP="00C17B47">
      <w:pPr>
        <w:spacing w:after="0" w:line="240" w:lineRule="auto"/>
      </w:pPr>
      <w:r>
        <w:separator/>
      </w:r>
    </w:p>
  </w:endnote>
  <w:endnote w:type="continuationSeparator" w:id="0">
    <w:p w14:paraId="78D3FF8E" w14:textId="77777777" w:rsidR="00F24369" w:rsidRDefault="00F24369"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A44FA0" w:rsidRDefault="00A44FA0">
        <w:pPr>
          <w:pStyle w:val="Footer"/>
          <w:jc w:val="center"/>
        </w:pPr>
        <w:r>
          <w:fldChar w:fldCharType="begin"/>
        </w:r>
        <w:r>
          <w:instrText xml:space="preserve"> PAGE   \* MERGEFORMAT </w:instrText>
        </w:r>
        <w:r>
          <w:fldChar w:fldCharType="separate"/>
        </w:r>
        <w:r w:rsidR="00AD22A6">
          <w:rPr>
            <w:noProof/>
          </w:rPr>
          <w:t>6</w:t>
        </w:r>
        <w:r>
          <w:rPr>
            <w:noProof/>
          </w:rPr>
          <w:fldChar w:fldCharType="end"/>
        </w:r>
      </w:p>
    </w:sdtContent>
  </w:sdt>
  <w:p w14:paraId="6EECF0F7" w14:textId="77777777" w:rsidR="00A44FA0" w:rsidRDefault="00A44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380DC" w14:textId="77777777" w:rsidR="00F24369" w:rsidRDefault="00F24369" w:rsidP="00C17B47">
      <w:pPr>
        <w:spacing w:after="0" w:line="240" w:lineRule="auto"/>
      </w:pPr>
      <w:r>
        <w:separator/>
      </w:r>
    </w:p>
  </w:footnote>
  <w:footnote w:type="continuationSeparator" w:id="0">
    <w:p w14:paraId="231FF0D8" w14:textId="77777777" w:rsidR="00F24369" w:rsidRDefault="00F24369" w:rsidP="00C17B47">
      <w:pPr>
        <w:spacing w:after="0" w:line="240" w:lineRule="auto"/>
      </w:pPr>
      <w:r>
        <w:continuationSeparator/>
      </w:r>
    </w:p>
  </w:footnote>
  <w:footnote w:id="1">
    <w:p w14:paraId="2F5391DB" w14:textId="41B2DF30" w:rsidR="00A44FA0" w:rsidRPr="001C18EA" w:rsidRDefault="00A44FA0">
      <w:pPr>
        <w:pStyle w:val="FootnoteText"/>
        <w:rPr>
          <w:rFonts w:ascii="Times New Roman" w:hAnsi="Times New Roman" w:cs="Times New Roman"/>
        </w:rPr>
      </w:pPr>
      <w:r w:rsidRPr="001C18EA">
        <w:rPr>
          <w:rStyle w:val="FootnoteReference"/>
          <w:rFonts w:ascii="Times New Roman" w:hAnsi="Times New Roman" w:cs="Times New Roman"/>
        </w:rPr>
        <w:footnoteRef/>
      </w:r>
      <w:r w:rsidRPr="001C18EA">
        <w:rPr>
          <w:rFonts w:ascii="Times New Roman" w:hAnsi="Times New Roman" w:cs="Times New Roman"/>
        </w:rPr>
        <w:t xml:space="preserve"> “Gabrielle” is a pseudonym chosen by the Hearing Officer to protect the privacy of the Student in documents available to the public.</w:t>
      </w:r>
    </w:p>
  </w:footnote>
  <w:footnote w:id="2">
    <w:p w14:paraId="2D14F204" w14:textId="772DD7B9" w:rsidR="00A44FA0" w:rsidRPr="001C18EA" w:rsidRDefault="00A44FA0">
      <w:pPr>
        <w:pStyle w:val="FootnoteText"/>
        <w:rPr>
          <w:rFonts w:ascii="Times New Roman" w:hAnsi="Times New Roman" w:cs="Times New Roman"/>
        </w:rPr>
      </w:pPr>
      <w:r w:rsidRPr="001C18EA">
        <w:rPr>
          <w:rStyle w:val="FootnoteReference"/>
          <w:rFonts w:ascii="Times New Roman" w:hAnsi="Times New Roman" w:cs="Times New Roman"/>
        </w:rPr>
        <w:footnoteRef/>
      </w:r>
      <w:r w:rsidRPr="001C18EA">
        <w:rPr>
          <w:rFonts w:ascii="Times New Roman" w:hAnsi="Times New Roman" w:cs="Times New Roman"/>
        </w:rPr>
        <w:t xml:space="preserve"> </w:t>
      </w:r>
      <w:r>
        <w:rPr>
          <w:rFonts w:ascii="Times New Roman" w:hAnsi="Times New Roman" w:cs="Times New Roman"/>
        </w:rPr>
        <w:t xml:space="preserve">The Hearing Request was filed in the name of the Student by her Grandparents/Caregivers. </w:t>
      </w:r>
      <w:r w:rsidR="004414E3">
        <w:rPr>
          <w:rFonts w:ascii="Times New Roman" w:hAnsi="Times New Roman" w:cs="Times New Roman"/>
        </w:rPr>
        <w:t xml:space="preserve">Clinton Public Schools (hereinafter “Clinton” or “the District”) styled its Motion a Motion to Dismiss the Grandparents and Request for Retroactive Reimbursement. If its Motion were to be granted, Clinton posits, the Hearing Request would move forward in Gabrielle’s mother’s name. </w:t>
      </w:r>
      <w:r>
        <w:rPr>
          <w:rFonts w:ascii="Times New Roman" w:hAnsi="Times New Roman" w:cs="Times New Roman"/>
        </w:rPr>
        <w:t>The standing of the Grandparents/Caregivers is the subject of this Ruling.</w:t>
      </w:r>
    </w:p>
  </w:footnote>
  <w:footnote w:id="3">
    <w:p w14:paraId="1EBF260C" w14:textId="5D1193CF" w:rsidR="00A44FA0" w:rsidRPr="00C871DB" w:rsidRDefault="00A44FA0">
      <w:pPr>
        <w:pStyle w:val="FootnoteText"/>
        <w:rPr>
          <w:rFonts w:ascii="Times New Roman" w:hAnsi="Times New Roman" w:cs="Times New Roman"/>
        </w:rPr>
      </w:pPr>
      <w:r w:rsidRPr="00CA6937">
        <w:rPr>
          <w:rStyle w:val="FootnoteReference"/>
          <w:rFonts w:ascii="Times New Roman" w:hAnsi="Times New Roman" w:cs="Times New Roman"/>
        </w:rPr>
        <w:footnoteRef/>
      </w:r>
      <w:r w:rsidRPr="00CA6937">
        <w:rPr>
          <w:rFonts w:ascii="Times New Roman" w:hAnsi="Times New Roman" w:cs="Times New Roman"/>
        </w:rPr>
        <w:t xml:space="preserve"> The Caregiver Authorization Affidavit is a notarized document prepar</w:t>
      </w:r>
      <w:r w:rsidR="006B2E10">
        <w:rPr>
          <w:rFonts w:ascii="Times New Roman" w:hAnsi="Times New Roman" w:cs="Times New Roman"/>
        </w:rPr>
        <w:t xml:space="preserve">ed pursuant to M.G.L. c. 201F. </w:t>
      </w:r>
      <w:r w:rsidRPr="00CA6937">
        <w:rPr>
          <w:rFonts w:ascii="Times New Roman" w:hAnsi="Times New Roman" w:cs="Times New Roman"/>
        </w:rPr>
        <w:t xml:space="preserve">The parties entered into the Caregiver Authorization Affidavit in issue on June 28, 2013. It expires on June 28, 2015. </w:t>
      </w:r>
      <w:r w:rsidRPr="00C871DB">
        <w:rPr>
          <w:rFonts w:ascii="Times New Roman" w:hAnsi="Times New Roman" w:cs="Times New Roman"/>
        </w:rPr>
        <w:t xml:space="preserve">(Grandparents’ Exhibit 1) </w:t>
      </w:r>
    </w:p>
  </w:footnote>
  <w:footnote w:id="4">
    <w:p w14:paraId="3DAB5CDB" w14:textId="0A2AB826" w:rsidR="00A44FA0" w:rsidRPr="00C918A1" w:rsidRDefault="00A44FA0">
      <w:pPr>
        <w:pStyle w:val="FootnoteText"/>
        <w:rPr>
          <w:rFonts w:ascii="Times New Roman" w:hAnsi="Times New Roman" w:cs="Times New Roman"/>
        </w:rPr>
      </w:pPr>
      <w:r w:rsidRPr="00C871DB">
        <w:rPr>
          <w:rStyle w:val="FootnoteReference"/>
          <w:rFonts w:ascii="Times New Roman" w:hAnsi="Times New Roman" w:cs="Times New Roman"/>
        </w:rPr>
        <w:footnoteRef/>
      </w:r>
      <w:r w:rsidRPr="00C871DB">
        <w:rPr>
          <w:rFonts w:ascii="Times New Roman" w:hAnsi="Times New Roman" w:cs="Times New Roman"/>
        </w:rPr>
        <w:t xml:space="preserve"> The Department of Elementary and Secondary Education</w:t>
      </w:r>
      <w:r w:rsidR="004414E3">
        <w:rPr>
          <w:rFonts w:ascii="Times New Roman" w:hAnsi="Times New Roman" w:cs="Times New Roman"/>
        </w:rPr>
        <w:t xml:space="preserve"> (DESE)</w:t>
      </w:r>
      <w:r w:rsidRPr="00C871DB">
        <w:rPr>
          <w:rFonts w:ascii="Times New Roman" w:hAnsi="Times New Roman" w:cs="Times New Roman"/>
        </w:rPr>
        <w:t xml:space="preserve">’s Assignment of School District Responsibility letter dated October 30, 2014 noted that Gabrielle’s father’s last known address was the same as her mother’s, but that it was “unclear whether or not he continues to live at this address.” In support of its Motion to Join the </w:t>
      </w:r>
      <w:proofErr w:type="spellStart"/>
      <w:r w:rsidRPr="00C871DB">
        <w:rPr>
          <w:rFonts w:ascii="Times New Roman" w:hAnsi="Times New Roman" w:cs="Times New Roman"/>
        </w:rPr>
        <w:t>Wac</w:t>
      </w:r>
      <w:r w:rsidR="006B2E10">
        <w:rPr>
          <w:rFonts w:ascii="Times New Roman" w:hAnsi="Times New Roman" w:cs="Times New Roman"/>
        </w:rPr>
        <w:t>husett</w:t>
      </w:r>
      <w:proofErr w:type="spellEnd"/>
      <w:r w:rsidR="006B2E10">
        <w:rPr>
          <w:rFonts w:ascii="Times New Roman" w:hAnsi="Times New Roman" w:cs="Times New Roman"/>
        </w:rPr>
        <w:t xml:space="preserve"> Regional School District</w:t>
      </w:r>
      <w:r w:rsidR="004414E3">
        <w:rPr>
          <w:rFonts w:ascii="Times New Roman" w:hAnsi="Times New Roman" w:cs="Times New Roman"/>
        </w:rPr>
        <w:t xml:space="preserve"> </w:t>
      </w:r>
      <w:r w:rsidRPr="00C871DB">
        <w:rPr>
          <w:rFonts w:ascii="Times New Roman" w:hAnsi="Times New Roman" w:cs="Times New Roman"/>
        </w:rPr>
        <w:t>as a Necessary part</w:t>
      </w:r>
      <w:r w:rsidR="004414E3">
        <w:rPr>
          <w:rFonts w:ascii="Times New Roman" w:hAnsi="Times New Roman" w:cs="Times New Roman"/>
        </w:rPr>
        <w:t xml:space="preserve">y, filed on March 25, 2015, </w:t>
      </w:r>
      <w:r w:rsidRPr="00C871DB">
        <w:rPr>
          <w:rFonts w:ascii="Times New Roman" w:hAnsi="Times New Roman" w:cs="Times New Roman"/>
        </w:rPr>
        <w:t>Clinton submitted an updated Assignment of School District Responsibilit</w:t>
      </w:r>
      <w:r w:rsidR="006B2E10">
        <w:rPr>
          <w:rFonts w:ascii="Times New Roman" w:hAnsi="Times New Roman" w:cs="Times New Roman"/>
        </w:rPr>
        <w:t xml:space="preserve">y letter dated March 19, 2015. </w:t>
      </w:r>
      <w:r w:rsidRPr="00C871DB">
        <w:rPr>
          <w:rFonts w:ascii="Times New Roman" w:hAnsi="Times New Roman" w:cs="Times New Roman"/>
        </w:rPr>
        <w:t xml:space="preserve">According to the updated letter Gabrielle’s father’s residence </w:t>
      </w:r>
      <w:r w:rsidR="006B2E10">
        <w:rPr>
          <w:rFonts w:ascii="Times New Roman" w:hAnsi="Times New Roman" w:cs="Times New Roman"/>
        </w:rPr>
        <w:t xml:space="preserve">is in Sterling, Massachusetts. </w:t>
      </w:r>
      <w:r w:rsidRPr="00C871DB">
        <w:rPr>
          <w:rFonts w:ascii="Times New Roman" w:hAnsi="Times New Roman" w:cs="Times New Roman"/>
        </w:rPr>
        <w:t xml:space="preserve">Pursuant to this most recent assignment, financial responsibility for Gabrielle’s education is to be shared between </w:t>
      </w:r>
      <w:proofErr w:type="spellStart"/>
      <w:r w:rsidR="006B2E10" w:rsidRPr="00C871DB">
        <w:rPr>
          <w:rFonts w:ascii="Times New Roman" w:hAnsi="Times New Roman" w:cs="Times New Roman"/>
        </w:rPr>
        <w:t>Wachusett</w:t>
      </w:r>
      <w:proofErr w:type="spellEnd"/>
      <w:r w:rsidR="006B2E10" w:rsidRPr="00C871DB">
        <w:rPr>
          <w:rFonts w:ascii="Times New Roman" w:hAnsi="Times New Roman" w:cs="Times New Roman"/>
        </w:rPr>
        <w:t xml:space="preserve"> Regional School District </w:t>
      </w:r>
      <w:r w:rsidR="006B2E10">
        <w:rPr>
          <w:rFonts w:ascii="Times New Roman" w:hAnsi="Times New Roman" w:cs="Times New Roman"/>
        </w:rPr>
        <w:t xml:space="preserve">(hereinafter “WRSD”) </w:t>
      </w:r>
      <w:r w:rsidRPr="00C871DB">
        <w:rPr>
          <w:rFonts w:ascii="Times New Roman" w:hAnsi="Times New Roman" w:cs="Times New Roman"/>
        </w:rPr>
        <w:t xml:space="preserve">(which includes the town of Sterling) and Clinton, based on her parents’ residence, and </w:t>
      </w:r>
      <w:r w:rsidRPr="00C918A1">
        <w:rPr>
          <w:rFonts w:ascii="Times New Roman" w:hAnsi="Times New Roman" w:cs="Times New Roman"/>
        </w:rPr>
        <w:t>programmatic responsibility is assigned to West Springfield.</w:t>
      </w:r>
      <w:r w:rsidR="004414E3">
        <w:rPr>
          <w:rFonts w:ascii="Times New Roman" w:hAnsi="Times New Roman" w:cs="Times New Roman"/>
        </w:rPr>
        <w:t xml:space="preserve"> On April 3, 2015, WRSD filed a response to Clinton’s Motion to </w:t>
      </w:r>
      <w:proofErr w:type="gramStart"/>
      <w:r w:rsidR="004414E3">
        <w:rPr>
          <w:rFonts w:ascii="Times New Roman" w:hAnsi="Times New Roman" w:cs="Times New Roman"/>
        </w:rPr>
        <w:t>Join</w:t>
      </w:r>
      <w:proofErr w:type="gramEnd"/>
      <w:r w:rsidR="004414E3">
        <w:rPr>
          <w:rFonts w:ascii="Times New Roman" w:hAnsi="Times New Roman" w:cs="Times New Roman"/>
        </w:rPr>
        <w:t xml:space="preserve">, noting that it intended to seek the DESE’s review and revision of its assignment of joint financial responsibility to </w:t>
      </w:r>
      <w:proofErr w:type="spellStart"/>
      <w:r w:rsidR="004414E3">
        <w:rPr>
          <w:rFonts w:ascii="Times New Roman" w:hAnsi="Times New Roman" w:cs="Times New Roman"/>
        </w:rPr>
        <w:t>Wachusett</w:t>
      </w:r>
      <w:proofErr w:type="spellEnd"/>
      <w:r w:rsidR="004414E3">
        <w:rPr>
          <w:rFonts w:ascii="Times New Roman" w:hAnsi="Times New Roman" w:cs="Times New Roman"/>
        </w:rPr>
        <w:t xml:space="preserve"> and reserving its right to seek dismissal as a party defendant in this matter before the BSEA. </w:t>
      </w:r>
    </w:p>
  </w:footnote>
  <w:footnote w:id="5">
    <w:p w14:paraId="0D1DA450" w14:textId="1328464A" w:rsidR="00A44FA0" w:rsidRDefault="00A44FA0">
      <w:pPr>
        <w:pStyle w:val="FootnoteText"/>
      </w:pPr>
      <w:r w:rsidRPr="00C918A1">
        <w:rPr>
          <w:rStyle w:val="FootnoteReference"/>
          <w:rFonts w:ascii="Times New Roman" w:hAnsi="Times New Roman" w:cs="Times New Roman"/>
        </w:rPr>
        <w:footnoteRef/>
      </w:r>
      <w:r w:rsidRPr="00C918A1">
        <w:rPr>
          <w:rFonts w:ascii="Times New Roman" w:hAnsi="Times New Roman" w:cs="Times New Roman"/>
        </w:rPr>
        <w:t xml:space="preserve"> During this Conference Call, Clinton indicated through its attorney that it believed Gabrielle’s mother did not agree with Gabrielle’s unilateral placement at the specific residential special education scho</w:t>
      </w:r>
      <w:r w:rsidR="006B2E10">
        <w:rPr>
          <w:rFonts w:ascii="Times New Roman" w:hAnsi="Times New Roman" w:cs="Times New Roman"/>
        </w:rPr>
        <w:t xml:space="preserve">ol chosen by the Grandparents. </w:t>
      </w:r>
      <w:r w:rsidRPr="00C918A1">
        <w:rPr>
          <w:rFonts w:ascii="Times New Roman" w:hAnsi="Times New Roman" w:cs="Times New Roman"/>
        </w:rPr>
        <w:t>On March 5, 2015 the Grandparents’ attorney submitted a letter signed by Gabrielle’s mother explaining that she did indeed support her daughter’s placement at that school.</w:t>
      </w:r>
    </w:p>
  </w:footnote>
  <w:footnote w:id="6">
    <w:p w14:paraId="673D433E" w14:textId="77777777" w:rsidR="00A44FA0" w:rsidRPr="00B7296D" w:rsidRDefault="00A44FA0" w:rsidP="00BB348A">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proofErr w:type="spellStart"/>
      <w:r w:rsidRPr="00B7296D">
        <w:rPr>
          <w:rFonts w:ascii="Times New Roman" w:hAnsi="Times New Roman" w:cs="Times New Roman"/>
          <w:i/>
        </w:rPr>
        <w:t>Iannocchino</w:t>
      </w:r>
      <w:proofErr w:type="spellEnd"/>
      <w:r w:rsidRPr="00B7296D">
        <w:rPr>
          <w:rFonts w:ascii="Times New Roman" w:hAnsi="Times New Roman" w:cs="Times New Roman"/>
          <w:i/>
        </w:rPr>
        <w:t xml:space="preserve"> v. Ford Motor Co.</w:t>
      </w:r>
      <w:r w:rsidRPr="00B7296D">
        <w:rPr>
          <w:rFonts w:ascii="Times New Roman" w:hAnsi="Times New Roman" w:cs="Times New Roman"/>
        </w:rPr>
        <w:t xml:space="preserve">, 451 Mass. 623, 636 (2008) (quoting </w:t>
      </w:r>
      <w:r w:rsidRPr="00B7296D">
        <w:rPr>
          <w:rFonts w:ascii="Times New Roman" w:hAnsi="Times New Roman" w:cs="Times New Roman"/>
          <w:i/>
        </w:rPr>
        <w:t xml:space="preserve">Bell Atl. Corp. v. </w:t>
      </w:r>
      <w:proofErr w:type="spellStart"/>
      <w:r w:rsidRPr="00B7296D">
        <w:rPr>
          <w:rFonts w:ascii="Times New Roman" w:hAnsi="Times New Roman" w:cs="Times New Roman"/>
          <w:i/>
        </w:rPr>
        <w:t>Twombly</w:t>
      </w:r>
      <w:proofErr w:type="spellEnd"/>
      <w:r w:rsidRPr="00B7296D">
        <w:rPr>
          <w:rFonts w:ascii="Times New Roman" w:hAnsi="Times New Roman" w:cs="Times New Roman"/>
        </w:rPr>
        <w:t>, 550 U.S. 544, 557 (2007)).</w:t>
      </w:r>
      <w:r w:rsidRPr="00B7296D">
        <w:rPr>
          <w:rFonts w:ascii="Times New Roman" w:hAnsi="Times New Roman" w:cs="Times New Roman"/>
          <w:sz w:val="24"/>
          <w:szCs w:val="24"/>
        </w:rPr>
        <w:t xml:space="preserve">   </w:t>
      </w:r>
    </w:p>
  </w:footnote>
  <w:footnote w:id="7">
    <w:p w14:paraId="34498E3F" w14:textId="77777777" w:rsidR="00A44FA0" w:rsidRPr="0025271C" w:rsidRDefault="00A44FA0" w:rsidP="00BB348A">
      <w:pPr>
        <w:pStyle w:val="FootnoteText"/>
        <w:rPr>
          <w:rFonts w:ascii="Times New Roman" w:hAnsi="Times New Roman" w:cs="Times New Roman"/>
        </w:rPr>
      </w:pPr>
      <w:r w:rsidRPr="0025271C">
        <w:rPr>
          <w:rStyle w:val="FootnoteReference"/>
          <w:rFonts w:ascii="Times New Roman" w:hAnsi="Times New Roman" w:cs="Times New Roman"/>
        </w:rPr>
        <w:footnoteRef/>
      </w:r>
      <w:r w:rsidRPr="0025271C">
        <w:rPr>
          <w:rFonts w:ascii="Times New Roman" w:hAnsi="Times New Roman" w:cs="Times New Roman"/>
        </w:rPr>
        <w:t xml:space="preserve"> </w:t>
      </w:r>
      <w:proofErr w:type="gramStart"/>
      <w:r w:rsidRPr="0025271C">
        <w:rPr>
          <w:rFonts w:ascii="Times New Roman" w:hAnsi="Times New Roman" w:cs="Times New Roman"/>
          <w:i/>
        </w:rPr>
        <w:t>Blank v. Chelmsford Ob/</w:t>
      </w:r>
      <w:proofErr w:type="spellStart"/>
      <w:r w:rsidRPr="0025271C">
        <w:rPr>
          <w:rFonts w:ascii="Times New Roman" w:hAnsi="Times New Roman" w:cs="Times New Roman"/>
          <w:i/>
        </w:rPr>
        <w:t>Gyn</w:t>
      </w:r>
      <w:proofErr w:type="spellEnd"/>
      <w:r w:rsidRPr="0025271C">
        <w:rPr>
          <w:rFonts w:ascii="Times New Roman" w:hAnsi="Times New Roman" w:cs="Times New Roman"/>
          <w:i/>
        </w:rPr>
        <w:t>, P.C.</w:t>
      </w:r>
      <w:r w:rsidRPr="0025271C">
        <w:rPr>
          <w:rFonts w:ascii="Times New Roman" w:hAnsi="Times New Roman" w:cs="Times New Roman"/>
        </w:rPr>
        <w:t>, 420 Mass. 404, 407 (1995).</w:t>
      </w:r>
      <w:proofErr w:type="gramEnd"/>
      <w:r w:rsidRPr="0025271C">
        <w:rPr>
          <w:rFonts w:ascii="Times New Roman" w:hAnsi="Times New Roman" w:cs="Times New Roman"/>
        </w:rPr>
        <w:t xml:space="preserve">  </w:t>
      </w:r>
    </w:p>
  </w:footnote>
  <w:footnote w:id="8">
    <w:p w14:paraId="04E2CFDF" w14:textId="77777777" w:rsidR="00A44FA0" w:rsidRPr="0025271C" w:rsidRDefault="00A44FA0" w:rsidP="00BB348A">
      <w:pPr>
        <w:pStyle w:val="FootnoteText"/>
        <w:rPr>
          <w:rFonts w:ascii="Times New Roman" w:hAnsi="Times New Roman" w:cs="Times New Roman"/>
        </w:rPr>
      </w:pPr>
      <w:r w:rsidRPr="0025271C">
        <w:rPr>
          <w:rStyle w:val="FootnoteReference"/>
          <w:rFonts w:ascii="Times New Roman" w:hAnsi="Times New Roman" w:cs="Times New Roman"/>
        </w:rPr>
        <w:footnoteRef/>
      </w:r>
      <w:r w:rsidRPr="0025271C">
        <w:rPr>
          <w:rFonts w:ascii="Times New Roman" w:hAnsi="Times New Roman" w:cs="Times New Roman"/>
        </w:rPr>
        <w:t xml:space="preserve"> </w:t>
      </w:r>
      <w:proofErr w:type="spellStart"/>
      <w:proofErr w:type="gramStart"/>
      <w:r w:rsidRPr="0025271C">
        <w:rPr>
          <w:rFonts w:ascii="Times New Roman" w:hAnsi="Times New Roman" w:cs="Times New Roman"/>
          <w:i/>
        </w:rPr>
        <w:t>Golchin</w:t>
      </w:r>
      <w:proofErr w:type="spellEnd"/>
      <w:r w:rsidRPr="0025271C">
        <w:rPr>
          <w:rFonts w:ascii="Times New Roman" w:hAnsi="Times New Roman" w:cs="Times New Roman"/>
          <w:i/>
        </w:rPr>
        <w:t xml:space="preserve"> v. Liberty </w:t>
      </w:r>
      <w:proofErr w:type="spellStart"/>
      <w:r w:rsidRPr="0025271C">
        <w:rPr>
          <w:rFonts w:ascii="Times New Roman" w:hAnsi="Times New Roman" w:cs="Times New Roman"/>
          <w:i/>
        </w:rPr>
        <w:t>Mut</w:t>
      </w:r>
      <w:proofErr w:type="spellEnd"/>
      <w:r w:rsidRPr="0025271C">
        <w:rPr>
          <w:rFonts w:ascii="Times New Roman" w:hAnsi="Times New Roman" w:cs="Times New Roman"/>
          <w:i/>
        </w:rPr>
        <w:t>.</w:t>
      </w:r>
      <w:proofErr w:type="gramEnd"/>
      <w:r w:rsidRPr="0025271C">
        <w:rPr>
          <w:rFonts w:ascii="Times New Roman" w:hAnsi="Times New Roman" w:cs="Times New Roman"/>
          <w:i/>
        </w:rPr>
        <w:t xml:space="preserve"> Ins. Co.</w:t>
      </w:r>
      <w:r w:rsidRPr="0025271C">
        <w:rPr>
          <w:rFonts w:ascii="Times New Roman" w:hAnsi="Times New Roman" w:cs="Times New Roman"/>
        </w:rPr>
        <w:t>, 460 Mass. 222, 223 (2011) (internal quotation marks and citations omitted).</w:t>
      </w:r>
    </w:p>
  </w:footnote>
  <w:footnote w:id="9">
    <w:p w14:paraId="37C0CD61" w14:textId="133CFCBD" w:rsidR="005A010A" w:rsidRPr="0025271C" w:rsidRDefault="005A010A" w:rsidP="005A010A">
      <w:pPr>
        <w:pStyle w:val="FootnoteText"/>
        <w:rPr>
          <w:rFonts w:ascii="Times New Roman" w:hAnsi="Times New Roman" w:cs="Times New Roman"/>
        </w:rPr>
      </w:pPr>
      <w:r w:rsidRPr="0025271C">
        <w:rPr>
          <w:rStyle w:val="FootnoteReference"/>
          <w:rFonts w:ascii="Times New Roman" w:hAnsi="Times New Roman" w:cs="Times New Roman"/>
        </w:rPr>
        <w:footnoteRef/>
      </w:r>
      <w:r w:rsidRPr="0025271C">
        <w:rPr>
          <w:rFonts w:ascii="Times New Roman" w:hAnsi="Times New Roman" w:cs="Times New Roman"/>
        </w:rPr>
        <w:t xml:space="preserve"> </w:t>
      </w:r>
      <w:proofErr w:type="gramStart"/>
      <w:r w:rsidRPr="0025271C">
        <w:rPr>
          <w:rFonts w:ascii="Times New Roman" w:hAnsi="Times New Roman" w:cs="Times New Roman"/>
          <w:i/>
        </w:rPr>
        <w:t xml:space="preserve">Industrial Fin. Corp. v. State Tax </w:t>
      </w:r>
      <w:proofErr w:type="spellStart"/>
      <w:r w:rsidRPr="0025271C">
        <w:rPr>
          <w:rFonts w:ascii="Times New Roman" w:hAnsi="Times New Roman" w:cs="Times New Roman"/>
          <w:i/>
        </w:rPr>
        <w:t>Comm’n</w:t>
      </w:r>
      <w:proofErr w:type="spellEnd"/>
      <w:r w:rsidRPr="0025271C">
        <w:rPr>
          <w:rFonts w:ascii="Times New Roman" w:hAnsi="Times New Roman" w:cs="Times New Roman"/>
        </w:rPr>
        <w:t>, 367 Mass. 360, 364 (1975)</w:t>
      </w:r>
      <w:r w:rsidR="006B2E10">
        <w:rPr>
          <w:rFonts w:ascii="Times New Roman" w:hAnsi="Times New Roman" w:cs="Times New Roman"/>
        </w:rPr>
        <w:t>.</w:t>
      </w:r>
      <w:proofErr w:type="gramEnd"/>
    </w:p>
  </w:footnote>
  <w:footnote w:id="10">
    <w:p w14:paraId="7A93D33C" w14:textId="34E2195A" w:rsidR="005A010A" w:rsidRPr="0025271C" w:rsidRDefault="005A010A" w:rsidP="005A010A">
      <w:pPr>
        <w:pStyle w:val="FootnoteText"/>
        <w:rPr>
          <w:rFonts w:ascii="Times New Roman" w:hAnsi="Times New Roman" w:cs="Times New Roman"/>
        </w:rPr>
      </w:pPr>
      <w:r w:rsidRPr="0025271C">
        <w:rPr>
          <w:rStyle w:val="FootnoteReference"/>
          <w:rFonts w:ascii="Times New Roman" w:hAnsi="Times New Roman" w:cs="Times New Roman"/>
        </w:rPr>
        <w:footnoteRef/>
      </w:r>
      <w:r w:rsidRPr="0025271C">
        <w:rPr>
          <w:rFonts w:ascii="Times New Roman" w:hAnsi="Times New Roman" w:cs="Times New Roman"/>
        </w:rPr>
        <w:t xml:space="preserve"> See </w:t>
      </w:r>
      <w:r w:rsidRPr="0025271C">
        <w:rPr>
          <w:rFonts w:ascii="Times New Roman" w:hAnsi="Times New Roman" w:cs="Times New Roman"/>
          <w:i/>
        </w:rPr>
        <w:t xml:space="preserve">Martha’s Vineyard Land Bank </w:t>
      </w:r>
      <w:proofErr w:type="spellStart"/>
      <w:r w:rsidRPr="0025271C">
        <w:rPr>
          <w:rFonts w:ascii="Times New Roman" w:hAnsi="Times New Roman" w:cs="Times New Roman"/>
          <w:i/>
        </w:rPr>
        <w:t>Comm’n</w:t>
      </w:r>
      <w:proofErr w:type="spellEnd"/>
      <w:r w:rsidRPr="0025271C">
        <w:rPr>
          <w:rFonts w:ascii="Times New Roman" w:hAnsi="Times New Roman" w:cs="Times New Roman"/>
          <w:i/>
        </w:rPr>
        <w:t xml:space="preserve"> v. Assessors of W. Tisbury</w:t>
      </w:r>
      <w:r w:rsidRPr="0025271C">
        <w:rPr>
          <w:rFonts w:ascii="Times New Roman" w:hAnsi="Times New Roman" w:cs="Times New Roman"/>
        </w:rPr>
        <w:t>, 62 Mass. App. Ct. 25 (2004) (internal quotation marks and citations omitted) (“Where the language of a statute is clear and unambiguous, it is</w:t>
      </w:r>
      <w:r w:rsidRPr="0025271C">
        <w:rPr>
          <w:rFonts w:ascii="Times New Roman" w:eastAsia="Times New Roman" w:hAnsi="Times New Roman" w:cs="Times New Roman"/>
          <w:color w:val="252525"/>
        </w:rPr>
        <w:t xml:space="preserve"> conclusive as to legislative intent ...and the courts enforce the statute according to its</w:t>
      </w:r>
      <w:r w:rsidRPr="0025271C">
        <w:rPr>
          <w:rStyle w:val="apple-converted-space"/>
          <w:rFonts w:ascii="Times New Roman" w:hAnsi="Times New Roman" w:cs="Times New Roman"/>
          <w:color w:val="252525"/>
        </w:rPr>
        <w:t> </w:t>
      </w:r>
      <w:r w:rsidRPr="0025271C">
        <w:rPr>
          <w:rStyle w:val="cosearchterm"/>
          <w:rFonts w:ascii="Times New Roman" w:hAnsi="Times New Roman" w:cs="Times New Roman"/>
          <w:bCs/>
          <w:color w:val="252525"/>
        </w:rPr>
        <w:t>plain</w:t>
      </w:r>
      <w:r w:rsidRPr="0025271C">
        <w:rPr>
          <w:rStyle w:val="cosearchterm"/>
          <w:rFonts w:ascii="Times New Roman" w:hAnsi="Times New Roman" w:cs="Times New Roman"/>
          <w:b/>
          <w:bCs/>
          <w:color w:val="252525"/>
        </w:rPr>
        <w:t xml:space="preserve"> </w:t>
      </w:r>
      <w:r w:rsidRPr="0025271C">
        <w:rPr>
          <w:rFonts w:ascii="Times New Roman" w:eastAsia="Times New Roman" w:hAnsi="Times New Roman" w:cs="Times New Roman"/>
          <w:color w:val="252525"/>
        </w:rPr>
        <w:t>wording ... so long as its application wou</w:t>
      </w:r>
      <w:r w:rsidR="006B2E10">
        <w:rPr>
          <w:rFonts w:ascii="Times New Roman" w:eastAsia="Times New Roman" w:hAnsi="Times New Roman" w:cs="Times New Roman"/>
          <w:color w:val="252525"/>
        </w:rPr>
        <w:t>ld not lead to an absurd result.</w:t>
      </w:r>
      <w:r w:rsidRPr="0025271C">
        <w:rPr>
          <w:rFonts w:ascii="Times New Roman" w:eastAsia="Times New Roman" w:hAnsi="Times New Roman" w:cs="Times New Roman"/>
          <w:color w:val="252525"/>
        </w:rPr>
        <w:t xml:space="preserve">”) </w:t>
      </w:r>
      <w:r w:rsidRPr="0025271C">
        <w:rPr>
          <w:rFonts w:ascii="Times New Roman" w:hAnsi="Times New Roman" w:cs="Times New Roman"/>
        </w:rPr>
        <w:t xml:space="preserve"> </w:t>
      </w:r>
      <w:r>
        <w:rPr>
          <w:rFonts w:ascii="Times New Roman" w:hAnsi="Times New Roman" w:cs="Times New Roman"/>
        </w:rPr>
        <w:t xml:space="preserve">See also </w:t>
      </w:r>
      <w:r w:rsidRPr="00A44FA0">
        <w:rPr>
          <w:rFonts w:ascii="Times New Roman" w:hAnsi="Times New Roman" w:cs="Times New Roman"/>
          <w:i/>
        </w:rPr>
        <w:t>Purity Supreme, Inc. v. Attorney Gen.</w:t>
      </w:r>
      <w:r>
        <w:rPr>
          <w:rFonts w:ascii="Times New Roman" w:hAnsi="Times New Roman" w:cs="Times New Roman"/>
        </w:rPr>
        <w:t>, 380 Mass. 762, 782 (1980) (“A general term of a statute may not be construed differently from its plain meaning, especially in the absence of legislative or administrative intent so to construe it.”)</w:t>
      </w:r>
    </w:p>
  </w:footnote>
  <w:footnote w:id="11">
    <w:p w14:paraId="141B8C33" w14:textId="77777777" w:rsidR="005A010A" w:rsidRPr="0025271C" w:rsidRDefault="005A010A" w:rsidP="005A010A">
      <w:pPr>
        <w:rPr>
          <w:rFonts w:ascii="Times New Roman" w:hAnsi="Times New Roman" w:cs="Times New Roman"/>
          <w:sz w:val="20"/>
          <w:szCs w:val="20"/>
        </w:rPr>
      </w:pPr>
      <w:r w:rsidRPr="0025271C">
        <w:rPr>
          <w:rStyle w:val="FootnoteReference"/>
          <w:rFonts w:ascii="Times New Roman" w:hAnsi="Times New Roman" w:cs="Times New Roman"/>
          <w:sz w:val="20"/>
          <w:szCs w:val="20"/>
        </w:rPr>
        <w:footnoteRef/>
      </w:r>
      <w:r w:rsidRPr="0025271C">
        <w:rPr>
          <w:rFonts w:ascii="Times New Roman" w:hAnsi="Times New Roman" w:cs="Times New Roman"/>
          <w:sz w:val="20"/>
          <w:szCs w:val="20"/>
        </w:rPr>
        <w:t xml:space="preserve"> </w:t>
      </w:r>
      <w:r w:rsidRPr="0025271C">
        <w:rPr>
          <w:rFonts w:ascii="Times New Roman" w:hAnsi="Times New Roman" w:cs="Times New Roman"/>
          <w:i/>
          <w:sz w:val="20"/>
          <w:szCs w:val="20"/>
        </w:rPr>
        <w:t xml:space="preserve">Selectmen of Topsfield v. State Racing </w:t>
      </w:r>
      <w:proofErr w:type="spellStart"/>
      <w:r w:rsidRPr="0025271C">
        <w:rPr>
          <w:rFonts w:ascii="Times New Roman" w:hAnsi="Times New Roman" w:cs="Times New Roman"/>
          <w:i/>
          <w:sz w:val="20"/>
          <w:szCs w:val="20"/>
        </w:rPr>
        <w:t>Comm’n</w:t>
      </w:r>
      <w:proofErr w:type="spellEnd"/>
      <w:r w:rsidRPr="0025271C">
        <w:rPr>
          <w:rFonts w:ascii="Times New Roman" w:hAnsi="Times New Roman" w:cs="Times New Roman"/>
          <w:sz w:val="20"/>
          <w:szCs w:val="20"/>
        </w:rPr>
        <w:t>, 324 Mass. 309, 312-13 (1949) (</w:t>
      </w:r>
      <w:r w:rsidRPr="0025271C">
        <w:rPr>
          <w:rFonts w:ascii="Times New Roman" w:eastAsia="Times New Roman" w:hAnsi="Times New Roman" w:cs="Times New Roman"/>
          <w:color w:val="252525"/>
          <w:sz w:val="20"/>
          <w:szCs w:val="20"/>
        </w:rPr>
        <w:t>“All the words of a statute are to be given their ordinary and usual meaning, and each clause or phrase is to be construed with reference to every other clause or phrase without giving undue emphasis to any one group of words, so that, if reasonably possible, all parts shall be construed as consistent with each other so as to form a harmonious enactment effectual to accomplish its manifest purpose.”</w:t>
      </w:r>
      <w:r w:rsidRPr="0025271C">
        <w:rPr>
          <w:rStyle w:val="apple-converted-space"/>
          <w:rFonts w:ascii="Times New Roman" w:hAnsi="Times New Roman" w:cs="Times New Roman"/>
          <w:color w:val="252525"/>
          <w:sz w:val="20"/>
          <w:szCs w:val="20"/>
        </w:rPr>
        <w:t>)</w:t>
      </w:r>
    </w:p>
    <w:p w14:paraId="7FDE4D7A" w14:textId="77777777" w:rsidR="005A010A" w:rsidRDefault="005A010A" w:rsidP="005A010A">
      <w:pPr>
        <w:pStyle w:val="FootnoteText"/>
      </w:pPr>
    </w:p>
  </w:footnote>
  <w:footnote w:id="12">
    <w:p w14:paraId="60CDE2B4" w14:textId="444F64EB" w:rsidR="00A44FA0" w:rsidRPr="00905746" w:rsidRDefault="00A44FA0">
      <w:pPr>
        <w:pStyle w:val="FootnoteText"/>
        <w:rPr>
          <w:rFonts w:ascii="Times New Roman" w:hAnsi="Times New Roman" w:cs="Times New Roman"/>
        </w:rPr>
      </w:pPr>
      <w:r w:rsidRPr="00905746">
        <w:rPr>
          <w:rStyle w:val="FootnoteReference"/>
          <w:rFonts w:ascii="Times New Roman" w:hAnsi="Times New Roman" w:cs="Times New Roman"/>
        </w:rPr>
        <w:footnoteRef/>
      </w:r>
      <w:r w:rsidRPr="00905746">
        <w:rPr>
          <w:rFonts w:ascii="Times New Roman" w:hAnsi="Times New Roman" w:cs="Times New Roman"/>
        </w:rPr>
        <w:t xml:space="preserve"> Pursuant to Section 3 of M.G.L. c. 201F, a caregiver may “make educational decisions on behalf of the minor and in all other ways stand in for the authorizing party with respect to federal, state and district educational policy, including but not limited to, accessing the minor’s educational records, representing the minor in enrollment, disciplinar</w:t>
      </w:r>
      <w:r w:rsidR="001658B7" w:rsidRPr="00905746">
        <w:rPr>
          <w:rFonts w:ascii="Times New Roman" w:hAnsi="Times New Roman" w:cs="Times New Roman"/>
        </w:rPr>
        <w:t>y</w:t>
      </w:r>
      <w:r w:rsidRPr="00905746">
        <w:rPr>
          <w:rFonts w:ascii="Times New Roman" w:hAnsi="Times New Roman" w:cs="Times New Roman"/>
        </w:rPr>
        <w:t>, curricular, special education or other educational matters, signing permission slips for school activities and an</w:t>
      </w:r>
      <w:r w:rsidR="005A010A" w:rsidRPr="00905746">
        <w:rPr>
          <w:rFonts w:ascii="Times New Roman" w:hAnsi="Times New Roman" w:cs="Times New Roman"/>
        </w:rPr>
        <w:t>y other decision that facilitates</w:t>
      </w:r>
      <w:r w:rsidRPr="00905746">
        <w:rPr>
          <w:rFonts w:ascii="Times New Roman" w:hAnsi="Times New Roman" w:cs="Times New Roman"/>
        </w:rPr>
        <w:t xml:space="preserve"> the minor’s educational experience.” </w:t>
      </w:r>
    </w:p>
  </w:footnote>
  <w:footnote w:id="13">
    <w:p w14:paraId="0E697CF7" w14:textId="73619767" w:rsidR="00A44FA0" w:rsidRPr="00905746" w:rsidRDefault="00A44FA0" w:rsidP="00905746">
      <w:pPr>
        <w:spacing w:after="0"/>
        <w:rPr>
          <w:rFonts w:ascii="Times New Roman" w:hAnsi="Times New Roman" w:cs="Times New Roman"/>
          <w:sz w:val="20"/>
          <w:szCs w:val="20"/>
        </w:rPr>
      </w:pPr>
      <w:r w:rsidRPr="00905746">
        <w:rPr>
          <w:rStyle w:val="FootnoteReference"/>
          <w:rFonts w:ascii="Times New Roman" w:hAnsi="Times New Roman" w:cs="Times New Roman"/>
          <w:sz w:val="20"/>
          <w:szCs w:val="20"/>
        </w:rPr>
        <w:footnoteRef/>
      </w:r>
      <w:r w:rsidRPr="00905746">
        <w:rPr>
          <w:rFonts w:ascii="Times New Roman" w:hAnsi="Times New Roman" w:cs="Times New Roman"/>
          <w:sz w:val="20"/>
          <w:szCs w:val="20"/>
        </w:rPr>
        <w:t xml:space="preserve"> Finally, the Grandparents </w:t>
      </w:r>
      <w:r w:rsidR="00905746" w:rsidRPr="00905746">
        <w:rPr>
          <w:rFonts w:ascii="Times New Roman" w:hAnsi="Times New Roman" w:cs="Times New Roman"/>
          <w:sz w:val="20"/>
          <w:szCs w:val="20"/>
        </w:rPr>
        <w:t xml:space="preserve">point to DESE’s </w:t>
      </w:r>
      <w:r w:rsidRPr="00905746">
        <w:rPr>
          <w:rFonts w:ascii="Times New Roman" w:hAnsi="Times New Roman" w:cs="Times New Roman"/>
          <w:sz w:val="20"/>
          <w:szCs w:val="20"/>
        </w:rPr>
        <w:t xml:space="preserve">October 30, 2014 “Assignment of School District Responsibility” letter to West Springfield, </w:t>
      </w:r>
      <w:r w:rsidR="00905746" w:rsidRPr="00905746">
        <w:rPr>
          <w:rFonts w:ascii="Times New Roman" w:hAnsi="Times New Roman" w:cs="Times New Roman"/>
          <w:i/>
          <w:sz w:val="20"/>
          <w:szCs w:val="20"/>
        </w:rPr>
        <w:t xml:space="preserve">supra </w:t>
      </w:r>
      <w:r w:rsidR="00905746" w:rsidRPr="00905746">
        <w:rPr>
          <w:rFonts w:ascii="Times New Roman" w:hAnsi="Times New Roman" w:cs="Times New Roman"/>
          <w:sz w:val="20"/>
          <w:szCs w:val="20"/>
        </w:rPr>
        <w:t xml:space="preserve">note 4 and accompanying text, </w:t>
      </w:r>
      <w:r w:rsidRPr="00905746">
        <w:rPr>
          <w:rFonts w:ascii="Times New Roman" w:hAnsi="Times New Roman" w:cs="Times New Roman"/>
          <w:sz w:val="20"/>
          <w:szCs w:val="20"/>
        </w:rPr>
        <w:t>whereby Clinton, as the school district where Gabrielle’s mother resides, is assigned fiscal responsibility for Gabrielle’s education, and West Springfield, as the school district where Gabrielle resides, is assigned programmatic responsibility.  They argue that if Clinton’s Motion to Dismiss is allowed, West Springfield would remain programmatically responsible for Gabrielle but there would be no parent/guardian with whom the District could collaborate on Gabrielle’s behalf.  To avoid this “absurd result,” Clinton asserts</w:t>
      </w:r>
      <w:proofErr w:type="gramStart"/>
      <w:r w:rsidRPr="00905746">
        <w:rPr>
          <w:rFonts w:ascii="Times New Roman" w:hAnsi="Times New Roman" w:cs="Times New Roman"/>
          <w:sz w:val="20"/>
          <w:szCs w:val="20"/>
        </w:rPr>
        <w:t>,</w:t>
      </w:r>
      <w:proofErr w:type="gramEnd"/>
      <w:r w:rsidRPr="00905746">
        <w:rPr>
          <w:rFonts w:ascii="Times New Roman" w:hAnsi="Times New Roman" w:cs="Times New Roman"/>
          <w:sz w:val="20"/>
          <w:szCs w:val="20"/>
        </w:rPr>
        <w:t xml:space="preserve"> the Grandparents must have standing in this matter.</w:t>
      </w:r>
      <w:r w:rsidR="005A010A" w:rsidRPr="00905746">
        <w:rPr>
          <w:rFonts w:ascii="Times New Roman" w:hAnsi="Times New Roman" w:cs="Times New Roman"/>
          <w:sz w:val="20"/>
          <w:szCs w:val="20"/>
        </w:rPr>
        <w:t xml:space="preserve">  I agree.</w:t>
      </w:r>
    </w:p>
  </w:footnote>
  <w:footnote w:id="14">
    <w:p w14:paraId="7B50DDCD" w14:textId="7A4303C5" w:rsidR="00905746" w:rsidRDefault="00905746">
      <w:pPr>
        <w:pStyle w:val="FootnoteText"/>
      </w:pPr>
      <w:r>
        <w:rPr>
          <w:rStyle w:val="FootnoteReference"/>
        </w:rPr>
        <w:footnoteRef/>
      </w:r>
      <w:r>
        <w:t xml:space="preserve"> </w:t>
      </w:r>
      <w:proofErr w:type="gramStart"/>
      <w:r w:rsidRPr="00905746">
        <w:rPr>
          <w:rFonts w:ascii="Times New Roman" w:hAnsi="Times New Roman" w:cs="Times New Roman"/>
        </w:rPr>
        <w:t xml:space="preserve">See M.G.L. </w:t>
      </w:r>
      <w:proofErr w:type="spellStart"/>
      <w:r w:rsidRPr="00905746">
        <w:rPr>
          <w:rFonts w:ascii="Times New Roman" w:hAnsi="Times New Roman" w:cs="Times New Roman"/>
        </w:rPr>
        <w:t>ch.</w:t>
      </w:r>
      <w:proofErr w:type="spellEnd"/>
      <w:r w:rsidRPr="00905746">
        <w:rPr>
          <w:rFonts w:ascii="Times New Roman" w:hAnsi="Times New Roman" w:cs="Times New Roman"/>
        </w:rPr>
        <w:t xml:space="preserve"> 201F §§ 2, 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5">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5"/>
  </w:num>
  <w:num w:numId="4">
    <w:abstractNumId w:val="6"/>
  </w:num>
  <w:num w:numId="5">
    <w:abstractNumId w:val="8"/>
  </w:num>
  <w:num w:numId="6">
    <w:abstractNumId w:val="1"/>
  </w:num>
  <w:num w:numId="7">
    <w:abstractNumId w:val="10"/>
  </w:num>
  <w:num w:numId="8">
    <w:abstractNumId w:val="2"/>
  </w:num>
  <w:num w:numId="9">
    <w:abstractNumId w:val="9"/>
  </w:num>
  <w:num w:numId="10">
    <w:abstractNumId w:val="3"/>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61DA"/>
    <w:rsid w:val="000173EF"/>
    <w:rsid w:val="00025645"/>
    <w:rsid w:val="00025D32"/>
    <w:rsid w:val="00037AA5"/>
    <w:rsid w:val="00037B42"/>
    <w:rsid w:val="00044090"/>
    <w:rsid w:val="00051607"/>
    <w:rsid w:val="00053225"/>
    <w:rsid w:val="00053E48"/>
    <w:rsid w:val="00054EF4"/>
    <w:rsid w:val="0006098F"/>
    <w:rsid w:val="00086AEB"/>
    <w:rsid w:val="00097508"/>
    <w:rsid w:val="000B6DE3"/>
    <w:rsid w:val="000C3619"/>
    <w:rsid w:val="000D3435"/>
    <w:rsid w:val="000E3014"/>
    <w:rsid w:val="00105EEB"/>
    <w:rsid w:val="00111CDF"/>
    <w:rsid w:val="00113E11"/>
    <w:rsid w:val="001158B5"/>
    <w:rsid w:val="00117CA4"/>
    <w:rsid w:val="001264F0"/>
    <w:rsid w:val="00137D8B"/>
    <w:rsid w:val="00142729"/>
    <w:rsid w:val="001450FB"/>
    <w:rsid w:val="00145F73"/>
    <w:rsid w:val="00147A9C"/>
    <w:rsid w:val="001658B7"/>
    <w:rsid w:val="00172D6B"/>
    <w:rsid w:val="001734C2"/>
    <w:rsid w:val="001735CF"/>
    <w:rsid w:val="001B2947"/>
    <w:rsid w:val="001B6F20"/>
    <w:rsid w:val="001C18EA"/>
    <w:rsid w:val="001D3986"/>
    <w:rsid w:val="001D3D4C"/>
    <w:rsid w:val="001D58C8"/>
    <w:rsid w:val="001F0366"/>
    <w:rsid w:val="001F0844"/>
    <w:rsid w:val="001F6BB3"/>
    <w:rsid w:val="00200922"/>
    <w:rsid w:val="00203DCD"/>
    <w:rsid w:val="00211D4E"/>
    <w:rsid w:val="002307C8"/>
    <w:rsid w:val="00236E5A"/>
    <w:rsid w:val="002411F5"/>
    <w:rsid w:val="00244A24"/>
    <w:rsid w:val="0025271C"/>
    <w:rsid w:val="00274271"/>
    <w:rsid w:val="00294BC4"/>
    <w:rsid w:val="002B5059"/>
    <w:rsid w:val="002C3362"/>
    <w:rsid w:val="002C7304"/>
    <w:rsid w:val="002D2149"/>
    <w:rsid w:val="002E1F13"/>
    <w:rsid w:val="002F0B7C"/>
    <w:rsid w:val="002F1E94"/>
    <w:rsid w:val="003126D3"/>
    <w:rsid w:val="003162F4"/>
    <w:rsid w:val="003168D4"/>
    <w:rsid w:val="003177D4"/>
    <w:rsid w:val="00331E3A"/>
    <w:rsid w:val="00332ACD"/>
    <w:rsid w:val="003368E0"/>
    <w:rsid w:val="003409A7"/>
    <w:rsid w:val="00340C41"/>
    <w:rsid w:val="00342307"/>
    <w:rsid w:val="00342C24"/>
    <w:rsid w:val="00343A32"/>
    <w:rsid w:val="00352E26"/>
    <w:rsid w:val="00352E41"/>
    <w:rsid w:val="00354470"/>
    <w:rsid w:val="00355F7A"/>
    <w:rsid w:val="00360DA0"/>
    <w:rsid w:val="00363700"/>
    <w:rsid w:val="00381AD1"/>
    <w:rsid w:val="00396142"/>
    <w:rsid w:val="003B139E"/>
    <w:rsid w:val="003B3AD6"/>
    <w:rsid w:val="003C1E13"/>
    <w:rsid w:val="003C34D3"/>
    <w:rsid w:val="003D42BE"/>
    <w:rsid w:val="003E4A80"/>
    <w:rsid w:val="004003D9"/>
    <w:rsid w:val="00402DF4"/>
    <w:rsid w:val="004030E7"/>
    <w:rsid w:val="004122A0"/>
    <w:rsid w:val="00427EC8"/>
    <w:rsid w:val="00430C13"/>
    <w:rsid w:val="00431B5E"/>
    <w:rsid w:val="00433C17"/>
    <w:rsid w:val="00436B3C"/>
    <w:rsid w:val="004414E3"/>
    <w:rsid w:val="0044197E"/>
    <w:rsid w:val="004446DE"/>
    <w:rsid w:val="004576BA"/>
    <w:rsid w:val="00462D63"/>
    <w:rsid w:val="0048106F"/>
    <w:rsid w:val="004A03DC"/>
    <w:rsid w:val="004A34BE"/>
    <w:rsid w:val="004B361B"/>
    <w:rsid w:val="004B43AC"/>
    <w:rsid w:val="004B5A8F"/>
    <w:rsid w:val="004C1D3C"/>
    <w:rsid w:val="004D033C"/>
    <w:rsid w:val="004D10BD"/>
    <w:rsid w:val="004D7D57"/>
    <w:rsid w:val="004F4025"/>
    <w:rsid w:val="004F4E44"/>
    <w:rsid w:val="004F6C56"/>
    <w:rsid w:val="00512A85"/>
    <w:rsid w:val="00513C86"/>
    <w:rsid w:val="00526F3D"/>
    <w:rsid w:val="00544680"/>
    <w:rsid w:val="00552F44"/>
    <w:rsid w:val="00563C7A"/>
    <w:rsid w:val="00567293"/>
    <w:rsid w:val="00580B43"/>
    <w:rsid w:val="00585C77"/>
    <w:rsid w:val="005900CA"/>
    <w:rsid w:val="00597057"/>
    <w:rsid w:val="005A010A"/>
    <w:rsid w:val="005A0ED6"/>
    <w:rsid w:val="005A361D"/>
    <w:rsid w:val="005A560B"/>
    <w:rsid w:val="005B749D"/>
    <w:rsid w:val="005B7568"/>
    <w:rsid w:val="005B7D2D"/>
    <w:rsid w:val="005D1771"/>
    <w:rsid w:val="005D6405"/>
    <w:rsid w:val="005E427D"/>
    <w:rsid w:val="005F0A47"/>
    <w:rsid w:val="005F4400"/>
    <w:rsid w:val="005F66A3"/>
    <w:rsid w:val="006007CC"/>
    <w:rsid w:val="00614A92"/>
    <w:rsid w:val="006172E4"/>
    <w:rsid w:val="00624489"/>
    <w:rsid w:val="00626D4B"/>
    <w:rsid w:val="00627016"/>
    <w:rsid w:val="00631F3D"/>
    <w:rsid w:val="00635D79"/>
    <w:rsid w:val="006408E2"/>
    <w:rsid w:val="00641A40"/>
    <w:rsid w:val="00644747"/>
    <w:rsid w:val="0065295A"/>
    <w:rsid w:val="006572F2"/>
    <w:rsid w:val="0066700D"/>
    <w:rsid w:val="00683C51"/>
    <w:rsid w:val="00687862"/>
    <w:rsid w:val="00687A90"/>
    <w:rsid w:val="006A180D"/>
    <w:rsid w:val="006A4BB2"/>
    <w:rsid w:val="006A4E1E"/>
    <w:rsid w:val="006A65A3"/>
    <w:rsid w:val="006B2E10"/>
    <w:rsid w:val="006C58FF"/>
    <w:rsid w:val="006C5BA2"/>
    <w:rsid w:val="006C79B3"/>
    <w:rsid w:val="006D3FE9"/>
    <w:rsid w:val="006E1C01"/>
    <w:rsid w:val="006F0639"/>
    <w:rsid w:val="00705DE3"/>
    <w:rsid w:val="00713A1E"/>
    <w:rsid w:val="007163BF"/>
    <w:rsid w:val="00724C44"/>
    <w:rsid w:val="00727805"/>
    <w:rsid w:val="00732104"/>
    <w:rsid w:val="00732691"/>
    <w:rsid w:val="00750211"/>
    <w:rsid w:val="007518B8"/>
    <w:rsid w:val="0076007D"/>
    <w:rsid w:val="007627B2"/>
    <w:rsid w:val="00762A68"/>
    <w:rsid w:val="00771BDB"/>
    <w:rsid w:val="00774264"/>
    <w:rsid w:val="00774BEA"/>
    <w:rsid w:val="00785170"/>
    <w:rsid w:val="00797057"/>
    <w:rsid w:val="007B2BC2"/>
    <w:rsid w:val="007C18AA"/>
    <w:rsid w:val="007C4089"/>
    <w:rsid w:val="007D39AA"/>
    <w:rsid w:val="007E6E45"/>
    <w:rsid w:val="00804ED5"/>
    <w:rsid w:val="0081242C"/>
    <w:rsid w:val="00812753"/>
    <w:rsid w:val="00813E9C"/>
    <w:rsid w:val="00817701"/>
    <w:rsid w:val="00817DA0"/>
    <w:rsid w:val="00837020"/>
    <w:rsid w:val="008408BB"/>
    <w:rsid w:val="008770E9"/>
    <w:rsid w:val="0087794D"/>
    <w:rsid w:val="00880759"/>
    <w:rsid w:val="008828E5"/>
    <w:rsid w:val="0088467C"/>
    <w:rsid w:val="00884893"/>
    <w:rsid w:val="0089548E"/>
    <w:rsid w:val="00897272"/>
    <w:rsid w:val="008A6DDA"/>
    <w:rsid w:val="008C36D8"/>
    <w:rsid w:val="008E19BE"/>
    <w:rsid w:val="008F293C"/>
    <w:rsid w:val="00900104"/>
    <w:rsid w:val="00901772"/>
    <w:rsid w:val="00905746"/>
    <w:rsid w:val="00906D08"/>
    <w:rsid w:val="0091339B"/>
    <w:rsid w:val="00920A76"/>
    <w:rsid w:val="00926C0A"/>
    <w:rsid w:val="009312E0"/>
    <w:rsid w:val="00957C9B"/>
    <w:rsid w:val="00957DC2"/>
    <w:rsid w:val="00962533"/>
    <w:rsid w:val="00975087"/>
    <w:rsid w:val="00976D70"/>
    <w:rsid w:val="009773C5"/>
    <w:rsid w:val="00977FD7"/>
    <w:rsid w:val="00980837"/>
    <w:rsid w:val="00982AD4"/>
    <w:rsid w:val="00984827"/>
    <w:rsid w:val="00987768"/>
    <w:rsid w:val="00991270"/>
    <w:rsid w:val="00993B08"/>
    <w:rsid w:val="00995FAD"/>
    <w:rsid w:val="009A714D"/>
    <w:rsid w:val="009B00FF"/>
    <w:rsid w:val="009B2EE6"/>
    <w:rsid w:val="009D24EC"/>
    <w:rsid w:val="009E191B"/>
    <w:rsid w:val="009F6C62"/>
    <w:rsid w:val="00A01C6C"/>
    <w:rsid w:val="00A0672D"/>
    <w:rsid w:val="00A271CD"/>
    <w:rsid w:val="00A44FA0"/>
    <w:rsid w:val="00A56BCB"/>
    <w:rsid w:val="00A602FA"/>
    <w:rsid w:val="00A72CCE"/>
    <w:rsid w:val="00A8419B"/>
    <w:rsid w:val="00A84AC1"/>
    <w:rsid w:val="00A8501D"/>
    <w:rsid w:val="00A85637"/>
    <w:rsid w:val="00A910A6"/>
    <w:rsid w:val="00A94F63"/>
    <w:rsid w:val="00A96ECE"/>
    <w:rsid w:val="00AA1507"/>
    <w:rsid w:val="00AA2A8A"/>
    <w:rsid w:val="00AA43C4"/>
    <w:rsid w:val="00AB055C"/>
    <w:rsid w:val="00AB2DBA"/>
    <w:rsid w:val="00AB30F1"/>
    <w:rsid w:val="00AC49BE"/>
    <w:rsid w:val="00AD22A6"/>
    <w:rsid w:val="00AE2851"/>
    <w:rsid w:val="00AE5EC0"/>
    <w:rsid w:val="00AE7732"/>
    <w:rsid w:val="00AF4FE6"/>
    <w:rsid w:val="00B02B06"/>
    <w:rsid w:val="00B116A9"/>
    <w:rsid w:val="00B16BC1"/>
    <w:rsid w:val="00B215B7"/>
    <w:rsid w:val="00B22DE6"/>
    <w:rsid w:val="00B33F13"/>
    <w:rsid w:val="00B705CA"/>
    <w:rsid w:val="00B7296D"/>
    <w:rsid w:val="00B73950"/>
    <w:rsid w:val="00B744CE"/>
    <w:rsid w:val="00B76D2A"/>
    <w:rsid w:val="00B84CC3"/>
    <w:rsid w:val="00B8756E"/>
    <w:rsid w:val="00B91029"/>
    <w:rsid w:val="00B94B62"/>
    <w:rsid w:val="00BA0717"/>
    <w:rsid w:val="00BA1FC9"/>
    <w:rsid w:val="00BA2D8C"/>
    <w:rsid w:val="00BA4DAD"/>
    <w:rsid w:val="00BA7319"/>
    <w:rsid w:val="00BB3430"/>
    <w:rsid w:val="00BB348A"/>
    <w:rsid w:val="00BB47AB"/>
    <w:rsid w:val="00BB5EA5"/>
    <w:rsid w:val="00BC093E"/>
    <w:rsid w:val="00BC3C4D"/>
    <w:rsid w:val="00BC5308"/>
    <w:rsid w:val="00BD2017"/>
    <w:rsid w:val="00BE3FA7"/>
    <w:rsid w:val="00BE7E63"/>
    <w:rsid w:val="00BF0DE0"/>
    <w:rsid w:val="00C01D12"/>
    <w:rsid w:val="00C037E0"/>
    <w:rsid w:val="00C17B47"/>
    <w:rsid w:val="00C213F6"/>
    <w:rsid w:val="00C235D9"/>
    <w:rsid w:val="00C23C51"/>
    <w:rsid w:val="00C24B42"/>
    <w:rsid w:val="00C272B6"/>
    <w:rsid w:val="00C27A7E"/>
    <w:rsid w:val="00C37747"/>
    <w:rsid w:val="00C412A1"/>
    <w:rsid w:val="00C45C49"/>
    <w:rsid w:val="00C46F10"/>
    <w:rsid w:val="00C7445B"/>
    <w:rsid w:val="00C871DB"/>
    <w:rsid w:val="00C918A1"/>
    <w:rsid w:val="00CA233A"/>
    <w:rsid w:val="00CA25F7"/>
    <w:rsid w:val="00CA6937"/>
    <w:rsid w:val="00CE1014"/>
    <w:rsid w:val="00CE4DC8"/>
    <w:rsid w:val="00CF10F6"/>
    <w:rsid w:val="00CF1449"/>
    <w:rsid w:val="00CF3104"/>
    <w:rsid w:val="00CF6155"/>
    <w:rsid w:val="00CF7D08"/>
    <w:rsid w:val="00CF7D60"/>
    <w:rsid w:val="00D13275"/>
    <w:rsid w:val="00D221BB"/>
    <w:rsid w:val="00D3002D"/>
    <w:rsid w:val="00D37DF2"/>
    <w:rsid w:val="00D45172"/>
    <w:rsid w:val="00D47A27"/>
    <w:rsid w:val="00D62E1D"/>
    <w:rsid w:val="00D66A1F"/>
    <w:rsid w:val="00D83A37"/>
    <w:rsid w:val="00DB43F7"/>
    <w:rsid w:val="00DC2FAD"/>
    <w:rsid w:val="00DC6F50"/>
    <w:rsid w:val="00DE030D"/>
    <w:rsid w:val="00DE4EA0"/>
    <w:rsid w:val="00DE7DF8"/>
    <w:rsid w:val="00DF06F2"/>
    <w:rsid w:val="00DF10CA"/>
    <w:rsid w:val="00DF162A"/>
    <w:rsid w:val="00DF7B2F"/>
    <w:rsid w:val="00E03F9D"/>
    <w:rsid w:val="00E128D2"/>
    <w:rsid w:val="00E12F54"/>
    <w:rsid w:val="00E13B26"/>
    <w:rsid w:val="00E2091F"/>
    <w:rsid w:val="00E21EA4"/>
    <w:rsid w:val="00E2215D"/>
    <w:rsid w:val="00E27947"/>
    <w:rsid w:val="00E33B63"/>
    <w:rsid w:val="00E3762E"/>
    <w:rsid w:val="00E4271B"/>
    <w:rsid w:val="00E46245"/>
    <w:rsid w:val="00E46BD9"/>
    <w:rsid w:val="00E501CC"/>
    <w:rsid w:val="00E52145"/>
    <w:rsid w:val="00E565A7"/>
    <w:rsid w:val="00E56ACC"/>
    <w:rsid w:val="00E57895"/>
    <w:rsid w:val="00E752B2"/>
    <w:rsid w:val="00E80D8B"/>
    <w:rsid w:val="00E9495E"/>
    <w:rsid w:val="00E950DC"/>
    <w:rsid w:val="00E97F64"/>
    <w:rsid w:val="00EA2710"/>
    <w:rsid w:val="00ED2F12"/>
    <w:rsid w:val="00ED7DA3"/>
    <w:rsid w:val="00EE22D7"/>
    <w:rsid w:val="00EE3A6B"/>
    <w:rsid w:val="00F23654"/>
    <w:rsid w:val="00F24369"/>
    <w:rsid w:val="00F32747"/>
    <w:rsid w:val="00F444F2"/>
    <w:rsid w:val="00F52855"/>
    <w:rsid w:val="00F55E91"/>
    <w:rsid w:val="00F5642C"/>
    <w:rsid w:val="00F60E83"/>
    <w:rsid w:val="00F62D44"/>
    <w:rsid w:val="00F77C34"/>
    <w:rsid w:val="00F81DD8"/>
    <w:rsid w:val="00F81FD6"/>
    <w:rsid w:val="00F85003"/>
    <w:rsid w:val="00F85231"/>
    <w:rsid w:val="00F86CB4"/>
    <w:rsid w:val="00F91A02"/>
    <w:rsid w:val="00F94DF7"/>
    <w:rsid w:val="00F9785D"/>
    <w:rsid w:val="00FA022C"/>
    <w:rsid w:val="00FA27E2"/>
    <w:rsid w:val="00FC4C14"/>
    <w:rsid w:val="00FD1BA5"/>
    <w:rsid w:val="00FD453A"/>
    <w:rsid w:val="00FD7155"/>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233E1-5C01-490F-A405-ED1539B2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1941</Words>
  <Characters>11067</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12983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2015-04-09T17:48:00Z</dcterms:created>
  <dc:creator>LeBlanc, Tiana (ALA)</dc:creator>
  <keywords>Georgetown and DMH, BSEA # 15-00020</keywords>
  <lastModifiedBy>ANF</lastModifiedBy>
  <lastPrinted>2015-04-06T17:17:00Z</lastPrinted>
  <dcterms:modified xsi:type="dcterms:W3CDTF">2015-04-09T17:48:00Z</dcterms:modified>
  <revision>2</revision>
  <dc:subject>Georgetown and DMH, BSEA # 15-00020</dc:subject>
  <dc:title>Georgetown and DMH, BSEA # 15-00020</dc:title>
</coreProperties>
</file>