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46" w:rsidRPr="00E157F9" w:rsidRDefault="00637A46" w:rsidP="00637A46">
      <w:pPr>
        <w:spacing w:before="100" w:beforeAutospacing="1" w:after="0"/>
        <w:jc w:val="center"/>
        <w:rPr>
          <w:rFonts w:ascii="Times New Roman" w:hAnsi="Times New Roman" w:cs="Times New Roman"/>
          <w:b/>
          <w:sz w:val="25"/>
          <w:szCs w:val="25"/>
        </w:rPr>
      </w:pPr>
      <w:bookmarkStart w:id="0" w:name="_GoBack"/>
      <w:bookmarkEnd w:id="0"/>
      <w:r w:rsidRPr="00E157F9">
        <w:rPr>
          <w:rFonts w:ascii="Times New Roman" w:hAnsi="Times New Roman" w:cs="Times New Roman"/>
          <w:b/>
          <w:sz w:val="25"/>
          <w:szCs w:val="25"/>
        </w:rPr>
        <w:t>COMMONWEALTH OF MASSACHUSETTS</w:t>
      </w:r>
    </w:p>
    <w:p w:rsidR="00637A46" w:rsidRPr="00E157F9" w:rsidRDefault="00637A46" w:rsidP="00637A46">
      <w:pPr>
        <w:spacing w:after="0"/>
        <w:jc w:val="center"/>
        <w:rPr>
          <w:rFonts w:ascii="Times New Roman" w:hAnsi="Times New Roman" w:cs="Times New Roman"/>
          <w:b/>
          <w:sz w:val="25"/>
          <w:szCs w:val="25"/>
        </w:rPr>
      </w:pPr>
      <w:r w:rsidRPr="00E157F9">
        <w:rPr>
          <w:rFonts w:ascii="Times New Roman" w:hAnsi="Times New Roman" w:cs="Times New Roman"/>
          <w:b/>
          <w:sz w:val="25"/>
          <w:szCs w:val="25"/>
        </w:rPr>
        <w:t>DIVISION OF ADMINISTRATIVE LAW APPEALS</w:t>
      </w:r>
    </w:p>
    <w:p w:rsidR="00637A46" w:rsidRPr="00E157F9" w:rsidRDefault="00637A46" w:rsidP="00637A46">
      <w:pPr>
        <w:spacing w:after="0"/>
        <w:jc w:val="center"/>
        <w:rPr>
          <w:rFonts w:ascii="Times New Roman" w:hAnsi="Times New Roman" w:cs="Times New Roman"/>
          <w:b/>
          <w:sz w:val="25"/>
          <w:szCs w:val="25"/>
        </w:rPr>
      </w:pPr>
      <w:r w:rsidRPr="00E157F9">
        <w:rPr>
          <w:rFonts w:ascii="Times New Roman" w:hAnsi="Times New Roman" w:cs="Times New Roman"/>
          <w:b/>
          <w:sz w:val="25"/>
          <w:szCs w:val="25"/>
        </w:rPr>
        <w:t>SPECIAL EDUCATION APPEALS</w:t>
      </w:r>
    </w:p>
    <w:p w:rsidR="00637A46" w:rsidRPr="00E157F9" w:rsidRDefault="00637A46" w:rsidP="00637A46">
      <w:pPr>
        <w:spacing w:after="0"/>
        <w:jc w:val="center"/>
        <w:rPr>
          <w:rFonts w:ascii="Times New Roman" w:hAnsi="Times New Roman" w:cs="Times New Roman"/>
          <w:b/>
          <w:sz w:val="25"/>
          <w:szCs w:val="25"/>
        </w:rPr>
      </w:pPr>
    </w:p>
    <w:p w:rsidR="00637A46" w:rsidRPr="00E157F9" w:rsidRDefault="00637A46" w:rsidP="00637A46">
      <w:pPr>
        <w:spacing w:after="0"/>
        <w:rPr>
          <w:rFonts w:ascii="Times New Roman" w:hAnsi="Times New Roman" w:cs="Times New Roman"/>
          <w:sz w:val="25"/>
          <w:szCs w:val="25"/>
        </w:rPr>
      </w:pPr>
      <w:r w:rsidRPr="00E157F9">
        <w:rPr>
          <w:rFonts w:ascii="Times New Roman" w:hAnsi="Times New Roman" w:cs="Times New Roman"/>
          <w:b/>
          <w:sz w:val="25"/>
          <w:szCs w:val="25"/>
        </w:rPr>
        <w:t>In Re:</w:t>
      </w:r>
      <w:r w:rsidRPr="00E157F9">
        <w:rPr>
          <w:rFonts w:ascii="Times New Roman" w:hAnsi="Times New Roman" w:cs="Times New Roman"/>
          <w:sz w:val="25"/>
          <w:szCs w:val="25"/>
        </w:rPr>
        <w:t xml:space="preserve">   Student v.</w:t>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sz w:val="25"/>
          <w:szCs w:val="25"/>
        </w:rPr>
        <w:tab/>
      </w:r>
      <w:r w:rsidRPr="00E157F9">
        <w:rPr>
          <w:rFonts w:ascii="Times New Roman" w:hAnsi="Times New Roman" w:cs="Times New Roman"/>
          <w:b/>
          <w:sz w:val="25"/>
          <w:szCs w:val="25"/>
        </w:rPr>
        <w:t xml:space="preserve">BSEA # </w:t>
      </w:r>
      <w:r w:rsidRPr="00E157F9">
        <w:rPr>
          <w:rFonts w:ascii="Times New Roman" w:hAnsi="Times New Roman" w:cs="Times New Roman"/>
          <w:sz w:val="25"/>
          <w:szCs w:val="25"/>
        </w:rPr>
        <w:t>16</w:t>
      </w:r>
      <w:r w:rsidR="00766276">
        <w:rPr>
          <w:rFonts w:ascii="Times New Roman" w:hAnsi="Times New Roman" w:cs="Times New Roman"/>
          <w:sz w:val="25"/>
          <w:szCs w:val="25"/>
        </w:rPr>
        <w:t>12096</w:t>
      </w:r>
    </w:p>
    <w:p w:rsidR="00506A98" w:rsidRDefault="00637A46" w:rsidP="00637A46">
      <w:pPr>
        <w:spacing w:after="0"/>
        <w:ind w:firstLine="720"/>
        <w:rPr>
          <w:rFonts w:ascii="Times New Roman" w:hAnsi="Times New Roman" w:cs="Times New Roman"/>
          <w:sz w:val="25"/>
          <w:szCs w:val="25"/>
        </w:rPr>
      </w:pPr>
      <w:r>
        <w:rPr>
          <w:rFonts w:ascii="Times New Roman" w:hAnsi="Times New Roman" w:cs="Times New Roman"/>
          <w:sz w:val="25"/>
          <w:szCs w:val="25"/>
        </w:rPr>
        <w:t xml:space="preserve">  </w:t>
      </w:r>
      <w:r w:rsidR="00506A98">
        <w:rPr>
          <w:rFonts w:ascii="Times New Roman" w:hAnsi="Times New Roman" w:cs="Times New Roman"/>
          <w:sz w:val="25"/>
          <w:szCs w:val="25"/>
        </w:rPr>
        <w:t>North Middlesex Regional School District &amp;</w:t>
      </w:r>
    </w:p>
    <w:p w:rsidR="00637A46" w:rsidRPr="00E157F9" w:rsidRDefault="00506A98" w:rsidP="00637A46">
      <w:pPr>
        <w:spacing w:after="0"/>
        <w:ind w:firstLine="720"/>
        <w:rPr>
          <w:rFonts w:ascii="Times New Roman" w:hAnsi="Times New Roman" w:cs="Times New Roman"/>
          <w:sz w:val="25"/>
          <w:szCs w:val="25"/>
        </w:rPr>
      </w:pPr>
      <w:r>
        <w:rPr>
          <w:rFonts w:ascii="Times New Roman" w:hAnsi="Times New Roman" w:cs="Times New Roman"/>
          <w:sz w:val="25"/>
          <w:szCs w:val="25"/>
        </w:rPr>
        <w:t xml:space="preserve">  Department of Children and Families</w:t>
      </w:r>
      <w:r w:rsidR="00637A46" w:rsidRPr="00E157F9">
        <w:rPr>
          <w:rFonts w:ascii="Times New Roman" w:hAnsi="Times New Roman" w:cs="Times New Roman"/>
          <w:sz w:val="25"/>
          <w:szCs w:val="25"/>
        </w:rPr>
        <w:t xml:space="preserve"> </w:t>
      </w:r>
    </w:p>
    <w:p w:rsidR="00637A46" w:rsidRPr="00E157F9" w:rsidRDefault="00637A46" w:rsidP="00637A46">
      <w:pPr>
        <w:spacing w:after="0"/>
        <w:rPr>
          <w:rFonts w:ascii="Times New Roman" w:hAnsi="Times New Roman" w:cs="Times New Roman"/>
          <w:sz w:val="25"/>
          <w:szCs w:val="25"/>
        </w:rPr>
      </w:pPr>
    </w:p>
    <w:p w:rsidR="00506A98" w:rsidRDefault="00637A46" w:rsidP="00637A46">
      <w:pPr>
        <w:spacing w:after="0"/>
        <w:ind w:firstLine="720"/>
        <w:jc w:val="center"/>
        <w:rPr>
          <w:rFonts w:ascii="Times New Roman" w:hAnsi="Times New Roman" w:cs="Times New Roman"/>
          <w:b/>
          <w:sz w:val="25"/>
          <w:szCs w:val="25"/>
        </w:rPr>
      </w:pPr>
      <w:r w:rsidRPr="00E157F9">
        <w:rPr>
          <w:rFonts w:ascii="Times New Roman" w:hAnsi="Times New Roman" w:cs="Times New Roman"/>
          <w:b/>
          <w:sz w:val="25"/>
          <w:szCs w:val="25"/>
        </w:rPr>
        <w:t>Ruling on the Department of Children and Families</w:t>
      </w:r>
      <w:r w:rsidR="00D44CC4">
        <w:rPr>
          <w:rFonts w:ascii="Times New Roman" w:hAnsi="Times New Roman" w:cs="Times New Roman"/>
          <w:b/>
          <w:sz w:val="25"/>
          <w:szCs w:val="25"/>
        </w:rPr>
        <w:t xml:space="preserve">’ Motion </w:t>
      </w:r>
    </w:p>
    <w:p w:rsidR="00637A46" w:rsidRPr="00B13B28" w:rsidRDefault="00D44CC4" w:rsidP="00637A46">
      <w:pPr>
        <w:spacing w:after="0"/>
        <w:ind w:firstLine="720"/>
        <w:jc w:val="center"/>
        <w:rPr>
          <w:rFonts w:ascii="Times New Roman" w:hAnsi="Times New Roman" w:cs="Times New Roman"/>
          <w:b/>
          <w:sz w:val="25"/>
          <w:szCs w:val="25"/>
        </w:rPr>
      </w:pPr>
      <w:r>
        <w:rPr>
          <w:rFonts w:ascii="Times New Roman" w:hAnsi="Times New Roman" w:cs="Times New Roman"/>
          <w:b/>
          <w:sz w:val="25"/>
          <w:szCs w:val="25"/>
        </w:rPr>
        <w:t xml:space="preserve">to </w:t>
      </w:r>
      <w:r w:rsidR="00506A98">
        <w:rPr>
          <w:rFonts w:ascii="Times New Roman" w:hAnsi="Times New Roman" w:cs="Times New Roman"/>
          <w:b/>
          <w:sz w:val="25"/>
          <w:szCs w:val="25"/>
        </w:rPr>
        <w:t>be Dismissed as a Party</w:t>
      </w:r>
    </w:p>
    <w:p w:rsidR="00637A46" w:rsidRPr="00E157F9" w:rsidRDefault="00637A46" w:rsidP="00637A46">
      <w:pPr>
        <w:spacing w:after="0"/>
        <w:rPr>
          <w:rFonts w:ascii="Times New Roman" w:hAnsi="Times New Roman" w:cs="Times New Roman"/>
          <w:sz w:val="25"/>
          <w:szCs w:val="25"/>
        </w:rPr>
      </w:pPr>
    </w:p>
    <w:p w:rsidR="00D44CC4" w:rsidRPr="00E157F9" w:rsidRDefault="00637A46" w:rsidP="00637A46">
      <w:pPr>
        <w:spacing w:after="0"/>
        <w:rPr>
          <w:rFonts w:ascii="Times New Roman" w:hAnsi="Times New Roman" w:cs="Times New Roman"/>
          <w:sz w:val="25"/>
          <w:szCs w:val="25"/>
        </w:rPr>
      </w:pPr>
      <w:r w:rsidRPr="00E157F9">
        <w:rPr>
          <w:rFonts w:ascii="Times New Roman" w:hAnsi="Times New Roman" w:cs="Times New Roman"/>
          <w:sz w:val="25"/>
          <w:szCs w:val="25"/>
        </w:rPr>
        <w:t>On</w:t>
      </w:r>
      <w:r w:rsidR="00766276">
        <w:rPr>
          <w:rFonts w:ascii="Times New Roman" w:hAnsi="Times New Roman" w:cs="Times New Roman"/>
          <w:sz w:val="25"/>
          <w:szCs w:val="25"/>
        </w:rPr>
        <w:t xml:space="preserve"> June 30, 2016</w:t>
      </w:r>
      <w:r w:rsidRPr="00E157F9">
        <w:rPr>
          <w:rFonts w:ascii="Times New Roman" w:hAnsi="Times New Roman" w:cs="Times New Roman"/>
          <w:sz w:val="25"/>
          <w:szCs w:val="25"/>
        </w:rPr>
        <w:t xml:space="preserve"> </w:t>
      </w:r>
      <w:r w:rsidR="00D44CC4">
        <w:rPr>
          <w:rFonts w:ascii="Times New Roman" w:hAnsi="Times New Roman" w:cs="Times New Roman"/>
          <w:sz w:val="25"/>
          <w:szCs w:val="25"/>
        </w:rPr>
        <w:t>Parents requested a Hearing before the B</w:t>
      </w:r>
      <w:r w:rsidRPr="00E157F9">
        <w:rPr>
          <w:rFonts w:ascii="Times New Roman" w:hAnsi="Times New Roman" w:cs="Times New Roman"/>
          <w:sz w:val="25"/>
          <w:szCs w:val="25"/>
        </w:rPr>
        <w:t xml:space="preserve">ureau of Special Education Appeals </w:t>
      </w:r>
      <w:r w:rsidR="00D44CC4">
        <w:rPr>
          <w:rFonts w:ascii="Times New Roman" w:hAnsi="Times New Roman" w:cs="Times New Roman"/>
          <w:sz w:val="25"/>
          <w:szCs w:val="25"/>
        </w:rPr>
        <w:t xml:space="preserve">in the </w:t>
      </w:r>
      <w:r w:rsidRPr="00E157F9">
        <w:rPr>
          <w:rFonts w:ascii="Times New Roman" w:hAnsi="Times New Roman" w:cs="Times New Roman"/>
          <w:sz w:val="25"/>
          <w:szCs w:val="25"/>
        </w:rPr>
        <w:t>above-referenced matter</w:t>
      </w:r>
      <w:r w:rsidR="00D44CC4">
        <w:rPr>
          <w:rFonts w:ascii="Times New Roman" w:hAnsi="Times New Roman" w:cs="Times New Roman"/>
          <w:sz w:val="25"/>
          <w:szCs w:val="25"/>
        </w:rPr>
        <w:t xml:space="preserve">.  </w:t>
      </w:r>
    </w:p>
    <w:p w:rsidR="00B13B28" w:rsidRDefault="00B13B28" w:rsidP="00637A46">
      <w:pPr>
        <w:spacing w:after="0"/>
        <w:rPr>
          <w:rFonts w:ascii="Times New Roman" w:hAnsi="Times New Roman" w:cs="Times New Roman"/>
          <w:sz w:val="25"/>
          <w:szCs w:val="25"/>
        </w:rPr>
      </w:pPr>
    </w:p>
    <w:p w:rsidR="00D12792" w:rsidRDefault="00D12792" w:rsidP="00637A46">
      <w:pPr>
        <w:spacing w:after="0"/>
        <w:rPr>
          <w:rFonts w:ascii="Times New Roman" w:hAnsi="Times New Roman" w:cs="Times New Roman"/>
          <w:sz w:val="25"/>
          <w:szCs w:val="25"/>
        </w:rPr>
      </w:pPr>
      <w:r>
        <w:rPr>
          <w:rFonts w:ascii="Times New Roman" w:hAnsi="Times New Roman" w:cs="Times New Roman"/>
          <w:sz w:val="25"/>
          <w:szCs w:val="25"/>
        </w:rPr>
        <w:t>The instant disputes involves Parent</w:t>
      </w:r>
      <w:r w:rsidR="00316B27">
        <w:rPr>
          <w:rFonts w:ascii="Times New Roman" w:hAnsi="Times New Roman" w:cs="Times New Roman"/>
          <w:sz w:val="25"/>
          <w:szCs w:val="25"/>
        </w:rPr>
        <w:t>s</w:t>
      </w:r>
      <w:r w:rsidR="00F547F1">
        <w:rPr>
          <w:rFonts w:ascii="Times New Roman" w:hAnsi="Times New Roman" w:cs="Times New Roman"/>
          <w:sz w:val="25"/>
          <w:szCs w:val="25"/>
        </w:rPr>
        <w:t>’</w:t>
      </w:r>
      <w:r>
        <w:rPr>
          <w:rFonts w:ascii="Times New Roman" w:hAnsi="Times New Roman" w:cs="Times New Roman"/>
          <w:sz w:val="25"/>
          <w:szCs w:val="25"/>
        </w:rPr>
        <w:t xml:space="preserve"> request for a six month residential placement of Student to decrease </w:t>
      </w:r>
      <w:r w:rsidR="00F547F1">
        <w:rPr>
          <w:rFonts w:ascii="Times New Roman" w:hAnsi="Times New Roman" w:cs="Times New Roman"/>
          <w:sz w:val="25"/>
          <w:szCs w:val="25"/>
        </w:rPr>
        <w:t>Student’s</w:t>
      </w:r>
      <w:r>
        <w:rPr>
          <w:rFonts w:ascii="Times New Roman" w:hAnsi="Times New Roman" w:cs="Times New Roman"/>
          <w:sz w:val="25"/>
          <w:szCs w:val="25"/>
        </w:rPr>
        <w:t xml:space="preserve"> chronic stress.  At present Student attends the Perkins day school program (a private therapeutic placement) pursuant to an IEP issued by </w:t>
      </w:r>
      <w:r w:rsidR="00F547F1">
        <w:rPr>
          <w:rFonts w:ascii="Times New Roman" w:hAnsi="Times New Roman" w:cs="Times New Roman"/>
          <w:sz w:val="25"/>
          <w:szCs w:val="25"/>
        </w:rPr>
        <w:t>North Middlesex Regional School District (</w:t>
      </w:r>
      <w:r>
        <w:rPr>
          <w:rFonts w:ascii="Times New Roman" w:hAnsi="Times New Roman" w:cs="Times New Roman"/>
          <w:sz w:val="25"/>
          <w:szCs w:val="25"/>
        </w:rPr>
        <w:t>NM</w:t>
      </w:r>
      <w:r w:rsidR="00F547F1">
        <w:rPr>
          <w:rFonts w:ascii="Times New Roman" w:hAnsi="Times New Roman" w:cs="Times New Roman"/>
          <w:sz w:val="25"/>
          <w:szCs w:val="25"/>
        </w:rPr>
        <w:t>R)</w:t>
      </w:r>
      <w:r>
        <w:rPr>
          <w:rFonts w:ascii="Times New Roman" w:hAnsi="Times New Roman" w:cs="Times New Roman"/>
          <w:sz w:val="25"/>
          <w:szCs w:val="25"/>
        </w:rPr>
        <w:t xml:space="preserve"> in June 2016.  </w:t>
      </w:r>
      <w:r w:rsidR="00316B27">
        <w:rPr>
          <w:rFonts w:ascii="Times New Roman" w:hAnsi="Times New Roman" w:cs="Times New Roman"/>
          <w:sz w:val="25"/>
          <w:szCs w:val="25"/>
        </w:rPr>
        <w:t xml:space="preserve">Parents’ Hearing Request was filed against both, DCF and </w:t>
      </w:r>
      <w:r w:rsidR="00521284">
        <w:rPr>
          <w:rFonts w:ascii="Times New Roman" w:hAnsi="Times New Roman" w:cs="Times New Roman"/>
          <w:sz w:val="25"/>
          <w:szCs w:val="25"/>
        </w:rPr>
        <w:t>NMR</w:t>
      </w:r>
      <w:r w:rsidR="00316B27">
        <w:rPr>
          <w:rFonts w:ascii="Times New Roman" w:hAnsi="Times New Roman" w:cs="Times New Roman"/>
          <w:sz w:val="25"/>
          <w:szCs w:val="25"/>
        </w:rPr>
        <w:t>, and funding for Student’s residential placement is sought from either or both.</w:t>
      </w:r>
    </w:p>
    <w:p w:rsidR="00D12792" w:rsidRDefault="00D12792" w:rsidP="00637A46">
      <w:pPr>
        <w:spacing w:after="0"/>
        <w:rPr>
          <w:rFonts w:ascii="Times New Roman" w:hAnsi="Times New Roman" w:cs="Times New Roman"/>
          <w:sz w:val="25"/>
          <w:szCs w:val="25"/>
        </w:rPr>
      </w:pPr>
    </w:p>
    <w:p w:rsidR="00316B27" w:rsidRPr="00316B27" w:rsidRDefault="00316B27" w:rsidP="00316B27">
      <w:pPr>
        <w:spacing w:after="0"/>
      </w:pPr>
      <w:r>
        <w:rPr>
          <w:rFonts w:ascii="Times New Roman" w:hAnsi="Times New Roman" w:cs="Times New Roman"/>
          <w:sz w:val="25"/>
          <w:szCs w:val="25"/>
        </w:rPr>
        <w:t xml:space="preserve">On July 27, 2016, the </w:t>
      </w:r>
      <w:r w:rsidRPr="00E157F9">
        <w:rPr>
          <w:rFonts w:ascii="Times New Roman" w:hAnsi="Times New Roman" w:cs="Times New Roman"/>
          <w:sz w:val="25"/>
          <w:szCs w:val="25"/>
        </w:rPr>
        <w:t>Department of Children and Families (DCF)</w:t>
      </w:r>
      <w:r>
        <w:rPr>
          <w:rFonts w:ascii="Times New Roman" w:hAnsi="Times New Roman" w:cs="Times New Roman"/>
          <w:sz w:val="25"/>
          <w:szCs w:val="25"/>
        </w:rPr>
        <w:t xml:space="preserve"> filed a Motion to Dismiss DCF as a party.</w:t>
      </w:r>
      <w:r w:rsidRPr="00E157F9">
        <w:rPr>
          <w:rFonts w:ascii="Times New Roman" w:hAnsi="Times New Roman" w:cs="Times New Roman"/>
          <w:sz w:val="25"/>
          <w:szCs w:val="25"/>
        </w:rPr>
        <w:t xml:space="preserve">  </w:t>
      </w:r>
      <w:r>
        <w:rPr>
          <w:rFonts w:ascii="Times New Roman" w:hAnsi="Times New Roman" w:cs="Times New Roman"/>
          <w:sz w:val="25"/>
          <w:szCs w:val="25"/>
        </w:rPr>
        <w:t>DCF argued that its involvement with Student and</w:t>
      </w:r>
      <w:r>
        <w:t xml:space="preserve"> </w:t>
      </w:r>
      <w:r w:rsidR="00F547F1">
        <w:t>P</w:t>
      </w:r>
      <w:r>
        <w:rPr>
          <w:rFonts w:ascii="Times New Roman" w:hAnsi="Times New Roman" w:cs="Times New Roman"/>
          <w:sz w:val="25"/>
          <w:szCs w:val="25"/>
        </w:rPr>
        <w:t>arents has been minimal and asserts that it does not have care or custody of Student, nor has it had it at any time.  DCF argues that it cannot provide a placement for any child not in its care or custody as that would contravene DCF’s “rules, regulations and policies”.  G.L. c. 71B §3; 603 CMR 28.08.  Therefore, DCF’s participation as a party would serve no legitimate purpose</w:t>
      </w:r>
      <w:r w:rsidR="00521284">
        <w:rPr>
          <w:rFonts w:ascii="Times New Roman" w:hAnsi="Times New Roman" w:cs="Times New Roman"/>
          <w:sz w:val="25"/>
          <w:szCs w:val="25"/>
        </w:rPr>
        <w:t xml:space="preserve"> and the sole remedy sought by Parents can be provided by NMR.</w:t>
      </w:r>
      <w:r>
        <w:rPr>
          <w:rFonts w:ascii="Times New Roman" w:hAnsi="Times New Roman" w:cs="Times New Roman"/>
          <w:sz w:val="25"/>
          <w:szCs w:val="25"/>
        </w:rPr>
        <w:t xml:space="preserve"> </w:t>
      </w:r>
      <w:r>
        <w:t xml:space="preserve"> </w:t>
      </w:r>
    </w:p>
    <w:p w:rsidR="00316B27" w:rsidRDefault="00316B27" w:rsidP="00637A46">
      <w:pPr>
        <w:spacing w:after="0"/>
        <w:rPr>
          <w:rFonts w:ascii="Times New Roman" w:hAnsi="Times New Roman" w:cs="Times New Roman"/>
          <w:sz w:val="25"/>
          <w:szCs w:val="25"/>
        </w:rPr>
      </w:pPr>
    </w:p>
    <w:p w:rsidR="00316B27" w:rsidRDefault="00411B2B" w:rsidP="00637A46">
      <w:pPr>
        <w:spacing w:after="0"/>
        <w:rPr>
          <w:rFonts w:ascii="Times New Roman" w:hAnsi="Times New Roman" w:cs="Times New Roman"/>
          <w:sz w:val="25"/>
          <w:szCs w:val="25"/>
        </w:rPr>
      </w:pPr>
      <w:r>
        <w:rPr>
          <w:rFonts w:ascii="Times New Roman" w:hAnsi="Times New Roman" w:cs="Times New Roman"/>
          <w:sz w:val="25"/>
          <w:szCs w:val="25"/>
        </w:rPr>
        <w:t>NMR filed an Opposition</w:t>
      </w:r>
      <w:r w:rsidR="0035636D">
        <w:rPr>
          <w:rFonts w:ascii="Times New Roman" w:hAnsi="Times New Roman" w:cs="Times New Roman"/>
          <w:sz w:val="25"/>
          <w:szCs w:val="25"/>
        </w:rPr>
        <w:t xml:space="preserve"> </w:t>
      </w:r>
      <w:r>
        <w:rPr>
          <w:rFonts w:ascii="Times New Roman" w:hAnsi="Times New Roman" w:cs="Times New Roman"/>
          <w:sz w:val="25"/>
          <w:szCs w:val="25"/>
        </w:rPr>
        <w:t xml:space="preserve">to DCF’s Motion to Dismiss on August 3, 2016, arguing that DCF is currently a provider of services to the Student and as such has an interest relating to the subject matter of this Hearing and a judgment cannot be reached in its absence.  Furthermore, release of DCF would result in a risk of prejudice to the District. </w:t>
      </w:r>
    </w:p>
    <w:p w:rsidR="0035636D" w:rsidRDefault="0035636D" w:rsidP="00637A46">
      <w:pPr>
        <w:spacing w:after="0"/>
        <w:rPr>
          <w:rFonts w:ascii="Times New Roman" w:hAnsi="Times New Roman" w:cs="Times New Roman"/>
          <w:sz w:val="25"/>
          <w:szCs w:val="25"/>
        </w:rPr>
      </w:pPr>
    </w:p>
    <w:p w:rsidR="00C4027C" w:rsidRDefault="0035636D" w:rsidP="00637A46">
      <w:pPr>
        <w:spacing w:after="0"/>
        <w:rPr>
          <w:rFonts w:ascii="Times New Roman" w:hAnsi="Times New Roman" w:cs="Times New Roman"/>
          <w:sz w:val="25"/>
          <w:szCs w:val="25"/>
        </w:rPr>
      </w:pPr>
      <w:r>
        <w:rPr>
          <w:rFonts w:ascii="Times New Roman" w:hAnsi="Times New Roman" w:cs="Times New Roman"/>
          <w:sz w:val="25"/>
          <w:szCs w:val="25"/>
        </w:rPr>
        <w:t xml:space="preserve">According to NMR, Student has been the recipient of a DCF </w:t>
      </w:r>
      <w:r w:rsidR="00F547F1">
        <w:rPr>
          <w:rFonts w:ascii="Times New Roman" w:hAnsi="Times New Roman" w:cs="Times New Roman"/>
          <w:sz w:val="25"/>
          <w:szCs w:val="25"/>
        </w:rPr>
        <w:t>Treatment P</w:t>
      </w:r>
      <w:r>
        <w:rPr>
          <w:rFonts w:ascii="Times New Roman" w:hAnsi="Times New Roman" w:cs="Times New Roman"/>
          <w:sz w:val="25"/>
          <w:szCs w:val="25"/>
        </w:rPr>
        <w:t>lan since November 30, 2015</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r w:rsidR="00F547F1">
        <w:rPr>
          <w:rFonts w:ascii="Times New Roman" w:hAnsi="Times New Roman" w:cs="Times New Roman"/>
          <w:sz w:val="25"/>
          <w:szCs w:val="25"/>
        </w:rPr>
        <w:t>(</w:t>
      </w:r>
      <w:r>
        <w:rPr>
          <w:rFonts w:ascii="Times New Roman" w:hAnsi="Times New Roman" w:cs="Times New Roman"/>
          <w:sz w:val="25"/>
          <w:szCs w:val="25"/>
        </w:rPr>
        <w:t>Treatment Plan Document April 21, 2016 and June 2, 2016</w:t>
      </w:r>
      <w:r w:rsidR="00F547F1">
        <w:rPr>
          <w:rFonts w:ascii="Times New Roman" w:hAnsi="Times New Roman" w:cs="Times New Roman"/>
          <w:sz w:val="25"/>
          <w:szCs w:val="25"/>
        </w:rPr>
        <w:t>)</w:t>
      </w:r>
      <w:r>
        <w:rPr>
          <w:rFonts w:ascii="Times New Roman" w:hAnsi="Times New Roman" w:cs="Times New Roman"/>
          <w:sz w:val="25"/>
          <w:szCs w:val="25"/>
        </w:rPr>
        <w:t xml:space="preserve">.  On December 19, 2015, Student underwent a neuropsychological evaluation with Seth Doolin, Psy.D., </w:t>
      </w:r>
      <w:r>
        <w:rPr>
          <w:rFonts w:ascii="Times New Roman" w:hAnsi="Times New Roman" w:cs="Times New Roman"/>
          <w:sz w:val="25"/>
          <w:szCs w:val="25"/>
        </w:rPr>
        <w:lastRenderedPageBreak/>
        <w:t>arranged for by DCF</w:t>
      </w:r>
      <w:r w:rsidR="00F547F1">
        <w:rPr>
          <w:rFonts w:ascii="Times New Roman" w:hAnsi="Times New Roman" w:cs="Times New Roman"/>
          <w:sz w:val="25"/>
          <w:szCs w:val="25"/>
        </w:rPr>
        <w:t>,</w:t>
      </w:r>
      <w:r>
        <w:rPr>
          <w:rFonts w:ascii="Times New Roman" w:hAnsi="Times New Roman" w:cs="Times New Roman"/>
          <w:sz w:val="25"/>
          <w:szCs w:val="25"/>
        </w:rPr>
        <w:t xml:space="preserve"> in order to clarify Student’s then presenting diagnosis.  NMR asserts that Student is currently assigned to work with a Social Worker from the </w:t>
      </w:r>
      <w:r w:rsidR="00F547F1">
        <w:rPr>
          <w:rFonts w:ascii="Times New Roman" w:hAnsi="Times New Roman" w:cs="Times New Roman"/>
          <w:sz w:val="25"/>
          <w:szCs w:val="25"/>
        </w:rPr>
        <w:t xml:space="preserve">DCF </w:t>
      </w:r>
      <w:r>
        <w:rPr>
          <w:rFonts w:ascii="Times New Roman" w:hAnsi="Times New Roman" w:cs="Times New Roman"/>
          <w:sz w:val="25"/>
          <w:szCs w:val="25"/>
        </w:rPr>
        <w:t>Lowell Area Office</w:t>
      </w:r>
      <w:r w:rsidR="0048681B">
        <w:rPr>
          <w:rFonts w:ascii="Times New Roman" w:hAnsi="Times New Roman" w:cs="Times New Roman"/>
          <w:sz w:val="25"/>
          <w:szCs w:val="25"/>
        </w:rPr>
        <w:t xml:space="preserve">.  Student’s Treatment Plans call for:  “Family Therapy, Parent Skills Training; Case Management; and Permanency Coaching”.   Furthermore, while receiving services under the aforementioned service plans a </w:t>
      </w:r>
      <w:r w:rsidR="00F547F1">
        <w:rPr>
          <w:rFonts w:ascii="Times New Roman" w:hAnsi="Times New Roman" w:cs="Times New Roman"/>
          <w:sz w:val="25"/>
          <w:szCs w:val="25"/>
        </w:rPr>
        <w:t xml:space="preserve">report under </w:t>
      </w:r>
      <w:r w:rsidR="0048681B">
        <w:rPr>
          <w:rFonts w:ascii="Times New Roman" w:hAnsi="Times New Roman" w:cs="Times New Roman"/>
          <w:sz w:val="25"/>
          <w:szCs w:val="25"/>
        </w:rPr>
        <w:t xml:space="preserve">M.G.L. c.119 §51A was filed </w:t>
      </w:r>
      <w:r w:rsidR="00F547F1">
        <w:rPr>
          <w:rFonts w:ascii="Times New Roman" w:hAnsi="Times New Roman" w:cs="Times New Roman"/>
          <w:sz w:val="25"/>
          <w:szCs w:val="25"/>
        </w:rPr>
        <w:t>allegin</w:t>
      </w:r>
      <w:r w:rsidR="0048681B">
        <w:rPr>
          <w:rFonts w:ascii="Times New Roman" w:hAnsi="Times New Roman" w:cs="Times New Roman"/>
          <w:sz w:val="25"/>
          <w:szCs w:val="25"/>
        </w:rPr>
        <w:t>g abuse of Student by</w:t>
      </w:r>
      <w:r w:rsidR="00F547F1">
        <w:rPr>
          <w:rFonts w:ascii="Times New Roman" w:hAnsi="Times New Roman" w:cs="Times New Roman"/>
          <w:sz w:val="25"/>
          <w:szCs w:val="25"/>
        </w:rPr>
        <w:t xml:space="preserve"> a family member</w:t>
      </w:r>
      <w:r w:rsidR="0048681B">
        <w:rPr>
          <w:rFonts w:ascii="Times New Roman" w:hAnsi="Times New Roman" w:cs="Times New Roman"/>
          <w:sz w:val="25"/>
          <w:szCs w:val="25"/>
        </w:rPr>
        <w:t xml:space="preserve">.  This allegation resulted in an increase in the </w:t>
      </w:r>
      <w:r w:rsidR="00F547F1">
        <w:rPr>
          <w:rFonts w:ascii="Times New Roman" w:hAnsi="Times New Roman" w:cs="Times New Roman"/>
          <w:sz w:val="25"/>
          <w:szCs w:val="25"/>
        </w:rPr>
        <w:t xml:space="preserve">DCF </w:t>
      </w:r>
      <w:r w:rsidR="0048681B">
        <w:rPr>
          <w:rFonts w:ascii="Times New Roman" w:hAnsi="Times New Roman" w:cs="Times New Roman"/>
          <w:sz w:val="25"/>
          <w:szCs w:val="25"/>
        </w:rPr>
        <w:t xml:space="preserve">supports offered to Student under the </w:t>
      </w:r>
      <w:r w:rsidR="00F547F1">
        <w:rPr>
          <w:rFonts w:ascii="Times New Roman" w:hAnsi="Times New Roman" w:cs="Times New Roman"/>
          <w:sz w:val="25"/>
          <w:szCs w:val="25"/>
        </w:rPr>
        <w:t xml:space="preserve">DCF </w:t>
      </w:r>
      <w:r w:rsidR="008B351E">
        <w:rPr>
          <w:rFonts w:ascii="Times New Roman" w:hAnsi="Times New Roman" w:cs="Times New Roman"/>
          <w:sz w:val="25"/>
          <w:szCs w:val="25"/>
        </w:rPr>
        <w:t>Treatment Plans issued o</w:t>
      </w:r>
      <w:r w:rsidR="0048681B">
        <w:rPr>
          <w:rFonts w:ascii="Times New Roman" w:hAnsi="Times New Roman" w:cs="Times New Roman"/>
          <w:sz w:val="25"/>
          <w:szCs w:val="25"/>
        </w:rPr>
        <w:t>n April 21 and June 1, 2016.</w:t>
      </w:r>
      <w:r w:rsidR="00C4027C">
        <w:rPr>
          <w:rFonts w:ascii="Times New Roman" w:hAnsi="Times New Roman" w:cs="Times New Roman"/>
          <w:sz w:val="25"/>
          <w:szCs w:val="25"/>
        </w:rPr>
        <w:t xml:space="preserve">  According to NMR, these Treatment Plans describe a chaotic home environment in which parents are being provided with support to manage the stress in the household and to facilitate a safe living environment for the family, as well as family therapy sessions for the various household members.   </w:t>
      </w:r>
    </w:p>
    <w:p w:rsidR="0048681B" w:rsidRDefault="0048681B" w:rsidP="00637A46">
      <w:pPr>
        <w:spacing w:after="0"/>
        <w:rPr>
          <w:rFonts w:ascii="Times New Roman" w:hAnsi="Times New Roman" w:cs="Times New Roman"/>
          <w:sz w:val="25"/>
          <w:szCs w:val="25"/>
        </w:rPr>
      </w:pPr>
    </w:p>
    <w:p w:rsidR="0048681B" w:rsidRDefault="00C4027C" w:rsidP="00637A46">
      <w:pPr>
        <w:spacing w:after="0"/>
        <w:rPr>
          <w:rFonts w:ascii="Times New Roman" w:hAnsi="Times New Roman" w:cs="Times New Roman"/>
          <w:sz w:val="25"/>
          <w:szCs w:val="25"/>
        </w:rPr>
      </w:pPr>
      <w:r>
        <w:rPr>
          <w:rFonts w:ascii="Times New Roman" w:hAnsi="Times New Roman" w:cs="Times New Roman"/>
          <w:sz w:val="25"/>
          <w:szCs w:val="25"/>
        </w:rPr>
        <w:t>NMR argued that DCF is extensively involved with Student and her family, rendering DCF a necessary party</w:t>
      </w:r>
      <w:r w:rsidR="00F547F1">
        <w:rPr>
          <w:rFonts w:ascii="Times New Roman" w:hAnsi="Times New Roman" w:cs="Times New Roman"/>
          <w:sz w:val="25"/>
          <w:szCs w:val="25"/>
        </w:rPr>
        <w:t xml:space="preserve"> and that, </w:t>
      </w:r>
      <w:r>
        <w:rPr>
          <w:rFonts w:ascii="Times New Roman" w:hAnsi="Times New Roman" w:cs="Times New Roman"/>
          <w:sz w:val="25"/>
          <w:szCs w:val="25"/>
        </w:rPr>
        <w:t xml:space="preserve">DCF is uniquely situated </w:t>
      </w:r>
      <w:r w:rsidR="00F547F1">
        <w:rPr>
          <w:rFonts w:ascii="Times New Roman" w:hAnsi="Times New Roman" w:cs="Times New Roman"/>
          <w:sz w:val="25"/>
          <w:szCs w:val="25"/>
        </w:rPr>
        <w:t>such that</w:t>
      </w:r>
      <w:r w:rsidR="001C4EA4">
        <w:rPr>
          <w:rFonts w:ascii="Times New Roman" w:hAnsi="Times New Roman" w:cs="Times New Roman"/>
          <w:sz w:val="25"/>
          <w:szCs w:val="25"/>
        </w:rPr>
        <w:t xml:space="preserve"> </w:t>
      </w:r>
      <w:r>
        <w:rPr>
          <w:rFonts w:ascii="Times New Roman" w:hAnsi="Times New Roman" w:cs="Times New Roman"/>
          <w:sz w:val="25"/>
          <w:szCs w:val="25"/>
        </w:rPr>
        <w:t>the case cannot be disposed of in</w:t>
      </w:r>
      <w:r w:rsidR="001C4EA4">
        <w:rPr>
          <w:rFonts w:ascii="Times New Roman" w:hAnsi="Times New Roman" w:cs="Times New Roman"/>
          <w:sz w:val="25"/>
          <w:szCs w:val="25"/>
        </w:rPr>
        <w:t xml:space="preserve"> its absence.  </w:t>
      </w:r>
      <w:r>
        <w:rPr>
          <w:rFonts w:ascii="Times New Roman" w:hAnsi="Times New Roman" w:cs="Times New Roman"/>
          <w:sz w:val="25"/>
          <w:szCs w:val="25"/>
        </w:rPr>
        <w:t xml:space="preserve">NMR further argued that if Student is in need of a residential placement, such placement is not for educational reasons </w:t>
      </w:r>
      <w:r w:rsidR="001C4EA4">
        <w:rPr>
          <w:rFonts w:ascii="Times New Roman" w:hAnsi="Times New Roman" w:cs="Times New Roman"/>
          <w:sz w:val="25"/>
          <w:szCs w:val="25"/>
        </w:rPr>
        <w:t>and therefore requests that DCF’s Motion be denied and that DCF be maintained as a party</w:t>
      </w:r>
      <w:r w:rsidR="00F547F1">
        <w:rPr>
          <w:rFonts w:ascii="Times New Roman" w:hAnsi="Times New Roman" w:cs="Times New Roman"/>
          <w:sz w:val="25"/>
          <w:szCs w:val="25"/>
        </w:rPr>
        <w:t xml:space="preserve"> to fund </w:t>
      </w:r>
      <w:r w:rsidR="008B351E">
        <w:rPr>
          <w:rFonts w:ascii="Times New Roman" w:hAnsi="Times New Roman" w:cs="Times New Roman"/>
          <w:sz w:val="25"/>
          <w:szCs w:val="25"/>
        </w:rPr>
        <w:t xml:space="preserve">a </w:t>
      </w:r>
      <w:r w:rsidR="00F547F1">
        <w:rPr>
          <w:rFonts w:ascii="Times New Roman" w:hAnsi="Times New Roman" w:cs="Times New Roman"/>
          <w:sz w:val="25"/>
          <w:szCs w:val="25"/>
        </w:rPr>
        <w:t>potential residential placement or to offer Student and/or Parents additional services</w:t>
      </w:r>
      <w:r w:rsidR="001C4EA4">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316B27" w:rsidRDefault="00316B27" w:rsidP="00637A46">
      <w:pPr>
        <w:spacing w:after="0"/>
        <w:rPr>
          <w:rFonts w:ascii="Times New Roman" w:hAnsi="Times New Roman" w:cs="Times New Roman"/>
          <w:sz w:val="25"/>
          <w:szCs w:val="25"/>
        </w:rPr>
      </w:pPr>
    </w:p>
    <w:p w:rsidR="00521284" w:rsidRDefault="00766276" w:rsidP="00521284">
      <w:pPr>
        <w:spacing w:after="0"/>
        <w:rPr>
          <w:rFonts w:ascii="Times New Roman" w:hAnsi="Times New Roman" w:cs="Times New Roman"/>
          <w:sz w:val="25"/>
          <w:szCs w:val="25"/>
        </w:rPr>
      </w:pPr>
      <w:r>
        <w:rPr>
          <w:rFonts w:ascii="Times New Roman" w:hAnsi="Times New Roman" w:cs="Times New Roman"/>
          <w:sz w:val="25"/>
          <w:szCs w:val="25"/>
        </w:rPr>
        <w:t>T</w:t>
      </w:r>
      <w:r w:rsidR="00077052">
        <w:rPr>
          <w:rFonts w:ascii="Times New Roman" w:hAnsi="Times New Roman" w:cs="Times New Roman"/>
          <w:sz w:val="25"/>
          <w:szCs w:val="25"/>
        </w:rPr>
        <w:t xml:space="preserve">his </w:t>
      </w:r>
      <w:r w:rsidR="00637A46" w:rsidRPr="00E157F9">
        <w:rPr>
          <w:rFonts w:ascii="Times New Roman" w:hAnsi="Times New Roman" w:cs="Times New Roman"/>
          <w:sz w:val="25"/>
          <w:szCs w:val="25"/>
        </w:rPr>
        <w:t xml:space="preserve">Ruling </w:t>
      </w:r>
      <w:r>
        <w:rPr>
          <w:rFonts w:ascii="Times New Roman" w:hAnsi="Times New Roman" w:cs="Times New Roman"/>
          <w:sz w:val="25"/>
          <w:szCs w:val="25"/>
        </w:rPr>
        <w:t>is issued in consideration o</w:t>
      </w:r>
      <w:r w:rsidR="00637A46" w:rsidRPr="00E157F9">
        <w:rPr>
          <w:rFonts w:ascii="Times New Roman" w:hAnsi="Times New Roman" w:cs="Times New Roman"/>
          <w:sz w:val="25"/>
          <w:szCs w:val="25"/>
        </w:rPr>
        <w:t>f the arguments and doc</w:t>
      </w:r>
      <w:r w:rsidR="00637A46">
        <w:rPr>
          <w:rFonts w:ascii="Times New Roman" w:hAnsi="Times New Roman" w:cs="Times New Roman"/>
          <w:sz w:val="25"/>
          <w:szCs w:val="25"/>
        </w:rPr>
        <w:t>uments submitted by the Parties</w:t>
      </w:r>
      <w:r>
        <w:rPr>
          <w:rFonts w:ascii="Times New Roman" w:hAnsi="Times New Roman" w:cs="Times New Roman"/>
          <w:sz w:val="25"/>
          <w:szCs w:val="25"/>
        </w:rPr>
        <w:t xml:space="preserve"> including the Hearing Request filed by Parents </w:t>
      </w:r>
      <w:r w:rsidR="00521284">
        <w:rPr>
          <w:rFonts w:ascii="Times New Roman" w:hAnsi="Times New Roman" w:cs="Times New Roman"/>
          <w:sz w:val="25"/>
          <w:szCs w:val="25"/>
        </w:rPr>
        <w:t xml:space="preserve">and </w:t>
      </w:r>
      <w:r w:rsidR="00637A46" w:rsidRPr="00E157F9">
        <w:rPr>
          <w:rFonts w:ascii="Times New Roman" w:hAnsi="Times New Roman" w:cs="Times New Roman"/>
          <w:sz w:val="25"/>
          <w:szCs w:val="25"/>
        </w:rPr>
        <w:t>address</w:t>
      </w:r>
      <w:r w:rsidR="00521284">
        <w:rPr>
          <w:rFonts w:ascii="Times New Roman" w:hAnsi="Times New Roman" w:cs="Times New Roman"/>
          <w:sz w:val="25"/>
          <w:szCs w:val="25"/>
        </w:rPr>
        <w:t>es</w:t>
      </w:r>
      <w:r w:rsidR="00637A46" w:rsidRPr="00E157F9">
        <w:rPr>
          <w:rFonts w:ascii="Times New Roman" w:hAnsi="Times New Roman" w:cs="Times New Roman"/>
          <w:sz w:val="25"/>
          <w:szCs w:val="25"/>
        </w:rPr>
        <w:t xml:space="preserve"> solely the questi</w:t>
      </w:r>
      <w:r w:rsidR="00F547F1">
        <w:rPr>
          <w:rFonts w:ascii="Times New Roman" w:hAnsi="Times New Roman" w:cs="Times New Roman"/>
          <w:sz w:val="25"/>
          <w:szCs w:val="25"/>
        </w:rPr>
        <w:t>on of whether DCF is</w:t>
      </w:r>
      <w:r w:rsidR="00521284">
        <w:rPr>
          <w:rFonts w:ascii="Times New Roman" w:hAnsi="Times New Roman" w:cs="Times New Roman"/>
          <w:sz w:val="25"/>
          <w:szCs w:val="25"/>
        </w:rPr>
        <w:t xml:space="preserve"> </w:t>
      </w:r>
      <w:r w:rsidR="00637A46" w:rsidRPr="00E157F9">
        <w:rPr>
          <w:rFonts w:ascii="Times New Roman" w:hAnsi="Times New Roman" w:cs="Times New Roman"/>
          <w:sz w:val="25"/>
          <w:szCs w:val="25"/>
        </w:rPr>
        <w:t>necessary for a full disposition of the case</w:t>
      </w:r>
      <w:r w:rsidR="00521284">
        <w:rPr>
          <w:rFonts w:ascii="Times New Roman" w:hAnsi="Times New Roman" w:cs="Times New Roman"/>
          <w:sz w:val="25"/>
          <w:szCs w:val="25"/>
        </w:rPr>
        <w:t xml:space="preserve"> and </w:t>
      </w:r>
      <w:r w:rsidR="00F547F1">
        <w:rPr>
          <w:rFonts w:ascii="Times New Roman" w:hAnsi="Times New Roman" w:cs="Times New Roman"/>
          <w:sz w:val="25"/>
          <w:szCs w:val="25"/>
        </w:rPr>
        <w:t>if not, whether it can</w:t>
      </w:r>
      <w:r w:rsidR="00521284">
        <w:rPr>
          <w:rFonts w:ascii="Times New Roman" w:hAnsi="Times New Roman" w:cs="Times New Roman"/>
          <w:sz w:val="25"/>
          <w:szCs w:val="25"/>
        </w:rPr>
        <w:t xml:space="preserve"> be dismissed as a party</w:t>
      </w:r>
      <w:r w:rsidR="00637A46">
        <w:rPr>
          <w:rFonts w:ascii="Times New Roman" w:hAnsi="Times New Roman" w:cs="Times New Roman"/>
          <w:sz w:val="25"/>
          <w:szCs w:val="25"/>
        </w:rPr>
        <w:t xml:space="preserve">.  </w:t>
      </w:r>
    </w:p>
    <w:p w:rsidR="008B351E" w:rsidRPr="00E157F9" w:rsidRDefault="008B351E" w:rsidP="00521284">
      <w:pPr>
        <w:spacing w:after="0"/>
        <w:rPr>
          <w:rFonts w:ascii="Times New Roman" w:hAnsi="Times New Roman" w:cs="Times New Roman"/>
          <w:sz w:val="25"/>
          <w:szCs w:val="25"/>
        </w:rPr>
      </w:pPr>
    </w:p>
    <w:p w:rsidR="00521284" w:rsidRPr="00E157F9" w:rsidRDefault="00521284" w:rsidP="00521284">
      <w:pPr>
        <w:pStyle w:val="Title"/>
        <w:jc w:val="left"/>
        <w:rPr>
          <w:b/>
          <w:bCs/>
          <w:sz w:val="25"/>
          <w:szCs w:val="25"/>
          <w:u w:val="single"/>
        </w:rPr>
      </w:pPr>
      <w:r w:rsidRPr="00E157F9">
        <w:rPr>
          <w:b/>
          <w:bCs/>
          <w:sz w:val="25"/>
          <w:szCs w:val="25"/>
          <w:u w:val="single"/>
        </w:rPr>
        <w:t>Legal Standard</w:t>
      </w:r>
      <w:r>
        <w:rPr>
          <w:b/>
          <w:bCs/>
          <w:sz w:val="25"/>
          <w:szCs w:val="25"/>
          <w:u w:val="single"/>
        </w:rPr>
        <w:t xml:space="preserve"> Regarding Joinder</w:t>
      </w:r>
      <w:r w:rsidRPr="00E157F9">
        <w:rPr>
          <w:b/>
          <w:bCs/>
          <w:sz w:val="25"/>
          <w:szCs w:val="25"/>
          <w:u w:val="single"/>
        </w:rPr>
        <w:t>:</w:t>
      </w:r>
    </w:p>
    <w:p w:rsidR="00521284" w:rsidRDefault="00521284" w:rsidP="00637A46">
      <w:pPr>
        <w:spacing w:after="0"/>
        <w:rPr>
          <w:rFonts w:ascii="Times New Roman" w:hAnsi="Times New Roman" w:cs="Times New Roman"/>
          <w:sz w:val="25"/>
          <w:szCs w:val="25"/>
        </w:rPr>
      </w:pPr>
    </w:p>
    <w:p w:rsidR="00975C61" w:rsidRPr="00695BE5" w:rsidRDefault="00521284" w:rsidP="00695BE5">
      <w:pPr>
        <w:pStyle w:val="NoSpacing"/>
        <w:rPr>
          <w:rFonts w:ascii="Times New Roman" w:hAnsi="Times New Roman" w:cs="Times New Roman"/>
          <w:sz w:val="25"/>
          <w:szCs w:val="25"/>
        </w:rPr>
      </w:pPr>
      <w:r w:rsidRPr="00695BE5">
        <w:rPr>
          <w:rFonts w:ascii="Times New Roman" w:hAnsi="Times New Roman" w:cs="Times New Roman"/>
          <w:sz w:val="25"/>
          <w:szCs w:val="25"/>
        </w:rPr>
        <w:t xml:space="preserve">The analysis involved in allowing a party to be dismissed is similar to that involving joinder and as such I turn to the legal standards involving joinder.  </w:t>
      </w:r>
    </w:p>
    <w:p w:rsidR="00975C61" w:rsidRPr="00695BE5" w:rsidRDefault="00975C61" w:rsidP="00695BE5">
      <w:pPr>
        <w:pStyle w:val="NoSpacing"/>
        <w:rPr>
          <w:rFonts w:ascii="Times New Roman" w:hAnsi="Times New Roman" w:cs="Times New Roman"/>
          <w:sz w:val="25"/>
          <w:szCs w:val="25"/>
        </w:rPr>
      </w:pPr>
    </w:p>
    <w:p w:rsidR="00975C61" w:rsidRPr="00695BE5" w:rsidRDefault="00975C61" w:rsidP="00695BE5">
      <w:pPr>
        <w:pStyle w:val="NoSpacing"/>
        <w:rPr>
          <w:rFonts w:ascii="Times New Roman" w:hAnsi="Times New Roman" w:cs="Times New Roman"/>
          <w:sz w:val="25"/>
          <w:szCs w:val="25"/>
        </w:rPr>
      </w:pPr>
      <w:r w:rsidRPr="00695BE5">
        <w:rPr>
          <w:rFonts w:ascii="Times New Roman" w:hAnsi="Times New Roman" w:cs="Times New Roman"/>
          <w:sz w:val="25"/>
          <w:szCs w:val="25"/>
        </w:rPr>
        <w:t xml:space="preserve">Under federal special education law and regulations states are charged with the responsibility to establish mechanisms for </w:t>
      </w:r>
      <w:r w:rsidR="003E7ABB" w:rsidRPr="00695BE5">
        <w:rPr>
          <w:rFonts w:ascii="Times New Roman" w:hAnsi="Times New Roman" w:cs="Times New Roman"/>
          <w:sz w:val="25"/>
          <w:szCs w:val="25"/>
        </w:rPr>
        <w:t>coordination of services among agencies to facilitate resolution of disputes where multiple public entities may share the responsibility for providing special</w:t>
      </w:r>
      <w:r w:rsidR="008B351E">
        <w:rPr>
          <w:rFonts w:ascii="Times New Roman" w:hAnsi="Times New Roman" w:cs="Times New Roman"/>
          <w:sz w:val="25"/>
          <w:szCs w:val="25"/>
        </w:rPr>
        <w:t xml:space="preserve"> e</w:t>
      </w:r>
      <w:r w:rsidR="003E7ABB" w:rsidRPr="00695BE5">
        <w:rPr>
          <w:rFonts w:ascii="Times New Roman" w:hAnsi="Times New Roman" w:cs="Times New Roman"/>
          <w:sz w:val="25"/>
          <w:szCs w:val="25"/>
        </w:rPr>
        <w:t xml:space="preserve">ducation and related services to eligible students to ensure that they receive a </w:t>
      </w:r>
      <w:r w:rsidRPr="00695BE5">
        <w:rPr>
          <w:rFonts w:ascii="Times New Roman" w:hAnsi="Times New Roman" w:cs="Times New Roman"/>
          <w:sz w:val="25"/>
          <w:szCs w:val="25"/>
        </w:rPr>
        <w:t>FAPE.</w:t>
      </w:r>
      <w:r w:rsidR="00695BE5" w:rsidRPr="00695BE5">
        <w:rPr>
          <w:rStyle w:val="FootnoteReference"/>
          <w:rFonts w:ascii="Times New Roman" w:hAnsi="Times New Roman" w:cs="Times New Roman"/>
          <w:sz w:val="25"/>
          <w:szCs w:val="25"/>
        </w:rPr>
        <w:footnoteReference w:id="2"/>
      </w:r>
      <w:r w:rsidRPr="00695BE5">
        <w:rPr>
          <w:rFonts w:ascii="Times New Roman" w:hAnsi="Times New Roman" w:cs="Times New Roman"/>
          <w:sz w:val="25"/>
          <w:szCs w:val="25"/>
        </w:rPr>
        <w:t xml:space="preserve">  20 U.S.C. §1412(12)(A); 34</w:t>
      </w:r>
      <w:r w:rsidR="00F547F1">
        <w:rPr>
          <w:rFonts w:ascii="Times New Roman" w:hAnsi="Times New Roman" w:cs="Times New Roman"/>
          <w:sz w:val="25"/>
          <w:szCs w:val="25"/>
        </w:rPr>
        <w:t xml:space="preserve"> </w:t>
      </w:r>
      <w:r w:rsidRPr="00695BE5">
        <w:rPr>
          <w:rFonts w:ascii="Times New Roman" w:hAnsi="Times New Roman" w:cs="Times New Roman"/>
          <w:sz w:val="25"/>
          <w:szCs w:val="25"/>
        </w:rPr>
        <w:t>C.F.R. 300.142(a).</w:t>
      </w:r>
      <w:r w:rsidRPr="00695BE5">
        <w:rPr>
          <w:rStyle w:val="FootnoteReference"/>
          <w:rFonts w:ascii="Times New Roman" w:hAnsi="Times New Roman" w:cs="Times New Roman"/>
          <w:sz w:val="25"/>
          <w:szCs w:val="25"/>
        </w:rPr>
        <w:footnoteReference w:id="3"/>
      </w:r>
    </w:p>
    <w:p w:rsidR="00975C61" w:rsidRPr="00695BE5" w:rsidRDefault="00975C61" w:rsidP="00695BE5">
      <w:pPr>
        <w:pStyle w:val="NoSpacing"/>
        <w:rPr>
          <w:rFonts w:ascii="Times New Roman" w:hAnsi="Times New Roman" w:cs="Times New Roman"/>
          <w:sz w:val="25"/>
          <w:szCs w:val="25"/>
        </w:rPr>
      </w:pPr>
    </w:p>
    <w:p w:rsidR="00637A46" w:rsidRPr="00695BE5" w:rsidRDefault="003E7ABB" w:rsidP="00695BE5">
      <w:pPr>
        <w:pStyle w:val="NoSpacing"/>
        <w:rPr>
          <w:rFonts w:ascii="Times New Roman" w:hAnsi="Times New Roman" w:cs="Times New Roman"/>
          <w:sz w:val="25"/>
          <w:szCs w:val="25"/>
        </w:rPr>
      </w:pPr>
      <w:r w:rsidRPr="00695BE5">
        <w:rPr>
          <w:rFonts w:ascii="Times New Roman" w:hAnsi="Times New Roman" w:cs="Times New Roman"/>
          <w:bCs/>
          <w:sz w:val="25"/>
          <w:szCs w:val="25"/>
        </w:rPr>
        <w:lastRenderedPageBreak/>
        <w:t xml:space="preserve">In Massachusetts the authority to order a state agency to provide services consistent with      </w:t>
      </w:r>
      <w:r w:rsidRPr="00695BE5">
        <w:rPr>
          <w:rFonts w:ascii="Times New Roman" w:hAnsi="Times New Roman" w:cs="Times New Roman"/>
          <w:sz w:val="25"/>
          <w:szCs w:val="25"/>
        </w:rPr>
        <w:t>603 CMR 28.08(3) falls within the purview of the BSEA.</w:t>
      </w:r>
      <w:r w:rsidR="00695BE5" w:rsidRPr="00695BE5">
        <w:rPr>
          <w:rFonts w:ascii="Times New Roman" w:hAnsi="Times New Roman" w:cs="Times New Roman"/>
          <w:sz w:val="25"/>
          <w:szCs w:val="25"/>
        </w:rPr>
        <w:t xml:space="preserve"> See </w:t>
      </w:r>
      <w:r w:rsidR="00695BE5" w:rsidRPr="00695BE5">
        <w:rPr>
          <w:rFonts w:ascii="Times New Roman" w:hAnsi="Times New Roman" w:cs="Times New Roman"/>
          <w:i/>
          <w:sz w:val="25"/>
          <w:szCs w:val="25"/>
        </w:rPr>
        <w:t>In re: Tantasqua Regional School District</w:t>
      </w:r>
      <w:r w:rsidR="00695BE5" w:rsidRPr="00695BE5">
        <w:rPr>
          <w:rFonts w:ascii="Times New Roman" w:hAnsi="Times New Roman" w:cs="Times New Roman"/>
          <w:sz w:val="25"/>
          <w:szCs w:val="25"/>
        </w:rPr>
        <w:t xml:space="preserve">, BSEA #1403256 (12/11/13). </w:t>
      </w:r>
      <w:r w:rsidRPr="00695BE5">
        <w:rPr>
          <w:rFonts w:ascii="Times New Roman" w:hAnsi="Times New Roman" w:cs="Times New Roman"/>
          <w:sz w:val="25"/>
          <w:szCs w:val="25"/>
        </w:rPr>
        <w:t xml:space="preserve">   </w:t>
      </w:r>
      <w:r w:rsidR="00695BE5" w:rsidRPr="00695BE5">
        <w:rPr>
          <w:rFonts w:ascii="Times New Roman" w:hAnsi="Times New Roman" w:cs="Times New Roman"/>
          <w:sz w:val="25"/>
          <w:szCs w:val="25"/>
        </w:rPr>
        <w:t xml:space="preserve">In general, the </w:t>
      </w:r>
      <w:r w:rsidR="00637A46" w:rsidRPr="00695BE5">
        <w:rPr>
          <w:rFonts w:ascii="Times New Roman" w:hAnsi="Times New Roman" w:cs="Times New Roman"/>
          <w:sz w:val="25"/>
          <w:szCs w:val="25"/>
        </w:rPr>
        <w:t xml:space="preserve">BSEA may order a state agency to provide services “in accordance with the rules, regulations, and policies of the respective agenc[y]” in addition to the IEP services that the school district is responsible to provide.  </w:t>
      </w:r>
      <w:bookmarkStart w:id="1" w:name="OLE_LINK1"/>
      <w:bookmarkStart w:id="2" w:name="OLE_LINK2"/>
      <w:r w:rsidR="00637A46" w:rsidRPr="00695BE5">
        <w:rPr>
          <w:rFonts w:ascii="Times New Roman" w:hAnsi="Times New Roman" w:cs="Times New Roman"/>
          <w:sz w:val="25"/>
          <w:szCs w:val="25"/>
        </w:rPr>
        <w:t>603 CMR 28.08(3)</w:t>
      </w:r>
      <w:bookmarkEnd w:id="1"/>
      <w:bookmarkEnd w:id="2"/>
      <w:r w:rsidR="00637A46" w:rsidRPr="00695BE5">
        <w:rPr>
          <w:rFonts w:ascii="Times New Roman" w:hAnsi="Times New Roman" w:cs="Times New Roman"/>
          <w:sz w:val="25"/>
          <w:szCs w:val="25"/>
        </w:rPr>
        <w:t xml:space="preserve">.  </w:t>
      </w:r>
      <w:r w:rsidR="00695BE5" w:rsidRPr="00695BE5">
        <w:rPr>
          <w:rFonts w:ascii="Times New Roman" w:hAnsi="Times New Roman" w:cs="Times New Roman"/>
          <w:sz w:val="25"/>
          <w:szCs w:val="25"/>
        </w:rPr>
        <w:t xml:space="preserve">A </w:t>
      </w:r>
      <w:r w:rsidR="00637A46" w:rsidRPr="00695BE5">
        <w:rPr>
          <w:rFonts w:ascii="Times New Roman" w:hAnsi="Times New Roman" w:cs="Times New Roman"/>
          <w:sz w:val="25"/>
          <w:szCs w:val="25"/>
        </w:rPr>
        <w:t>state agency</w:t>
      </w:r>
      <w:r w:rsidR="00695BE5" w:rsidRPr="00695BE5">
        <w:rPr>
          <w:rFonts w:ascii="Times New Roman" w:hAnsi="Times New Roman" w:cs="Times New Roman"/>
          <w:sz w:val="25"/>
          <w:szCs w:val="25"/>
        </w:rPr>
        <w:t>, including DCF</w:t>
      </w:r>
      <w:r w:rsidR="008B351E">
        <w:rPr>
          <w:rFonts w:ascii="Times New Roman" w:hAnsi="Times New Roman" w:cs="Times New Roman"/>
          <w:sz w:val="25"/>
          <w:szCs w:val="25"/>
        </w:rPr>
        <w:t>,</w:t>
      </w:r>
      <w:r w:rsidR="00637A46" w:rsidRPr="00695BE5">
        <w:rPr>
          <w:rFonts w:ascii="Times New Roman" w:hAnsi="Times New Roman" w:cs="Times New Roman"/>
          <w:sz w:val="25"/>
          <w:szCs w:val="25"/>
        </w:rPr>
        <w:t xml:space="preserve"> may be ordered to provide services that are found to be necessary for the student to be able to receive a FAPE through the school district, or, provide services over and above those that are the responsibility of the school district if the services are necessary to ensure that the student is able to access or benefit from the special education program and services offered by the school district. </w:t>
      </w:r>
      <w:r w:rsidR="00695BE5" w:rsidRPr="00695BE5">
        <w:rPr>
          <w:rFonts w:ascii="Times New Roman" w:hAnsi="Times New Roman" w:cs="Times New Roman"/>
          <w:i/>
          <w:sz w:val="25"/>
          <w:szCs w:val="25"/>
        </w:rPr>
        <w:t>In re: Tantasqua Regional School District</w:t>
      </w:r>
      <w:r w:rsidR="00695BE5" w:rsidRPr="00695BE5">
        <w:rPr>
          <w:rFonts w:ascii="Times New Roman" w:hAnsi="Times New Roman" w:cs="Times New Roman"/>
          <w:sz w:val="25"/>
          <w:szCs w:val="25"/>
        </w:rPr>
        <w:t xml:space="preserve">, BSEA #1403256 (12/11/13); </w:t>
      </w:r>
      <w:r w:rsidR="00637A46" w:rsidRPr="00695BE5">
        <w:rPr>
          <w:rFonts w:ascii="Times New Roman" w:hAnsi="Times New Roman" w:cs="Times New Roman"/>
          <w:sz w:val="25"/>
          <w:szCs w:val="25"/>
        </w:rPr>
        <w:t xml:space="preserve"> </w:t>
      </w:r>
      <w:r w:rsidR="00637A46" w:rsidRPr="00695BE5">
        <w:rPr>
          <w:rFonts w:ascii="Times New Roman" w:hAnsi="Times New Roman" w:cs="Times New Roman"/>
          <w:i/>
          <w:sz w:val="25"/>
          <w:szCs w:val="25"/>
        </w:rPr>
        <w:t>Lowell Public Schools</w:t>
      </w:r>
      <w:r w:rsidR="00637A46" w:rsidRPr="00695BE5">
        <w:rPr>
          <w:rFonts w:ascii="Times New Roman" w:hAnsi="Times New Roman" w:cs="Times New Roman"/>
          <w:sz w:val="25"/>
          <w:szCs w:val="25"/>
        </w:rPr>
        <w:t xml:space="preserve">, 107 LRP 655543 (2007).   </w:t>
      </w:r>
    </w:p>
    <w:p w:rsidR="00695BE5" w:rsidRPr="00695BE5" w:rsidRDefault="00695BE5" w:rsidP="00695BE5">
      <w:pPr>
        <w:pStyle w:val="NoSpacing"/>
        <w:rPr>
          <w:rFonts w:ascii="Times New Roman" w:hAnsi="Times New Roman" w:cs="Times New Roman"/>
          <w:sz w:val="25"/>
          <w:szCs w:val="25"/>
        </w:rPr>
      </w:pPr>
    </w:p>
    <w:p w:rsidR="00695BE5" w:rsidRPr="00F547F1" w:rsidRDefault="00695BE5" w:rsidP="00F547F1">
      <w:pPr>
        <w:pStyle w:val="NoSpacing"/>
        <w:rPr>
          <w:rFonts w:ascii="Times New Roman" w:hAnsi="Times New Roman" w:cs="Times New Roman"/>
          <w:sz w:val="25"/>
          <w:szCs w:val="25"/>
        </w:rPr>
      </w:pPr>
      <w:r w:rsidRPr="00F547F1">
        <w:rPr>
          <w:rFonts w:ascii="Times New Roman" w:hAnsi="Times New Roman" w:cs="Times New Roman"/>
          <w:sz w:val="25"/>
          <w:szCs w:val="25"/>
        </w:rPr>
        <w:t xml:space="preserve">I note that the Parties do not dispute the jurisdiction of the BSEA over state agencies pursuant to Massachusetts </w:t>
      </w:r>
      <w:r w:rsidR="008B351E">
        <w:rPr>
          <w:rFonts w:ascii="Times New Roman" w:hAnsi="Times New Roman" w:cs="Times New Roman"/>
          <w:sz w:val="25"/>
          <w:szCs w:val="25"/>
        </w:rPr>
        <w:t xml:space="preserve">General Laws </w:t>
      </w:r>
      <w:r w:rsidRPr="00F547F1">
        <w:rPr>
          <w:rFonts w:ascii="Times New Roman" w:hAnsi="Times New Roman" w:cs="Times New Roman"/>
          <w:sz w:val="25"/>
          <w:szCs w:val="25"/>
        </w:rPr>
        <w:t>Chapter 159, section 162 of the Acts of 2000, amending M.G.L. c 71 B §3 and 603 CMR 28.08(3).</w:t>
      </w:r>
      <w:r w:rsidR="00C3050D" w:rsidRPr="00F547F1">
        <w:rPr>
          <w:rFonts w:ascii="Times New Roman" w:hAnsi="Times New Roman" w:cs="Times New Roman"/>
          <w:sz w:val="25"/>
          <w:szCs w:val="25"/>
        </w:rPr>
        <w:t xml:space="preserve">  As such, I turn to the elements that must be considered in determining whether a particular agency, here DCF, must be </w:t>
      </w:r>
      <w:r w:rsidR="008B351E">
        <w:rPr>
          <w:rFonts w:ascii="Times New Roman" w:hAnsi="Times New Roman" w:cs="Times New Roman"/>
          <w:sz w:val="25"/>
          <w:szCs w:val="25"/>
        </w:rPr>
        <w:t xml:space="preserve">joined as </w:t>
      </w:r>
      <w:r w:rsidR="00C3050D" w:rsidRPr="00F547F1">
        <w:rPr>
          <w:rFonts w:ascii="Times New Roman" w:hAnsi="Times New Roman" w:cs="Times New Roman"/>
          <w:sz w:val="25"/>
          <w:szCs w:val="25"/>
        </w:rPr>
        <w:t xml:space="preserve">or maintained as a party.  In this regard, I seek guidance from the BSEA rule addressing joinder, the mechanism through which a party may request that another party be required to participate in a proceeding after an initial request for hearing has been filed. </w:t>
      </w:r>
    </w:p>
    <w:p w:rsidR="00F547F1" w:rsidRPr="00F547F1" w:rsidRDefault="00F547F1" w:rsidP="00F547F1">
      <w:pPr>
        <w:pStyle w:val="NoSpacing"/>
        <w:rPr>
          <w:rFonts w:ascii="Times New Roman" w:hAnsi="Times New Roman" w:cs="Times New Roman"/>
          <w:sz w:val="25"/>
          <w:szCs w:val="25"/>
        </w:rPr>
      </w:pPr>
    </w:p>
    <w:p w:rsidR="00637A46" w:rsidRDefault="00C3050D" w:rsidP="00F547F1">
      <w:pPr>
        <w:pStyle w:val="NoSpacing"/>
        <w:rPr>
          <w:rFonts w:ascii="Times New Roman" w:hAnsi="Times New Roman" w:cs="Times New Roman"/>
          <w:sz w:val="25"/>
          <w:szCs w:val="25"/>
        </w:rPr>
      </w:pPr>
      <w:r w:rsidRPr="00F547F1">
        <w:rPr>
          <w:rFonts w:ascii="Times New Roman" w:hAnsi="Times New Roman" w:cs="Times New Roman"/>
          <w:sz w:val="25"/>
          <w:szCs w:val="25"/>
        </w:rPr>
        <w:t xml:space="preserve">In the context of a BSEA proceeding </w:t>
      </w:r>
      <w:r w:rsidR="008B351E">
        <w:rPr>
          <w:rFonts w:ascii="Times New Roman" w:hAnsi="Times New Roman" w:cs="Times New Roman"/>
          <w:sz w:val="25"/>
          <w:szCs w:val="25"/>
        </w:rPr>
        <w:t>j</w:t>
      </w:r>
      <w:r w:rsidR="00637A46" w:rsidRPr="00F547F1">
        <w:rPr>
          <w:rFonts w:ascii="Times New Roman" w:hAnsi="Times New Roman" w:cs="Times New Roman"/>
          <w:sz w:val="25"/>
          <w:szCs w:val="25"/>
        </w:rPr>
        <w:t xml:space="preserve">oinder of a party is governed by Rule 1J of </w:t>
      </w:r>
      <w:r w:rsidR="00637A46" w:rsidRPr="00F547F1">
        <w:rPr>
          <w:rFonts w:ascii="Times New Roman" w:hAnsi="Times New Roman" w:cs="Times New Roman"/>
          <w:i/>
          <w:iCs/>
          <w:sz w:val="25"/>
          <w:szCs w:val="25"/>
        </w:rPr>
        <w:t>The Hearing Rules for Special Education Appeals</w:t>
      </w:r>
      <w:r w:rsidR="008B351E">
        <w:rPr>
          <w:rFonts w:ascii="Times New Roman" w:hAnsi="Times New Roman" w:cs="Times New Roman"/>
          <w:iCs/>
          <w:sz w:val="25"/>
          <w:szCs w:val="25"/>
        </w:rPr>
        <w:t>,</w:t>
      </w:r>
      <w:r w:rsidRPr="00F547F1">
        <w:rPr>
          <w:rFonts w:ascii="Times New Roman" w:hAnsi="Times New Roman" w:cs="Times New Roman"/>
          <w:i/>
          <w:iCs/>
          <w:sz w:val="25"/>
          <w:szCs w:val="25"/>
        </w:rPr>
        <w:t xml:space="preserve"> </w:t>
      </w:r>
      <w:r w:rsidRPr="00F547F1">
        <w:rPr>
          <w:rFonts w:ascii="Times New Roman" w:hAnsi="Times New Roman" w:cs="Times New Roman"/>
          <w:iCs/>
          <w:sz w:val="25"/>
          <w:szCs w:val="25"/>
        </w:rPr>
        <w:t xml:space="preserve">providing </w:t>
      </w:r>
      <w:r w:rsidR="00637A46" w:rsidRPr="00F547F1">
        <w:rPr>
          <w:rFonts w:ascii="Times New Roman" w:hAnsi="Times New Roman" w:cs="Times New Roman"/>
          <w:sz w:val="25"/>
          <w:szCs w:val="25"/>
        </w:rPr>
        <w:t>that joinder of a state agency may be ordered if</w:t>
      </w:r>
    </w:p>
    <w:p w:rsidR="00F547F1" w:rsidRPr="00F547F1" w:rsidRDefault="00F547F1" w:rsidP="00F547F1">
      <w:pPr>
        <w:pStyle w:val="NoSpacing"/>
        <w:rPr>
          <w:rFonts w:ascii="Times New Roman" w:hAnsi="Times New Roman" w:cs="Times New Roman"/>
          <w:sz w:val="25"/>
          <w:szCs w:val="25"/>
        </w:rPr>
      </w:pPr>
    </w:p>
    <w:p w:rsidR="00637A46" w:rsidRPr="00E157F9" w:rsidRDefault="00637A46" w:rsidP="00637A46">
      <w:pPr>
        <w:pStyle w:val="ListParagraph"/>
        <w:numPr>
          <w:ilvl w:val="0"/>
          <w:numId w:val="2"/>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complete relief cannot be granted by the originally named parties or</w:t>
      </w:r>
    </w:p>
    <w:p w:rsidR="00637A46" w:rsidRPr="00E157F9" w:rsidRDefault="00637A46" w:rsidP="00637A46">
      <w:pPr>
        <w:pStyle w:val="ListParagraph"/>
        <w:numPr>
          <w:ilvl w:val="0"/>
          <w:numId w:val="2"/>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the third party has an interest in the matter and is so situated that the case cannot be disposed of in its absence.  </w:t>
      </w:r>
    </w:p>
    <w:p w:rsidR="00637A46" w:rsidRPr="00E157F9" w:rsidRDefault="00637A46" w:rsidP="00637A46">
      <w:pPr>
        <w:pStyle w:val="ListParagraph"/>
        <w:spacing w:after="0" w:line="240" w:lineRule="auto"/>
        <w:ind w:left="1080"/>
        <w:rPr>
          <w:rFonts w:ascii="Times New Roman" w:hAnsi="Times New Roman" w:cs="Times New Roman"/>
          <w:sz w:val="25"/>
          <w:szCs w:val="25"/>
        </w:rPr>
      </w:pPr>
    </w:p>
    <w:p w:rsidR="00637A46" w:rsidRPr="00E157F9" w:rsidRDefault="00C3050D" w:rsidP="00C3050D">
      <w:pPr>
        <w:rPr>
          <w:rFonts w:ascii="Times New Roman" w:hAnsi="Times New Roman" w:cs="Times New Roman"/>
          <w:sz w:val="25"/>
          <w:szCs w:val="25"/>
        </w:rPr>
      </w:pPr>
      <w:r>
        <w:rPr>
          <w:rFonts w:ascii="Times New Roman" w:hAnsi="Times New Roman" w:cs="Times New Roman"/>
          <w:sz w:val="25"/>
          <w:szCs w:val="25"/>
        </w:rPr>
        <w:t>I</w:t>
      </w:r>
      <w:r w:rsidRPr="00E157F9">
        <w:rPr>
          <w:rFonts w:ascii="Times New Roman" w:hAnsi="Times New Roman" w:cs="Times New Roman"/>
          <w:sz w:val="25"/>
          <w:szCs w:val="25"/>
        </w:rPr>
        <w:t>n determining if joinder is warranted</w:t>
      </w:r>
      <w:r>
        <w:rPr>
          <w:rFonts w:ascii="Times New Roman" w:hAnsi="Times New Roman" w:cs="Times New Roman"/>
          <w:sz w:val="25"/>
          <w:szCs w:val="25"/>
        </w:rPr>
        <w:t xml:space="preserve">, </w:t>
      </w:r>
      <w:r w:rsidR="00637A46" w:rsidRPr="00E157F9">
        <w:rPr>
          <w:rFonts w:ascii="Times New Roman" w:hAnsi="Times New Roman" w:cs="Times New Roman"/>
          <w:sz w:val="25"/>
          <w:szCs w:val="25"/>
        </w:rPr>
        <w:t xml:space="preserve">Rule 1J </w:t>
      </w:r>
      <w:r>
        <w:rPr>
          <w:rFonts w:ascii="Times New Roman" w:hAnsi="Times New Roman" w:cs="Times New Roman"/>
          <w:sz w:val="25"/>
          <w:szCs w:val="25"/>
        </w:rPr>
        <w:t xml:space="preserve">requires consideration of the </w:t>
      </w:r>
      <w:r w:rsidR="00637A46" w:rsidRPr="00E157F9">
        <w:rPr>
          <w:rFonts w:ascii="Times New Roman" w:hAnsi="Times New Roman" w:cs="Times New Roman"/>
          <w:sz w:val="25"/>
          <w:szCs w:val="25"/>
        </w:rPr>
        <w:t>following factors</w:t>
      </w:r>
      <w:r>
        <w:rPr>
          <w:rFonts w:ascii="Times New Roman" w:hAnsi="Times New Roman" w:cs="Times New Roman"/>
          <w:sz w:val="25"/>
          <w:szCs w:val="25"/>
        </w:rPr>
        <w:t>:</w:t>
      </w:r>
    </w:p>
    <w:p w:rsidR="00637A46" w:rsidRPr="00E157F9" w:rsidRDefault="00637A46" w:rsidP="00637A46">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risk of prejudice to the present parties; </w:t>
      </w:r>
    </w:p>
    <w:p w:rsidR="00637A46" w:rsidRPr="00E157F9" w:rsidRDefault="00637A46" w:rsidP="00637A46">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the range of alternatives for fashioning relief; </w:t>
      </w:r>
    </w:p>
    <w:p w:rsidR="00637A46" w:rsidRPr="00E157F9" w:rsidRDefault="00637A46" w:rsidP="00637A46">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the inadequacy of a judgment entered in the proposed party’s absence; and </w:t>
      </w:r>
    </w:p>
    <w:p w:rsidR="00637A46" w:rsidRPr="00E157F9" w:rsidRDefault="00637A46" w:rsidP="00637A46">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the existence of an alternative forum to resolve the issues.  </w:t>
      </w:r>
    </w:p>
    <w:p w:rsidR="00637A46" w:rsidRPr="00E157F9" w:rsidRDefault="00637A46" w:rsidP="00637A46">
      <w:pPr>
        <w:spacing w:after="0" w:line="240" w:lineRule="auto"/>
        <w:ind w:left="1440"/>
        <w:rPr>
          <w:rFonts w:ascii="Times New Roman" w:hAnsi="Times New Roman" w:cs="Times New Roman"/>
          <w:sz w:val="25"/>
          <w:szCs w:val="25"/>
        </w:rPr>
      </w:pPr>
    </w:p>
    <w:p w:rsidR="00637A46" w:rsidRPr="00E157F9" w:rsidRDefault="00C3050D" w:rsidP="00C3050D">
      <w:pPr>
        <w:rPr>
          <w:rFonts w:ascii="Times New Roman" w:hAnsi="Times New Roman" w:cs="Times New Roman"/>
          <w:sz w:val="25"/>
          <w:szCs w:val="25"/>
        </w:rPr>
      </w:pPr>
      <w:r>
        <w:rPr>
          <w:rFonts w:ascii="Times New Roman" w:hAnsi="Times New Roman" w:cs="Times New Roman"/>
          <w:sz w:val="25"/>
          <w:szCs w:val="25"/>
        </w:rPr>
        <w:t xml:space="preserve">When considering the need to join or maintain a state </w:t>
      </w:r>
      <w:r w:rsidR="00637A46" w:rsidRPr="00E157F9">
        <w:rPr>
          <w:rFonts w:ascii="Times New Roman" w:hAnsi="Times New Roman" w:cs="Times New Roman"/>
          <w:sz w:val="25"/>
          <w:szCs w:val="25"/>
        </w:rPr>
        <w:t>agency</w:t>
      </w:r>
      <w:r w:rsidR="000D0046">
        <w:rPr>
          <w:rFonts w:ascii="Times New Roman" w:hAnsi="Times New Roman" w:cs="Times New Roman"/>
          <w:sz w:val="25"/>
          <w:szCs w:val="25"/>
        </w:rPr>
        <w:t xml:space="preserve"> as a party</w:t>
      </w:r>
      <w:r w:rsidR="00637A46" w:rsidRPr="00E157F9">
        <w:rPr>
          <w:rFonts w:ascii="Times New Roman" w:hAnsi="Times New Roman" w:cs="Times New Roman"/>
          <w:sz w:val="25"/>
          <w:szCs w:val="25"/>
        </w:rPr>
        <w:t>, the</w:t>
      </w:r>
      <w:r w:rsidR="000D0046">
        <w:rPr>
          <w:rFonts w:ascii="Times New Roman" w:hAnsi="Times New Roman" w:cs="Times New Roman"/>
          <w:sz w:val="25"/>
          <w:szCs w:val="25"/>
        </w:rPr>
        <w:t>re must be a preliminary showing by the party seeking joinder or maintenance of the state agency</w:t>
      </w:r>
      <w:r w:rsidR="008B351E">
        <w:rPr>
          <w:rFonts w:ascii="Times New Roman" w:hAnsi="Times New Roman" w:cs="Times New Roman"/>
          <w:sz w:val="25"/>
          <w:szCs w:val="25"/>
        </w:rPr>
        <w:t>’s party status</w:t>
      </w:r>
      <w:r w:rsidR="000D0046">
        <w:rPr>
          <w:rFonts w:ascii="Times New Roman" w:hAnsi="Times New Roman" w:cs="Times New Roman"/>
          <w:sz w:val="25"/>
          <w:szCs w:val="25"/>
        </w:rPr>
        <w:t xml:space="preserve"> </w:t>
      </w:r>
      <w:r w:rsidR="00637A46" w:rsidRPr="00E157F9">
        <w:rPr>
          <w:rFonts w:ascii="Times New Roman" w:hAnsi="Times New Roman" w:cs="Times New Roman"/>
          <w:sz w:val="25"/>
          <w:szCs w:val="25"/>
        </w:rPr>
        <w:t xml:space="preserve">that </w:t>
      </w:r>
      <w:r w:rsidR="000D0046">
        <w:rPr>
          <w:rFonts w:ascii="Times New Roman" w:hAnsi="Times New Roman" w:cs="Times New Roman"/>
          <w:sz w:val="25"/>
          <w:szCs w:val="25"/>
        </w:rPr>
        <w:t xml:space="preserve">evidence presented at Hearing may result in that agency being </w:t>
      </w:r>
      <w:r w:rsidR="00637A46" w:rsidRPr="00E157F9">
        <w:rPr>
          <w:rFonts w:ascii="Times New Roman" w:hAnsi="Times New Roman" w:cs="Times New Roman"/>
          <w:sz w:val="25"/>
          <w:szCs w:val="25"/>
        </w:rPr>
        <w:t>found responsible to offer some service</w:t>
      </w:r>
      <w:r w:rsidR="000D0046">
        <w:rPr>
          <w:rFonts w:ascii="Times New Roman" w:hAnsi="Times New Roman" w:cs="Times New Roman"/>
          <w:sz w:val="25"/>
          <w:szCs w:val="25"/>
        </w:rPr>
        <w:t xml:space="preserve"> to</w:t>
      </w:r>
      <w:r w:rsidR="00637A46" w:rsidRPr="00E157F9">
        <w:rPr>
          <w:rFonts w:ascii="Times New Roman" w:hAnsi="Times New Roman" w:cs="Times New Roman"/>
          <w:sz w:val="25"/>
          <w:szCs w:val="25"/>
        </w:rPr>
        <w:t xml:space="preserve"> the student. </w:t>
      </w:r>
      <w:r w:rsidR="000D0046">
        <w:rPr>
          <w:rFonts w:ascii="Times New Roman" w:hAnsi="Times New Roman" w:cs="Times New Roman"/>
          <w:sz w:val="25"/>
          <w:szCs w:val="25"/>
        </w:rPr>
        <w:t xml:space="preserve"> See</w:t>
      </w:r>
      <w:r w:rsidR="00637A46" w:rsidRPr="00E157F9">
        <w:rPr>
          <w:rFonts w:ascii="Times New Roman" w:hAnsi="Times New Roman" w:cs="Times New Roman"/>
          <w:sz w:val="25"/>
          <w:szCs w:val="25"/>
        </w:rPr>
        <w:t xml:space="preserve"> </w:t>
      </w:r>
      <w:r w:rsidR="00637A46" w:rsidRPr="00E157F9">
        <w:rPr>
          <w:rFonts w:ascii="Times New Roman" w:hAnsi="Times New Roman" w:cs="Times New Roman"/>
          <w:i/>
          <w:iCs/>
          <w:sz w:val="25"/>
          <w:szCs w:val="25"/>
        </w:rPr>
        <w:t>In re: Boston Public School District</w:t>
      </w:r>
      <w:r w:rsidR="00637A46" w:rsidRPr="00E157F9">
        <w:rPr>
          <w:rFonts w:ascii="Times New Roman" w:hAnsi="Times New Roman" w:cs="Times New Roman"/>
          <w:sz w:val="25"/>
          <w:szCs w:val="25"/>
        </w:rPr>
        <w:t>, BSEA #02-4553 (2002)</w:t>
      </w:r>
      <w:r w:rsidR="000D0046">
        <w:rPr>
          <w:rFonts w:ascii="Times New Roman" w:hAnsi="Times New Roman" w:cs="Times New Roman"/>
          <w:sz w:val="25"/>
          <w:szCs w:val="25"/>
        </w:rPr>
        <w:t>.   If joinder is granted, the Hearing O</w:t>
      </w:r>
      <w:r w:rsidR="00637A46" w:rsidRPr="00E157F9">
        <w:rPr>
          <w:rFonts w:ascii="Times New Roman" w:hAnsi="Times New Roman" w:cs="Times New Roman"/>
          <w:sz w:val="25"/>
          <w:szCs w:val="25"/>
        </w:rPr>
        <w:t>fficer may only order services consistent with the rules, regulations, and policies govern</w:t>
      </w:r>
      <w:r w:rsidR="000D0046">
        <w:rPr>
          <w:rFonts w:ascii="Times New Roman" w:hAnsi="Times New Roman" w:cs="Times New Roman"/>
          <w:sz w:val="25"/>
          <w:szCs w:val="25"/>
        </w:rPr>
        <w:t>ing</w:t>
      </w:r>
      <w:r w:rsidR="00637A46" w:rsidRPr="00E157F9">
        <w:rPr>
          <w:rFonts w:ascii="Times New Roman" w:hAnsi="Times New Roman" w:cs="Times New Roman"/>
          <w:sz w:val="25"/>
          <w:szCs w:val="25"/>
        </w:rPr>
        <w:t xml:space="preserve"> the particular state agency, and</w:t>
      </w:r>
      <w:r w:rsidR="000D0046">
        <w:rPr>
          <w:rFonts w:ascii="Times New Roman" w:hAnsi="Times New Roman" w:cs="Times New Roman"/>
          <w:sz w:val="25"/>
          <w:szCs w:val="25"/>
        </w:rPr>
        <w:t xml:space="preserve">, </w:t>
      </w:r>
      <w:r w:rsidR="000D0046" w:rsidRPr="00E157F9">
        <w:rPr>
          <w:rFonts w:ascii="Times New Roman" w:hAnsi="Times New Roman" w:cs="Times New Roman"/>
          <w:sz w:val="25"/>
          <w:szCs w:val="25"/>
        </w:rPr>
        <w:t xml:space="preserve">assuming </w:t>
      </w:r>
      <w:r w:rsidR="000D0046" w:rsidRPr="00E157F9">
        <w:rPr>
          <w:rFonts w:ascii="Times New Roman" w:hAnsi="Times New Roman" w:cs="Times New Roman"/>
          <w:sz w:val="25"/>
          <w:szCs w:val="25"/>
        </w:rPr>
        <w:lastRenderedPageBreak/>
        <w:t>that the student is eligible to receive said services</w:t>
      </w:r>
      <w:r w:rsidR="000D0046">
        <w:rPr>
          <w:rFonts w:ascii="Times New Roman" w:hAnsi="Times New Roman" w:cs="Times New Roman"/>
          <w:sz w:val="25"/>
          <w:szCs w:val="25"/>
        </w:rPr>
        <w:t>,</w:t>
      </w:r>
      <w:r w:rsidR="00637A46" w:rsidRPr="00E157F9">
        <w:rPr>
          <w:rFonts w:ascii="Times New Roman" w:hAnsi="Times New Roman" w:cs="Times New Roman"/>
          <w:sz w:val="25"/>
          <w:szCs w:val="25"/>
        </w:rPr>
        <w:t xml:space="preserve"> may order only those services that fall within the array of services </w:t>
      </w:r>
      <w:r w:rsidR="000D0046">
        <w:rPr>
          <w:rFonts w:ascii="Times New Roman" w:hAnsi="Times New Roman" w:cs="Times New Roman"/>
          <w:sz w:val="25"/>
          <w:szCs w:val="25"/>
        </w:rPr>
        <w:t>offered by the particular agency</w:t>
      </w:r>
      <w:r w:rsidR="00637A46" w:rsidRPr="00E157F9">
        <w:rPr>
          <w:rFonts w:ascii="Times New Roman" w:hAnsi="Times New Roman" w:cs="Times New Roman"/>
          <w:sz w:val="25"/>
          <w:szCs w:val="25"/>
        </w:rPr>
        <w:t xml:space="preserve">.  See G.L. c.71B §3. </w:t>
      </w:r>
    </w:p>
    <w:p w:rsidR="00637A46" w:rsidRPr="00E157F9" w:rsidRDefault="00637A46" w:rsidP="000D0046">
      <w:pPr>
        <w:rPr>
          <w:rFonts w:ascii="Times New Roman" w:hAnsi="Times New Roman" w:cs="Times New Roman"/>
          <w:sz w:val="25"/>
          <w:szCs w:val="25"/>
        </w:rPr>
      </w:pPr>
      <w:r w:rsidRPr="00E157F9">
        <w:rPr>
          <w:rFonts w:ascii="Times New Roman" w:hAnsi="Times New Roman" w:cs="Times New Roman"/>
          <w:sz w:val="25"/>
          <w:szCs w:val="25"/>
        </w:rPr>
        <w:t xml:space="preserve">As explained by Hearing Officer Byrne in </w:t>
      </w:r>
      <w:r w:rsidRPr="00E157F9">
        <w:rPr>
          <w:rFonts w:ascii="Times New Roman" w:hAnsi="Times New Roman" w:cs="Times New Roman"/>
          <w:i/>
          <w:sz w:val="25"/>
          <w:szCs w:val="25"/>
        </w:rPr>
        <w:t>Auburn Public Schools</w:t>
      </w:r>
      <w:r w:rsidRPr="00E157F9">
        <w:rPr>
          <w:rFonts w:ascii="Times New Roman" w:hAnsi="Times New Roman" w:cs="Times New Roman"/>
          <w:sz w:val="25"/>
          <w:szCs w:val="25"/>
        </w:rPr>
        <w:t>, 8 MSER 143,</w:t>
      </w:r>
      <w:r>
        <w:rPr>
          <w:rFonts w:ascii="Times New Roman" w:hAnsi="Times New Roman" w:cs="Times New Roman"/>
          <w:sz w:val="25"/>
          <w:szCs w:val="25"/>
        </w:rPr>
        <w:t xml:space="preserve"> (5/16/2002),</w:t>
      </w:r>
    </w:p>
    <w:p w:rsidR="00637A46" w:rsidRPr="00E157F9" w:rsidRDefault="00637A46" w:rsidP="00F547F1">
      <w:pPr>
        <w:ind w:left="2160"/>
        <w:rPr>
          <w:rFonts w:ascii="Times New Roman" w:hAnsi="Times New Roman" w:cs="Times New Roman"/>
          <w:sz w:val="25"/>
          <w:szCs w:val="25"/>
        </w:rPr>
      </w:pPr>
      <w:r w:rsidRPr="00E157F9">
        <w:rPr>
          <w:rFonts w:ascii="Times New Roman" w:hAnsi="Times New Roman" w:cs="Times New Roman"/>
          <w:sz w:val="25"/>
          <w:szCs w:val="25"/>
        </w:rPr>
        <w:t xml:space="preserve">In special education appeals, the joinder inquiry will necessarily focus on whether a free, appropriate public education can be developed, delivered, declared or guaranteed without the participation of the state agency sought to be joined. </w:t>
      </w:r>
      <w:r w:rsidR="002D7894">
        <w:rPr>
          <w:rFonts w:ascii="Times New Roman" w:hAnsi="Times New Roman" w:cs="Times New Roman"/>
          <w:sz w:val="25"/>
          <w:szCs w:val="25"/>
        </w:rPr>
        <w:t xml:space="preserve"> </w:t>
      </w:r>
      <w:r w:rsidRPr="00E157F9">
        <w:rPr>
          <w:rFonts w:ascii="Times New Roman" w:hAnsi="Times New Roman" w:cs="Times New Roman"/>
          <w:sz w:val="25"/>
          <w:szCs w:val="25"/>
        </w:rPr>
        <w:t>If it cannot, joinder will be allowed</w:t>
      </w:r>
      <w:r>
        <w:rPr>
          <w:rFonts w:ascii="Times New Roman" w:hAnsi="Times New Roman" w:cs="Times New Roman"/>
          <w:sz w:val="25"/>
          <w:szCs w:val="25"/>
        </w:rPr>
        <w:t xml:space="preserve"> (</w:t>
      </w:r>
      <w:r w:rsidRPr="001222F3">
        <w:rPr>
          <w:rFonts w:ascii="Times New Roman" w:hAnsi="Times New Roman" w:cs="Times New Roman"/>
          <w:i/>
          <w:sz w:val="25"/>
          <w:szCs w:val="25"/>
        </w:rPr>
        <w:t>Id.</w:t>
      </w:r>
      <w:r>
        <w:rPr>
          <w:rFonts w:ascii="Times New Roman" w:hAnsi="Times New Roman" w:cs="Times New Roman"/>
          <w:sz w:val="25"/>
          <w:szCs w:val="25"/>
        </w:rPr>
        <w:t>)</w:t>
      </w:r>
      <w:r w:rsidRPr="00E157F9">
        <w:rPr>
          <w:rFonts w:ascii="Times New Roman" w:hAnsi="Times New Roman" w:cs="Times New Roman"/>
          <w:sz w:val="25"/>
          <w:szCs w:val="25"/>
        </w:rPr>
        <w:t>.</w:t>
      </w:r>
    </w:p>
    <w:p w:rsidR="00EA20B8" w:rsidRDefault="000D0046" w:rsidP="000D0046">
      <w:pPr>
        <w:spacing w:before="30"/>
        <w:rPr>
          <w:rFonts w:ascii="Times New Roman" w:hAnsi="Times New Roman" w:cs="Times New Roman"/>
          <w:sz w:val="25"/>
          <w:szCs w:val="25"/>
        </w:rPr>
      </w:pPr>
      <w:r>
        <w:rPr>
          <w:rFonts w:ascii="Times New Roman" w:hAnsi="Times New Roman" w:cs="Times New Roman"/>
          <w:sz w:val="25"/>
          <w:szCs w:val="25"/>
        </w:rPr>
        <w:t>It is undisputed that in the context of special education</w:t>
      </w:r>
      <w:r w:rsidR="00637A46" w:rsidRPr="00E157F9">
        <w:rPr>
          <w:rFonts w:ascii="Times New Roman" w:hAnsi="Times New Roman" w:cs="Times New Roman"/>
          <w:sz w:val="25"/>
          <w:szCs w:val="25"/>
        </w:rPr>
        <w:t xml:space="preserve"> school districts are ultimately responsible for </w:t>
      </w:r>
      <w:r w:rsidR="008B351E">
        <w:rPr>
          <w:rFonts w:ascii="Times New Roman" w:hAnsi="Times New Roman" w:cs="Times New Roman"/>
          <w:sz w:val="25"/>
          <w:szCs w:val="25"/>
        </w:rPr>
        <w:t xml:space="preserve">the full spectrum of </w:t>
      </w:r>
      <w:r w:rsidR="00637A46" w:rsidRPr="00E157F9">
        <w:rPr>
          <w:rFonts w:ascii="Times New Roman" w:hAnsi="Times New Roman" w:cs="Times New Roman"/>
          <w:sz w:val="25"/>
          <w:szCs w:val="25"/>
        </w:rPr>
        <w:t>placements required by a student for educational reasons (including residential placements)</w:t>
      </w:r>
      <w:r>
        <w:rPr>
          <w:rFonts w:ascii="Times New Roman" w:hAnsi="Times New Roman" w:cs="Times New Roman"/>
          <w:sz w:val="25"/>
          <w:szCs w:val="25"/>
        </w:rPr>
        <w:t xml:space="preserve">.  Therefore, where a </w:t>
      </w:r>
      <w:r w:rsidR="00637A46" w:rsidRPr="00E157F9">
        <w:rPr>
          <w:rFonts w:ascii="Times New Roman" w:hAnsi="Times New Roman" w:cs="Times New Roman"/>
          <w:sz w:val="25"/>
          <w:szCs w:val="25"/>
        </w:rPr>
        <w:t xml:space="preserve">student requires residential placement for educational reasons, the </w:t>
      </w:r>
      <w:r>
        <w:rPr>
          <w:rFonts w:ascii="Times New Roman" w:hAnsi="Times New Roman" w:cs="Times New Roman"/>
          <w:sz w:val="25"/>
          <w:szCs w:val="25"/>
        </w:rPr>
        <w:t xml:space="preserve">district, not the </w:t>
      </w:r>
      <w:r w:rsidR="00637A46" w:rsidRPr="00E157F9">
        <w:rPr>
          <w:rFonts w:ascii="Times New Roman" w:hAnsi="Times New Roman" w:cs="Times New Roman"/>
          <w:sz w:val="25"/>
          <w:szCs w:val="25"/>
        </w:rPr>
        <w:t>state agency</w:t>
      </w:r>
      <w:r>
        <w:rPr>
          <w:rFonts w:ascii="Times New Roman" w:hAnsi="Times New Roman" w:cs="Times New Roman"/>
          <w:sz w:val="25"/>
          <w:szCs w:val="25"/>
        </w:rPr>
        <w:t>,</w:t>
      </w:r>
      <w:r w:rsidR="00637A46" w:rsidRPr="00E157F9">
        <w:rPr>
          <w:rFonts w:ascii="Times New Roman" w:hAnsi="Times New Roman" w:cs="Times New Roman"/>
          <w:sz w:val="25"/>
          <w:szCs w:val="25"/>
        </w:rPr>
        <w:t xml:space="preserve"> will be found responsible for said placement even if residential placement is among the services offered by the state agency to its clients.</w:t>
      </w:r>
      <w:r w:rsidR="00637A46" w:rsidRPr="00E157F9">
        <w:rPr>
          <w:rStyle w:val="FootnoteReference"/>
          <w:rFonts w:ascii="Times New Roman" w:hAnsi="Times New Roman" w:cs="Times New Roman"/>
          <w:sz w:val="25"/>
          <w:szCs w:val="25"/>
        </w:rPr>
        <w:footnoteReference w:id="4"/>
      </w:r>
      <w:r w:rsidR="00637A46" w:rsidRPr="00E157F9">
        <w:rPr>
          <w:rFonts w:ascii="Times New Roman" w:hAnsi="Times New Roman" w:cs="Times New Roman"/>
          <w:sz w:val="25"/>
          <w:szCs w:val="25"/>
        </w:rPr>
        <w:t xml:space="preserve">  </w:t>
      </w:r>
      <w:r w:rsidR="00637A46" w:rsidRPr="00E157F9">
        <w:rPr>
          <w:rFonts w:ascii="Times New Roman" w:hAnsi="Times New Roman" w:cs="Times New Roman"/>
          <w:i/>
          <w:iCs/>
          <w:sz w:val="25"/>
          <w:szCs w:val="25"/>
        </w:rPr>
        <w:t>In Re: Student v. Boston Public Schools</w:t>
      </w:r>
      <w:r w:rsidR="00637A46" w:rsidRPr="00E157F9">
        <w:rPr>
          <w:rFonts w:ascii="Times New Roman" w:hAnsi="Times New Roman" w:cs="Times New Roman"/>
          <w:sz w:val="25"/>
          <w:szCs w:val="25"/>
        </w:rPr>
        <w:t>, BSEA # 06-6542 (July 25, 2006).</w:t>
      </w:r>
      <w:r w:rsidR="00EA20B8">
        <w:rPr>
          <w:rFonts w:ascii="Times New Roman" w:hAnsi="Times New Roman" w:cs="Times New Roman"/>
          <w:sz w:val="25"/>
          <w:szCs w:val="25"/>
        </w:rPr>
        <w:t xml:space="preserve"> </w:t>
      </w:r>
      <w:r>
        <w:rPr>
          <w:rFonts w:ascii="Times New Roman" w:hAnsi="Times New Roman" w:cs="Times New Roman"/>
          <w:sz w:val="25"/>
          <w:szCs w:val="25"/>
        </w:rPr>
        <w:t xml:space="preserve"> </w:t>
      </w:r>
      <w:r w:rsidR="00EA20B8">
        <w:rPr>
          <w:rFonts w:ascii="Times New Roman" w:hAnsi="Times New Roman" w:cs="Times New Roman"/>
          <w:sz w:val="25"/>
          <w:szCs w:val="25"/>
        </w:rPr>
        <w:t>(</w:t>
      </w:r>
      <w:r w:rsidR="00EA20B8" w:rsidRPr="00077052">
        <w:rPr>
          <w:rFonts w:ascii="Times New Roman" w:hAnsi="Times New Roman" w:cs="Times New Roman"/>
          <w:i/>
          <w:sz w:val="25"/>
          <w:szCs w:val="25"/>
        </w:rPr>
        <w:t>In re</w:t>
      </w:r>
      <w:r w:rsidR="00EA20B8">
        <w:rPr>
          <w:rFonts w:ascii="Times New Roman" w:hAnsi="Times New Roman" w:cs="Times New Roman"/>
          <w:i/>
          <w:sz w:val="25"/>
          <w:szCs w:val="25"/>
        </w:rPr>
        <w:t>:</w:t>
      </w:r>
      <w:r w:rsidR="00EA20B8" w:rsidRPr="00077052">
        <w:rPr>
          <w:rFonts w:ascii="Times New Roman" w:hAnsi="Times New Roman" w:cs="Times New Roman"/>
          <w:i/>
          <w:sz w:val="25"/>
          <w:szCs w:val="25"/>
        </w:rPr>
        <w:t xml:space="preserve"> Tantasqua Region</w:t>
      </w:r>
      <w:r w:rsidR="00EA20B8">
        <w:rPr>
          <w:rFonts w:ascii="Times New Roman" w:hAnsi="Times New Roman" w:cs="Times New Roman"/>
          <w:i/>
          <w:sz w:val="25"/>
          <w:szCs w:val="25"/>
        </w:rPr>
        <w:t>a</w:t>
      </w:r>
      <w:r w:rsidR="00EA20B8" w:rsidRPr="00077052">
        <w:rPr>
          <w:rFonts w:ascii="Times New Roman" w:hAnsi="Times New Roman" w:cs="Times New Roman"/>
          <w:i/>
          <w:sz w:val="25"/>
          <w:szCs w:val="25"/>
        </w:rPr>
        <w:t>l School District</w:t>
      </w:r>
      <w:r w:rsidR="00EA20B8">
        <w:rPr>
          <w:rFonts w:ascii="Times New Roman" w:hAnsi="Times New Roman" w:cs="Times New Roman"/>
          <w:sz w:val="25"/>
          <w:szCs w:val="25"/>
        </w:rPr>
        <w:t>, BSEA # 1403256 (12/11/13).</w:t>
      </w:r>
    </w:p>
    <w:p w:rsidR="00863445" w:rsidRDefault="00863445" w:rsidP="00863445">
      <w:pPr>
        <w:rPr>
          <w:rFonts w:ascii="Times New Roman" w:hAnsi="Times New Roman" w:cs="Times New Roman"/>
          <w:sz w:val="25"/>
          <w:szCs w:val="25"/>
        </w:rPr>
      </w:pPr>
      <w:r>
        <w:rPr>
          <w:rFonts w:ascii="Times New Roman" w:hAnsi="Times New Roman" w:cs="Times New Roman"/>
          <w:sz w:val="25"/>
          <w:szCs w:val="25"/>
        </w:rPr>
        <w:t xml:space="preserve">In the case at bar, determination of DCF’s party status depends on the nexus between Student and or his/her parents and DCF, </w:t>
      </w:r>
      <w:r w:rsidRPr="00E107A8">
        <w:rPr>
          <w:rFonts w:ascii="Times New Roman" w:hAnsi="Times New Roman" w:cs="Times New Roman"/>
          <w:i/>
          <w:sz w:val="25"/>
          <w:szCs w:val="25"/>
        </w:rPr>
        <w:t>and</w:t>
      </w:r>
      <w:r>
        <w:rPr>
          <w:rFonts w:ascii="Times New Roman" w:hAnsi="Times New Roman" w:cs="Times New Roman"/>
          <w:sz w:val="25"/>
          <w:szCs w:val="25"/>
        </w:rPr>
        <w:t xml:space="preserve"> the BSEA’s ability to order the particular services sought consistent with the rules and regulations governing DCF.  </w:t>
      </w:r>
    </w:p>
    <w:p w:rsidR="00637A46" w:rsidRPr="00E157F9" w:rsidRDefault="00637A46" w:rsidP="00EA20B8">
      <w:pPr>
        <w:spacing w:before="30"/>
        <w:rPr>
          <w:rFonts w:ascii="Times New Roman" w:hAnsi="Times New Roman" w:cs="Times New Roman"/>
          <w:sz w:val="25"/>
          <w:szCs w:val="25"/>
        </w:rPr>
      </w:pPr>
      <w:r w:rsidRPr="00E157F9">
        <w:rPr>
          <w:rFonts w:ascii="Times New Roman" w:hAnsi="Times New Roman" w:cs="Times New Roman"/>
          <w:sz w:val="25"/>
          <w:szCs w:val="25"/>
        </w:rPr>
        <w:t xml:space="preserve">With this guidance, I turn to facts in the </w:t>
      </w:r>
      <w:r w:rsidR="00EA20B8">
        <w:rPr>
          <w:rFonts w:ascii="Times New Roman" w:hAnsi="Times New Roman" w:cs="Times New Roman"/>
          <w:sz w:val="25"/>
          <w:szCs w:val="25"/>
        </w:rPr>
        <w:t xml:space="preserve">instant </w:t>
      </w:r>
      <w:r w:rsidRPr="00E157F9">
        <w:rPr>
          <w:rFonts w:ascii="Times New Roman" w:hAnsi="Times New Roman" w:cs="Times New Roman"/>
          <w:sz w:val="25"/>
          <w:szCs w:val="25"/>
        </w:rPr>
        <w:t>case.</w:t>
      </w:r>
    </w:p>
    <w:p w:rsidR="00637A46" w:rsidRPr="00E157F9" w:rsidRDefault="00637A46" w:rsidP="00637A46">
      <w:pPr>
        <w:pStyle w:val="BodyText"/>
        <w:spacing w:before="30"/>
        <w:rPr>
          <w:bCs/>
          <w:szCs w:val="25"/>
        </w:rPr>
      </w:pPr>
      <w:r w:rsidRPr="00E157F9">
        <w:rPr>
          <w:bCs/>
          <w:szCs w:val="25"/>
        </w:rPr>
        <w:t xml:space="preserve">RULING: </w:t>
      </w:r>
    </w:p>
    <w:p w:rsidR="00637A46" w:rsidRPr="00E157F9" w:rsidRDefault="00637A46" w:rsidP="00637A46">
      <w:pPr>
        <w:pStyle w:val="BodyText"/>
        <w:spacing w:before="30"/>
        <w:rPr>
          <w:b w:val="0"/>
          <w:szCs w:val="25"/>
        </w:rPr>
      </w:pPr>
    </w:p>
    <w:p w:rsidR="006E68EC" w:rsidRDefault="006E68EC" w:rsidP="00637A46">
      <w:pPr>
        <w:rPr>
          <w:rFonts w:ascii="Times New Roman" w:hAnsi="Times New Roman" w:cs="Times New Roman"/>
          <w:sz w:val="25"/>
          <w:szCs w:val="25"/>
        </w:rPr>
      </w:pPr>
      <w:r>
        <w:rPr>
          <w:rFonts w:ascii="Times New Roman" w:hAnsi="Times New Roman" w:cs="Times New Roman"/>
          <w:sz w:val="25"/>
          <w:szCs w:val="25"/>
        </w:rPr>
        <w:t>DCF argues that the only issue before the BSEA is Student’s need for residential placement and no</w:t>
      </w:r>
      <w:r w:rsidR="000E24C0">
        <w:rPr>
          <w:rFonts w:ascii="Times New Roman" w:hAnsi="Times New Roman" w:cs="Times New Roman"/>
          <w:sz w:val="25"/>
          <w:szCs w:val="25"/>
        </w:rPr>
        <w:t>t</w:t>
      </w:r>
      <w:r>
        <w:rPr>
          <w:rFonts w:ascii="Times New Roman" w:hAnsi="Times New Roman" w:cs="Times New Roman"/>
          <w:sz w:val="25"/>
          <w:szCs w:val="25"/>
        </w:rPr>
        <w:t xml:space="preserve"> additional service</w:t>
      </w:r>
      <w:r w:rsidR="000E24C0">
        <w:rPr>
          <w:rFonts w:ascii="Times New Roman" w:hAnsi="Times New Roman" w:cs="Times New Roman"/>
          <w:sz w:val="25"/>
          <w:szCs w:val="25"/>
        </w:rPr>
        <w:t>s that must be provided by DCF</w:t>
      </w:r>
      <w:r>
        <w:rPr>
          <w:rFonts w:ascii="Times New Roman" w:hAnsi="Times New Roman" w:cs="Times New Roman"/>
          <w:sz w:val="25"/>
          <w:szCs w:val="25"/>
        </w:rPr>
        <w:t xml:space="preserve">.  Relying on </w:t>
      </w:r>
      <w:r w:rsidRPr="006E68EC">
        <w:rPr>
          <w:rFonts w:ascii="Times New Roman" w:hAnsi="Times New Roman" w:cs="Times New Roman"/>
          <w:i/>
          <w:sz w:val="25"/>
          <w:szCs w:val="25"/>
        </w:rPr>
        <w:t>Abrahmson v. Hershman</w:t>
      </w:r>
      <w:r>
        <w:rPr>
          <w:rFonts w:ascii="Times New Roman" w:hAnsi="Times New Roman" w:cs="Times New Roman"/>
          <w:sz w:val="25"/>
          <w:szCs w:val="25"/>
        </w:rPr>
        <w:t>, 701 F.2d 223, 228 (1983)</w:t>
      </w:r>
      <w:r>
        <w:rPr>
          <w:rStyle w:val="FootnoteReference"/>
          <w:rFonts w:ascii="Times New Roman" w:hAnsi="Times New Roman" w:cs="Times New Roman"/>
          <w:sz w:val="25"/>
          <w:szCs w:val="25"/>
        </w:rPr>
        <w:footnoteReference w:id="5"/>
      </w:r>
      <w:r>
        <w:rPr>
          <w:rFonts w:ascii="Times New Roman" w:hAnsi="Times New Roman" w:cs="Times New Roman"/>
          <w:sz w:val="25"/>
          <w:szCs w:val="25"/>
        </w:rPr>
        <w:t xml:space="preserve">, DCF argues that the educational service requested by Parents is available from the school district, an already existing party.  </w:t>
      </w:r>
      <w:r w:rsidR="003C2F8F">
        <w:rPr>
          <w:rFonts w:ascii="Times New Roman" w:hAnsi="Times New Roman" w:cs="Times New Roman"/>
          <w:sz w:val="25"/>
          <w:szCs w:val="25"/>
        </w:rPr>
        <w:t>As such, DCF argues that it is not a necessary party because complete relief can be granted</w:t>
      </w:r>
      <w:r w:rsidR="008B351E">
        <w:rPr>
          <w:rFonts w:ascii="Times New Roman" w:hAnsi="Times New Roman" w:cs="Times New Roman"/>
          <w:sz w:val="25"/>
          <w:szCs w:val="25"/>
        </w:rPr>
        <w:t>,</w:t>
      </w:r>
      <w:r w:rsidR="003C2F8F">
        <w:rPr>
          <w:rFonts w:ascii="Times New Roman" w:hAnsi="Times New Roman" w:cs="Times New Roman"/>
          <w:sz w:val="25"/>
          <w:szCs w:val="25"/>
        </w:rPr>
        <w:t xml:space="preserve"> absent its participation</w:t>
      </w:r>
      <w:r w:rsidR="008B351E">
        <w:rPr>
          <w:rFonts w:ascii="Times New Roman" w:hAnsi="Times New Roman" w:cs="Times New Roman"/>
          <w:sz w:val="25"/>
          <w:szCs w:val="25"/>
        </w:rPr>
        <w:t>,</w:t>
      </w:r>
      <w:r w:rsidR="003C2F8F">
        <w:rPr>
          <w:rFonts w:ascii="Times New Roman" w:hAnsi="Times New Roman" w:cs="Times New Roman"/>
          <w:sz w:val="25"/>
          <w:szCs w:val="25"/>
        </w:rPr>
        <w:t xml:space="preserve"> among those who are already part</w:t>
      </w:r>
      <w:r w:rsidR="000E24C0">
        <w:rPr>
          <w:rFonts w:ascii="Times New Roman" w:hAnsi="Times New Roman" w:cs="Times New Roman"/>
          <w:sz w:val="25"/>
          <w:szCs w:val="25"/>
        </w:rPr>
        <w:t>ies</w:t>
      </w:r>
      <w:r w:rsidR="003C2F8F">
        <w:rPr>
          <w:rFonts w:ascii="Times New Roman" w:hAnsi="Times New Roman" w:cs="Times New Roman"/>
          <w:sz w:val="25"/>
          <w:szCs w:val="25"/>
        </w:rPr>
        <w:t xml:space="preserve">; that is, the case can be disposed of in its absence.  See </w:t>
      </w:r>
      <w:r w:rsidR="003C2F8F" w:rsidRPr="006D438C">
        <w:rPr>
          <w:rFonts w:ascii="Times New Roman" w:hAnsi="Times New Roman" w:cs="Times New Roman"/>
          <w:i/>
          <w:sz w:val="25"/>
          <w:szCs w:val="25"/>
        </w:rPr>
        <w:t>In Re: Lawrence Public Schools</w:t>
      </w:r>
      <w:r w:rsidR="003C2F8F">
        <w:rPr>
          <w:rFonts w:ascii="Times New Roman" w:hAnsi="Times New Roman" w:cs="Times New Roman"/>
          <w:sz w:val="25"/>
          <w:szCs w:val="25"/>
        </w:rPr>
        <w:t>, BSEA #08-2804, 14 MSER 1, 2 (2007) “(denying joinder of D</w:t>
      </w:r>
      <w:r w:rsidR="000E24C0">
        <w:rPr>
          <w:rFonts w:ascii="Times New Roman" w:hAnsi="Times New Roman" w:cs="Times New Roman"/>
          <w:sz w:val="25"/>
          <w:szCs w:val="25"/>
        </w:rPr>
        <w:t>CF</w:t>
      </w:r>
      <w:r w:rsidR="003C2F8F">
        <w:rPr>
          <w:rFonts w:ascii="Times New Roman" w:hAnsi="Times New Roman" w:cs="Times New Roman"/>
          <w:sz w:val="25"/>
          <w:szCs w:val="25"/>
        </w:rPr>
        <w:t xml:space="preserve"> where no party ‘alleged that Student needs services that only DSS</w:t>
      </w:r>
      <w:r w:rsidR="000E24C0">
        <w:rPr>
          <w:rStyle w:val="FootnoteReference"/>
          <w:rFonts w:ascii="Times New Roman" w:hAnsi="Times New Roman" w:cs="Times New Roman"/>
          <w:sz w:val="25"/>
          <w:szCs w:val="25"/>
        </w:rPr>
        <w:footnoteReference w:id="6"/>
      </w:r>
      <w:r w:rsidR="003C2F8F">
        <w:rPr>
          <w:rFonts w:ascii="Times New Roman" w:hAnsi="Times New Roman" w:cs="Times New Roman"/>
          <w:sz w:val="25"/>
          <w:szCs w:val="25"/>
        </w:rPr>
        <w:t xml:space="preserve"> can provide in addition to education services’)”.  Lastly, DCF argues that even if the BSEA were to determine that NM</w:t>
      </w:r>
      <w:r w:rsidR="008B351E">
        <w:rPr>
          <w:rFonts w:ascii="Times New Roman" w:hAnsi="Times New Roman" w:cs="Times New Roman"/>
          <w:sz w:val="25"/>
          <w:szCs w:val="25"/>
        </w:rPr>
        <w:t>R</w:t>
      </w:r>
      <w:r w:rsidR="003C2F8F">
        <w:rPr>
          <w:rFonts w:ascii="Times New Roman" w:hAnsi="Times New Roman" w:cs="Times New Roman"/>
          <w:sz w:val="25"/>
          <w:szCs w:val="25"/>
        </w:rPr>
        <w:t xml:space="preserve"> is not responsible for Student’s residential placement, DCF would still not be an appropriate party because Student i</w:t>
      </w:r>
      <w:r w:rsidR="008B351E">
        <w:rPr>
          <w:rFonts w:ascii="Times New Roman" w:hAnsi="Times New Roman" w:cs="Times New Roman"/>
          <w:sz w:val="25"/>
          <w:szCs w:val="25"/>
        </w:rPr>
        <w:t>s</w:t>
      </w:r>
      <w:r w:rsidR="003C2F8F">
        <w:rPr>
          <w:rFonts w:ascii="Times New Roman" w:hAnsi="Times New Roman" w:cs="Times New Roman"/>
          <w:sz w:val="25"/>
          <w:szCs w:val="25"/>
        </w:rPr>
        <w:t xml:space="preserve"> neither in the care nor custody of </w:t>
      </w:r>
      <w:r w:rsidR="003C2F8F">
        <w:rPr>
          <w:rFonts w:ascii="Times New Roman" w:hAnsi="Times New Roman" w:cs="Times New Roman"/>
          <w:sz w:val="25"/>
          <w:szCs w:val="25"/>
        </w:rPr>
        <w:lastRenderedPageBreak/>
        <w:t>DCF</w:t>
      </w:r>
      <w:r w:rsidR="000E24C0">
        <w:rPr>
          <w:rFonts w:ascii="Times New Roman" w:hAnsi="Times New Roman" w:cs="Times New Roman"/>
          <w:sz w:val="25"/>
          <w:szCs w:val="25"/>
        </w:rPr>
        <w:t xml:space="preserve">.  Such care or custody </w:t>
      </w:r>
      <w:r w:rsidR="003C2F8F">
        <w:rPr>
          <w:rFonts w:ascii="Times New Roman" w:hAnsi="Times New Roman" w:cs="Times New Roman"/>
          <w:sz w:val="25"/>
          <w:szCs w:val="25"/>
        </w:rPr>
        <w:t xml:space="preserve">is a necessary requirement for DCF to provide any </w:t>
      </w:r>
      <w:r w:rsidR="000E24C0">
        <w:rPr>
          <w:rFonts w:ascii="Times New Roman" w:hAnsi="Times New Roman" w:cs="Times New Roman"/>
          <w:sz w:val="25"/>
          <w:szCs w:val="25"/>
        </w:rPr>
        <w:t>out of home</w:t>
      </w:r>
      <w:r w:rsidR="003C2F8F">
        <w:rPr>
          <w:rFonts w:ascii="Times New Roman" w:hAnsi="Times New Roman" w:cs="Times New Roman"/>
          <w:sz w:val="25"/>
          <w:szCs w:val="25"/>
        </w:rPr>
        <w:t xml:space="preserve"> placement consis</w:t>
      </w:r>
      <w:r w:rsidR="006D438C">
        <w:rPr>
          <w:rFonts w:ascii="Times New Roman" w:hAnsi="Times New Roman" w:cs="Times New Roman"/>
          <w:sz w:val="25"/>
          <w:szCs w:val="25"/>
        </w:rPr>
        <w:t>tent with 110 CMR 4.10; G.L. c.1</w:t>
      </w:r>
      <w:r w:rsidR="003C2F8F">
        <w:rPr>
          <w:rFonts w:ascii="Times New Roman" w:hAnsi="Times New Roman" w:cs="Times New Roman"/>
          <w:sz w:val="25"/>
          <w:szCs w:val="25"/>
        </w:rPr>
        <w:t>19</w:t>
      </w:r>
      <w:r w:rsidR="006D438C">
        <w:rPr>
          <w:rFonts w:ascii="Times New Roman" w:hAnsi="Times New Roman" w:cs="Times New Roman"/>
          <w:sz w:val="25"/>
          <w:szCs w:val="25"/>
        </w:rPr>
        <w:t xml:space="preserve">§21 </w:t>
      </w:r>
      <w:r w:rsidR="006D438C" w:rsidRPr="006D438C">
        <w:rPr>
          <w:rFonts w:ascii="Times New Roman" w:hAnsi="Times New Roman" w:cs="Times New Roman"/>
          <w:i/>
          <w:sz w:val="25"/>
          <w:szCs w:val="25"/>
        </w:rPr>
        <w:t>et seq</w:t>
      </w:r>
      <w:r w:rsidR="006D438C">
        <w:rPr>
          <w:rFonts w:ascii="Times New Roman" w:hAnsi="Times New Roman" w:cs="Times New Roman"/>
          <w:sz w:val="25"/>
          <w:szCs w:val="25"/>
        </w:rPr>
        <w:t>.</w:t>
      </w:r>
      <w:r w:rsidR="006D438C">
        <w:rPr>
          <w:rStyle w:val="FootnoteReference"/>
          <w:rFonts w:ascii="Times New Roman" w:hAnsi="Times New Roman" w:cs="Times New Roman"/>
          <w:sz w:val="25"/>
          <w:szCs w:val="25"/>
        </w:rPr>
        <w:footnoteReference w:id="7"/>
      </w:r>
    </w:p>
    <w:p w:rsidR="006E68EC" w:rsidRDefault="001C4EA4" w:rsidP="00637A46">
      <w:pPr>
        <w:rPr>
          <w:rFonts w:ascii="Times New Roman" w:hAnsi="Times New Roman" w:cs="Times New Roman"/>
          <w:sz w:val="25"/>
          <w:szCs w:val="25"/>
        </w:rPr>
      </w:pPr>
      <w:r>
        <w:rPr>
          <w:rFonts w:ascii="Times New Roman" w:hAnsi="Times New Roman" w:cs="Times New Roman"/>
          <w:sz w:val="25"/>
          <w:szCs w:val="25"/>
        </w:rPr>
        <w:t>NMR argued that DCF’s extensive involvement with Student and her family, renders DCF a necessary party.  NMR further argued that any need for a residential placement on Student’s part is not for educational reasons.  According to NMR, BSEA orders are not limited to the remedies sought by parents</w:t>
      </w:r>
      <w:r w:rsidR="000E24C0">
        <w:rPr>
          <w:rFonts w:ascii="Times New Roman" w:hAnsi="Times New Roman" w:cs="Times New Roman"/>
          <w:sz w:val="25"/>
          <w:szCs w:val="25"/>
        </w:rPr>
        <w:t>;</w:t>
      </w:r>
      <w:r>
        <w:rPr>
          <w:rFonts w:ascii="Times New Roman" w:hAnsi="Times New Roman" w:cs="Times New Roman"/>
          <w:sz w:val="25"/>
          <w:szCs w:val="25"/>
        </w:rPr>
        <w:t xml:space="preserve"> rather, “such order may provide for the placement or services requested by the school committee, the placement or services requested by the parent, either of those placements or services with modifications, or such alternative programs or services as may be required to </w:t>
      </w:r>
      <w:r w:rsidR="00863445">
        <w:rPr>
          <w:rFonts w:ascii="Times New Roman" w:hAnsi="Times New Roman" w:cs="Times New Roman"/>
          <w:sz w:val="25"/>
          <w:szCs w:val="25"/>
        </w:rPr>
        <w:t>assure</w:t>
      </w:r>
      <w:r>
        <w:rPr>
          <w:rFonts w:ascii="Times New Roman" w:hAnsi="Times New Roman" w:cs="Times New Roman"/>
          <w:sz w:val="25"/>
          <w:szCs w:val="25"/>
        </w:rPr>
        <w:t xml:space="preserve"> such development of such child.”  M.G.L. c. 71B §3.  NMR argued that the scope of the Hearing therefore involves not only Student’s need for residential placement but also:  a) whether her current private day placement offers her a FAPE; b) whether Student requires additional in-home or residential services; (3) </w:t>
      </w:r>
      <w:r w:rsidR="001B7B26">
        <w:rPr>
          <w:rFonts w:ascii="Times New Roman" w:hAnsi="Times New Roman" w:cs="Times New Roman"/>
          <w:sz w:val="25"/>
          <w:szCs w:val="25"/>
        </w:rPr>
        <w:t xml:space="preserve">whether those in-home or </w:t>
      </w:r>
      <w:r w:rsidR="000E24C0">
        <w:rPr>
          <w:rFonts w:ascii="Times New Roman" w:hAnsi="Times New Roman" w:cs="Times New Roman"/>
          <w:sz w:val="25"/>
          <w:szCs w:val="25"/>
        </w:rPr>
        <w:t>residenti</w:t>
      </w:r>
      <w:r w:rsidR="001B7B26">
        <w:rPr>
          <w:rFonts w:ascii="Times New Roman" w:hAnsi="Times New Roman" w:cs="Times New Roman"/>
          <w:sz w:val="25"/>
          <w:szCs w:val="25"/>
        </w:rPr>
        <w:t xml:space="preserve">al services would be educational in nature; and d) if not educational in nature, whether DCF is responsible to provide them.  Moreover, according to NMR, given that Student and her family are currently receiving services under a Treatment Plan Document (June 1, 2016 Treatment Plan Document) it would appear that any difficulty experienced by Student in the home is attributable to the home environment </w:t>
      </w:r>
      <w:r w:rsidR="000E24C0">
        <w:rPr>
          <w:rFonts w:ascii="Times New Roman" w:hAnsi="Times New Roman" w:cs="Times New Roman"/>
          <w:sz w:val="25"/>
          <w:szCs w:val="25"/>
        </w:rPr>
        <w:t xml:space="preserve">rather than unmet educational needs, </w:t>
      </w:r>
      <w:r w:rsidR="001B7B26">
        <w:rPr>
          <w:rFonts w:ascii="Times New Roman" w:hAnsi="Times New Roman" w:cs="Times New Roman"/>
          <w:sz w:val="25"/>
          <w:szCs w:val="25"/>
        </w:rPr>
        <w:t>therefore, a private day placement for Student would suffice to offer her a FAPE in the least restrictive environment.   Since a determination of the need for residential placement and</w:t>
      </w:r>
      <w:r w:rsidR="000E24C0">
        <w:rPr>
          <w:rFonts w:ascii="Times New Roman" w:hAnsi="Times New Roman" w:cs="Times New Roman"/>
          <w:sz w:val="25"/>
          <w:szCs w:val="25"/>
        </w:rPr>
        <w:t>/</w:t>
      </w:r>
      <w:r w:rsidR="001B7B26">
        <w:rPr>
          <w:rFonts w:ascii="Times New Roman" w:hAnsi="Times New Roman" w:cs="Times New Roman"/>
          <w:sz w:val="25"/>
          <w:szCs w:val="25"/>
        </w:rPr>
        <w:t xml:space="preserve">or home wrap-around services, as well as whether such services would be for educational reasons </w:t>
      </w:r>
      <w:r w:rsidR="00E94685">
        <w:rPr>
          <w:rFonts w:ascii="Times New Roman" w:hAnsi="Times New Roman" w:cs="Times New Roman"/>
          <w:sz w:val="25"/>
          <w:szCs w:val="25"/>
        </w:rPr>
        <w:t>may involve orders against NMR and DCF, the BSEA would be unable to fashion the necessary remedies in the absence of DCF.</w:t>
      </w:r>
      <w:r w:rsidR="001B7B26">
        <w:rPr>
          <w:rFonts w:ascii="Times New Roman" w:hAnsi="Times New Roman" w:cs="Times New Roman"/>
          <w:sz w:val="25"/>
          <w:szCs w:val="25"/>
        </w:rPr>
        <w:t xml:space="preserve"> </w:t>
      </w:r>
      <w:r w:rsidR="000E24C0">
        <w:rPr>
          <w:rFonts w:ascii="Times New Roman" w:hAnsi="Times New Roman" w:cs="Times New Roman"/>
          <w:sz w:val="25"/>
          <w:szCs w:val="25"/>
        </w:rPr>
        <w:t xml:space="preserve"> Lastly, </w:t>
      </w:r>
      <w:r w:rsidR="00863445">
        <w:rPr>
          <w:rFonts w:ascii="Times New Roman" w:hAnsi="Times New Roman" w:cs="Times New Roman"/>
          <w:sz w:val="25"/>
          <w:szCs w:val="25"/>
        </w:rPr>
        <w:t xml:space="preserve">NMR argued that </w:t>
      </w:r>
      <w:r w:rsidR="000E24C0">
        <w:rPr>
          <w:rFonts w:ascii="Times New Roman" w:hAnsi="Times New Roman" w:cs="Times New Roman"/>
          <w:sz w:val="25"/>
          <w:szCs w:val="25"/>
        </w:rPr>
        <w:t>a</w:t>
      </w:r>
      <w:r w:rsidR="00E94685">
        <w:rPr>
          <w:rFonts w:ascii="Times New Roman" w:hAnsi="Times New Roman" w:cs="Times New Roman"/>
          <w:sz w:val="25"/>
          <w:szCs w:val="25"/>
        </w:rPr>
        <w:t>dministrative efficiency could only be assured by maintaining DCF as a party</w:t>
      </w:r>
      <w:r w:rsidR="000E24C0">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3514F6" w:rsidRDefault="005367E3" w:rsidP="00637A46">
      <w:pPr>
        <w:rPr>
          <w:rFonts w:ascii="Times New Roman" w:hAnsi="Times New Roman" w:cs="Times New Roman"/>
          <w:sz w:val="25"/>
          <w:szCs w:val="25"/>
        </w:rPr>
      </w:pPr>
      <w:r>
        <w:rPr>
          <w:rFonts w:ascii="Times New Roman" w:hAnsi="Times New Roman" w:cs="Times New Roman"/>
          <w:sz w:val="25"/>
          <w:szCs w:val="25"/>
        </w:rPr>
        <w:t xml:space="preserve">DCF is correct that </w:t>
      </w:r>
      <w:r w:rsidR="00863445">
        <w:rPr>
          <w:rFonts w:ascii="Times New Roman" w:hAnsi="Times New Roman" w:cs="Times New Roman"/>
          <w:sz w:val="25"/>
          <w:szCs w:val="25"/>
        </w:rPr>
        <w:t xml:space="preserve">BSEA </w:t>
      </w:r>
      <w:r>
        <w:rPr>
          <w:rFonts w:ascii="Times New Roman" w:hAnsi="Times New Roman" w:cs="Times New Roman"/>
          <w:sz w:val="25"/>
          <w:szCs w:val="25"/>
        </w:rPr>
        <w:t xml:space="preserve">jurisdiction over </w:t>
      </w:r>
      <w:r w:rsidR="00863445">
        <w:rPr>
          <w:rFonts w:ascii="Times New Roman" w:hAnsi="Times New Roman" w:cs="Times New Roman"/>
          <w:sz w:val="25"/>
          <w:szCs w:val="25"/>
        </w:rPr>
        <w:t>said agency</w:t>
      </w:r>
      <w:r>
        <w:rPr>
          <w:rFonts w:ascii="Times New Roman" w:hAnsi="Times New Roman" w:cs="Times New Roman"/>
          <w:sz w:val="25"/>
          <w:szCs w:val="25"/>
        </w:rPr>
        <w:t xml:space="preserve"> is limited </w:t>
      </w:r>
      <w:r w:rsidR="00752589">
        <w:rPr>
          <w:rFonts w:ascii="Times New Roman" w:hAnsi="Times New Roman" w:cs="Times New Roman"/>
          <w:sz w:val="25"/>
          <w:szCs w:val="25"/>
        </w:rPr>
        <w:t xml:space="preserve">to situations where </w:t>
      </w:r>
      <w:r w:rsidR="00723E63">
        <w:rPr>
          <w:rFonts w:ascii="Times New Roman" w:hAnsi="Times New Roman" w:cs="Times New Roman"/>
          <w:sz w:val="25"/>
          <w:szCs w:val="25"/>
        </w:rPr>
        <w:t>DCF</w:t>
      </w:r>
      <w:r w:rsidR="00752589">
        <w:rPr>
          <w:rFonts w:ascii="Times New Roman" w:hAnsi="Times New Roman" w:cs="Times New Roman"/>
          <w:sz w:val="25"/>
          <w:szCs w:val="25"/>
        </w:rPr>
        <w:t xml:space="preserve"> has a significant relationship with the student</w:t>
      </w:r>
      <w:r>
        <w:rPr>
          <w:rFonts w:ascii="Times New Roman" w:hAnsi="Times New Roman" w:cs="Times New Roman"/>
          <w:sz w:val="25"/>
          <w:szCs w:val="25"/>
        </w:rPr>
        <w:t xml:space="preserve">.  </w:t>
      </w:r>
      <w:r w:rsidR="00640370">
        <w:rPr>
          <w:rFonts w:ascii="Times New Roman" w:hAnsi="Times New Roman" w:cs="Times New Roman"/>
          <w:sz w:val="25"/>
          <w:szCs w:val="25"/>
        </w:rPr>
        <w:t xml:space="preserve">I find that the existence of the current </w:t>
      </w:r>
      <w:r w:rsidR="00752589">
        <w:rPr>
          <w:rFonts w:ascii="Times New Roman" w:hAnsi="Times New Roman" w:cs="Times New Roman"/>
          <w:sz w:val="25"/>
          <w:szCs w:val="25"/>
        </w:rPr>
        <w:t>Treatment</w:t>
      </w:r>
      <w:r w:rsidR="00640370">
        <w:rPr>
          <w:rFonts w:ascii="Times New Roman" w:hAnsi="Times New Roman" w:cs="Times New Roman"/>
          <w:sz w:val="25"/>
          <w:szCs w:val="25"/>
        </w:rPr>
        <w:t xml:space="preserve"> Plan establishes a relationship between the parties </w:t>
      </w:r>
      <w:r w:rsidR="00E107A8">
        <w:rPr>
          <w:rFonts w:ascii="Times New Roman" w:hAnsi="Times New Roman" w:cs="Times New Roman"/>
          <w:sz w:val="25"/>
          <w:szCs w:val="25"/>
        </w:rPr>
        <w:t xml:space="preserve">sufficient to </w:t>
      </w:r>
      <w:r w:rsidR="00640370">
        <w:rPr>
          <w:rFonts w:ascii="Times New Roman" w:hAnsi="Times New Roman" w:cs="Times New Roman"/>
          <w:sz w:val="25"/>
          <w:szCs w:val="25"/>
        </w:rPr>
        <w:t xml:space="preserve">satisfy the threshold question, even if Student is </w:t>
      </w:r>
      <w:r w:rsidR="00752589">
        <w:rPr>
          <w:rFonts w:ascii="Times New Roman" w:hAnsi="Times New Roman" w:cs="Times New Roman"/>
          <w:sz w:val="25"/>
          <w:szCs w:val="25"/>
        </w:rPr>
        <w:t xml:space="preserve">not presently </w:t>
      </w:r>
      <w:r w:rsidR="00640370">
        <w:rPr>
          <w:rFonts w:ascii="Times New Roman" w:hAnsi="Times New Roman" w:cs="Times New Roman"/>
          <w:sz w:val="25"/>
          <w:szCs w:val="25"/>
        </w:rPr>
        <w:t xml:space="preserve">in the care or custody of DCF.  While care or custody </w:t>
      </w:r>
      <w:r w:rsidR="00752589">
        <w:rPr>
          <w:rFonts w:ascii="Times New Roman" w:hAnsi="Times New Roman" w:cs="Times New Roman"/>
          <w:sz w:val="25"/>
          <w:szCs w:val="25"/>
        </w:rPr>
        <w:t xml:space="preserve">of Student </w:t>
      </w:r>
      <w:r w:rsidR="00640370">
        <w:rPr>
          <w:rFonts w:ascii="Times New Roman" w:hAnsi="Times New Roman" w:cs="Times New Roman"/>
          <w:sz w:val="25"/>
          <w:szCs w:val="25"/>
        </w:rPr>
        <w:t>may impact DCF’s ability to provide</w:t>
      </w:r>
      <w:r w:rsidR="00752589">
        <w:rPr>
          <w:rFonts w:ascii="Times New Roman" w:hAnsi="Times New Roman" w:cs="Times New Roman"/>
          <w:sz w:val="25"/>
          <w:szCs w:val="25"/>
        </w:rPr>
        <w:t xml:space="preserve"> residential services</w:t>
      </w:r>
      <w:r w:rsidR="00640370">
        <w:rPr>
          <w:rFonts w:ascii="Times New Roman" w:hAnsi="Times New Roman" w:cs="Times New Roman"/>
          <w:sz w:val="25"/>
          <w:szCs w:val="25"/>
        </w:rPr>
        <w:t>, or the BSEA’s ability to order</w:t>
      </w:r>
      <w:r w:rsidR="00E107A8">
        <w:rPr>
          <w:rFonts w:ascii="Times New Roman" w:hAnsi="Times New Roman" w:cs="Times New Roman"/>
          <w:sz w:val="25"/>
          <w:szCs w:val="25"/>
        </w:rPr>
        <w:t xml:space="preserve"> it to </w:t>
      </w:r>
      <w:r w:rsidR="00752589">
        <w:rPr>
          <w:rFonts w:ascii="Times New Roman" w:hAnsi="Times New Roman" w:cs="Times New Roman"/>
          <w:sz w:val="25"/>
          <w:szCs w:val="25"/>
        </w:rPr>
        <w:t>do so</w:t>
      </w:r>
      <w:r w:rsidR="00640370">
        <w:rPr>
          <w:rFonts w:ascii="Times New Roman" w:hAnsi="Times New Roman" w:cs="Times New Roman"/>
          <w:sz w:val="25"/>
          <w:szCs w:val="25"/>
        </w:rPr>
        <w:t xml:space="preserve">, </w:t>
      </w:r>
      <w:r w:rsidR="00752589">
        <w:rPr>
          <w:rFonts w:ascii="Times New Roman" w:hAnsi="Times New Roman" w:cs="Times New Roman"/>
          <w:sz w:val="25"/>
          <w:szCs w:val="25"/>
        </w:rPr>
        <w:t xml:space="preserve">the existence of an active and comprehensive Treatment </w:t>
      </w:r>
      <w:r w:rsidR="00752589">
        <w:rPr>
          <w:rFonts w:ascii="Times New Roman" w:hAnsi="Times New Roman" w:cs="Times New Roman"/>
          <w:sz w:val="25"/>
          <w:szCs w:val="25"/>
        </w:rPr>
        <w:lastRenderedPageBreak/>
        <w:t xml:space="preserve">Plan establishes enough of a relationship to allow the BSEA to order non-residential services (such as additional home-based or therapeutic services) consistent with DCF’s rules and regulations, that are necessary to enable Student to receive a FAPE.  </w:t>
      </w:r>
    </w:p>
    <w:p w:rsidR="00640370" w:rsidRDefault="003514F6" w:rsidP="00637A46">
      <w:pPr>
        <w:rPr>
          <w:rFonts w:ascii="Times New Roman" w:hAnsi="Times New Roman" w:cs="Times New Roman"/>
          <w:sz w:val="25"/>
          <w:szCs w:val="25"/>
        </w:rPr>
      </w:pPr>
      <w:r>
        <w:rPr>
          <w:rFonts w:ascii="Times New Roman" w:hAnsi="Times New Roman" w:cs="Times New Roman"/>
          <w:sz w:val="25"/>
          <w:szCs w:val="25"/>
        </w:rPr>
        <w:t xml:space="preserve">Lastly, in light of the most recent allegations, it is also possible that the relationship between Parents/Student and DCF is altered during the pendency of the BSEA appeal in which case residential placement could be among the remedies available through DCF. </w:t>
      </w:r>
    </w:p>
    <w:p w:rsidR="00E107A8" w:rsidRDefault="00E107A8" w:rsidP="00637A46">
      <w:pPr>
        <w:rPr>
          <w:rFonts w:ascii="Times New Roman" w:hAnsi="Times New Roman" w:cs="Times New Roman"/>
          <w:sz w:val="25"/>
          <w:szCs w:val="25"/>
        </w:rPr>
      </w:pPr>
      <w:r>
        <w:rPr>
          <w:rFonts w:ascii="Times New Roman" w:hAnsi="Times New Roman" w:cs="Times New Roman"/>
          <w:sz w:val="25"/>
          <w:szCs w:val="25"/>
        </w:rPr>
        <w:t xml:space="preserve">As such, DCF’s Motion to be Dismissed </w:t>
      </w:r>
      <w:r w:rsidR="003514F6">
        <w:rPr>
          <w:rFonts w:ascii="Times New Roman" w:hAnsi="Times New Roman" w:cs="Times New Roman"/>
          <w:sz w:val="25"/>
          <w:szCs w:val="25"/>
        </w:rPr>
        <w:t xml:space="preserve">as a Party </w:t>
      </w:r>
      <w:r>
        <w:rPr>
          <w:rFonts w:ascii="Times New Roman" w:hAnsi="Times New Roman" w:cs="Times New Roman"/>
          <w:sz w:val="25"/>
          <w:szCs w:val="25"/>
        </w:rPr>
        <w:t xml:space="preserve">is </w:t>
      </w:r>
      <w:r w:rsidR="003514F6">
        <w:rPr>
          <w:rFonts w:ascii="Times New Roman" w:hAnsi="Times New Roman" w:cs="Times New Roman"/>
          <w:sz w:val="25"/>
          <w:szCs w:val="25"/>
        </w:rPr>
        <w:t xml:space="preserve">DENIED.  </w:t>
      </w:r>
      <w:r w:rsidR="00C3050D">
        <w:rPr>
          <w:rFonts w:ascii="Times New Roman" w:hAnsi="Times New Roman" w:cs="Times New Roman"/>
          <w:sz w:val="25"/>
          <w:szCs w:val="25"/>
        </w:rPr>
        <w:t>DCF will be maintained as a Party.</w:t>
      </w:r>
    </w:p>
    <w:p w:rsidR="00637A46" w:rsidRPr="00E157F9" w:rsidRDefault="00411B2B" w:rsidP="00637A46">
      <w:pPr>
        <w:spacing w:before="30"/>
        <w:rPr>
          <w:rFonts w:ascii="Times New Roman" w:hAnsi="Times New Roman" w:cs="Times New Roman"/>
          <w:b/>
          <w:bCs/>
          <w:sz w:val="25"/>
          <w:szCs w:val="25"/>
        </w:rPr>
      </w:pPr>
      <w:r>
        <w:rPr>
          <w:rFonts w:ascii="Times New Roman" w:hAnsi="Times New Roman" w:cs="Times New Roman"/>
          <w:b/>
          <w:bCs/>
          <w:sz w:val="25"/>
          <w:szCs w:val="25"/>
        </w:rPr>
        <w:t>O</w:t>
      </w:r>
      <w:r w:rsidR="00637A46" w:rsidRPr="00E157F9">
        <w:rPr>
          <w:rFonts w:ascii="Times New Roman" w:hAnsi="Times New Roman" w:cs="Times New Roman"/>
          <w:b/>
          <w:bCs/>
          <w:sz w:val="25"/>
          <w:szCs w:val="25"/>
        </w:rPr>
        <w:t>RDER:</w:t>
      </w:r>
    </w:p>
    <w:p w:rsidR="00B7565F" w:rsidRDefault="00637A46" w:rsidP="00B7565F">
      <w:pPr>
        <w:pStyle w:val="ListParagraph"/>
        <w:numPr>
          <w:ilvl w:val="0"/>
          <w:numId w:val="3"/>
        </w:numPr>
        <w:spacing w:before="30"/>
        <w:rPr>
          <w:rFonts w:ascii="Times New Roman" w:hAnsi="Times New Roman" w:cs="Times New Roman"/>
          <w:sz w:val="25"/>
          <w:szCs w:val="25"/>
        </w:rPr>
      </w:pPr>
      <w:r w:rsidRPr="00851E3C">
        <w:rPr>
          <w:rFonts w:ascii="Times New Roman" w:hAnsi="Times New Roman" w:cs="Times New Roman"/>
          <w:sz w:val="25"/>
          <w:szCs w:val="25"/>
        </w:rPr>
        <w:t xml:space="preserve">DCF’s Motion to </w:t>
      </w:r>
      <w:r w:rsidR="00411B2B">
        <w:rPr>
          <w:rFonts w:ascii="Times New Roman" w:hAnsi="Times New Roman" w:cs="Times New Roman"/>
          <w:sz w:val="25"/>
          <w:szCs w:val="25"/>
        </w:rPr>
        <w:t>be Dismissed as a Party</w:t>
      </w:r>
      <w:r w:rsidR="00B7565F">
        <w:rPr>
          <w:rFonts w:ascii="Times New Roman" w:hAnsi="Times New Roman" w:cs="Times New Roman"/>
          <w:sz w:val="25"/>
          <w:szCs w:val="25"/>
        </w:rPr>
        <w:t xml:space="preserve"> </w:t>
      </w:r>
      <w:r w:rsidR="00B7565F" w:rsidRPr="00E157F9">
        <w:rPr>
          <w:rFonts w:ascii="Times New Roman" w:hAnsi="Times New Roman" w:cs="Times New Roman"/>
          <w:sz w:val="25"/>
          <w:szCs w:val="25"/>
        </w:rPr>
        <w:t xml:space="preserve">is </w:t>
      </w:r>
      <w:r w:rsidR="00B7565F">
        <w:rPr>
          <w:rFonts w:ascii="Times New Roman" w:hAnsi="Times New Roman" w:cs="Times New Roman"/>
          <w:b/>
          <w:bCs/>
          <w:sz w:val="25"/>
          <w:szCs w:val="25"/>
        </w:rPr>
        <w:t>D</w:t>
      </w:r>
      <w:r w:rsidR="00C3050D">
        <w:rPr>
          <w:rFonts w:ascii="Times New Roman" w:hAnsi="Times New Roman" w:cs="Times New Roman"/>
          <w:b/>
          <w:bCs/>
          <w:sz w:val="25"/>
          <w:szCs w:val="25"/>
        </w:rPr>
        <w:t>ENIED</w:t>
      </w:r>
      <w:r w:rsidR="00B7565F">
        <w:rPr>
          <w:rFonts w:ascii="Times New Roman" w:hAnsi="Times New Roman" w:cs="Times New Roman"/>
          <w:sz w:val="25"/>
          <w:szCs w:val="25"/>
        </w:rPr>
        <w:t xml:space="preserve">. </w:t>
      </w:r>
    </w:p>
    <w:p w:rsidR="00B7565F" w:rsidRDefault="00B7565F" w:rsidP="00B7565F">
      <w:pPr>
        <w:pStyle w:val="ListParagraph"/>
        <w:spacing w:before="30"/>
        <w:rPr>
          <w:rFonts w:ascii="Times New Roman" w:hAnsi="Times New Roman" w:cs="Times New Roman"/>
          <w:sz w:val="25"/>
          <w:szCs w:val="25"/>
        </w:rPr>
      </w:pPr>
    </w:p>
    <w:p w:rsidR="00637A46" w:rsidRPr="00B7565F" w:rsidRDefault="00637A46" w:rsidP="00B7565F">
      <w:pPr>
        <w:spacing w:before="30"/>
        <w:rPr>
          <w:rFonts w:ascii="Times New Roman" w:hAnsi="Times New Roman" w:cs="Times New Roman"/>
          <w:sz w:val="25"/>
          <w:szCs w:val="25"/>
        </w:rPr>
      </w:pPr>
      <w:r w:rsidRPr="00B7565F">
        <w:rPr>
          <w:rFonts w:ascii="Times New Roman" w:hAnsi="Times New Roman" w:cs="Times New Roman"/>
          <w:sz w:val="25"/>
          <w:szCs w:val="25"/>
        </w:rPr>
        <w:t>So Ordered by the Hearing Officer,</w:t>
      </w:r>
    </w:p>
    <w:p w:rsidR="00637A46" w:rsidRPr="00E157F9" w:rsidRDefault="00637A46" w:rsidP="00637A46">
      <w:pPr>
        <w:spacing w:after="0"/>
        <w:rPr>
          <w:rFonts w:ascii="Times New Roman" w:hAnsi="Times New Roman" w:cs="Times New Roman"/>
          <w:sz w:val="25"/>
          <w:szCs w:val="25"/>
        </w:rPr>
      </w:pPr>
    </w:p>
    <w:p w:rsidR="00637A46" w:rsidRPr="00E157F9" w:rsidRDefault="00637A46" w:rsidP="00637A46">
      <w:pPr>
        <w:spacing w:after="0"/>
        <w:rPr>
          <w:rFonts w:ascii="Times New Roman" w:hAnsi="Times New Roman" w:cs="Times New Roman"/>
          <w:sz w:val="25"/>
          <w:szCs w:val="25"/>
        </w:rPr>
      </w:pPr>
      <w:r w:rsidRPr="00E157F9">
        <w:rPr>
          <w:rFonts w:ascii="Times New Roman" w:hAnsi="Times New Roman" w:cs="Times New Roman"/>
          <w:sz w:val="25"/>
          <w:szCs w:val="25"/>
        </w:rPr>
        <w:t xml:space="preserve">____________________________________________________ </w:t>
      </w:r>
    </w:p>
    <w:p w:rsidR="00637A46" w:rsidRPr="00E157F9" w:rsidRDefault="00637A46" w:rsidP="00637A46">
      <w:pPr>
        <w:spacing w:after="0"/>
        <w:rPr>
          <w:rFonts w:ascii="Times New Roman" w:hAnsi="Times New Roman" w:cs="Times New Roman"/>
          <w:sz w:val="25"/>
          <w:szCs w:val="25"/>
        </w:rPr>
      </w:pPr>
      <w:r w:rsidRPr="00E157F9">
        <w:rPr>
          <w:rFonts w:ascii="Times New Roman" w:hAnsi="Times New Roman" w:cs="Times New Roman"/>
          <w:sz w:val="25"/>
          <w:szCs w:val="25"/>
        </w:rPr>
        <w:t>Rosa I. Figueroa</w:t>
      </w:r>
    </w:p>
    <w:p w:rsidR="00637A46" w:rsidRPr="00E157F9" w:rsidRDefault="00637A46" w:rsidP="00637A46">
      <w:pPr>
        <w:spacing w:after="0"/>
        <w:rPr>
          <w:rFonts w:ascii="Times New Roman" w:hAnsi="Times New Roman" w:cs="Times New Roman"/>
          <w:sz w:val="40"/>
          <w:szCs w:val="40"/>
          <w:u w:val="single"/>
        </w:rPr>
      </w:pPr>
      <w:r w:rsidRPr="00E157F9">
        <w:rPr>
          <w:rFonts w:ascii="Times New Roman" w:hAnsi="Times New Roman" w:cs="Times New Roman"/>
          <w:sz w:val="25"/>
          <w:szCs w:val="25"/>
        </w:rPr>
        <w:t xml:space="preserve">Dated: </w:t>
      </w:r>
      <w:r w:rsidR="00B7565F">
        <w:rPr>
          <w:rFonts w:ascii="Times New Roman" w:hAnsi="Times New Roman" w:cs="Times New Roman"/>
          <w:sz w:val="25"/>
          <w:szCs w:val="25"/>
        </w:rPr>
        <w:t>August 1</w:t>
      </w:r>
      <w:r w:rsidR="006767D1">
        <w:rPr>
          <w:rFonts w:ascii="Times New Roman" w:hAnsi="Times New Roman" w:cs="Times New Roman"/>
          <w:sz w:val="25"/>
          <w:szCs w:val="25"/>
        </w:rPr>
        <w:t>5</w:t>
      </w:r>
      <w:r w:rsidR="00B7565F">
        <w:rPr>
          <w:rFonts w:ascii="Times New Roman" w:hAnsi="Times New Roman" w:cs="Times New Roman"/>
          <w:sz w:val="25"/>
          <w:szCs w:val="25"/>
        </w:rPr>
        <w:t>, 2016</w:t>
      </w:r>
    </w:p>
    <w:p w:rsidR="00CC3C95" w:rsidRDefault="00CC3C95"/>
    <w:p w:rsidR="00C3050D" w:rsidRDefault="00C3050D"/>
    <w:p w:rsidR="00BA6448" w:rsidRDefault="00BA6448" w:rsidP="00BA6448"/>
    <w:p w:rsidR="00C3050D" w:rsidRDefault="00C3050D"/>
    <w:sectPr w:rsidR="00C305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3B" w:rsidRDefault="00D71E3B" w:rsidP="00637A46">
      <w:pPr>
        <w:spacing w:after="0" w:line="240" w:lineRule="auto"/>
      </w:pPr>
      <w:r>
        <w:separator/>
      </w:r>
    </w:p>
  </w:endnote>
  <w:endnote w:type="continuationSeparator" w:id="0">
    <w:p w:rsidR="00D71E3B" w:rsidRDefault="00D71E3B" w:rsidP="0063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28049"/>
      <w:docPartObj>
        <w:docPartGallery w:val="Page Numbers (Bottom of Page)"/>
        <w:docPartUnique/>
      </w:docPartObj>
    </w:sdtPr>
    <w:sdtEndPr>
      <w:rPr>
        <w:noProof/>
      </w:rPr>
    </w:sdtEndPr>
    <w:sdtContent>
      <w:p w:rsidR="00F547F1" w:rsidRDefault="00F547F1">
        <w:pPr>
          <w:pStyle w:val="Footer"/>
          <w:jc w:val="center"/>
        </w:pPr>
        <w:r>
          <w:fldChar w:fldCharType="begin"/>
        </w:r>
        <w:r>
          <w:instrText xml:space="preserve"> PAGE   \* MERGEFORMAT </w:instrText>
        </w:r>
        <w:r>
          <w:fldChar w:fldCharType="separate"/>
        </w:r>
        <w:r w:rsidR="000A4286">
          <w:rPr>
            <w:noProof/>
          </w:rPr>
          <w:t>1</w:t>
        </w:r>
        <w:r>
          <w:rPr>
            <w:noProof/>
          </w:rPr>
          <w:fldChar w:fldCharType="end"/>
        </w:r>
      </w:p>
    </w:sdtContent>
  </w:sdt>
  <w:p w:rsidR="00F547F1" w:rsidRDefault="00F5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3B" w:rsidRDefault="00D71E3B" w:rsidP="00637A46">
      <w:pPr>
        <w:spacing w:after="0" w:line="240" w:lineRule="auto"/>
      </w:pPr>
      <w:r>
        <w:separator/>
      </w:r>
    </w:p>
  </w:footnote>
  <w:footnote w:type="continuationSeparator" w:id="0">
    <w:p w:rsidR="00D71E3B" w:rsidRDefault="00D71E3B" w:rsidP="00637A46">
      <w:pPr>
        <w:spacing w:after="0" w:line="240" w:lineRule="auto"/>
      </w:pPr>
      <w:r>
        <w:continuationSeparator/>
      </w:r>
    </w:p>
  </w:footnote>
  <w:footnote w:id="1">
    <w:p w:rsidR="00F547F1" w:rsidRDefault="00F547F1">
      <w:pPr>
        <w:pStyle w:val="FootnoteText"/>
      </w:pPr>
      <w:r>
        <w:rPr>
          <w:rStyle w:val="FootnoteReference"/>
        </w:rPr>
        <w:footnoteRef/>
      </w:r>
      <w:r>
        <w:t xml:space="preserve">  I note that all of the facts delineated in this Ruling are considered to be true solely for the purpose of this Ruling.</w:t>
      </w:r>
    </w:p>
  </w:footnote>
  <w:footnote w:id="2">
    <w:p w:rsidR="00F547F1" w:rsidRPr="00695BE5" w:rsidRDefault="00F547F1" w:rsidP="00695BE5">
      <w:pPr>
        <w:pStyle w:val="NoSpacing"/>
        <w:rPr>
          <w:rFonts w:ascii="Times New Roman" w:hAnsi="Times New Roman" w:cs="Times New Roman"/>
        </w:rPr>
      </w:pPr>
      <w:r>
        <w:rPr>
          <w:rStyle w:val="FootnoteReference"/>
        </w:rPr>
        <w:footnoteRef/>
      </w:r>
      <w:r>
        <w:t xml:space="preserve">   </w:t>
      </w:r>
      <w:r w:rsidRPr="00695BE5">
        <w:rPr>
          <w:rFonts w:ascii="Times New Roman" w:hAnsi="Times New Roman" w:cs="Times New Roman"/>
        </w:rPr>
        <w:t xml:space="preserve">Chapter 159, section 162 of the Acts of 2000, amending M.G.L. c 71 B §3, grants the BSEA authority to order a state agency to provide services “in addition to the program and related services to be provided by the school committee.”  See </w:t>
      </w:r>
      <w:r w:rsidRPr="00695BE5">
        <w:rPr>
          <w:rFonts w:ascii="Times New Roman" w:hAnsi="Times New Roman" w:cs="Times New Roman"/>
          <w:i/>
          <w:iCs/>
        </w:rPr>
        <w:t>In Re: Lunenburg Public Schools and Department of Mental Health (ruling on Motion to Dismiss)</w:t>
      </w:r>
      <w:r w:rsidRPr="00695BE5">
        <w:rPr>
          <w:rFonts w:ascii="Times New Roman" w:hAnsi="Times New Roman" w:cs="Times New Roman"/>
        </w:rPr>
        <w:t xml:space="preserve">, 10 MSER 478 (2004); see also, ruling on motion to join DMH and DMR in </w:t>
      </w:r>
      <w:r w:rsidRPr="00695BE5">
        <w:rPr>
          <w:rFonts w:ascii="Times New Roman" w:hAnsi="Times New Roman" w:cs="Times New Roman"/>
          <w:i/>
          <w:iCs/>
        </w:rPr>
        <w:t>In Re: Medford Public Schools</w:t>
      </w:r>
      <w:r w:rsidRPr="00695BE5">
        <w:rPr>
          <w:rFonts w:ascii="Times New Roman" w:hAnsi="Times New Roman" w:cs="Times New Roman"/>
        </w:rPr>
        <w:t>, BSEA # 01-3941 (2002).</w:t>
      </w:r>
    </w:p>
  </w:footnote>
  <w:footnote w:id="3">
    <w:p w:rsidR="00F547F1" w:rsidRPr="00695BE5" w:rsidRDefault="00F547F1" w:rsidP="00695BE5">
      <w:pPr>
        <w:pStyle w:val="NoSpacing"/>
        <w:rPr>
          <w:rFonts w:ascii="Times New Roman" w:hAnsi="Times New Roman" w:cs="Times New Roman"/>
        </w:rPr>
      </w:pPr>
      <w:r w:rsidRPr="00695BE5">
        <w:rPr>
          <w:rStyle w:val="FootnoteReference"/>
          <w:rFonts w:ascii="Times New Roman" w:hAnsi="Times New Roman" w:cs="Times New Roman"/>
          <w:sz w:val="20"/>
          <w:szCs w:val="20"/>
        </w:rPr>
        <w:footnoteRef/>
      </w:r>
      <w:r w:rsidRPr="00695BE5">
        <w:rPr>
          <w:rFonts w:ascii="Times New Roman" w:hAnsi="Times New Roman" w:cs="Times New Roman"/>
        </w:rPr>
        <w:t xml:space="preserve">   See </w:t>
      </w:r>
      <w:r w:rsidRPr="00695BE5">
        <w:rPr>
          <w:rFonts w:ascii="Times New Roman" w:hAnsi="Times New Roman" w:cs="Times New Roman"/>
          <w:i/>
        </w:rPr>
        <w:t>In re: Tantasqua Regional School District</w:t>
      </w:r>
      <w:r w:rsidRPr="00695BE5">
        <w:rPr>
          <w:rFonts w:ascii="Times New Roman" w:hAnsi="Times New Roman" w:cs="Times New Roman"/>
        </w:rPr>
        <w:t>, BSEA #1403256 (12/11/13).</w:t>
      </w:r>
    </w:p>
  </w:footnote>
  <w:footnote w:id="4">
    <w:p w:rsidR="00F547F1" w:rsidRDefault="00F547F1" w:rsidP="00637A46">
      <w:pPr>
        <w:pStyle w:val="FootnoteText"/>
      </w:pPr>
      <w:r>
        <w:rPr>
          <w:rStyle w:val="FootnoteReference"/>
        </w:rPr>
        <w:footnoteRef/>
      </w:r>
      <w:r>
        <w:t xml:space="preserve">   See </w:t>
      </w:r>
      <w:r>
        <w:rPr>
          <w:i/>
          <w:iCs/>
        </w:rPr>
        <w:t>In Re: Westford Public Schools</w:t>
      </w:r>
      <w:r>
        <w:t xml:space="preserve">, BSEA #05-0621, 10 MSER 541, 551 (2004, Beron.)  </w:t>
      </w:r>
    </w:p>
  </w:footnote>
  <w:footnote w:id="5">
    <w:p w:rsidR="00F547F1" w:rsidRPr="006E68EC" w:rsidRDefault="00F547F1">
      <w:pPr>
        <w:pStyle w:val="FootnoteText"/>
      </w:pPr>
      <w:r>
        <w:rPr>
          <w:rStyle w:val="FootnoteReference"/>
        </w:rPr>
        <w:footnoteRef/>
      </w:r>
      <w:r>
        <w:t xml:space="preserve">  DCF notes that </w:t>
      </w:r>
      <w:r w:rsidRPr="006E68EC">
        <w:rPr>
          <w:i/>
        </w:rPr>
        <w:t>Abrahmson v. Hershman</w:t>
      </w:r>
      <w:r w:rsidRPr="006E68EC">
        <w:t>, 701 F.2d 223, 228 (1983)</w:t>
      </w:r>
      <w:r>
        <w:t xml:space="preserve"> “recogniz[es the] responsibility of school districts to provide residential education where necessary for educational benefit”. </w:t>
      </w:r>
    </w:p>
  </w:footnote>
  <w:footnote w:id="6">
    <w:p w:rsidR="000E24C0" w:rsidRDefault="000E24C0">
      <w:pPr>
        <w:pStyle w:val="FootnoteText"/>
      </w:pPr>
      <w:r>
        <w:rPr>
          <w:rStyle w:val="FootnoteReference"/>
        </w:rPr>
        <w:footnoteRef/>
      </w:r>
      <w:r>
        <w:t xml:space="preserve">  In Massachusetts DCF was formerly known as the Department of Social Services.</w:t>
      </w:r>
    </w:p>
  </w:footnote>
  <w:footnote w:id="7">
    <w:p w:rsidR="006767D1" w:rsidRDefault="00F547F1">
      <w:pPr>
        <w:pStyle w:val="FootnoteText"/>
      </w:pPr>
      <w:r>
        <w:rPr>
          <w:rStyle w:val="FootnoteReference"/>
        </w:rPr>
        <w:footnoteRef/>
      </w:r>
      <w:r>
        <w:t xml:space="preserve">  According to DCF, </w:t>
      </w:r>
    </w:p>
    <w:p w:rsidR="00F547F1" w:rsidRDefault="006767D1" w:rsidP="006767D1">
      <w:pPr>
        <w:pStyle w:val="FootnoteText"/>
        <w:ind w:left="1440"/>
      </w:pPr>
      <w:r>
        <w:t>“T</w:t>
      </w:r>
      <w:r w:rsidR="00F547F1">
        <w:t>here is no indication that the paren</w:t>
      </w:r>
      <w:r>
        <w:t>ts have sought to voluntarily pl</w:t>
      </w:r>
      <w:r w:rsidR="00F547F1">
        <w:t>ace the student in DCF’s care.  Even if there</w:t>
      </w:r>
      <w:r>
        <w:t xml:space="preserve"> were</w:t>
      </w:r>
      <w:r w:rsidR="00F547F1">
        <w:t>, any such placement must be voluntary on the part of DCF as well as the parents.  To the extent that it is review</w:t>
      </w:r>
      <w:r>
        <w:t>able</w:t>
      </w:r>
      <w:r w:rsidR="00F547F1">
        <w:t xml:space="preserve">, DCF’s decision to deny a voluntary placement may be reviewable through the department’s fair hearing process and then the Superior Court, but not the BSEA.  110 CMR 10.06, </w:t>
      </w:r>
      <w:r w:rsidR="00F547F1" w:rsidRPr="006D438C">
        <w:rPr>
          <w:i/>
        </w:rPr>
        <w:t>et seq</w:t>
      </w:r>
      <w:r w:rsidR="00F547F1">
        <w:t xml:space="preserve">.; G.L. c. 30A §14; See also </w:t>
      </w:r>
      <w:r w:rsidR="00F547F1" w:rsidRPr="00E107A8">
        <w:rPr>
          <w:i/>
        </w:rPr>
        <w:t>In Re: Ware Public Schools</w:t>
      </w:r>
      <w:r w:rsidR="00F547F1">
        <w:t>, BSEA #05-4126, 11 MSER 140, 141 (2005) (the hearing officer should not now be ‘inserted’ into internal agency determinations of ‘client eligibility for management determination absent extraordinary circumstances).  Moreover, DCF ‘will not enter into voluntary placement agreements with the child’s parent(s) solely for the purpose of sharing the costs of any residential school placement with an LEA.’ 110 CMR 7.402(2)”.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ABC"/>
    <w:multiLevelType w:val="hybridMultilevel"/>
    <w:tmpl w:val="E2E29900"/>
    <w:lvl w:ilvl="0" w:tplc="8F8C93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00447E"/>
    <w:multiLevelType w:val="hybridMultilevel"/>
    <w:tmpl w:val="BD5AD62A"/>
    <w:lvl w:ilvl="0" w:tplc="E1065EB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FEC09B5"/>
    <w:multiLevelType w:val="hybridMultilevel"/>
    <w:tmpl w:val="6A1C388A"/>
    <w:lvl w:ilvl="0" w:tplc="3E70B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E11E7"/>
    <w:multiLevelType w:val="hybridMultilevel"/>
    <w:tmpl w:val="A7A4BB44"/>
    <w:lvl w:ilvl="0" w:tplc="EE943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23C1D"/>
    <w:multiLevelType w:val="hybridMultilevel"/>
    <w:tmpl w:val="ABE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46"/>
    <w:rsid w:val="00077052"/>
    <w:rsid w:val="000A4286"/>
    <w:rsid w:val="000C4348"/>
    <w:rsid w:val="000D0046"/>
    <w:rsid w:val="000E24C0"/>
    <w:rsid w:val="001008CA"/>
    <w:rsid w:val="001B7B26"/>
    <w:rsid w:val="001C4EA4"/>
    <w:rsid w:val="00207C9D"/>
    <w:rsid w:val="002D0F94"/>
    <w:rsid w:val="002D1538"/>
    <w:rsid w:val="002D7894"/>
    <w:rsid w:val="00316B27"/>
    <w:rsid w:val="003514F6"/>
    <w:rsid w:val="0035636D"/>
    <w:rsid w:val="003C2F8F"/>
    <w:rsid w:val="003E7ABB"/>
    <w:rsid w:val="00411B2B"/>
    <w:rsid w:val="00465840"/>
    <w:rsid w:val="00474312"/>
    <w:rsid w:val="0048681B"/>
    <w:rsid w:val="00490B45"/>
    <w:rsid w:val="0049353A"/>
    <w:rsid w:val="004D71B9"/>
    <w:rsid w:val="004F708B"/>
    <w:rsid w:val="00506A98"/>
    <w:rsid w:val="00514C15"/>
    <w:rsid w:val="00521284"/>
    <w:rsid w:val="005213BF"/>
    <w:rsid w:val="005367E3"/>
    <w:rsid w:val="00537447"/>
    <w:rsid w:val="00633949"/>
    <w:rsid w:val="00637A46"/>
    <w:rsid w:val="00640370"/>
    <w:rsid w:val="006767D1"/>
    <w:rsid w:val="00695BE5"/>
    <w:rsid w:val="006D438C"/>
    <w:rsid w:val="006E68EC"/>
    <w:rsid w:val="00723E63"/>
    <w:rsid w:val="007325D7"/>
    <w:rsid w:val="00752589"/>
    <w:rsid w:val="00766276"/>
    <w:rsid w:val="0077500A"/>
    <w:rsid w:val="007828EC"/>
    <w:rsid w:val="00790260"/>
    <w:rsid w:val="007F4CA3"/>
    <w:rsid w:val="00851E3C"/>
    <w:rsid w:val="00863445"/>
    <w:rsid w:val="00863B60"/>
    <w:rsid w:val="008759C3"/>
    <w:rsid w:val="008A56DE"/>
    <w:rsid w:val="008B2DA3"/>
    <w:rsid w:val="008B351E"/>
    <w:rsid w:val="008D57BE"/>
    <w:rsid w:val="008E23D4"/>
    <w:rsid w:val="00975C61"/>
    <w:rsid w:val="00A41A91"/>
    <w:rsid w:val="00A91D53"/>
    <w:rsid w:val="00AA1F24"/>
    <w:rsid w:val="00AC55C5"/>
    <w:rsid w:val="00B13B28"/>
    <w:rsid w:val="00B7565F"/>
    <w:rsid w:val="00B854C1"/>
    <w:rsid w:val="00BA6448"/>
    <w:rsid w:val="00C3050D"/>
    <w:rsid w:val="00C4027C"/>
    <w:rsid w:val="00C8159C"/>
    <w:rsid w:val="00CC3C95"/>
    <w:rsid w:val="00D12792"/>
    <w:rsid w:val="00D44CC4"/>
    <w:rsid w:val="00D71E3B"/>
    <w:rsid w:val="00D87660"/>
    <w:rsid w:val="00E107A8"/>
    <w:rsid w:val="00E54857"/>
    <w:rsid w:val="00E913AA"/>
    <w:rsid w:val="00E94685"/>
    <w:rsid w:val="00EA20B8"/>
    <w:rsid w:val="00F536AF"/>
    <w:rsid w:val="00F5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37A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7A46"/>
    <w:rPr>
      <w:rFonts w:ascii="Times New Roman" w:eastAsia="Times New Roman" w:hAnsi="Times New Roman" w:cs="Times New Roman"/>
      <w:sz w:val="20"/>
      <w:szCs w:val="20"/>
    </w:rPr>
  </w:style>
  <w:style w:type="character" w:styleId="FootnoteReference">
    <w:name w:val="footnote reference"/>
    <w:basedOn w:val="DefaultParagraphFont"/>
    <w:semiHidden/>
    <w:rsid w:val="00637A46"/>
    <w:rPr>
      <w:vertAlign w:val="superscript"/>
    </w:rPr>
  </w:style>
  <w:style w:type="paragraph" w:styleId="Title">
    <w:name w:val="Title"/>
    <w:basedOn w:val="Normal"/>
    <w:link w:val="TitleChar"/>
    <w:qFormat/>
    <w:rsid w:val="00637A4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37A46"/>
    <w:rPr>
      <w:rFonts w:ascii="Times New Roman" w:eastAsia="Times New Roman" w:hAnsi="Times New Roman" w:cs="Times New Roman"/>
      <w:sz w:val="24"/>
      <w:szCs w:val="20"/>
    </w:rPr>
  </w:style>
  <w:style w:type="paragraph" w:styleId="BodyText">
    <w:name w:val="Body Text"/>
    <w:basedOn w:val="Normal"/>
    <w:link w:val="BodyTextChar"/>
    <w:semiHidden/>
    <w:rsid w:val="00637A46"/>
    <w:pPr>
      <w:spacing w:after="0" w:line="240" w:lineRule="auto"/>
    </w:pPr>
    <w:rPr>
      <w:rFonts w:ascii="Times New Roman" w:eastAsia="Times New Roman" w:hAnsi="Times New Roman" w:cs="Times New Roman"/>
      <w:b/>
      <w:sz w:val="25"/>
      <w:szCs w:val="20"/>
    </w:rPr>
  </w:style>
  <w:style w:type="character" w:customStyle="1" w:styleId="BodyTextChar">
    <w:name w:val="Body Text Char"/>
    <w:basedOn w:val="DefaultParagraphFont"/>
    <w:link w:val="BodyText"/>
    <w:semiHidden/>
    <w:rsid w:val="00637A46"/>
    <w:rPr>
      <w:rFonts w:ascii="Times New Roman" w:eastAsia="Times New Roman" w:hAnsi="Times New Roman" w:cs="Times New Roman"/>
      <w:b/>
      <w:sz w:val="25"/>
      <w:szCs w:val="20"/>
    </w:rPr>
  </w:style>
  <w:style w:type="paragraph" w:styleId="ListParagraph">
    <w:name w:val="List Paragraph"/>
    <w:basedOn w:val="Normal"/>
    <w:uiPriority w:val="34"/>
    <w:qFormat/>
    <w:rsid w:val="00637A46"/>
    <w:pPr>
      <w:ind w:left="720"/>
      <w:contextualSpacing/>
    </w:pPr>
  </w:style>
  <w:style w:type="paragraph" w:styleId="Header">
    <w:name w:val="header"/>
    <w:basedOn w:val="Normal"/>
    <w:link w:val="HeaderChar"/>
    <w:uiPriority w:val="99"/>
    <w:unhideWhenUsed/>
    <w:rsid w:val="000C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48"/>
  </w:style>
  <w:style w:type="paragraph" w:styleId="Footer">
    <w:name w:val="footer"/>
    <w:basedOn w:val="Normal"/>
    <w:link w:val="FooterChar"/>
    <w:uiPriority w:val="99"/>
    <w:unhideWhenUsed/>
    <w:rsid w:val="000C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48"/>
  </w:style>
  <w:style w:type="paragraph" w:styleId="BalloonText">
    <w:name w:val="Balloon Text"/>
    <w:basedOn w:val="Normal"/>
    <w:link w:val="BalloonTextChar"/>
    <w:uiPriority w:val="99"/>
    <w:semiHidden/>
    <w:unhideWhenUsed/>
    <w:rsid w:val="000C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48"/>
    <w:rPr>
      <w:rFonts w:ascii="Tahoma" w:hAnsi="Tahoma" w:cs="Tahoma"/>
      <w:sz w:val="16"/>
      <w:szCs w:val="16"/>
    </w:rPr>
  </w:style>
  <w:style w:type="paragraph" w:styleId="NoSpacing">
    <w:name w:val="No Spacing"/>
    <w:uiPriority w:val="1"/>
    <w:qFormat/>
    <w:rsid w:val="00695B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37A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7A46"/>
    <w:rPr>
      <w:rFonts w:ascii="Times New Roman" w:eastAsia="Times New Roman" w:hAnsi="Times New Roman" w:cs="Times New Roman"/>
      <w:sz w:val="20"/>
      <w:szCs w:val="20"/>
    </w:rPr>
  </w:style>
  <w:style w:type="character" w:styleId="FootnoteReference">
    <w:name w:val="footnote reference"/>
    <w:basedOn w:val="DefaultParagraphFont"/>
    <w:semiHidden/>
    <w:rsid w:val="00637A46"/>
    <w:rPr>
      <w:vertAlign w:val="superscript"/>
    </w:rPr>
  </w:style>
  <w:style w:type="paragraph" w:styleId="Title">
    <w:name w:val="Title"/>
    <w:basedOn w:val="Normal"/>
    <w:link w:val="TitleChar"/>
    <w:qFormat/>
    <w:rsid w:val="00637A4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37A46"/>
    <w:rPr>
      <w:rFonts w:ascii="Times New Roman" w:eastAsia="Times New Roman" w:hAnsi="Times New Roman" w:cs="Times New Roman"/>
      <w:sz w:val="24"/>
      <w:szCs w:val="20"/>
    </w:rPr>
  </w:style>
  <w:style w:type="paragraph" w:styleId="BodyText">
    <w:name w:val="Body Text"/>
    <w:basedOn w:val="Normal"/>
    <w:link w:val="BodyTextChar"/>
    <w:semiHidden/>
    <w:rsid w:val="00637A46"/>
    <w:pPr>
      <w:spacing w:after="0" w:line="240" w:lineRule="auto"/>
    </w:pPr>
    <w:rPr>
      <w:rFonts w:ascii="Times New Roman" w:eastAsia="Times New Roman" w:hAnsi="Times New Roman" w:cs="Times New Roman"/>
      <w:b/>
      <w:sz w:val="25"/>
      <w:szCs w:val="20"/>
    </w:rPr>
  </w:style>
  <w:style w:type="character" w:customStyle="1" w:styleId="BodyTextChar">
    <w:name w:val="Body Text Char"/>
    <w:basedOn w:val="DefaultParagraphFont"/>
    <w:link w:val="BodyText"/>
    <w:semiHidden/>
    <w:rsid w:val="00637A46"/>
    <w:rPr>
      <w:rFonts w:ascii="Times New Roman" w:eastAsia="Times New Roman" w:hAnsi="Times New Roman" w:cs="Times New Roman"/>
      <w:b/>
      <w:sz w:val="25"/>
      <w:szCs w:val="20"/>
    </w:rPr>
  </w:style>
  <w:style w:type="paragraph" w:styleId="ListParagraph">
    <w:name w:val="List Paragraph"/>
    <w:basedOn w:val="Normal"/>
    <w:uiPriority w:val="34"/>
    <w:qFormat/>
    <w:rsid w:val="00637A46"/>
    <w:pPr>
      <w:ind w:left="720"/>
      <w:contextualSpacing/>
    </w:pPr>
  </w:style>
  <w:style w:type="paragraph" w:styleId="Header">
    <w:name w:val="header"/>
    <w:basedOn w:val="Normal"/>
    <w:link w:val="HeaderChar"/>
    <w:uiPriority w:val="99"/>
    <w:unhideWhenUsed/>
    <w:rsid w:val="000C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48"/>
  </w:style>
  <w:style w:type="paragraph" w:styleId="Footer">
    <w:name w:val="footer"/>
    <w:basedOn w:val="Normal"/>
    <w:link w:val="FooterChar"/>
    <w:uiPriority w:val="99"/>
    <w:unhideWhenUsed/>
    <w:rsid w:val="000C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48"/>
  </w:style>
  <w:style w:type="paragraph" w:styleId="BalloonText">
    <w:name w:val="Balloon Text"/>
    <w:basedOn w:val="Normal"/>
    <w:link w:val="BalloonTextChar"/>
    <w:uiPriority w:val="99"/>
    <w:semiHidden/>
    <w:unhideWhenUsed/>
    <w:rsid w:val="000C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48"/>
    <w:rPr>
      <w:rFonts w:ascii="Tahoma" w:hAnsi="Tahoma" w:cs="Tahoma"/>
      <w:sz w:val="16"/>
      <w:szCs w:val="16"/>
    </w:rPr>
  </w:style>
  <w:style w:type="paragraph" w:styleId="NoSpacing">
    <w:name w:val="No Spacing"/>
    <w:uiPriority w:val="1"/>
    <w:qFormat/>
    <w:rsid w:val="00695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2016-08-18T17:59:00Z</dcterms:created>
  <dc:creator>Figueroa, Rosa (ALA)</dc:creator>
  <lastModifiedBy>ANF</lastModifiedBy>
  <lastPrinted>2016-08-15T20:59:00Z</lastPrinted>
  <dcterms:modified xsi:type="dcterms:W3CDTF">2016-08-18T17:59:00Z</dcterms:modified>
  <revision>2</revision>
</coreProperties>
</file>