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E2AA1" w14:textId="77777777" w:rsidR="00EE3D05" w:rsidRPr="00EE3D05" w:rsidRDefault="00EE3D05" w:rsidP="00EE3D05">
      <w:pPr>
        <w:jc w:val="center"/>
        <w:rPr>
          <w:rFonts w:ascii="Times New Roman" w:hAnsi="Times New Roman" w:cs="Times New Roman"/>
          <w:b/>
          <w:sz w:val="24"/>
          <w:szCs w:val="24"/>
        </w:rPr>
      </w:pPr>
      <w:bookmarkStart w:id="0" w:name="_GoBack"/>
      <w:bookmarkEnd w:id="0"/>
      <w:r w:rsidRPr="00EE3D05">
        <w:rPr>
          <w:rFonts w:ascii="Times New Roman" w:hAnsi="Times New Roman" w:cs="Times New Roman"/>
          <w:b/>
          <w:sz w:val="24"/>
          <w:szCs w:val="24"/>
        </w:rPr>
        <w:t>COMMONWEALTH OF MASSACHUSETTS</w:t>
      </w:r>
    </w:p>
    <w:p w14:paraId="158630DE" w14:textId="77777777" w:rsidR="00EE3D05" w:rsidRPr="00EE3D05" w:rsidRDefault="00EE3D05" w:rsidP="00EE3D05">
      <w:pPr>
        <w:jc w:val="center"/>
        <w:rPr>
          <w:rFonts w:ascii="Times New Roman" w:hAnsi="Times New Roman" w:cs="Times New Roman"/>
          <w:b/>
          <w:sz w:val="24"/>
          <w:szCs w:val="24"/>
        </w:rPr>
      </w:pPr>
      <w:r w:rsidRPr="00EE3D05">
        <w:rPr>
          <w:rFonts w:ascii="Times New Roman" w:hAnsi="Times New Roman" w:cs="Times New Roman"/>
          <w:b/>
          <w:sz w:val="24"/>
          <w:szCs w:val="24"/>
        </w:rPr>
        <w:t>BUREAU OF SPECIAL EDUCATION APPEALS</w:t>
      </w:r>
    </w:p>
    <w:p w14:paraId="580D67F9" w14:textId="77777777" w:rsidR="00EE3D05" w:rsidRPr="00EE3D05" w:rsidRDefault="00EE3D05" w:rsidP="00EE3D05">
      <w:pPr>
        <w:jc w:val="center"/>
        <w:rPr>
          <w:rFonts w:ascii="Times New Roman" w:hAnsi="Times New Roman" w:cs="Times New Roman"/>
          <w:b/>
          <w:sz w:val="24"/>
          <w:szCs w:val="24"/>
        </w:rPr>
      </w:pPr>
    </w:p>
    <w:p w14:paraId="155AA58F" w14:textId="3F9730B9" w:rsidR="00EE3D05" w:rsidRPr="00EE3D05" w:rsidRDefault="00EE3D05" w:rsidP="00EE3D05">
      <w:pPr>
        <w:rPr>
          <w:rFonts w:ascii="Times New Roman" w:hAnsi="Times New Roman" w:cs="Times New Roman"/>
          <w:b/>
          <w:sz w:val="24"/>
          <w:szCs w:val="24"/>
        </w:rPr>
      </w:pPr>
      <w:r w:rsidRPr="00EE3D05">
        <w:rPr>
          <w:rFonts w:ascii="Times New Roman" w:hAnsi="Times New Roman" w:cs="Times New Roman"/>
          <w:b/>
          <w:sz w:val="24"/>
          <w:szCs w:val="24"/>
        </w:rPr>
        <w:t>Student</w:t>
      </w:r>
      <w:r w:rsidR="00D30AF8">
        <w:rPr>
          <w:rFonts w:ascii="Times New Roman" w:hAnsi="Times New Roman" w:cs="Times New Roman"/>
          <w:b/>
          <w:sz w:val="24"/>
          <w:szCs w:val="24"/>
        </w:rPr>
        <w:t xml:space="preserve"> v. Hampden-Wilbraham R.S.D.</w:t>
      </w:r>
      <w:r w:rsidR="00D30AF8">
        <w:rPr>
          <w:rFonts w:ascii="Times New Roman" w:hAnsi="Times New Roman" w:cs="Times New Roman"/>
          <w:b/>
          <w:sz w:val="24"/>
          <w:szCs w:val="24"/>
        </w:rPr>
        <w:tab/>
      </w:r>
      <w:r w:rsidR="00D30AF8">
        <w:rPr>
          <w:rFonts w:ascii="Times New Roman" w:hAnsi="Times New Roman" w:cs="Times New Roman"/>
          <w:b/>
          <w:sz w:val="24"/>
          <w:szCs w:val="24"/>
        </w:rPr>
        <w:tab/>
      </w:r>
      <w:r w:rsidRPr="00EE3D05">
        <w:rPr>
          <w:rFonts w:ascii="Times New Roman" w:hAnsi="Times New Roman" w:cs="Times New Roman"/>
          <w:b/>
          <w:sz w:val="24"/>
          <w:szCs w:val="24"/>
        </w:rPr>
        <w:tab/>
      </w:r>
      <w:r>
        <w:rPr>
          <w:rFonts w:ascii="Times New Roman" w:hAnsi="Times New Roman" w:cs="Times New Roman"/>
          <w:b/>
          <w:sz w:val="24"/>
          <w:szCs w:val="24"/>
        </w:rPr>
        <w:tab/>
      </w:r>
      <w:r w:rsidR="00D30AF8">
        <w:rPr>
          <w:rFonts w:ascii="Times New Roman" w:hAnsi="Times New Roman" w:cs="Times New Roman"/>
          <w:b/>
          <w:sz w:val="24"/>
          <w:szCs w:val="24"/>
        </w:rPr>
        <w:t>BSEA # 1710699</w:t>
      </w:r>
    </w:p>
    <w:p w14:paraId="5F8BA1C7" w14:textId="77777777" w:rsidR="00FB6B97" w:rsidRPr="005706F8" w:rsidRDefault="00FB6B97" w:rsidP="00B135D5">
      <w:pPr>
        <w:spacing w:after="0" w:line="240" w:lineRule="auto"/>
        <w:rPr>
          <w:rFonts w:ascii="Times New Roman" w:hAnsi="Times New Roman" w:cs="Times New Roman"/>
          <w:sz w:val="24"/>
          <w:szCs w:val="24"/>
        </w:rPr>
      </w:pPr>
    </w:p>
    <w:p w14:paraId="1C4E95E8" w14:textId="77777777" w:rsidR="002170AE" w:rsidRDefault="0030549C" w:rsidP="002170AE">
      <w:pPr>
        <w:spacing w:after="0" w:line="240" w:lineRule="auto"/>
        <w:jc w:val="center"/>
        <w:rPr>
          <w:rFonts w:ascii="Times New Roman" w:hAnsi="Times New Roman" w:cs="Times New Roman"/>
          <w:b/>
          <w:sz w:val="24"/>
          <w:szCs w:val="24"/>
        </w:rPr>
      </w:pPr>
      <w:r w:rsidRPr="005706F8">
        <w:rPr>
          <w:rFonts w:ascii="Times New Roman" w:hAnsi="Times New Roman" w:cs="Times New Roman"/>
          <w:b/>
          <w:sz w:val="24"/>
          <w:szCs w:val="24"/>
        </w:rPr>
        <w:t>RULING ON</w:t>
      </w:r>
      <w:r w:rsidR="00D30AF8">
        <w:rPr>
          <w:rFonts w:ascii="Times New Roman" w:hAnsi="Times New Roman" w:cs="Times New Roman"/>
          <w:b/>
          <w:sz w:val="24"/>
          <w:szCs w:val="24"/>
        </w:rPr>
        <w:t xml:space="preserve"> HAMPDEN WILBRAHAM R</w:t>
      </w:r>
      <w:r w:rsidR="002170AE">
        <w:rPr>
          <w:rFonts w:ascii="Times New Roman" w:hAnsi="Times New Roman" w:cs="Times New Roman"/>
          <w:b/>
          <w:sz w:val="24"/>
          <w:szCs w:val="24"/>
        </w:rPr>
        <w:t xml:space="preserve">EGIONAL </w:t>
      </w:r>
      <w:r w:rsidR="00D30AF8">
        <w:rPr>
          <w:rFonts w:ascii="Times New Roman" w:hAnsi="Times New Roman" w:cs="Times New Roman"/>
          <w:b/>
          <w:sz w:val="24"/>
          <w:szCs w:val="24"/>
        </w:rPr>
        <w:t>S</w:t>
      </w:r>
      <w:r w:rsidR="002170AE">
        <w:rPr>
          <w:rFonts w:ascii="Times New Roman" w:hAnsi="Times New Roman" w:cs="Times New Roman"/>
          <w:b/>
          <w:sz w:val="24"/>
          <w:szCs w:val="24"/>
        </w:rPr>
        <w:t xml:space="preserve">CHOOL </w:t>
      </w:r>
    </w:p>
    <w:p w14:paraId="74E6EA52" w14:textId="0DD9A80C" w:rsidR="00B135D5" w:rsidRPr="005706F8" w:rsidRDefault="00D30AF8" w:rsidP="002170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w:t>
      </w:r>
      <w:r w:rsidR="002170AE">
        <w:rPr>
          <w:rFonts w:ascii="Times New Roman" w:hAnsi="Times New Roman" w:cs="Times New Roman"/>
          <w:b/>
          <w:sz w:val="24"/>
          <w:szCs w:val="24"/>
        </w:rPr>
        <w:t>ISTRICT</w:t>
      </w:r>
      <w:r>
        <w:rPr>
          <w:rFonts w:ascii="Times New Roman" w:hAnsi="Times New Roman" w:cs="Times New Roman"/>
          <w:b/>
          <w:sz w:val="24"/>
          <w:szCs w:val="24"/>
        </w:rPr>
        <w:t>’S MO</w:t>
      </w:r>
      <w:r w:rsidR="00447F76" w:rsidRPr="005706F8">
        <w:rPr>
          <w:rFonts w:ascii="Times New Roman" w:hAnsi="Times New Roman" w:cs="Times New Roman"/>
          <w:b/>
          <w:sz w:val="24"/>
          <w:szCs w:val="24"/>
        </w:rPr>
        <w:t>TION</w:t>
      </w:r>
      <w:r w:rsidR="00936990" w:rsidRPr="005706F8">
        <w:rPr>
          <w:rFonts w:ascii="Times New Roman" w:hAnsi="Times New Roman" w:cs="Times New Roman"/>
          <w:b/>
          <w:sz w:val="24"/>
          <w:szCs w:val="24"/>
        </w:rPr>
        <w:t xml:space="preserve"> TO DISMISS </w:t>
      </w:r>
    </w:p>
    <w:p w14:paraId="59B8494B" w14:textId="77777777" w:rsidR="00B135D5" w:rsidRPr="005706F8" w:rsidRDefault="00B135D5" w:rsidP="00D33C5B">
      <w:pPr>
        <w:spacing w:after="0" w:line="240" w:lineRule="auto"/>
        <w:rPr>
          <w:rFonts w:ascii="Times New Roman" w:eastAsia="Times New Roman" w:hAnsi="Times New Roman" w:cs="Times New Roman"/>
          <w:sz w:val="24"/>
          <w:szCs w:val="24"/>
        </w:rPr>
      </w:pPr>
    </w:p>
    <w:p w14:paraId="0DE0A5AE" w14:textId="1B89AFF0" w:rsidR="002E2CB0" w:rsidRDefault="00190629" w:rsidP="005706F8">
      <w:pPr>
        <w:spacing w:after="0" w:line="240" w:lineRule="auto"/>
        <w:rPr>
          <w:rFonts w:ascii="Times New Roman" w:eastAsia="Times New Roman" w:hAnsi="Times New Roman" w:cs="Times New Roman"/>
          <w:sz w:val="24"/>
          <w:szCs w:val="24"/>
        </w:rPr>
      </w:pPr>
      <w:r w:rsidRPr="00881EBF">
        <w:rPr>
          <w:rFonts w:ascii="Times New Roman" w:eastAsia="Times New Roman" w:hAnsi="Times New Roman" w:cs="Times New Roman"/>
          <w:sz w:val="24"/>
          <w:szCs w:val="24"/>
        </w:rPr>
        <w:t xml:space="preserve">This case involves </w:t>
      </w:r>
      <w:r w:rsidR="005A5DC8" w:rsidRPr="00881EBF">
        <w:rPr>
          <w:rFonts w:ascii="Times New Roman" w:eastAsia="Times New Roman" w:hAnsi="Times New Roman" w:cs="Times New Roman"/>
          <w:sz w:val="24"/>
          <w:szCs w:val="24"/>
        </w:rPr>
        <w:t>a</w:t>
      </w:r>
      <w:r w:rsidR="008F4A0F">
        <w:rPr>
          <w:rFonts w:ascii="Times New Roman" w:eastAsia="Times New Roman" w:hAnsi="Times New Roman" w:cs="Times New Roman"/>
          <w:sz w:val="24"/>
          <w:szCs w:val="24"/>
        </w:rPr>
        <w:t>n eighteen</w:t>
      </w:r>
      <w:r w:rsidR="005A5DC8" w:rsidRPr="00881EBF">
        <w:rPr>
          <w:rFonts w:ascii="Times New Roman" w:eastAsia="Times New Roman" w:hAnsi="Times New Roman" w:cs="Times New Roman"/>
          <w:sz w:val="24"/>
          <w:szCs w:val="24"/>
        </w:rPr>
        <w:t>-year old special education student (</w:t>
      </w:r>
      <w:r w:rsidR="00916C44">
        <w:rPr>
          <w:rFonts w:ascii="Times New Roman" w:eastAsia="Times New Roman" w:hAnsi="Times New Roman" w:cs="Times New Roman"/>
          <w:sz w:val="24"/>
          <w:szCs w:val="24"/>
        </w:rPr>
        <w:t xml:space="preserve">hereinafter, </w:t>
      </w:r>
      <w:r w:rsidR="005A5DC8" w:rsidRPr="00881EBF">
        <w:rPr>
          <w:rFonts w:ascii="Times New Roman" w:eastAsia="Times New Roman" w:hAnsi="Times New Roman" w:cs="Times New Roman"/>
          <w:sz w:val="24"/>
          <w:szCs w:val="24"/>
        </w:rPr>
        <w:t>Student) who</w:t>
      </w:r>
      <w:r w:rsidRPr="00881EBF">
        <w:rPr>
          <w:rFonts w:ascii="Times New Roman" w:eastAsia="Times New Roman" w:hAnsi="Times New Roman" w:cs="Times New Roman"/>
          <w:sz w:val="24"/>
          <w:szCs w:val="24"/>
        </w:rPr>
        <w:t xml:space="preserve"> </w:t>
      </w:r>
      <w:r w:rsidR="00806FBE">
        <w:rPr>
          <w:rFonts w:ascii="Times New Roman" w:eastAsia="Times New Roman" w:hAnsi="Times New Roman" w:cs="Times New Roman"/>
          <w:sz w:val="24"/>
          <w:szCs w:val="24"/>
        </w:rPr>
        <w:t xml:space="preserve">is enrolled in the Hampden-Wilbraham </w:t>
      </w:r>
      <w:r w:rsidR="00881EBF" w:rsidRPr="00881EBF">
        <w:rPr>
          <w:rFonts w:ascii="Times New Roman" w:eastAsia="Times New Roman" w:hAnsi="Times New Roman" w:cs="Times New Roman"/>
          <w:sz w:val="24"/>
          <w:szCs w:val="24"/>
        </w:rPr>
        <w:t>Regional School Distr</w:t>
      </w:r>
      <w:r w:rsidR="00806FBE">
        <w:rPr>
          <w:rFonts w:ascii="Times New Roman" w:eastAsia="Times New Roman" w:hAnsi="Times New Roman" w:cs="Times New Roman"/>
          <w:sz w:val="24"/>
          <w:szCs w:val="24"/>
        </w:rPr>
        <w:t>ict (hereinafter, Hampden</w:t>
      </w:r>
      <w:r w:rsidR="00881EBF">
        <w:rPr>
          <w:rFonts w:ascii="Times New Roman" w:eastAsia="Times New Roman" w:hAnsi="Times New Roman" w:cs="Times New Roman"/>
          <w:sz w:val="24"/>
          <w:szCs w:val="24"/>
        </w:rPr>
        <w:t>)</w:t>
      </w:r>
      <w:r w:rsidR="00806FBE">
        <w:rPr>
          <w:rFonts w:ascii="Times New Roman" w:eastAsia="Times New Roman" w:hAnsi="Times New Roman" w:cs="Times New Roman"/>
          <w:sz w:val="24"/>
          <w:szCs w:val="24"/>
        </w:rPr>
        <w:t>.</w:t>
      </w:r>
      <w:r w:rsidR="00881EBF">
        <w:rPr>
          <w:rFonts w:ascii="Times New Roman" w:eastAsia="Times New Roman" w:hAnsi="Times New Roman" w:cs="Times New Roman"/>
          <w:sz w:val="24"/>
          <w:szCs w:val="24"/>
        </w:rPr>
        <w:t xml:space="preserve"> Student currently receives </w:t>
      </w:r>
      <w:r w:rsidR="00806FBE">
        <w:rPr>
          <w:rFonts w:ascii="Times New Roman" w:eastAsia="Times New Roman" w:hAnsi="Times New Roman" w:cs="Times New Roman"/>
          <w:sz w:val="24"/>
          <w:szCs w:val="24"/>
        </w:rPr>
        <w:t xml:space="preserve">special education services pursuant to an IEP which was accepted on October 21, 2016 and partially rejected on May 23, 2017.  </w:t>
      </w:r>
    </w:p>
    <w:p w14:paraId="38765857" w14:textId="77777777" w:rsidR="00916C44" w:rsidRDefault="00916C44" w:rsidP="005706F8">
      <w:pPr>
        <w:spacing w:after="0" w:line="240" w:lineRule="auto"/>
        <w:rPr>
          <w:rFonts w:ascii="Times New Roman" w:eastAsia="Times New Roman" w:hAnsi="Times New Roman" w:cs="Times New Roman"/>
          <w:sz w:val="24"/>
          <w:szCs w:val="24"/>
        </w:rPr>
      </w:pPr>
    </w:p>
    <w:p w14:paraId="2F27D501" w14:textId="36C2C8A5" w:rsidR="00916C44" w:rsidRDefault="002170AE" w:rsidP="00570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June 1, 2017,</w:t>
      </w:r>
      <w:r w:rsidR="00916C44">
        <w:rPr>
          <w:rFonts w:ascii="Times New Roman" w:eastAsia="Times New Roman" w:hAnsi="Times New Roman" w:cs="Times New Roman"/>
          <w:sz w:val="24"/>
          <w:szCs w:val="24"/>
        </w:rPr>
        <w:t xml:space="preserve">Student’s Parents, </w:t>
      </w:r>
      <w:r>
        <w:rPr>
          <w:rFonts w:ascii="Times New Roman" w:eastAsia="Times New Roman" w:hAnsi="Times New Roman" w:cs="Times New Roman"/>
          <w:sz w:val="24"/>
          <w:szCs w:val="24"/>
        </w:rPr>
        <w:t>(hereinafter, Parents) filed a Hearing R</w:t>
      </w:r>
      <w:r w:rsidR="00916C44">
        <w:rPr>
          <w:rFonts w:ascii="Times New Roman" w:eastAsia="Times New Roman" w:hAnsi="Times New Roman" w:cs="Times New Roman"/>
          <w:sz w:val="24"/>
          <w:szCs w:val="24"/>
        </w:rPr>
        <w:t xml:space="preserve">equest </w:t>
      </w:r>
      <w:r w:rsidR="00D51BA7">
        <w:rPr>
          <w:rFonts w:ascii="Times New Roman" w:eastAsia="Times New Roman" w:hAnsi="Times New Roman" w:cs="Times New Roman"/>
          <w:sz w:val="24"/>
          <w:szCs w:val="24"/>
        </w:rPr>
        <w:t>requesting that the BSEA order Hampden to award Student credits for the first term of the 201</w:t>
      </w:r>
      <w:r w:rsidR="001A2423">
        <w:rPr>
          <w:rFonts w:ascii="Times New Roman" w:eastAsia="Times New Roman" w:hAnsi="Times New Roman" w:cs="Times New Roman"/>
          <w:sz w:val="24"/>
          <w:szCs w:val="24"/>
        </w:rPr>
        <w:t>6</w:t>
      </w:r>
      <w:r w:rsidR="00D51BA7">
        <w:rPr>
          <w:rFonts w:ascii="Times New Roman" w:eastAsia="Times New Roman" w:hAnsi="Times New Roman" w:cs="Times New Roman"/>
          <w:sz w:val="24"/>
          <w:szCs w:val="24"/>
        </w:rPr>
        <w:t>-2017 school year.  Additionally, Parents sought an Order prohibiting the principal of Minnechaug Regional High School from attending any meetings pertaining to Student or from having any decision</w:t>
      </w:r>
      <w:r w:rsidR="00507F0F">
        <w:rPr>
          <w:rFonts w:ascii="Times New Roman" w:eastAsia="Times New Roman" w:hAnsi="Times New Roman" w:cs="Times New Roman"/>
          <w:sz w:val="24"/>
          <w:szCs w:val="24"/>
        </w:rPr>
        <w:t>-</w:t>
      </w:r>
      <w:r w:rsidR="00D51BA7">
        <w:rPr>
          <w:rFonts w:ascii="Times New Roman" w:eastAsia="Times New Roman" w:hAnsi="Times New Roman" w:cs="Times New Roman"/>
          <w:sz w:val="24"/>
          <w:szCs w:val="24"/>
        </w:rPr>
        <w:t xml:space="preserve"> making authority relative to Student’s receipt of grades.  Additionally, Parents sought to have Student’s disability designation be changed to primarily emotional with a secondary disability in the area of health.  Finally, they asked that Hampden be responsible for payment for a cognitive behavioral therapist to treat Student at least once per week until he graduates</w:t>
      </w:r>
    </w:p>
    <w:p w14:paraId="0FF6BBE0" w14:textId="77777777" w:rsidR="0023252C" w:rsidRDefault="0023252C" w:rsidP="005706F8">
      <w:pPr>
        <w:spacing w:after="0" w:line="240" w:lineRule="auto"/>
        <w:rPr>
          <w:rFonts w:ascii="Times New Roman" w:eastAsia="Times New Roman" w:hAnsi="Times New Roman" w:cs="Times New Roman"/>
          <w:sz w:val="24"/>
          <w:szCs w:val="24"/>
        </w:rPr>
      </w:pPr>
    </w:p>
    <w:p w14:paraId="0CF079FC" w14:textId="6ABD5ECA" w:rsidR="0023252C" w:rsidRPr="00DD1B9E" w:rsidRDefault="00507F0F" w:rsidP="005706F8">
      <w:pPr>
        <w:spacing w:after="0" w:line="240" w:lineRule="auto"/>
        <w:rPr>
          <w:rFonts w:ascii="Times New Roman" w:eastAsia="Times New Roman" w:hAnsi="Times New Roman" w:cs="Times New Roman"/>
          <w:sz w:val="24"/>
          <w:szCs w:val="24"/>
          <w:highlight w:val="magenta"/>
        </w:rPr>
      </w:pPr>
      <w:r>
        <w:rPr>
          <w:rFonts w:ascii="Times New Roman" w:eastAsia="Times New Roman" w:hAnsi="Times New Roman" w:cs="Times New Roman"/>
          <w:sz w:val="24"/>
          <w:szCs w:val="24"/>
        </w:rPr>
        <w:t xml:space="preserve">On September 12, 2017 </w:t>
      </w:r>
      <w:r w:rsidR="00806FBE">
        <w:rPr>
          <w:rFonts w:ascii="Times New Roman" w:eastAsia="Times New Roman" w:hAnsi="Times New Roman" w:cs="Times New Roman"/>
          <w:sz w:val="24"/>
          <w:szCs w:val="24"/>
        </w:rPr>
        <w:t>Hampden</w:t>
      </w:r>
      <w:r w:rsidR="0023252C">
        <w:rPr>
          <w:rFonts w:ascii="Times New Roman" w:eastAsia="Times New Roman" w:hAnsi="Times New Roman" w:cs="Times New Roman"/>
          <w:sz w:val="24"/>
          <w:szCs w:val="24"/>
        </w:rPr>
        <w:t xml:space="preserve"> </w:t>
      </w:r>
      <w:r w:rsidR="00D61CDA">
        <w:rPr>
          <w:rFonts w:ascii="Times New Roman" w:eastAsia="Times New Roman" w:hAnsi="Times New Roman" w:cs="Times New Roman"/>
          <w:sz w:val="24"/>
          <w:szCs w:val="24"/>
        </w:rPr>
        <w:t>filed a Motion to Dismiss, arguing</w:t>
      </w:r>
      <w:r w:rsidR="0023252C">
        <w:rPr>
          <w:rFonts w:ascii="Times New Roman" w:eastAsia="Times New Roman" w:hAnsi="Times New Roman" w:cs="Times New Roman"/>
          <w:sz w:val="24"/>
          <w:szCs w:val="24"/>
        </w:rPr>
        <w:t xml:space="preserve"> that the BSEA does not have jurisdiction </w:t>
      </w:r>
      <w:r w:rsidR="00806FBE">
        <w:rPr>
          <w:rFonts w:ascii="Times New Roman" w:eastAsia="Times New Roman" w:hAnsi="Times New Roman" w:cs="Times New Roman"/>
          <w:sz w:val="24"/>
          <w:szCs w:val="24"/>
        </w:rPr>
        <w:t xml:space="preserve">over </w:t>
      </w:r>
      <w:r w:rsidR="00F66CE4">
        <w:rPr>
          <w:rFonts w:ascii="Times New Roman" w:eastAsia="Times New Roman" w:hAnsi="Times New Roman" w:cs="Times New Roman"/>
          <w:sz w:val="24"/>
          <w:szCs w:val="24"/>
        </w:rPr>
        <w:t>the awarding of credits or over determining whether the principal may participate in meetings pertaining to Student</w:t>
      </w:r>
      <w:r w:rsidR="00521C14">
        <w:rPr>
          <w:rFonts w:ascii="Times New Roman" w:eastAsia="Times New Roman" w:hAnsi="Times New Roman" w:cs="Times New Roman"/>
          <w:sz w:val="24"/>
          <w:szCs w:val="24"/>
        </w:rPr>
        <w:t>.</w:t>
      </w:r>
      <w:r w:rsidR="00F66CE4">
        <w:rPr>
          <w:rFonts w:ascii="Times New Roman" w:eastAsia="Times New Roman" w:hAnsi="Times New Roman" w:cs="Times New Roman"/>
          <w:sz w:val="24"/>
          <w:szCs w:val="24"/>
        </w:rPr>
        <w:t xml:space="preserve"> </w:t>
      </w:r>
    </w:p>
    <w:p w14:paraId="32AE8A5E" w14:textId="46A45EFC" w:rsidR="00F33A28" w:rsidRPr="00DD1B9E" w:rsidRDefault="00297CB9" w:rsidP="005706F8">
      <w:pPr>
        <w:spacing w:after="0" w:line="240" w:lineRule="auto"/>
        <w:rPr>
          <w:rFonts w:ascii="Times New Roman" w:eastAsia="Times New Roman" w:hAnsi="Times New Roman" w:cs="Times New Roman"/>
          <w:sz w:val="24"/>
          <w:szCs w:val="24"/>
          <w:highlight w:val="magenta"/>
        </w:rPr>
      </w:pPr>
      <w:r w:rsidRPr="00DD1B9E">
        <w:rPr>
          <w:rFonts w:ascii="Times New Roman" w:eastAsia="Times New Roman" w:hAnsi="Times New Roman" w:cs="Times New Roman"/>
          <w:sz w:val="24"/>
          <w:szCs w:val="24"/>
          <w:highlight w:val="magenta"/>
        </w:rPr>
        <w:t xml:space="preserve">  </w:t>
      </w:r>
      <w:r w:rsidR="00876258" w:rsidRPr="00DD1B9E">
        <w:rPr>
          <w:rFonts w:ascii="Times New Roman" w:eastAsia="Times New Roman" w:hAnsi="Times New Roman" w:cs="Times New Roman"/>
          <w:sz w:val="24"/>
          <w:szCs w:val="24"/>
          <w:highlight w:val="magenta"/>
        </w:rPr>
        <w:t xml:space="preserve">  </w:t>
      </w:r>
      <w:r w:rsidR="00F33A28" w:rsidRPr="00DD1B9E">
        <w:rPr>
          <w:rFonts w:ascii="Times New Roman" w:eastAsia="Times New Roman" w:hAnsi="Times New Roman" w:cs="Times New Roman"/>
          <w:sz w:val="24"/>
          <w:szCs w:val="24"/>
          <w:highlight w:val="magenta"/>
        </w:rPr>
        <w:t xml:space="preserve">     </w:t>
      </w:r>
    </w:p>
    <w:p w14:paraId="3675B98D" w14:textId="10B2F3E6" w:rsidR="005706F8" w:rsidRPr="005706F8" w:rsidRDefault="00507F0F" w:rsidP="00570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September 29, 2017, </w:t>
      </w:r>
      <w:r w:rsidR="00D64AF1">
        <w:rPr>
          <w:rFonts w:ascii="Times New Roman" w:eastAsia="Times New Roman" w:hAnsi="Times New Roman" w:cs="Times New Roman"/>
          <w:sz w:val="24"/>
          <w:szCs w:val="24"/>
        </w:rPr>
        <w:t>Parents opposed the Motion to Dismiss.</w:t>
      </w:r>
      <w:r w:rsidR="001A2423">
        <w:rPr>
          <w:rFonts w:ascii="Times New Roman" w:eastAsia="Times New Roman" w:hAnsi="Times New Roman" w:cs="Times New Roman"/>
          <w:sz w:val="24"/>
          <w:szCs w:val="24"/>
        </w:rPr>
        <w:t xml:space="preserve">  In their opposition they state that the BSEA has jurisdiction over any matter pertaining to a student on an IEP.  They argue that they have provided the district with information pertaining to Student’s diagnoses.  They state that, “It is obvious that these disabilities can and will affect</w:t>
      </w:r>
      <w:r w:rsidR="00446242">
        <w:rPr>
          <w:rFonts w:ascii="Times New Roman" w:eastAsia="Times New Roman" w:hAnsi="Times New Roman" w:cs="Times New Roman"/>
          <w:sz w:val="24"/>
          <w:szCs w:val="24"/>
        </w:rPr>
        <w:t>…” Student’s daily</w:t>
      </w:r>
      <w:r w:rsidR="001A2423">
        <w:rPr>
          <w:rFonts w:ascii="Times New Roman" w:eastAsia="Times New Roman" w:hAnsi="Times New Roman" w:cs="Times New Roman"/>
          <w:sz w:val="24"/>
          <w:szCs w:val="24"/>
        </w:rPr>
        <w:t xml:space="preserve"> functioning </w:t>
      </w:r>
      <w:r w:rsidR="00446242">
        <w:rPr>
          <w:rFonts w:ascii="Times New Roman" w:eastAsia="Times New Roman" w:hAnsi="Times New Roman" w:cs="Times New Roman"/>
          <w:sz w:val="24"/>
          <w:szCs w:val="24"/>
        </w:rPr>
        <w:t xml:space="preserve">such as </w:t>
      </w:r>
      <w:r w:rsidR="001A2423">
        <w:rPr>
          <w:rFonts w:ascii="Times New Roman" w:eastAsia="Times New Roman" w:hAnsi="Times New Roman" w:cs="Times New Roman"/>
          <w:sz w:val="24"/>
          <w:szCs w:val="24"/>
        </w:rPr>
        <w:t>getting out of be</w:t>
      </w:r>
      <w:r w:rsidR="00446242">
        <w:rPr>
          <w:rFonts w:ascii="Times New Roman" w:eastAsia="Times New Roman" w:hAnsi="Times New Roman" w:cs="Times New Roman"/>
          <w:sz w:val="24"/>
          <w:szCs w:val="24"/>
        </w:rPr>
        <w:t>d and going to school or being able to stay in school once he gets there.</w:t>
      </w:r>
      <w:r w:rsidR="001A2423">
        <w:rPr>
          <w:rFonts w:ascii="Times New Roman" w:eastAsia="Times New Roman" w:hAnsi="Times New Roman" w:cs="Times New Roman"/>
          <w:sz w:val="24"/>
          <w:szCs w:val="24"/>
        </w:rPr>
        <w:t xml:space="preserve">  </w:t>
      </w:r>
    </w:p>
    <w:p w14:paraId="35351243" w14:textId="5D5C28F1" w:rsidR="00B74C43" w:rsidRPr="005706F8" w:rsidRDefault="00F135D0" w:rsidP="005706F8">
      <w:pPr>
        <w:spacing w:after="0" w:line="240" w:lineRule="auto"/>
        <w:rPr>
          <w:rFonts w:ascii="Times New Roman" w:eastAsia="Times New Roman" w:hAnsi="Times New Roman" w:cs="Times New Roman"/>
          <w:sz w:val="24"/>
          <w:szCs w:val="24"/>
        </w:rPr>
      </w:pPr>
      <w:r w:rsidRPr="005706F8">
        <w:rPr>
          <w:rFonts w:ascii="Times New Roman" w:eastAsia="Times New Roman" w:hAnsi="Times New Roman" w:cs="Times New Roman"/>
          <w:sz w:val="24"/>
          <w:szCs w:val="24"/>
        </w:rPr>
        <w:t xml:space="preserve">  </w:t>
      </w:r>
    </w:p>
    <w:p w14:paraId="1456BFB8" w14:textId="420F93BC" w:rsidR="00E80350" w:rsidRPr="005706F8" w:rsidRDefault="00E80350" w:rsidP="00E80350">
      <w:pPr>
        <w:spacing w:after="0" w:line="240" w:lineRule="auto"/>
        <w:ind w:firstLine="720"/>
        <w:jc w:val="center"/>
        <w:rPr>
          <w:rFonts w:ascii="Times New Roman" w:eastAsia="Times New Roman" w:hAnsi="Times New Roman" w:cs="Times New Roman"/>
          <w:b/>
          <w:sz w:val="24"/>
          <w:szCs w:val="24"/>
          <w:u w:val="single"/>
        </w:rPr>
      </w:pPr>
      <w:r w:rsidRPr="005706F8">
        <w:rPr>
          <w:rFonts w:ascii="Times New Roman" w:eastAsia="Times New Roman" w:hAnsi="Times New Roman" w:cs="Times New Roman"/>
          <w:b/>
          <w:sz w:val="24"/>
          <w:szCs w:val="24"/>
          <w:u w:val="single"/>
        </w:rPr>
        <w:t>FACT</w:t>
      </w:r>
      <w:r w:rsidR="0010697F">
        <w:rPr>
          <w:rFonts w:ascii="Times New Roman" w:eastAsia="Times New Roman" w:hAnsi="Times New Roman" w:cs="Times New Roman"/>
          <w:b/>
          <w:sz w:val="24"/>
          <w:szCs w:val="24"/>
          <w:u w:val="single"/>
        </w:rPr>
        <w:t>S</w:t>
      </w:r>
      <w:r w:rsidR="0010697F">
        <w:rPr>
          <w:rStyle w:val="FootnoteReference"/>
          <w:rFonts w:ascii="Times New Roman" w:eastAsia="Times New Roman" w:hAnsi="Times New Roman" w:cs="Times New Roman"/>
          <w:b/>
          <w:sz w:val="24"/>
          <w:szCs w:val="24"/>
          <w:u w:val="single"/>
        </w:rPr>
        <w:footnoteReference w:id="1"/>
      </w:r>
    </w:p>
    <w:p w14:paraId="5F05B575" w14:textId="77777777" w:rsidR="00E80350" w:rsidRPr="005706F8" w:rsidRDefault="00E80350" w:rsidP="00E80350">
      <w:pPr>
        <w:spacing w:after="0" w:line="240" w:lineRule="auto"/>
        <w:ind w:firstLine="720"/>
        <w:jc w:val="center"/>
        <w:rPr>
          <w:rFonts w:ascii="Times New Roman" w:eastAsia="Times New Roman" w:hAnsi="Times New Roman" w:cs="Times New Roman"/>
          <w:b/>
          <w:sz w:val="24"/>
          <w:szCs w:val="24"/>
          <w:u w:val="single"/>
        </w:rPr>
      </w:pPr>
    </w:p>
    <w:p w14:paraId="790F2B82" w14:textId="73EB8774" w:rsidR="00A8751C" w:rsidRPr="005706F8" w:rsidRDefault="00A8751C" w:rsidP="0037035A">
      <w:pPr>
        <w:spacing w:after="0" w:line="240" w:lineRule="auto"/>
        <w:rPr>
          <w:rFonts w:ascii="Times New Roman" w:eastAsia="Times New Roman" w:hAnsi="Times New Roman" w:cs="Times New Roman"/>
          <w:sz w:val="24"/>
          <w:szCs w:val="24"/>
        </w:rPr>
      </w:pPr>
      <w:r w:rsidRPr="005706F8">
        <w:rPr>
          <w:rFonts w:ascii="Times New Roman" w:eastAsia="Times New Roman" w:hAnsi="Times New Roman" w:cs="Times New Roman"/>
          <w:sz w:val="24"/>
          <w:szCs w:val="24"/>
        </w:rPr>
        <w:t xml:space="preserve">For purposes of </w:t>
      </w:r>
      <w:r w:rsidR="005F72B4">
        <w:rPr>
          <w:rFonts w:ascii="Times New Roman" w:eastAsia="Times New Roman" w:hAnsi="Times New Roman" w:cs="Times New Roman"/>
          <w:sz w:val="24"/>
          <w:szCs w:val="24"/>
        </w:rPr>
        <w:t>this Ruling</w:t>
      </w:r>
      <w:r w:rsidRPr="005706F8">
        <w:rPr>
          <w:rFonts w:ascii="Times New Roman" w:eastAsia="Times New Roman" w:hAnsi="Times New Roman" w:cs="Times New Roman"/>
          <w:sz w:val="24"/>
          <w:szCs w:val="24"/>
        </w:rPr>
        <w:t xml:space="preserve"> the following assertions are considered to be true and construed in favor of the party </w:t>
      </w:r>
      <w:r w:rsidR="00560BE5">
        <w:rPr>
          <w:rFonts w:ascii="Times New Roman" w:eastAsia="Times New Roman" w:hAnsi="Times New Roman" w:cs="Times New Roman"/>
          <w:sz w:val="24"/>
          <w:szCs w:val="24"/>
        </w:rPr>
        <w:t xml:space="preserve">opposing dismissal, namely, </w:t>
      </w:r>
      <w:r w:rsidR="00AC3E32" w:rsidRPr="005706F8">
        <w:rPr>
          <w:rFonts w:ascii="Times New Roman" w:eastAsia="Times New Roman" w:hAnsi="Times New Roman" w:cs="Times New Roman"/>
          <w:sz w:val="24"/>
          <w:szCs w:val="24"/>
        </w:rPr>
        <w:t>Student.</w:t>
      </w:r>
    </w:p>
    <w:p w14:paraId="56050A8B" w14:textId="77777777" w:rsidR="00A8751C" w:rsidRPr="005706F8" w:rsidRDefault="00A8751C" w:rsidP="00A8751C">
      <w:pPr>
        <w:spacing w:after="0" w:line="240" w:lineRule="auto"/>
        <w:ind w:firstLine="720"/>
        <w:rPr>
          <w:rFonts w:ascii="Times New Roman" w:eastAsia="Times New Roman" w:hAnsi="Times New Roman" w:cs="Times New Roman"/>
          <w:sz w:val="24"/>
          <w:szCs w:val="24"/>
        </w:rPr>
      </w:pPr>
    </w:p>
    <w:p w14:paraId="1A725B21" w14:textId="5E981B00" w:rsidR="000F0783" w:rsidRDefault="000F275A" w:rsidP="00B951B7">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is a</w:t>
      </w:r>
      <w:r w:rsidR="003F6D2D">
        <w:rPr>
          <w:rFonts w:ascii="Times New Roman" w:eastAsia="Times New Roman" w:hAnsi="Times New Roman" w:cs="Times New Roman"/>
          <w:sz w:val="24"/>
          <w:szCs w:val="24"/>
        </w:rPr>
        <w:t>n eigh</w:t>
      </w:r>
      <w:r w:rsidR="005F72B4">
        <w:rPr>
          <w:rFonts w:ascii="Times New Roman" w:eastAsia="Times New Roman" w:hAnsi="Times New Roman" w:cs="Times New Roman"/>
          <w:sz w:val="24"/>
          <w:szCs w:val="24"/>
        </w:rPr>
        <w:t>teen</w:t>
      </w:r>
      <w:r w:rsidR="00195153" w:rsidRPr="005706F8">
        <w:rPr>
          <w:rFonts w:ascii="Times New Roman" w:eastAsia="Times New Roman" w:hAnsi="Times New Roman" w:cs="Times New Roman"/>
          <w:sz w:val="24"/>
          <w:szCs w:val="24"/>
        </w:rPr>
        <w:t xml:space="preserve"> </w:t>
      </w:r>
      <w:r w:rsidR="00AC3F55" w:rsidRPr="005706F8">
        <w:rPr>
          <w:rFonts w:ascii="Times New Roman" w:eastAsia="Times New Roman" w:hAnsi="Times New Roman" w:cs="Times New Roman"/>
          <w:sz w:val="24"/>
          <w:szCs w:val="24"/>
        </w:rPr>
        <w:t>year-</w:t>
      </w:r>
      <w:r w:rsidR="0010697F">
        <w:rPr>
          <w:rFonts w:ascii="Times New Roman" w:eastAsia="Times New Roman" w:hAnsi="Times New Roman" w:cs="Times New Roman"/>
          <w:sz w:val="24"/>
          <w:szCs w:val="24"/>
        </w:rPr>
        <w:t>old student</w:t>
      </w:r>
      <w:r w:rsidR="004776B2">
        <w:rPr>
          <w:rFonts w:ascii="Times New Roman" w:eastAsia="Times New Roman" w:hAnsi="Times New Roman" w:cs="Times New Roman"/>
          <w:sz w:val="24"/>
          <w:szCs w:val="24"/>
        </w:rPr>
        <w:t xml:space="preserve"> who has been diagnosed with Generalized Anxiety Disorder with panic symptoms and Attention Deficit Hyperactivity Disorder, predominantly inattentive presentation.</w:t>
      </w:r>
      <w:r w:rsidR="0010697F">
        <w:rPr>
          <w:rFonts w:ascii="Times New Roman" w:eastAsia="Times New Roman" w:hAnsi="Times New Roman" w:cs="Times New Roman"/>
          <w:sz w:val="24"/>
          <w:szCs w:val="24"/>
        </w:rPr>
        <w:t xml:space="preserve">  </w:t>
      </w:r>
    </w:p>
    <w:p w14:paraId="642B8BF5" w14:textId="77777777" w:rsidR="00D632D7" w:rsidRDefault="00D632D7" w:rsidP="00D632D7">
      <w:pPr>
        <w:pStyle w:val="ListParagraph"/>
        <w:spacing w:after="0" w:line="240" w:lineRule="auto"/>
        <w:ind w:left="360"/>
        <w:rPr>
          <w:rFonts w:ascii="Times New Roman" w:eastAsia="Times New Roman" w:hAnsi="Times New Roman" w:cs="Times New Roman"/>
          <w:sz w:val="24"/>
          <w:szCs w:val="24"/>
        </w:rPr>
      </w:pPr>
    </w:p>
    <w:p w14:paraId="320AD21E" w14:textId="4C087664" w:rsidR="00D632D7" w:rsidRDefault="00D632D7" w:rsidP="00B951B7">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During Student’s first semester of the 2016-2017 school year he was enrolled at Minnechaug Regional High School (Minnechaug) in Wilbraham, Massachusetts.  </w:t>
      </w:r>
    </w:p>
    <w:p w14:paraId="7754270B" w14:textId="77777777" w:rsidR="006435F6" w:rsidRPr="006435F6" w:rsidRDefault="006435F6" w:rsidP="006435F6">
      <w:pPr>
        <w:pStyle w:val="ListParagraph"/>
        <w:rPr>
          <w:rFonts w:ascii="Times New Roman" w:eastAsia="Times New Roman" w:hAnsi="Times New Roman" w:cs="Times New Roman"/>
          <w:sz w:val="24"/>
          <w:szCs w:val="24"/>
        </w:rPr>
      </w:pPr>
    </w:p>
    <w:p w14:paraId="7BB2B463" w14:textId="77777777" w:rsidR="000077F6" w:rsidRDefault="006435F6" w:rsidP="00B951B7">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Minnechaug’s Handbook for Students and Families for the 2016-2017 school year contains Attendance Policies.  Under the heading, Course Credit, it states the following.  “To earn credit in a course, students must achieve a passing grade and meet the minimum attendance requirement.  Students who EXCEED [emphasis in original] 10 absences in semester courses will lose course credit.” </w:t>
      </w:r>
    </w:p>
    <w:p w14:paraId="720FFF61" w14:textId="77777777" w:rsidR="000077F6" w:rsidRPr="000077F6" w:rsidRDefault="000077F6" w:rsidP="000077F6">
      <w:pPr>
        <w:pStyle w:val="ListParagraph"/>
        <w:rPr>
          <w:rFonts w:ascii="Times New Roman" w:eastAsia="Times New Roman" w:hAnsi="Times New Roman" w:cs="Times New Roman"/>
          <w:sz w:val="24"/>
          <w:szCs w:val="24"/>
        </w:rPr>
      </w:pPr>
    </w:p>
    <w:p w14:paraId="4AE96853" w14:textId="413FB152" w:rsidR="006435F6" w:rsidRPr="005706F8" w:rsidRDefault="000077F6" w:rsidP="00B951B7">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first semester of the 2016-2017 school year, Student was absent for twenty-five full school days, was tardy twelve times and was dismissed once.  He was absent from his History of Pop Music class thirty-three times and from his U.S. History class thirty times.</w:t>
      </w:r>
      <w:r w:rsidR="006435F6">
        <w:rPr>
          <w:rFonts w:ascii="Times New Roman" w:eastAsia="Times New Roman" w:hAnsi="Times New Roman" w:cs="Times New Roman"/>
          <w:sz w:val="24"/>
          <w:szCs w:val="24"/>
        </w:rPr>
        <w:t xml:space="preserve"> </w:t>
      </w:r>
    </w:p>
    <w:p w14:paraId="301EB24B" w14:textId="77777777" w:rsidR="000F0783" w:rsidRPr="005706F8" w:rsidRDefault="000F0783" w:rsidP="000F0783">
      <w:pPr>
        <w:pStyle w:val="ListParagraph"/>
        <w:spacing w:after="0" w:line="240" w:lineRule="auto"/>
        <w:ind w:left="1080"/>
        <w:rPr>
          <w:rFonts w:ascii="Times New Roman" w:eastAsia="Times New Roman" w:hAnsi="Times New Roman" w:cs="Times New Roman"/>
          <w:sz w:val="24"/>
          <w:szCs w:val="24"/>
        </w:rPr>
      </w:pPr>
    </w:p>
    <w:p w14:paraId="561FCEE1" w14:textId="09D3EABB" w:rsidR="009F3554" w:rsidRDefault="006F505B" w:rsidP="004776B2">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an October 21, 2016 Team meeting Student’s father asked the psychologist who had completed a neuropsychological evaluation of Student whether Parents should force Student to attend on the day</w:t>
      </w:r>
      <w:r w:rsidR="00100E35">
        <w:rPr>
          <w:rFonts w:ascii="Times New Roman" w:eastAsia="Times New Roman" w:hAnsi="Times New Roman" w:cs="Times New Roman"/>
          <w:sz w:val="24"/>
          <w:szCs w:val="24"/>
        </w:rPr>
        <w:t>s he was unable to attend and the psychologist</w:t>
      </w:r>
      <w:r>
        <w:rPr>
          <w:rFonts w:ascii="Times New Roman" w:eastAsia="Times New Roman" w:hAnsi="Times New Roman" w:cs="Times New Roman"/>
          <w:sz w:val="24"/>
          <w:szCs w:val="24"/>
        </w:rPr>
        <w:t xml:space="preserve"> said no.</w:t>
      </w:r>
    </w:p>
    <w:p w14:paraId="1C130FCF" w14:textId="77777777" w:rsidR="00D97606" w:rsidRPr="00D97606" w:rsidRDefault="00D97606" w:rsidP="00D97606">
      <w:pPr>
        <w:pStyle w:val="ListParagraph"/>
        <w:rPr>
          <w:rFonts w:ascii="Times New Roman" w:eastAsia="Times New Roman" w:hAnsi="Times New Roman" w:cs="Times New Roman"/>
          <w:sz w:val="24"/>
          <w:szCs w:val="24"/>
        </w:rPr>
      </w:pPr>
    </w:p>
    <w:p w14:paraId="6DC79103" w14:textId="5493DA01" w:rsidR="00D97606" w:rsidRDefault="00D97606" w:rsidP="004776B2">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Also on October 21, 2016, Student signed the Transfer of Rights for Individualized Education Program form indicating that as of September 9, 2017, Student’s eighteenth birthday, he would represent himself in decision-making in relation to special education programs and services.</w:t>
      </w:r>
    </w:p>
    <w:p w14:paraId="79B6728C" w14:textId="77777777" w:rsidR="00E90936" w:rsidRPr="00E90936" w:rsidRDefault="00E90936" w:rsidP="00E90936">
      <w:pPr>
        <w:pStyle w:val="ListParagraph"/>
        <w:rPr>
          <w:rFonts w:ascii="Times New Roman" w:eastAsia="Times New Roman" w:hAnsi="Times New Roman" w:cs="Times New Roman"/>
          <w:sz w:val="24"/>
          <w:szCs w:val="24"/>
        </w:rPr>
      </w:pPr>
    </w:p>
    <w:p w14:paraId="206FBD1B" w14:textId="2E6F8A32" w:rsidR="00E90936" w:rsidRDefault="00E90936" w:rsidP="004776B2">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IEP</w:t>
      </w:r>
      <w:r w:rsidR="008D45C7">
        <w:rPr>
          <w:rFonts w:ascii="Times New Roman" w:eastAsia="Times New Roman" w:hAnsi="Times New Roman" w:cs="Times New Roman"/>
          <w:sz w:val="24"/>
          <w:szCs w:val="24"/>
        </w:rPr>
        <w:t xml:space="preserve"> states that he meets the DSM-V criteria for Generalized Anxiety Disorder with Panic Symptoms and a history of Attention-Deficit/Hyperactivity Disorder, Predominantly Inattentive presentation.  </w:t>
      </w:r>
      <w:r w:rsidR="009866E1">
        <w:rPr>
          <w:rFonts w:ascii="Times New Roman" w:eastAsia="Times New Roman" w:hAnsi="Times New Roman" w:cs="Times New Roman"/>
          <w:sz w:val="24"/>
          <w:szCs w:val="24"/>
        </w:rPr>
        <w:t xml:space="preserve">The Present Levels of Educational Performance B section identifies social/emotional needs and provides for regular meetings with an adjustment counselor.  The IEP provides for goals in transitional skills, academics, and social emotional.  There are direct services in his IEP in the area of academic skills with a special education teacher 10 x 85 minutes per cycle and social emotional services with an adjustment counselor 1 x 20 minutes every other week.   </w:t>
      </w:r>
      <w:r w:rsidR="0000399E">
        <w:rPr>
          <w:rFonts w:ascii="Times New Roman" w:eastAsia="Times New Roman" w:hAnsi="Times New Roman" w:cs="Times New Roman"/>
          <w:sz w:val="24"/>
          <w:szCs w:val="24"/>
        </w:rPr>
        <w:t>There is no provision for a schedule modification for either a shorter day or a shorter year.  The IEP was accepted in full on October 21, 2016.</w:t>
      </w:r>
    </w:p>
    <w:p w14:paraId="199F5338" w14:textId="77777777" w:rsidR="00371192" w:rsidRPr="00371192" w:rsidRDefault="00371192" w:rsidP="00371192">
      <w:pPr>
        <w:pStyle w:val="ListParagraph"/>
        <w:rPr>
          <w:rFonts w:ascii="Times New Roman" w:eastAsia="Times New Roman" w:hAnsi="Times New Roman" w:cs="Times New Roman"/>
          <w:sz w:val="24"/>
          <w:szCs w:val="24"/>
        </w:rPr>
      </w:pPr>
    </w:p>
    <w:p w14:paraId="53F5D954" w14:textId="70684CBC" w:rsidR="00371192" w:rsidRDefault="00371192" w:rsidP="004776B2">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December 19, 2016, Parents met with Student’s academic support teacher/school liaison, and the assistant principal to discuss a plan for Student to complete missing assignments during Christmas break.</w:t>
      </w:r>
      <w:r w:rsidR="00C22E0D">
        <w:rPr>
          <w:rFonts w:ascii="Times New Roman" w:eastAsia="Times New Roman" w:hAnsi="Times New Roman" w:cs="Times New Roman"/>
          <w:sz w:val="24"/>
          <w:szCs w:val="24"/>
        </w:rPr>
        <w:t xml:space="preserve">  Student took and passed his final exams and completed his assigned work and earned 2 Bs and a C.</w:t>
      </w:r>
    </w:p>
    <w:p w14:paraId="0A43B7C5" w14:textId="77777777" w:rsidR="00C22E0D" w:rsidRPr="00C22E0D" w:rsidRDefault="00C22E0D" w:rsidP="00C22E0D">
      <w:pPr>
        <w:pStyle w:val="ListParagraph"/>
        <w:rPr>
          <w:rFonts w:ascii="Times New Roman" w:eastAsia="Times New Roman" w:hAnsi="Times New Roman" w:cs="Times New Roman"/>
          <w:sz w:val="24"/>
          <w:szCs w:val="24"/>
        </w:rPr>
      </w:pPr>
    </w:p>
    <w:p w14:paraId="4ADE43C6" w14:textId="77777777" w:rsidR="00080074" w:rsidRDefault="00C22E0D" w:rsidP="004776B2">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January 5, 2017, Student’s English</w:t>
      </w:r>
      <w:r w:rsidR="005520B2">
        <w:rPr>
          <w:rFonts w:ascii="Times New Roman" w:eastAsia="Times New Roman" w:hAnsi="Times New Roman" w:cs="Times New Roman"/>
          <w:sz w:val="24"/>
          <w:szCs w:val="24"/>
        </w:rPr>
        <w:t xml:space="preserve"> teacher emailed Father and stated that she had been concerned when she saw Student that morning because he, “[D]id not look good and just seemed so down</w:t>
      </w:r>
      <w:r>
        <w:rPr>
          <w:rFonts w:ascii="Times New Roman" w:eastAsia="Times New Roman" w:hAnsi="Times New Roman" w:cs="Times New Roman"/>
          <w:sz w:val="24"/>
          <w:szCs w:val="24"/>
        </w:rPr>
        <w:t>.</w:t>
      </w:r>
      <w:r w:rsidR="005520B2">
        <w:rPr>
          <w:rFonts w:ascii="Times New Roman" w:eastAsia="Times New Roman" w:hAnsi="Times New Roman" w:cs="Times New Roman"/>
          <w:sz w:val="24"/>
          <w:szCs w:val="24"/>
        </w:rPr>
        <w:t>”</w:t>
      </w:r>
      <w:r w:rsidR="00080074">
        <w:rPr>
          <w:rFonts w:ascii="Times New Roman" w:eastAsia="Times New Roman" w:hAnsi="Times New Roman" w:cs="Times New Roman"/>
          <w:sz w:val="24"/>
          <w:szCs w:val="24"/>
        </w:rPr>
        <w:t xml:space="preserve"> </w:t>
      </w:r>
    </w:p>
    <w:p w14:paraId="25B34A7C" w14:textId="77777777" w:rsidR="00080074" w:rsidRPr="00080074" w:rsidRDefault="00080074" w:rsidP="00080074">
      <w:pPr>
        <w:pStyle w:val="ListParagraph"/>
        <w:rPr>
          <w:rFonts w:ascii="Times New Roman" w:eastAsia="Times New Roman" w:hAnsi="Times New Roman" w:cs="Times New Roman"/>
          <w:sz w:val="24"/>
          <w:szCs w:val="24"/>
        </w:rPr>
      </w:pPr>
    </w:p>
    <w:p w14:paraId="325FF665" w14:textId="05A4D484" w:rsidR="009F3554" w:rsidRDefault="00C22E0D" w:rsidP="009F3554">
      <w:pPr>
        <w:pStyle w:val="ListParagraph"/>
        <w:numPr>
          <w:ilvl w:val="0"/>
          <w:numId w:val="5"/>
        </w:numPr>
        <w:spacing w:after="0" w:line="240" w:lineRule="auto"/>
        <w:rPr>
          <w:rFonts w:ascii="Times New Roman" w:eastAsia="Times New Roman" w:hAnsi="Times New Roman" w:cs="Times New Roman"/>
          <w:sz w:val="24"/>
          <w:szCs w:val="24"/>
        </w:rPr>
      </w:pPr>
      <w:r w:rsidRPr="00080074">
        <w:rPr>
          <w:rFonts w:ascii="Times New Roman" w:eastAsia="Times New Roman" w:hAnsi="Times New Roman" w:cs="Times New Roman"/>
          <w:sz w:val="24"/>
          <w:szCs w:val="24"/>
        </w:rPr>
        <w:t>The Team convened on January 11, 2017</w:t>
      </w:r>
      <w:r w:rsidR="00080074" w:rsidRPr="00080074">
        <w:rPr>
          <w:rFonts w:ascii="Times New Roman" w:eastAsia="Times New Roman" w:hAnsi="Times New Roman" w:cs="Times New Roman"/>
          <w:sz w:val="24"/>
          <w:szCs w:val="24"/>
        </w:rPr>
        <w:t>.  Those in attendance included Father, the principal, the education team leader, the academic support teacher/liaison, and Student’s English teacher.</w:t>
      </w:r>
    </w:p>
    <w:p w14:paraId="1048F119" w14:textId="77777777" w:rsidR="00080074" w:rsidRPr="00080074" w:rsidRDefault="00080074" w:rsidP="00080074">
      <w:pPr>
        <w:pStyle w:val="ListParagraph"/>
        <w:rPr>
          <w:rFonts w:ascii="Times New Roman" w:eastAsia="Times New Roman" w:hAnsi="Times New Roman" w:cs="Times New Roman"/>
          <w:sz w:val="24"/>
          <w:szCs w:val="24"/>
        </w:rPr>
      </w:pPr>
    </w:p>
    <w:p w14:paraId="1F796CA0" w14:textId="5A750BA1" w:rsidR="00080074" w:rsidRDefault="00080074" w:rsidP="009F3554">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During the meeting, the principal </w:t>
      </w:r>
      <w:r w:rsidR="00E90936">
        <w:rPr>
          <w:rFonts w:ascii="Times New Roman" w:eastAsia="Times New Roman" w:hAnsi="Times New Roman" w:cs="Times New Roman"/>
          <w:sz w:val="24"/>
          <w:szCs w:val="24"/>
        </w:rPr>
        <w:t>stated that due to Minnechaug’s Attendance Policies, Student would not be awarded credits f</w:t>
      </w:r>
      <w:r w:rsidR="00100E35">
        <w:rPr>
          <w:rFonts w:ascii="Times New Roman" w:eastAsia="Times New Roman" w:hAnsi="Times New Roman" w:cs="Times New Roman"/>
          <w:sz w:val="24"/>
          <w:szCs w:val="24"/>
        </w:rPr>
        <w:t xml:space="preserve">or his first semester courses.  </w:t>
      </w:r>
      <w:r w:rsidR="0038233F">
        <w:rPr>
          <w:rFonts w:ascii="Times New Roman" w:eastAsia="Times New Roman" w:hAnsi="Times New Roman" w:cs="Times New Roman"/>
          <w:sz w:val="24"/>
          <w:szCs w:val="24"/>
        </w:rPr>
        <w:t>The princip</w:t>
      </w:r>
      <w:r w:rsidR="00172409">
        <w:rPr>
          <w:rFonts w:ascii="Times New Roman" w:eastAsia="Times New Roman" w:hAnsi="Times New Roman" w:cs="Times New Roman"/>
          <w:sz w:val="24"/>
          <w:szCs w:val="24"/>
        </w:rPr>
        <w:t>al further stated that if</w:t>
      </w:r>
      <w:r w:rsidR="002D0CAE">
        <w:rPr>
          <w:rFonts w:ascii="Times New Roman" w:eastAsia="Times New Roman" w:hAnsi="Times New Roman" w:cs="Times New Roman"/>
          <w:sz w:val="24"/>
          <w:szCs w:val="24"/>
        </w:rPr>
        <w:t xml:space="preserve"> Student</w:t>
      </w:r>
      <w:r w:rsidR="0038233F">
        <w:rPr>
          <w:rFonts w:ascii="Times New Roman" w:eastAsia="Times New Roman" w:hAnsi="Times New Roman" w:cs="Times New Roman"/>
          <w:sz w:val="24"/>
          <w:szCs w:val="24"/>
        </w:rPr>
        <w:t xml:space="preserve"> made progress with his attendance and achieved passing grades in the spring and following fall sem</w:t>
      </w:r>
      <w:r w:rsidR="00C72A0F">
        <w:rPr>
          <w:rFonts w:ascii="Times New Roman" w:eastAsia="Times New Roman" w:hAnsi="Times New Roman" w:cs="Times New Roman"/>
          <w:sz w:val="24"/>
          <w:szCs w:val="24"/>
        </w:rPr>
        <w:t>e</w:t>
      </w:r>
      <w:r w:rsidR="0038233F">
        <w:rPr>
          <w:rFonts w:ascii="Times New Roman" w:eastAsia="Times New Roman" w:hAnsi="Times New Roman" w:cs="Times New Roman"/>
          <w:sz w:val="24"/>
          <w:szCs w:val="24"/>
        </w:rPr>
        <w:t xml:space="preserve">sters at Mt. Tom, he would revisit the first semester credits and Student could graduate in January 2018.  </w:t>
      </w:r>
    </w:p>
    <w:p w14:paraId="6E7719E1" w14:textId="77777777" w:rsidR="00F207EA" w:rsidRPr="00F207EA" w:rsidRDefault="00F207EA" w:rsidP="00F207EA">
      <w:pPr>
        <w:pStyle w:val="ListParagraph"/>
        <w:rPr>
          <w:rFonts w:ascii="Times New Roman" w:eastAsia="Times New Roman" w:hAnsi="Times New Roman" w:cs="Times New Roman"/>
          <w:sz w:val="24"/>
          <w:szCs w:val="24"/>
        </w:rPr>
      </w:pPr>
    </w:p>
    <w:p w14:paraId="5267AD7B" w14:textId="690B9E93" w:rsidR="00F207EA" w:rsidRDefault="00F207EA" w:rsidP="009F3554">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began attending Mt. Tom Academy on February 8, 2017.</w:t>
      </w:r>
    </w:p>
    <w:p w14:paraId="5D4D9403" w14:textId="77777777" w:rsidR="00E90936" w:rsidRPr="00E90936" w:rsidRDefault="00E90936" w:rsidP="00E90936">
      <w:pPr>
        <w:pStyle w:val="ListParagraph"/>
        <w:rPr>
          <w:rFonts w:ascii="Times New Roman" w:eastAsia="Times New Roman" w:hAnsi="Times New Roman" w:cs="Times New Roman"/>
          <w:sz w:val="24"/>
          <w:szCs w:val="24"/>
        </w:rPr>
      </w:pPr>
    </w:p>
    <w:p w14:paraId="546261C5" w14:textId="11C5456E" w:rsidR="00E90936" w:rsidRDefault="00331EF8" w:rsidP="009F3554">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Jacob’s Team convened on May 18, 2017 to review Student’s progress.  </w:t>
      </w:r>
      <w:r w:rsidR="00F639D6">
        <w:rPr>
          <w:rFonts w:ascii="Times New Roman" w:eastAsia="Times New Roman" w:hAnsi="Times New Roman" w:cs="Times New Roman"/>
          <w:sz w:val="24"/>
          <w:szCs w:val="24"/>
        </w:rPr>
        <w:t xml:space="preserve">His attendance was at 85%, he was doing well academically and socially, and he was demonstrating leadership qualities.  </w:t>
      </w:r>
      <w:r>
        <w:rPr>
          <w:rFonts w:ascii="Times New Roman" w:eastAsia="Times New Roman" w:hAnsi="Times New Roman" w:cs="Times New Roman"/>
          <w:sz w:val="24"/>
          <w:szCs w:val="24"/>
        </w:rPr>
        <w:t xml:space="preserve">The principal reiterated his decision to hold Student’s credits in abeyance pending continued progress in his attendance and academics.  </w:t>
      </w:r>
    </w:p>
    <w:p w14:paraId="5ECBA11F" w14:textId="77777777" w:rsidR="00331EF8" w:rsidRPr="00331EF8" w:rsidRDefault="00331EF8" w:rsidP="00331EF8">
      <w:pPr>
        <w:pStyle w:val="ListParagraph"/>
        <w:rPr>
          <w:rFonts w:ascii="Times New Roman" w:eastAsia="Times New Roman" w:hAnsi="Times New Roman" w:cs="Times New Roman"/>
          <w:sz w:val="24"/>
          <w:szCs w:val="24"/>
        </w:rPr>
      </w:pPr>
    </w:p>
    <w:p w14:paraId="23E414FB" w14:textId="6E26BCEA" w:rsidR="008E66B3" w:rsidRDefault="00331EF8" w:rsidP="00F82D17">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May 23, 2017, Parents partially rejected Student’s IEP.  They rejected the fact that “PLEP A [was] not accommodating [Student’s] disability relating to attendance.” They also </w:t>
      </w:r>
      <w:r w:rsidR="00D97606">
        <w:rPr>
          <w:rFonts w:ascii="Times New Roman" w:eastAsia="Times New Roman" w:hAnsi="Times New Roman" w:cs="Times New Roman"/>
          <w:sz w:val="24"/>
          <w:szCs w:val="24"/>
        </w:rPr>
        <w:t xml:space="preserve">rejected PLEP B as being not complete and rejected the schedule modification section that did not provide for a shorter day and shorter year.  </w:t>
      </w:r>
    </w:p>
    <w:p w14:paraId="3EBEC6D4" w14:textId="77777777" w:rsidR="00533814" w:rsidRPr="00533814" w:rsidRDefault="00533814" w:rsidP="00533814">
      <w:pPr>
        <w:pStyle w:val="ListParagraph"/>
        <w:rPr>
          <w:rFonts w:ascii="Times New Roman" w:eastAsia="Times New Roman" w:hAnsi="Times New Roman" w:cs="Times New Roman"/>
          <w:sz w:val="24"/>
          <w:szCs w:val="24"/>
        </w:rPr>
      </w:pPr>
    </w:p>
    <w:p w14:paraId="0FFB8234" w14:textId="553C448D" w:rsidR="00533814" w:rsidRDefault="00533814" w:rsidP="00F82D17">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June 1, 2017, Parents filed </w:t>
      </w:r>
      <w:r w:rsidR="000077F6">
        <w:rPr>
          <w:rFonts w:ascii="Times New Roman" w:eastAsia="Times New Roman" w:hAnsi="Times New Roman" w:cs="Times New Roman"/>
          <w:sz w:val="24"/>
          <w:szCs w:val="24"/>
        </w:rPr>
        <w:t>the instant Hearing Request</w:t>
      </w:r>
      <w:r>
        <w:rPr>
          <w:rStyle w:val="FootnoteReferenc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xml:space="preserve">.  </w:t>
      </w:r>
    </w:p>
    <w:p w14:paraId="56826843" w14:textId="77777777" w:rsidR="00172409" w:rsidRDefault="00172409" w:rsidP="00B74C43">
      <w:pPr>
        <w:spacing w:after="0" w:line="240" w:lineRule="auto"/>
        <w:jc w:val="center"/>
        <w:rPr>
          <w:rFonts w:ascii="Times New Roman" w:eastAsia="Times New Roman" w:hAnsi="Times New Roman" w:cs="Times New Roman"/>
          <w:b/>
          <w:sz w:val="24"/>
          <w:szCs w:val="24"/>
          <w:u w:val="single"/>
        </w:rPr>
      </w:pPr>
    </w:p>
    <w:p w14:paraId="51E1BA2C" w14:textId="7C9DDAA5" w:rsidR="00E80350" w:rsidRPr="005706F8" w:rsidRDefault="00865972" w:rsidP="00B74C43">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w:t>
      </w:r>
      <w:r w:rsidR="00E80350" w:rsidRPr="005706F8">
        <w:rPr>
          <w:rFonts w:ascii="Times New Roman" w:eastAsia="Times New Roman" w:hAnsi="Times New Roman" w:cs="Times New Roman"/>
          <w:b/>
          <w:sz w:val="24"/>
          <w:szCs w:val="24"/>
          <w:u w:val="single"/>
        </w:rPr>
        <w:t>INDINGS AND CONCLUSIONS</w:t>
      </w:r>
    </w:p>
    <w:p w14:paraId="13553488" w14:textId="77777777" w:rsidR="009D3DAC" w:rsidRPr="005706F8" w:rsidRDefault="009D3DAC" w:rsidP="00225116">
      <w:pPr>
        <w:spacing w:after="0" w:line="240" w:lineRule="auto"/>
        <w:rPr>
          <w:rFonts w:ascii="Times New Roman" w:eastAsia="Times New Roman" w:hAnsi="Times New Roman" w:cs="Times New Roman"/>
          <w:sz w:val="24"/>
          <w:szCs w:val="24"/>
        </w:rPr>
      </w:pPr>
    </w:p>
    <w:p w14:paraId="46CCFE34" w14:textId="08183FF9" w:rsidR="00925C70" w:rsidRPr="005706F8" w:rsidRDefault="00925C70" w:rsidP="00225116">
      <w:pPr>
        <w:pStyle w:val="ListParagraph"/>
        <w:numPr>
          <w:ilvl w:val="0"/>
          <w:numId w:val="7"/>
        </w:numPr>
        <w:spacing w:after="0" w:line="240" w:lineRule="auto"/>
        <w:rPr>
          <w:rFonts w:ascii="Times New Roman" w:eastAsia="Times New Roman" w:hAnsi="Times New Roman" w:cs="Times New Roman"/>
          <w:b/>
          <w:sz w:val="24"/>
          <w:szCs w:val="24"/>
          <w:u w:val="single"/>
        </w:rPr>
      </w:pPr>
      <w:r w:rsidRPr="005706F8">
        <w:rPr>
          <w:rFonts w:ascii="Times New Roman" w:eastAsia="Times New Roman" w:hAnsi="Times New Roman" w:cs="Times New Roman"/>
          <w:b/>
          <w:sz w:val="24"/>
          <w:szCs w:val="24"/>
          <w:u w:val="single"/>
        </w:rPr>
        <w:t>Standard for Ruling on A Motion to Dismiss</w:t>
      </w:r>
    </w:p>
    <w:p w14:paraId="2DB85E82" w14:textId="264A0F9E" w:rsidR="001B4C09" w:rsidRDefault="005D0951" w:rsidP="005D0951">
      <w:pPr>
        <w:tabs>
          <w:tab w:val="left" w:pos="600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50E7453" w14:textId="11C309FE" w:rsidR="001B4C09" w:rsidRPr="005D0951" w:rsidRDefault="001B4C09" w:rsidP="00F64749">
      <w:pPr>
        <w:spacing w:after="0" w:line="240" w:lineRule="auto"/>
        <w:rPr>
          <w:rFonts w:ascii="Times New Roman" w:eastAsia="Times New Roman" w:hAnsi="Times New Roman" w:cs="Times New Roman"/>
          <w:sz w:val="24"/>
          <w:szCs w:val="24"/>
        </w:rPr>
      </w:pPr>
      <w:r w:rsidRPr="005D0951">
        <w:rPr>
          <w:rStyle w:val="s5"/>
          <w:rFonts w:ascii="Times New Roman" w:hAnsi="Times New Roman" w:cs="Times New Roman"/>
          <w:color w:val="4B4D4D"/>
          <w:sz w:val="24"/>
          <w:szCs w:val="24"/>
        </w:rPr>
        <w:t xml:space="preserve">Pursuant to the </w:t>
      </w:r>
      <w:r w:rsidRPr="005D0951">
        <w:rPr>
          <w:rStyle w:val="s5"/>
          <w:rFonts w:ascii="Times New Roman" w:hAnsi="Times New Roman" w:cs="Times New Roman"/>
          <w:i/>
          <w:iCs/>
          <w:color w:val="4B4D4D"/>
          <w:sz w:val="24"/>
          <w:szCs w:val="24"/>
        </w:rPr>
        <w:t xml:space="preserve">Standard Adjudicatory Rules of Practice and Procedure, </w:t>
      </w:r>
      <w:r w:rsidRPr="005D0951">
        <w:rPr>
          <w:rStyle w:val="s5"/>
          <w:rFonts w:ascii="Times New Roman" w:hAnsi="Times New Roman" w:cs="Times New Roman"/>
          <w:color w:val="4B4D4D"/>
          <w:sz w:val="24"/>
          <w:szCs w:val="24"/>
        </w:rPr>
        <w:t xml:space="preserve">801 CMR </w:t>
      </w:r>
      <w:r w:rsidRPr="005D0951">
        <w:rPr>
          <w:rStyle w:val="s3"/>
          <w:rFonts w:ascii="Times New Roman" w:hAnsi="Times New Roman" w:cs="Times New Roman"/>
          <w:color w:val="4B4D4D"/>
          <w:sz w:val="24"/>
          <w:szCs w:val="24"/>
        </w:rPr>
        <w:t xml:space="preserve">1.01(7)(g)(3) and Rule 17B of the BSEA </w:t>
      </w:r>
      <w:r w:rsidRPr="005D0951">
        <w:rPr>
          <w:rStyle w:val="s3"/>
          <w:rFonts w:ascii="Times New Roman" w:hAnsi="Times New Roman" w:cs="Times New Roman"/>
          <w:i/>
          <w:iCs/>
          <w:color w:val="4B4D4D"/>
          <w:sz w:val="24"/>
          <w:szCs w:val="24"/>
        </w:rPr>
        <w:t xml:space="preserve">Hearing Rules for Special Education Appeals, </w:t>
      </w:r>
      <w:r w:rsidRPr="005D0951">
        <w:rPr>
          <w:rStyle w:val="s3"/>
          <w:rFonts w:ascii="Times New Roman" w:hAnsi="Times New Roman" w:cs="Times New Roman"/>
          <w:color w:val="4B4D4D"/>
          <w:sz w:val="24"/>
          <w:szCs w:val="24"/>
        </w:rPr>
        <w:t xml:space="preserve">a </w:t>
      </w:r>
      <w:r w:rsidRPr="005D0951">
        <w:rPr>
          <w:rFonts w:ascii="Times New Roman" w:hAnsi="Times New Roman" w:cs="Times New Roman"/>
          <w:color w:val="4B4D4D"/>
          <w:sz w:val="24"/>
          <w:szCs w:val="24"/>
        </w:rPr>
        <w:t xml:space="preserve">hearing officer may allow a motion to dismiss if the party requesting the appeal fails to state </w:t>
      </w:r>
      <w:r w:rsidRPr="005D0951">
        <w:rPr>
          <w:rStyle w:val="s3"/>
          <w:rFonts w:ascii="Times New Roman" w:hAnsi="Times New Roman" w:cs="Times New Roman"/>
          <w:color w:val="4B4D4D"/>
          <w:sz w:val="24"/>
          <w:szCs w:val="24"/>
        </w:rPr>
        <w:t xml:space="preserve">a claim on which relief can be granted. This rule is analogous to Rule 12(b)(6) of the Federal Rules of Civil Procedure and as such hearing officers have generally used the same standards as the courts in deciding motions to dismiss for failure to state a claim. Specifically, what is </w:t>
      </w:r>
      <w:r w:rsidRPr="005D0951">
        <w:rPr>
          <w:rFonts w:ascii="Times New Roman" w:hAnsi="Times New Roman" w:cs="Times New Roman"/>
          <w:color w:val="4B4D4D"/>
          <w:sz w:val="24"/>
          <w:szCs w:val="24"/>
        </w:rPr>
        <w:t xml:space="preserve">required to survive a motion to dismiss “are factual ‘allegations plausibly suggesting (not </w:t>
      </w:r>
      <w:r w:rsidRPr="005D0951">
        <w:rPr>
          <w:rStyle w:val="s3"/>
          <w:rFonts w:ascii="Times New Roman" w:hAnsi="Times New Roman" w:cs="Times New Roman"/>
          <w:color w:val="4B4D4D"/>
          <w:sz w:val="24"/>
          <w:szCs w:val="24"/>
        </w:rPr>
        <w:t>merely consistent with)’ an entitlement to relief.”</w:t>
      </w:r>
      <w:r w:rsidR="0029646A">
        <w:rPr>
          <w:rStyle w:val="FootnoteReference"/>
          <w:rFonts w:ascii="Times New Roman" w:hAnsi="Times New Roman" w:cs="Times New Roman"/>
          <w:color w:val="4B4D4D"/>
          <w:sz w:val="24"/>
          <w:szCs w:val="24"/>
        </w:rPr>
        <w:footnoteReference w:id="3"/>
      </w:r>
      <w:r w:rsidRPr="005D0951">
        <w:rPr>
          <w:rStyle w:val="s3"/>
          <w:rFonts w:ascii="Times New Roman" w:hAnsi="Times New Roman" w:cs="Times New Roman"/>
          <w:color w:val="4B4D4D"/>
          <w:sz w:val="24"/>
          <w:szCs w:val="24"/>
        </w:rPr>
        <w:t xml:space="preserve"> In evaluating the complaint, the hearing officer must take as true “the allegations of the complaint, as well as such inferences as may be drawn therefrom in the plaintiff’s favor.”</w:t>
      </w:r>
      <w:r w:rsidR="00EF0D90">
        <w:rPr>
          <w:rStyle w:val="FootnoteReference"/>
          <w:rFonts w:ascii="Times New Roman" w:hAnsi="Times New Roman" w:cs="Times New Roman"/>
          <w:color w:val="4B4D4D"/>
          <w:sz w:val="24"/>
          <w:szCs w:val="24"/>
        </w:rPr>
        <w:footnoteReference w:id="4"/>
      </w:r>
      <w:r w:rsidR="00EF0D90">
        <w:rPr>
          <w:rStyle w:val="s3"/>
          <w:rFonts w:ascii="Times New Roman" w:hAnsi="Times New Roman" w:cs="Times New Roman"/>
          <w:color w:val="4B4D4D"/>
          <w:sz w:val="24"/>
          <w:szCs w:val="24"/>
        </w:rPr>
        <w:t xml:space="preserve">  </w:t>
      </w:r>
      <w:r w:rsidRPr="005D0951">
        <w:rPr>
          <w:rStyle w:val="s3"/>
          <w:rFonts w:ascii="Times New Roman" w:hAnsi="Times New Roman" w:cs="Times New Roman"/>
          <w:color w:val="4B4D4D"/>
          <w:sz w:val="24"/>
          <w:szCs w:val="24"/>
        </w:rPr>
        <w:t xml:space="preserve">These “[f]actual allegations must be enough to </w:t>
      </w:r>
      <w:r w:rsidRPr="005D0951">
        <w:rPr>
          <w:rStyle w:val="s4"/>
          <w:rFonts w:ascii="Times New Roman" w:hAnsi="Times New Roman" w:cs="Times New Roman"/>
          <w:color w:val="4B4D4D"/>
          <w:sz w:val="24"/>
          <w:szCs w:val="24"/>
        </w:rPr>
        <w:t xml:space="preserve">raise a right to relief above the speculative level . . . [based] on the assumption that all the </w:t>
      </w:r>
      <w:r w:rsidRPr="005D0951">
        <w:rPr>
          <w:rStyle w:val="s5"/>
          <w:rFonts w:ascii="Times New Roman" w:hAnsi="Times New Roman" w:cs="Times New Roman"/>
          <w:color w:val="4B4D4D"/>
          <w:sz w:val="24"/>
          <w:szCs w:val="24"/>
        </w:rPr>
        <w:t>allegations in the complaint are true (even if doubtful in fact). . .”</w:t>
      </w:r>
      <w:r w:rsidR="00EF0D90">
        <w:rPr>
          <w:rStyle w:val="FootnoteReference"/>
          <w:rFonts w:ascii="Times New Roman" w:hAnsi="Times New Roman" w:cs="Times New Roman"/>
          <w:color w:val="4B4D4D"/>
          <w:sz w:val="24"/>
          <w:szCs w:val="24"/>
        </w:rPr>
        <w:footnoteReference w:id="5"/>
      </w:r>
    </w:p>
    <w:p w14:paraId="7F0EE668" w14:textId="77777777" w:rsidR="009D3DAC" w:rsidRPr="005706F8" w:rsidRDefault="009D3DAC" w:rsidP="005D0951">
      <w:pPr>
        <w:spacing w:after="0" w:line="240" w:lineRule="auto"/>
        <w:ind w:firstLine="720"/>
        <w:jc w:val="right"/>
        <w:rPr>
          <w:rFonts w:ascii="Times New Roman" w:eastAsia="Times New Roman" w:hAnsi="Times New Roman" w:cs="Times New Roman"/>
          <w:sz w:val="24"/>
          <w:szCs w:val="24"/>
        </w:rPr>
      </w:pPr>
    </w:p>
    <w:p w14:paraId="79AA287A" w14:textId="0858CE29" w:rsidR="009D3DAC" w:rsidRPr="005706F8" w:rsidRDefault="005417EB" w:rsidP="00F64749">
      <w:pPr>
        <w:spacing w:after="0" w:line="240" w:lineRule="auto"/>
        <w:rPr>
          <w:rFonts w:ascii="Times New Roman" w:eastAsia="Times New Roman" w:hAnsi="Times New Roman" w:cs="Times New Roman"/>
          <w:sz w:val="24"/>
          <w:szCs w:val="24"/>
        </w:rPr>
      </w:pPr>
      <w:r w:rsidRPr="005706F8">
        <w:rPr>
          <w:rFonts w:ascii="Times New Roman" w:eastAsia="Times New Roman" w:hAnsi="Times New Roman" w:cs="Times New Roman"/>
          <w:sz w:val="24"/>
          <w:szCs w:val="24"/>
        </w:rPr>
        <w:t>In determining whether to dismiss a claim, a</w:t>
      </w:r>
      <w:r w:rsidR="009D3DAC" w:rsidRPr="005706F8">
        <w:rPr>
          <w:rFonts w:ascii="Times New Roman" w:eastAsia="Times New Roman" w:hAnsi="Times New Roman" w:cs="Times New Roman"/>
          <w:sz w:val="24"/>
          <w:szCs w:val="24"/>
        </w:rPr>
        <w:t xml:space="preserve"> hearing officer must consider as true all facts alleged by the party opposing dismissal</w:t>
      </w:r>
      <w:r w:rsidRPr="005706F8">
        <w:rPr>
          <w:rFonts w:ascii="Times New Roman" w:eastAsia="Times New Roman" w:hAnsi="Times New Roman" w:cs="Times New Roman"/>
          <w:sz w:val="24"/>
          <w:szCs w:val="24"/>
        </w:rPr>
        <w:t xml:space="preserve">.  The hearing officer </w:t>
      </w:r>
      <w:r w:rsidR="009D3DAC" w:rsidRPr="005706F8">
        <w:rPr>
          <w:rFonts w:ascii="Times New Roman" w:eastAsia="Times New Roman" w:hAnsi="Times New Roman" w:cs="Times New Roman"/>
          <w:sz w:val="24"/>
          <w:szCs w:val="24"/>
        </w:rPr>
        <w:t>should not dismiss</w:t>
      </w:r>
      <w:r w:rsidR="00B501FC">
        <w:rPr>
          <w:rFonts w:ascii="Times New Roman" w:eastAsia="Times New Roman" w:hAnsi="Times New Roman" w:cs="Times New Roman"/>
          <w:sz w:val="24"/>
          <w:szCs w:val="24"/>
        </w:rPr>
        <w:t xml:space="preserve"> </w:t>
      </w:r>
      <w:r w:rsidR="009B231B" w:rsidRPr="005706F8">
        <w:rPr>
          <w:rFonts w:ascii="Times New Roman" w:eastAsia="Times New Roman" w:hAnsi="Times New Roman" w:cs="Times New Roman"/>
          <w:sz w:val="24"/>
          <w:szCs w:val="24"/>
        </w:rPr>
        <w:t xml:space="preserve">the case if the </w:t>
      </w:r>
      <w:r w:rsidRPr="005706F8">
        <w:rPr>
          <w:rFonts w:ascii="Times New Roman" w:eastAsia="Times New Roman" w:hAnsi="Times New Roman" w:cs="Times New Roman"/>
          <w:sz w:val="24"/>
          <w:szCs w:val="24"/>
        </w:rPr>
        <w:t>facts</w:t>
      </w:r>
      <w:r w:rsidR="009B231B" w:rsidRPr="005706F8">
        <w:rPr>
          <w:rFonts w:ascii="Times New Roman" w:eastAsia="Times New Roman" w:hAnsi="Times New Roman" w:cs="Times New Roman"/>
          <w:sz w:val="24"/>
          <w:szCs w:val="24"/>
        </w:rPr>
        <w:t xml:space="preserve"> alleged</w:t>
      </w:r>
      <w:r w:rsidR="009D3DAC" w:rsidRPr="005706F8">
        <w:rPr>
          <w:rFonts w:ascii="Times New Roman" w:eastAsia="Times New Roman" w:hAnsi="Times New Roman" w:cs="Times New Roman"/>
          <w:sz w:val="24"/>
          <w:szCs w:val="24"/>
        </w:rPr>
        <w:t>, if proven</w:t>
      </w:r>
      <w:r w:rsidRPr="005706F8">
        <w:rPr>
          <w:rFonts w:ascii="Times New Roman" w:eastAsia="Times New Roman" w:hAnsi="Times New Roman" w:cs="Times New Roman"/>
          <w:sz w:val="24"/>
          <w:szCs w:val="24"/>
        </w:rPr>
        <w:t>,</w:t>
      </w:r>
      <w:r w:rsidR="009D3DAC" w:rsidRPr="005706F8">
        <w:rPr>
          <w:rFonts w:ascii="Times New Roman" w:eastAsia="Times New Roman" w:hAnsi="Times New Roman" w:cs="Times New Roman"/>
          <w:sz w:val="24"/>
          <w:szCs w:val="24"/>
        </w:rPr>
        <w:t xml:space="preserve"> would entitle the non-moving party</w:t>
      </w:r>
      <w:r w:rsidR="00F9707A">
        <w:rPr>
          <w:rFonts w:ascii="Times New Roman" w:eastAsia="Times New Roman" w:hAnsi="Times New Roman" w:cs="Times New Roman"/>
          <w:sz w:val="24"/>
          <w:szCs w:val="24"/>
        </w:rPr>
        <w:t xml:space="preserve"> to</w:t>
      </w:r>
      <w:r w:rsidR="009D3DAC" w:rsidRPr="005706F8">
        <w:rPr>
          <w:rFonts w:ascii="Times New Roman" w:eastAsia="Times New Roman" w:hAnsi="Times New Roman" w:cs="Times New Roman"/>
          <w:sz w:val="24"/>
          <w:szCs w:val="24"/>
        </w:rPr>
        <w:t xml:space="preserve"> relief that the BSEA has authority to grant. </w:t>
      </w:r>
      <w:r w:rsidR="009D3DAC" w:rsidRPr="005706F8">
        <w:rPr>
          <w:rFonts w:ascii="Times New Roman" w:eastAsia="Times New Roman" w:hAnsi="Times New Roman" w:cs="Times New Roman"/>
          <w:i/>
          <w:sz w:val="24"/>
          <w:szCs w:val="24"/>
        </w:rPr>
        <w:t>Caleron-Ortiz v. LaBoy-Alvarado</w:t>
      </w:r>
      <w:r w:rsidR="009D3DAC" w:rsidRPr="005706F8">
        <w:rPr>
          <w:rFonts w:ascii="Times New Roman" w:eastAsia="Times New Roman" w:hAnsi="Times New Roman" w:cs="Times New Roman"/>
          <w:sz w:val="24"/>
          <w:szCs w:val="24"/>
        </w:rPr>
        <w:t>, 300 F.3d 60 (1</w:t>
      </w:r>
      <w:r w:rsidR="009D3DAC" w:rsidRPr="005706F8">
        <w:rPr>
          <w:rFonts w:ascii="Times New Roman" w:eastAsia="Times New Roman" w:hAnsi="Times New Roman" w:cs="Times New Roman"/>
          <w:sz w:val="24"/>
          <w:szCs w:val="24"/>
          <w:vertAlign w:val="superscript"/>
        </w:rPr>
        <w:t>st</w:t>
      </w:r>
      <w:r w:rsidR="009D3DAC" w:rsidRPr="005706F8">
        <w:rPr>
          <w:rFonts w:ascii="Times New Roman" w:eastAsia="Times New Roman" w:hAnsi="Times New Roman" w:cs="Times New Roman"/>
          <w:sz w:val="24"/>
          <w:szCs w:val="24"/>
        </w:rPr>
        <w:t xml:space="preserve"> Cir. 2002); </w:t>
      </w:r>
      <w:r w:rsidR="009D3DAC" w:rsidRPr="005706F8">
        <w:rPr>
          <w:rFonts w:ascii="Times New Roman" w:eastAsia="Times New Roman" w:hAnsi="Times New Roman" w:cs="Times New Roman"/>
          <w:i/>
          <w:sz w:val="24"/>
          <w:szCs w:val="24"/>
        </w:rPr>
        <w:t xml:space="preserve">Ocasio-Hernandez v. </w:t>
      </w:r>
      <w:r w:rsidR="009D3DAC" w:rsidRPr="005706F8">
        <w:rPr>
          <w:rFonts w:ascii="Times New Roman" w:eastAsia="Times New Roman" w:hAnsi="Times New Roman" w:cs="Times New Roman"/>
          <w:i/>
          <w:sz w:val="24"/>
          <w:szCs w:val="24"/>
        </w:rPr>
        <w:lastRenderedPageBreak/>
        <w:t>Fortunato-Burset</w:t>
      </w:r>
      <w:r w:rsidR="009D3DAC" w:rsidRPr="005706F8">
        <w:rPr>
          <w:rFonts w:ascii="Times New Roman" w:eastAsia="Times New Roman" w:hAnsi="Times New Roman" w:cs="Times New Roman"/>
          <w:sz w:val="24"/>
          <w:szCs w:val="24"/>
        </w:rPr>
        <w:t>, 640 F.3d. 1 (1</w:t>
      </w:r>
      <w:r w:rsidR="009D3DAC" w:rsidRPr="005706F8">
        <w:rPr>
          <w:rFonts w:ascii="Times New Roman" w:eastAsia="Times New Roman" w:hAnsi="Times New Roman" w:cs="Times New Roman"/>
          <w:sz w:val="24"/>
          <w:szCs w:val="24"/>
          <w:vertAlign w:val="superscript"/>
        </w:rPr>
        <w:t>st</w:t>
      </w:r>
      <w:r w:rsidR="009D3DAC" w:rsidRPr="005706F8">
        <w:rPr>
          <w:rFonts w:ascii="Times New Roman" w:eastAsia="Times New Roman" w:hAnsi="Times New Roman" w:cs="Times New Roman"/>
          <w:sz w:val="24"/>
          <w:szCs w:val="24"/>
        </w:rPr>
        <w:t xml:space="preserve"> Cir. 2011). </w:t>
      </w:r>
      <w:r w:rsidR="00627563" w:rsidRPr="005706F8">
        <w:rPr>
          <w:rFonts w:ascii="Times New Roman" w:eastAsia="Times New Roman" w:hAnsi="Times New Roman" w:cs="Times New Roman"/>
          <w:sz w:val="24"/>
          <w:szCs w:val="24"/>
        </w:rPr>
        <w:t xml:space="preserve"> </w:t>
      </w:r>
      <w:r w:rsidR="009D3DAC" w:rsidRPr="005706F8">
        <w:rPr>
          <w:rFonts w:ascii="Times New Roman" w:eastAsia="Times New Roman" w:hAnsi="Times New Roman" w:cs="Times New Roman"/>
          <w:sz w:val="24"/>
          <w:szCs w:val="24"/>
        </w:rPr>
        <w:t xml:space="preserve">A motion to dismiss will be denied if “accepting as true well-pleaded factual averments and indulging all reasonable inferences in the plaintiff’s favor…recovery can be justified under any applicable legal theory.” See </w:t>
      </w:r>
      <w:r w:rsidR="003F65E4" w:rsidRPr="005706F8">
        <w:rPr>
          <w:rFonts w:ascii="Times New Roman" w:eastAsia="Times New Roman" w:hAnsi="Times New Roman" w:cs="Times New Roman"/>
          <w:i/>
          <w:sz w:val="24"/>
          <w:szCs w:val="24"/>
        </w:rPr>
        <w:t>Caleron-Ortiz, supra</w:t>
      </w:r>
      <w:r w:rsidR="009D3DAC" w:rsidRPr="005706F8">
        <w:rPr>
          <w:rFonts w:ascii="Times New Roman" w:eastAsia="Times New Roman" w:hAnsi="Times New Roman" w:cs="Times New Roman"/>
          <w:sz w:val="24"/>
          <w:szCs w:val="24"/>
        </w:rPr>
        <w:t>. The factual allegations must be suffici</w:t>
      </w:r>
      <w:r w:rsidRPr="005706F8">
        <w:rPr>
          <w:rFonts w:ascii="Times New Roman" w:eastAsia="Times New Roman" w:hAnsi="Times New Roman" w:cs="Times New Roman"/>
          <w:sz w:val="24"/>
          <w:szCs w:val="24"/>
        </w:rPr>
        <w:t>ent to “raise a right to relief</w:t>
      </w:r>
      <w:r w:rsidR="009D3DAC" w:rsidRPr="005706F8">
        <w:rPr>
          <w:rFonts w:ascii="Times New Roman" w:eastAsia="Times New Roman" w:hAnsi="Times New Roman" w:cs="Times New Roman"/>
          <w:sz w:val="24"/>
          <w:szCs w:val="24"/>
        </w:rPr>
        <w:t xml:space="preserve"> above a speculative level on the assumption that the allegations in the complaint are true (even if doubtful in fact.)” </w:t>
      </w:r>
      <w:r w:rsidR="009D3DAC" w:rsidRPr="005706F8">
        <w:rPr>
          <w:rFonts w:ascii="Times New Roman" w:eastAsia="Times New Roman" w:hAnsi="Times New Roman" w:cs="Times New Roman"/>
          <w:i/>
          <w:sz w:val="24"/>
          <w:szCs w:val="24"/>
        </w:rPr>
        <w:t>Bell Atlantic v. Twombly</w:t>
      </w:r>
      <w:r w:rsidR="009D3DAC" w:rsidRPr="005706F8">
        <w:rPr>
          <w:rFonts w:ascii="Times New Roman" w:eastAsia="Times New Roman" w:hAnsi="Times New Roman" w:cs="Times New Roman"/>
          <w:sz w:val="24"/>
          <w:szCs w:val="24"/>
        </w:rPr>
        <w:t xml:space="preserve">, 550 U.S. 554, 555 (2007). </w:t>
      </w:r>
    </w:p>
    <w:p w14:paraId="0FDFC48A" w14:textId="77777777" w:rsidR="009D3DAC" w:rsidRPr="005706F8" w:rsidRDefault="009D3DAC" w:rsidP="00925C70">
      <w:pPr>
        <w:spacing w:after="0" w:line="240" w:lineRule="auto"/>
        <w:rPr>
          <w:rFonts w:ascii="Times New Roman" w:eastAsia="Times New Roman" w:hAnsi="Times New Roman" w:cs="Times New Roman"/>
          <w:sz w:val="24"/>
          <w:szCs w:val="24"/>
        </w:rPr>
      </w:pPr>
    </w:p>
    <w:p w14:paraId="057B47AB" w14:textId="5B878339" w:rsidR="009D3DAC" w:rsidRPr="005706F8" w:rsidRDefault="001B606E" w:rsidP="00F64749">
      <w:pPr>
        <w:spacing w:after="0" w:line="240" w:lineRule="auto"/>
        <w:rPr>
          <w:rFonts w:ascii="Times New Roman" w:eastAsia="Times New Roman" w:hAnsi="Times New Roman" w:cs="Times New Roman"/>
          <w:sz w:val="24"/>
          <w:szCs w:val="24"/>
        </w:rPr>
      </w:pPr>
      <w:r w:rsidRPr="005706F8">
        <w:rPr>
          <w:rFonts w:ascii="Times New Roman" w:eastAsia="Times New Roman" w:hAnsi="Times New Roman" w:cs="Times New Roman"/>
          <w:sz w:val="24"/>
          <w:szCs w:val="24"/>
        </w:rPr>
        <w:t xml:space="preserve">The </w:t>
      </w:r>
      <w:r w:rsidR="00666093" w:rsidRPr="005706F8">
        <w:rPr>
          <w:rFonts w:ascii="Times New Roman" w:eastAsia="Times New Roman" w:hAnsi="Times New Roman" w:cs="Times New Roman"/>
          <w:sz w:val="24"/>
          <w:szCs w:val="24"/>
        </w:rPr>
        <w:t xml:space="preserve">entire </w:t>
      </w:r>
      <w:r w:rsidRPr="005706F8">
        <w:rPr>
          <w:rFonts w:ascii="Times New Roman" w:eastAsia="Times New Roman" w:hAnsi="Times New Roman" w:cs="Times New Roman"/>
          <w:sz w:val="24"/>
          <w:szCs w:val="24"/>
        </w:rPr>
        <w:t>case may be dismissed o</w:t>
      </w:r>
      <w:r w:rsidR="009D3DAC" w:rsidRPr="005706F8">
        <w:rPr>
          <w:rFonts w:ascii="Times New Roman" w:eastAsia="Times New Roman" w:hAnsi="Times New Roman" w:cs="Times New Roman"/>
          <w:sz w:val="24"/>
          <w:szCs w:val="24"/>
        </w:rPr>
        <w:t xml:space="preserve">nly if the Hearing Officer cannot grant </w:t>
      </w:r>
      <w:r w:rsidRPr="005706F8">
        <w:rPr>
          <w:rFonts w:ascii="Times New Roman" w:eastAsia="Times New Roman" w:hAnsi="Times New Roman" w:cs="Times New Roman"/>
          <w:sz w:val="24"/>
          <w:szCs w:val="24"/>
        </w:rPr>
        <w:t xml:space="preserve">any </w:t>
      </w:r>
      <w:r w:rsidR="009D3DAC" w:rsidRPr="005706F8">
        <w:rPr>
          <w:rFonts w:ascii="Times New Roman" w:eastAsia="Times New Roman" w:hAnsi="Times New Roman" w:cs="Times New Roman"/>
          <w:sz w:val="24"/>
          <w:szCs w:val="24"/>
        </w:rPr>
        <w:t>relief under federal</w:t>
      </w:r>
      <w:r w:rsidRPr="005706F8">
        <w:rPr>
          <w:rStyle w:val="FootnoteReference"/>
          <w:rFonts w:ascii="Times New Roman" w:eastAsia="Times New Roman" w:hAnsi="Times New Roman" w:cs="Times New Roman"/>
          <w:sz w:val="24"/>
          <w:szCs w:val="24"/>
        </w:rPr>
        <w:footnoteReference w:id="6"/>
      </w:r>
      <w:r w:rsidR="009D3DAC" w:rsidRPr="005706F8">
        <w:rPr>
          <w:rFonts w:ascii="Times New Roman" w:eastAsia="Times New Roman" w:hAnsi="Times New Roman" w:cs="Times New Roman"/>
          <w:sz w:val="24"/>
          <w:szCs w:val="24"/>
        </w:rPr>
        <w:t xml:space="preserve"> or state</w:t>
      </w:r>
      <w:r w:rsidR="00E92F96" w:rsidRPr="005706F8">
        <w:rPr>
          <w:rStyle w:val="FootnoteReference"/>
          <w:rFonts w:ascii="Times New Roman" w:eastAsia="Times New Roman" w:hAnsi="Times New Roman" w:cs="Times New Roman"/>
          <w:sz w:val="24"/>
          <w:szCs w:val="24"/>
        </w:rPr>
        <w:footnoteReference w:id="7"/>
      </w:r>
      <w:r w:rsidR="000F2817" w:rsidRPr="005706F8">
        <w:rPr>
          <w:rFonts w:ascii="Times New Roman" w:eastAsia="Times New Roman" w:hAnsi="Times New Roman" w:cs="Times New Roman"/>
          <w:sz w:val="24"/>
          <w:szCs w:val="24"/>
        </w:rPr>
        <w:t xml:space="preserve"> special education statutes</w:t>
      </w:r>
      <w:r w:rsidR="009D3DAC" w:rsidRPr="005706F8">
        <w:rPr>
          <w:rFonts w:ascii="Times New Roman" w:eastAsia="Times New Roman" w:hAnsi="Times New Roman" w:cs="Times New Roman"/>
          <w:sz w:val="24"/>
          <w:szCs w:val="24"/>
        </w:rPr>
        <w:t xml:space="preserve">, or </w:t>
      </w:r>
      <w:r w:rsidR="0033371F" w:rsidRPr="005706F8">
        <w:rPr>
          <w:rFonts w:ascii="Times New Roman" w:eastAsia="Times New Roman" w:hAnsi="Times New Roman" w:cs="Times New Roman"/>
          <w:sz w:val="24"/>
          <w:szCs w:val="24"/>
        </w:rPr>
        <w:t>§</w:t>
      </w:r>
      <w:r w:rsidR="009D3DAC" w:rsidRPr="005706F8">
        <w:rPr>
          <w:rFonts w:ascii="Times New Roman" w:eastAsia="Times New Roman" w:hAnsi="Times New Roman" w:cs="Times New Roman"/>
          <w:sz w:val="24"/>
          <w:szCs w:val="24"/>
        </w:rPr>
        <w:t xml:space="preserve">504 </w:t>
      </w:r>
      <w:r w:rsidR="000F2817" w:rsidRPr="005706F8">
        <w:rPr>
          <w:rFonts w:ascii="Times New Roman" w:eastAsia="Times New Roman" w:hAnsi="Times New Roman" w:cs="Times New Roman"/>
          <w:sz w:val="24"/>
          <w:szCs w:val="24"/>
        </w:rPr>
        <w:t>of the Rehabilitation Act</w:t>
      </w:r>
      <w:r w:rsidRPr="005706F8">
        <w:rPr>
          <w:rFonts w:ascii="Times New Roman" w:eastAsia="Times New Roman" w:hAnsi="Times New Roman" w:cs="Times New Roman"/>
          <w:sz w:val="24"/>
          <w:szCs w:val="24"/>
        </w:rPr>
        <w:t>.</w:t>
      </w:r>
      <w:r w:rsidR="000F2817" w:rsidRPr="005706F8">
        <w:rPr>
          <w:rStyle w:val="FootnoteReference"/>
          <w:rFonts w:ascii="Times New Roman" w:eastAsia="Times New Roman" w:hAnsi="Times New Roman" w:cs="Times New Roman"/>
          <w:sz w:val="24"/>
          <w:szCs w:val="24"/>
        </w:rPr>
        <w:footnoteReference w:id="8"/>
      </w:r>
      <w:r w:rsidR="009D3DAC" w:rsidRPr="005706F8">
        <w:rPr>
          <w:rFonts w:ascii="Times New Roman" w:eastAsia="Times New Roman" w:hAnsi="Times New Roman" w:cs="Times New Roman"/>
          <w:sz w:val="24"/>
          <w:szCs w:val="24"/>
        </w:rPr>
        <w:t xml:space="preserve"> See </w:t>
      </w:r>
      <w:r w:rsidR="003F65E4" w:rsidRPr="005706F8">
        <w:rPr>
          <w:rFonts w:ascii="Times New Roman" w:eastAsia="Times New Roman" w:hAnsi="Times New Roman" w:cs="Times New Roman"/>
          <w:i/>
          <w:sz w:val="24"/>
          <w:szCs w:val="24"/>
        </w:rPr>
        <w:t xml:space="preserve">Calderon-Ortiz, supra; </w:t>
      </w:r>
      <w:r w:rsidR="005417EB" w:rsidRPr="005706F8">
        <w:rPr>
          <w:rFonts w:ascii="Times New Roman" w:eastAsia="Times New Roman" w:hAnsi="Times New Roman" w:cs="Times New Roman"/>
          <w:i/>
          <w:sz w:val="24"/>
          <w:szCs w:val="24"/>
        </w:rPr>
        <w:t>Wh</w:t>
      </w:r>
      <w:r w:rsidR="009D3DAC" w:rsidRPr="005706F8">
        <w:rPr>
          <w:rFonts w:ascii="Times New Roman" w:eastAsia="Times New Roman" w:hAnsi="Times New Roman" w:cs="Times New Roman"/>
          <w:i/>
          <w:sz w:val="24"/>
          <w:szCs w:val="24"/>
        </w:rPr>
        <w:t>itinsville Plaza Inc. v. Kotseas</w:t>
      </w:r>
      <w:r w:rsidR="009D3DAC" w:rsidRPr="005706F8">
        <w:rPr>
          <w:rFonts w:ascii="Times New Roman" w:eastAsia="Times New Roman" w:hAnsi="Times New Roman" w:cs="Times New Roman"/>
          <w:sz w:val="24"/>
          <w:szCs w:val="24"/>
        </w:rPr>
        <w:t xml:space="preserve">, 378 Mass. 85, 89 (1979); </w:t>
      </w:r>
      <w:r w:rsidR="009D3DAC" w:rsidRPr="005706F8">
        <w:rPr>
          <w:rFonts w:ascii="Times New Roman" w:eastAsia="Times New Roman" w:hAnsi="Times New Roman" w:cs="Times New Roman"/>
          <w:i/>
          <w:sz w:val="24"/>
          <w:szCs w:val="24"/>
        </w:rPr>
        <w:t>Nader v. Citron</w:t>
      </w:r>
      <w:r w:rsidR="009D3DAC" w:rsidRPr="005706F8">
        <w:rPr>
          <w:rFonts w:ascii="Times New Roman" w:eastAsia="Times New Roman" w:hAnsi="Times New Roman" w:cs="Times New Roman"/>
          <w:sz w:val="24"/>
          <w:szCs w:val="24"/>
        </w:rPr>
        <w:t xml:space="preserve">, 372 Mass. 96, 98 (1977); </w:t>
      </w:r>
      <w:r w:rsidR="009D3DAC" w:rsidRPr="005706F8">
        <w:rPr>
          <w:rFonts w:ascii="Times New Roman" w:eastAsia="Times New Roman" w:hAnsi="Times New Roman" w:cs="Times New Roman"/>
          <w:i/>
          <w:sz w:val="24"/>
          <w:szCs w:val="24"/>
        </w:rPr>
        <w:t>Norfolk County Agricultural School</w:t>
      </w:r>
      <w:r w:rsidR="009D3DAC" w:rsidRPr="005706F8">
        <w:rPr>
          <w:rFonts w:ascii="Times New Roman" w:eastAsia="Times New Roman" w:hAnsi="Times New Roman" w:cs="Times New Roman"/>
          <w:sz w:val="24"/>
          <w:szCs w:val="24"/>
        </w:rPr>
        <w:t>, 45 IDELR, 26 (</w:t>
      </w:r>
      <w:r w:rsidR="003F65E4" w:rsidRPr="005706F8">
        <w:rPr>
          <w:rFonts w:ascii="Times New Roman" w:eastAsia="Times New Roman" w:hAnsi="Times New Roman" w:cs="Times New Roman"/>
          <w:sz w:val="24"/>
          <w:szCs w:val="24"/>
        </w:rPr>
        <w:t>2005)</w:t>
      </w:r>
      <w:r w:rsidRPr="005706F8">
        <w:rPr>
          <w:rFonts w:ascii="Times New Roman" w:eastAsia="Times New Roman" w:hAnsi="Times New Roman" w:cs="Times New Roman"/>
          <w:sz w:val="24"/>
          <w:szCs w:val="24"/>
        </w:rPr>
        <w:t>.</w:t>
      </w:r>
      <w:r w:rsidR="00666093" w:rsidRPr="005706F8">
        <w:rPr>
          <w:rFonts w:ascii="Times New Roman" w:eastAsia="Times New Roman" w:hAnsi="Times New Roman" w:cs="Times New Roman"/>
          <w:sz w:val="24"/>
          <w:szCs w:val="24"/>
        </w:rPr>
        <w:t xml:space="preserve">  </w:t>
      </w:r>
      <w:r w:rsidR="009D3DAC" w:rsidRPr="005706F8">
        <w:rPr>
          <w:rFonts w:ascii="Times New Roman" w:eastAsia="Times New Roman" w:hAnsi="Times New Roman" w:cs="Times New Roman"/>
          <w:sz w:val="24"/>
          <w:szCs w:val="24"/>
        </w:rPr>
        <w:t>Conversely, if the opposing party’s allegations raise the plausibility of a viable claim that may give rise to some form of reli</w:t>
      </w:r>
      <w:r w:rsidR="005417EB" w:rsidRPr="005706F8">
        <w:rPr>
          <w:rFonts w:ascii="Times New Roman" w:eastAsia="Times New Roman" w:hAnsi="Times New Roman" w:cs="Times New Roman"/>
          <w:sz w:val="24"/>
          <w:szCs w:val="24"/>
        </w:rPr>
        <w:t xml:space="preserve">ef </w:t>
      </w:r>
      <w:r w:rsidRPr="005706F8">
        <w:rPr>
          <w:rFonts w:ascii="Times New Roman" w:eastAsia="Times New Roman" w:hAnsi="Times New Roman" w:cs="Times New Roman"/>
          <w:sz w:val="24"/>
          <w:szCs w:val="24"/>
        </w:rPr>
        <w:t>cognizable</w:t>
      </w:r>
      <w:r w:rsidR="00010C74" w:rsidRPr="005706F8">
        <w:rPr>
          <w:rFonts w:ascii="Times New Roman" w:eastAsia="Times New Roman" w:hAnsi="Times New Roman" w:cs="Times New Roman"/>
          <w:sz w:val="24"/>
          <w:szCs w:val="24"/>
        </w:rPr>
        <w:t xml:space="preserve"> under</w:t>
      </w:r>
      <w:r w:rsidRPr="005706F8">
        <w:rPr>
          <w:rFonts w:ascii="Times New Roman" w:eastAsia="Times New Roman" w:hAnsi="Times New Roman" w:cs="Times New Roman"/>
          <w:sz w:val="24"/>
          <w:szCs w:val="24"/>
        </w:rPr>
        <w:t xml:space="preserve"> </w:t>
      </w:r>
      <w:r w:rsidR="000F2817" w:rsidRPr="005706F8">
        <w:rPr>
          <w:rFonts w:ascii="Times New Roman" w:eastAsia="Times New Roman" w:hAnsi="Times New Roman" w:cs="Times New Roman"/>
          <w:sz w:val="24"/>
          <w:szCs w:val="24"/>
        </w:rPr>
        <w:t>any one or more of these statutory provisions,</w:t>
      </w:r>
      <w:r w:rsidR="009D3DAC" w:rsidRPr="005706F8">
        <w:rPr>
          <w:rFonts w:ascii="Times New Roman" w:eastAsia="Times New Roman" w:hAnsi="Times New Roman" w:cs="Times New Roman"/>
          <w:sz w:val="24"/>
          <w:szCs w:val="24"/>
        </w:rPr>
        <w:t xml:space="preserve"> the matter </w:t>
      </w:r>
      <w:r w:rsidR="000F2817" w:rsidRPr="005706F8">
        <w:rPr>
          <w:rFonts w:ascii="Times New Roman" w:eastAsia="Times New Roman" w:hAnsi="Times New Roman" w:cs="Times New Roman"/>
          <w:sz w:val="24"/>
          <w:szCs w:val="24"/>
        </w:rPr>
        <w:t xml:space="preserve">should </w:t>
      </w:r>
      <w:r w:rsidR="009D3DAC" w:rsidRPr="005706F8">
        <w:rPr>
          <w:rFonts w:ascii="Times New Roman" w:eastAsia="Times New Roman" w:hAnsi="Times New Roman" w:cs="Times New Roman"/>
          <w:sz w:val="24"/>
          <w:szCs w:val="24"/>
        </w:rPr>
        <w:t xml:space="preserve">not be dismissed. See </w:t>
      </w:r>
      <w:r w:rsidR="009D3DAC" w:rsidRPr="005706F8">
        <w:rPr>
          <w:rFonts w:ascii="Times New Roman" w:eastAsia="Times New Roman" w:hAnsi="Times New Roman" w:cs="Times New Roman"/>
          <w:i/>
          <w:sz w:val="24"/>
          <w:szCs w:val="24"/>
        </w:rPr>
        <w:t>Ashc</w:t>
      </w:r>
      <w:r w:rsidR="00B74C43" w:rsidRPr="005706F8">
        <w:rPr>
          <w:rFonts w:ascii="Times New Roman" w:eastAsia="Times New Roman" w:hAnsi="Times New Roman" w:cs="Times New Roman"/>
          <w:i/>
          <w:sz w:val="24"/>
          <w:szCs w:val="24"/>
        </w:rPr>
        <w:t xml:space="preserve">roft </w:t>
      </w:r>
      <w:r w:rsidR="009D3DAC" w:rsidRPr="005706F8">
        <w:rPr>
          <w:rFonts w:ascii="Times New Roman" w:eastAsia="Times New Roman" w:hAnsi="Times New Roman" w:cs="Times New Roman"/>
          <w:i/>
          <w:sz w:val="24"/>
          <w:szCs w:val="24"/>
        </w:rPr>
        <w:t>v. Iqbal</w:t>
      </w:r>
      <w:r w:rsidR="009D3DAC" w:rsidRPr="005706F8">
        <w:rPr>
          <w:rFonts w:ascii="Times New Roman" w:eastAsia="Times New Roman" w:hAnsi="Times New Roman" w:cs="Times New Roman"/>
          <w:sz w:val="24"/>
          <w:szCs w:val="24"/>
        </w:rPr>
        <w:t>, 129 S. Ct. 1937, 1948 (2009).</w:t>
      </w:r>
      <w:r w:rsidR="00666093" w:rsidRPr="005706F8">
        <w:rPr>
          <w:rFonts w:ascii="Times New Roman" w:eastAsia="Times New Roman" w:hAnsi="Times New Roman" w:cs="Times New Roman"/>
          <w:sz w:val="24"/>
          <w:szCs w:val="24"/>
        </w:rPr>
        <w:t xml:space="preserve">  </w:t>
      </w:r>
      <w:r w:rsidR="009D3DAC" w:rsidRPr="005706F8">
        <w:rPr>
          <w:rFonts w:ascii="Times New Roman" w:eastAsia="Times New Roman" w:hAnsi="Times New Roman" w:cs="Times New Roman"/>
          <w:sz w:val="24"/>
          <w:szCs w:val="24"/>
        </w:rPr>
        <w:t xml:space="preserve"> </w:t>
      </w:r>
    </w:p>
    <w:p w14:paraId="0B59C5B7" w14:textId="15421086" w:rsidR="0038511F" w:rsidRPr="005706F8" w:rsidRDefault="0038511F" w:rsidP="00666093">
      <w:pPr>
        <w:spacing w:after="0" w:line="240" w:lineRule="auto"/>
        <w:rPr>
          <w:rFonts w:ascii="Times New Roman" w:eastAsia="Times New Roman" w:hAnsi="Times New Roman" w:cs="Times New Roman"/>
          <w:sz w:val="24"/>
          <w:szCs w:val="24"/>
        </w:rPr>
      </w:pPr>
    </w:p>
    <w:p w14:paraId="41C3F1BB" w14:textId="51E9C167" w:rsidR="00336310" w:rsidRPr="005706F8" w:rsidRDefault="00666093" w:rsidP="00F64749">
      <w:pPr>
        <w:spacing w:after="0" w:line="240" w:lineRule="auto"/>
        <w:rPr>
          <w:rFonts w:ascii="Times New Roman" w:eastAsia="Times New Roman" w:hAnsi="Times New Roman" w:cs="Times New Roman"/>
          <w:sz w:val="24"/>
          <w:szCs w:val="24"/>
        </w:rPr>
      </w:pPr>
      <w:r w:rsidRPr="005706F8">
        <w:rPr>
          <w:rFonts w:ascii="Times New Roman" w:eastAsia="Times New Roman" w:hAnsi="Times New Roman" w:cs="Times New Roman"/>
          <w:sz w:val="24"/>
          <w:szCs w:val="24"/>
        </w:rPr>
        <w:t xml:space="preserve">Particular claims </w:t>
      </w:r>
      <w:r w:rsidR="00B74C43" w:rsidRPr="005706F8">
        <w:rPr>
          <w:rFonts w:ascii="Times New Roman" w:eastAsia="Times New Roman" w:hAnsi="Times New Roman" w:cs="Times New Roman"/>
          <w:sz w:val="24"/>
          <w:szCs w:val="24"/>
        </w:rPr>
        <w:t>must</w:t>
      </w:r>
      <w:r w:rsidRPr="005706F8">
        <w:rPr>
          <w:rFonts w:ascii="Times New Roman" w:eastAsia="Times New Roman" w:hAnsi="Times New Roman" w:cs="Times New Roman"/>
          <w:sz w:val="24"/>
          <w:szCs w:val="24"/>
        </w:rPr>
        <w:t xml:space="preserve"> be dismissed, however, </w:t>
      </w:r>
      <w:r w:rsidR="00F9707A">
        <w:rPr>
          <w:rFonts w:ascii="Times New Roman" w:eastAsia="Times New Roman" w:hAnsi="Times New Roman" w:cs="Times New Roman"/>
          <w:sz w:val="24"/>
          <w:szCs w:val="24"/>
        </w:rPr>
        <w:t xml:space="preserve">on jurisdictional grounds, </w:t>
      </w:r>
      <w:r w:rsidRPr="005706F8">
        <w:rPr>
          <w:rFonts w:ascii="Times New Roman" w:eastAsia="Times New Roman" w:hAnsi="Times New Roman" w:cs="Times New Roman"/>
          <w:sz w:val="24"/>
          <w:szCs w:val="24"/>
        </w:rPr>
        <w:t>if they do not arise under the statutes referred to above.  Unlike a court with general jurisdiction, the BSEA may</w:t>
      </w:r>
      <w:r w:rsidR="0038511F" w:rsidRPr="005706F8">
        <w:rPr>
          <w:rFonts w:ascii="Times New Roman" w:eastAsia="Times New Roman" w:hAnsi="Times New Roman" w:cs="Times New Roman"/>
          <w:sz w:val="24"/>
          <w:szCs w:val="24"/>
        </w:rPr>
        <w:t xml:space="preserve"> consider only those claims for which enabling statutes and regulations provide express authority. See </w:t>
      </w:r>
      <w:r w:rsidR="0038511F" w:rsidRPr="005706F8">
        <w:rPr>
          <w:rFonts w:ascii="Times New Roman" w:eastAsia="Times New Roman" w:hAnsi="Times New Roman" w:cs="Times New Roman"/>
          <w:i/>
          <w:sz w:val="24"/>
          <w:szCs w:val="24"/>
        </w:rPr>
        <w:t>Globe Newspaper Co. v. Beacon Hill Architectural Comm.</w:t>
      </w:r>
      <w:r w:rsidR="0038511F" w:rsidRPr="005706F8">
        <w:rPr>
          <w:rFonts w:ascii="Times New Roman" w:eastAsia="Times New Roman" w:hAnsi="Times New Roman" w:cs="Times New Roman"/>
          <w:sz w:val="24"/>
          <w:szCs w:val="24"/>
        </w:rPr>
        <w:t xml:space="preserve">, 421 Mass. 570 (1996). </w:t>
      </w:r>
      <w:r w:rsidR="00336310" w:rsidRPr="005706F8">
        <w:rPr>
          <w:rFonts w:ascii="Times New Roman" w:eastAsia="Times New Roman" w:hAnsi="Times New Roman" w:cs="Times New Roman"/>
          <w:sz w:val="24"/>
          <w:szCs w:val="24"/>
        </w:rPr>
        <w:t xml:space="preserve"> Thus, </w:t>
      </w:r>
      <w:r w:rsidR="009A08F3" w:rsidRPr="005706F8">
        <w:rPr>
          <w:rFonts w:ascii="Times New Roman" w:eastAsia="Times New Roman" w:hAnsi="Times New Roman" w:cs="Times New Roman"/>
          <w:sz w:val="24"/>
          <w:szCs w:val="24"/>
        </w:rPr>
        <w:t xml:space="preserve">MGL c. 71B§2A, the </w:t>
      </w:r>
      <w:r w:rsidR="00553E78" w:rsidRPr="005706F8">
        <w:rPr>
          <w:rFonts w:ascii="Times New Roman" w:eastAsia="Times New Roman" w:hAnsi="Times New Roman" w:cs="Times New Roman"/>
          <w:sz w:val="24"/>
          <w:szCs w:val="24"/>
        </w:rPr>
        <w:t xml:space="preserve">current Massachusetts enabling statute for the BSEA, </w:t>
      </w:r>
      <w:r w:rsidR="009A08F3" w:rsidRPr="005706F8">
        <w:rPr>
          <w:rFonts w:ascii="Times New Roman" w:eastAsia="Times New Roman" w:hAnsi="Times New Roman" w:cs="Times New Roman"/>
          <w:sz w:val="24"/>
          <w:szCs w:val="24"/>
        </w:rPr>
        <w:t>limits its jurisdiction to the following:</w:t>
      </w:r>
    </w:p>
    <w:p w14:paraId="26C883BF" w14:textId="2660BB06" w:rsidR="00336310" w:rsidRPr="005706F8" w:rsidRDefault="000245DB" w:rsidP="000245DB">
      <w:pPr>
        <w:tabs>
          <w:tab w:val="left" w:pos="8428"/>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A6BA50A" w14:textId="4BB9758A" w:rsidR="00553E78" w:rsidRPr="005706F8" w:rsidRDefault="00336310" w:rsidP="00257A8C">
      <w:pPr>
        <w:spacing w:after="0" w:line="240" w:lineRule="auto"/>
        <w:ind w:left="1440" w:right="1440"/>
        <w:rPr>
          <w:rFonts w:ascii="Times New Roman" w:eastAsia="Times New Roman" w:hAnsi="Times New Roman" w:cs="Times New Roman"/>
          <w:sz w:val="24"/>
          <w:szCs w:val="24"/>
        </w:rPr>
      </w:pPr>
      <w:r w:rsidRPr="005706F8">
        <w:rPr>
          <w:rFonts w:ascii="Times New Roman" w:eastAsia="Times New Roman" w:hAnsi="Times New Roman" w:cs="Times New Roman"/>
          <w:sz w:val="24"/>
          <w:szCs w:val="24"/>
        </w:rPr>
        <w:t xml:space="preserve">[Resolution of] disputes between and among parents, school districts, private schools and state agencies concerning (i) any matter relating to the identification, evaluation, education program or educational placement of a child with a disability or the provision of a free and appropriate public education to the child </w:t>
      </w:r>
      <w:r w:rsidRPr="005706F8">
        <w:rPr>
          <w:rFonts w:ascii="Times New Roman" w:eastAsia="Times New Roman" w:hAnsi="Times New Roman" w:cs="Times New Roman"/>
          <w:i/>
          <w:sz w:val="24"/>
          <w:szCs w:val="24"/>
        </w:rPr>
        <w:t>arising under this chapter and regulations promulgated hereunder or under the Individuals with Disabilities Education Act…and its regulations; or (ii) a student’s rights</w:t>
      </w:r>
      <w:r w:rsidR="009A08F3" w:rsidRPr="005706F8">
        <w:rPr>
          <w:rFonts w:ascii="Times New Roman" w:eastAsia="Times New Roman" w:hAnsi="Times New Roman" w:cs="Times New Roman"/>
          <w:i/>
          <w:sz w:val="24"/>
          <w:szCs w:val="24"/>
        </w:rPr>
        <w:t xml:space="preserve"> under Section 504 of the Rehabilitation Act of 1973, 29 USC section 794, and its regulations.”</w:t>
      </w:r>
      <w:r w:rsidR="009A08F3" w:rsidRPr="005706F8">
        <w:rPr>
          <w:rFonts w:ascii="Times New Roman" w:eastAsia="Times New Roman" w:hAnsi="Times New Roman" w:cs="Times New Roman"/>
          <w:sz w:val="24"/>
          <w:szCs w:val="24"/>
        </w:rPr>
        <w:t xml:space="preserve">  </w:t>
      </w:r>
      <w:r w:rsidR="00553E78" w:rsidRPr="005706F8">
        <w:rPr>
          <w:rFonts w:ascii="Times New Roman" w:eastAsia="Times New Roman" w:hAnsi="Times New Roman" w:cs="Times New Roman"/>
          <w:sz w:val="24"/>
          <w:szCs w:val="24"/>
        </w:rPr>
        <w:t xml:space="preserve">(Emphasis supplied).  </w:t>
      </w:r>
    </w:p>
    <w:p w14:paraId="36D6EAB7" w14:textId="77777777" w:rsidR="009A08F3" w:rsidRPr="005706F8" w:rsidRDefault="009A08F3" w:rsidP="009A08F3">
      <w:pPr>
        <w:spacing w:after="0" w:line="240" w:lineRule="auto"/>
        <w:rPr>
          <w:rFonts w:ascii="Times New Roman" w:eastAsia="Times New Roman" w:hAnsi="Times New Roman" w:cs="Times New Roman"/>
          <w:sz w:val="24"/>
          <w:szCs w:val="24"/>
        </w:rPr>
      </w:pPr>
    </w:p>
    <w:p w14:paraId="6BBC7EFC" w14:textId="5795F1D2" w:rsidR="009A08F3" w:rsidRPr="005706F8" w:rsidRDefault="009A08F3" w:rsidP="00F64749">
      <w:pPr>
        <w:spacing w:after="0" w:line="240" w:lineRule="auto"/>
        <w:rPr>
          <w:rFonts w:ascii="Times New Roman" w:eastAsia="Times New Roman" w:hAnsi="Times New Roman" w:cs="Times New Roman"/>
          <w:sz w:val="24"/>
          <w:szCs w:val="24"/>
        </w:rPr>
      </w:pPr>
      <w:r w:rsidRPr="005706F8">
        <w:rPr>
          <w:rFonts w:ascii="Times New Roman" w:eastAsia="Times New Roman" w:hAnsi="Times New Roman" w:cs="Times New Roman"/>
          <w:sz w:val="24"/>
          <w:szCs w:val="24"/>
        </w:rPr>
        <w:t>The s</w:t>
      </w:r>
      <w:r w:rsidR="00553E78" w:rsidRPr="005706F8">
        <w:rPr>
          <w:rFonts w:ascii="Times New Roman" w:eastAsia="Times New Roman" w:hAnsi="Times New Roman" w:cs="Times New Roman"/>
          <w:sz w:val="24"/>
          <w:szCs w:val="24"/>
        </w:rPr>
        <w:t>tate special education regulations implementing</w:t>
      </w:r>
      <w:r w:rsidRPr="005706F8">
        <w:rPr>
          <w:rFonts w:ascii="Times New Roman" w:eastAsia="Times New Roman" w:hAnsi="Times New Roman" w:cs="Times New Roman"/>
          <w:sz w:val="24"/>
          <w:szCs w:val="24"/>
        </w:rPr>
        <w:t xml:space="preserve"> </w:t>
      </w:r>
      <w:r w:rsidR="00B74C43" w:rsidRPr="005706F8">
        <w:rPr>
          <w:rFonts w:ascii="Times New Roman" w:eastAsia="Times New Roman" w:hAnsi="Times New Roman" w:cs="Times New Roman"/>
          <w:sz w:val="24"/>
          <w:szCs w:val="24"/>
        </w:rPr>
        <w:t xml:space="preserve">MGL c. 71B, 603 CMR </w:t>
      </w:r>
      <w:r w:rsidR="00553E78" w:rsidRPr="005706F8">
        <w:rPr>
          <w:rFonts w:ascii="Times New Roman" w:eastAsia="Times New Roman" w:hAnsi="Times New Roman" w:cs="Times New Roman"/>
          <w:sz w:val="24"/>
          <w:szCs w:val="24"/>
        </w:rPr>
        <w:t xml:space="preserve">28.00 </w:t>
      </w:r>
      <w:r w:rsidR="00553E78" w:rsidRPr="005706F8">
        <w:rPr>
          <w:rFonts w:ascii="Times New Roman" w:eastAsia="Times New Roman" w:hAnsi="Times New Roman" w:cs="Times New Roman"/>
          <w:i/>
          <w:sz w:val="24"/>
          <w:szCs w:val="24"/>
        </w:rPr>
        <w:t>et seq</w:t>
      </w:r>
      <w:r w:rsidR="00553E78" w:rsidRPr="005706F8">
        <w:rPr>
          <w:rFonts w:ascii="Times New Roman" w:eastAsia="Times New Roman" w:hAnsi="Times New Roman" w:cs="Times New Roman"/>
          <w:sz w:val="24"/>
          <w:szCs w:val="24"/>
        </w:rPr>
        <w:t xml:space="preserve">., </w:t>
      </w:r>
      <w:r w:rsidRPr="005706F8">
        <w:rPr>
          <w:rFonts w:ascii="Times New Roman" w:eastAsia="Times New Roman" w:hAnsi="Times New Roman" w:cs="Times New Roman"/>
          <w:sz w:val="24"/>
          <w:szCs w:val="24"/>
        </w:rPr>
        <w:t xml:space="preserve">track the </w:t>
      </w:r>
      <w:r w:rsidR="00553E78" w:rsidRPr="005706F8">
        <w:rPr>
          <w:rFonts w:ascii="Times New Roman" w:eastAsia="Times New Roman" w:hAnsi="Times New Roman" w:cs="Times New Roman"/>
          <w:sz w:val="24"/>
          <w:szCs w:val="24"/>
        </w:rPr>
        <w:t xml:space="preserve">applicable </w:t>
      </w:r>
      <w:r w:rsidRPr="005706F8">
        <w:rPr>
          <w:rFonts w:ascii="Times New Roman" w:eastAsia="Times New Roman" w:hAnsi="Times New Roman" w:cs="Times New Roman"/>
          <w:sz w:val="24"/>
          <w:szCs w:val="24"/>
        </w:rPr>
        <w:t xml:space="preserve">statutory language </w:t>
      </w:r>
      <w:r w:rsidR="00553E78" w:rsidRPr="005706F8">
        <w:rPr>
          <w:rFonts w:ascii="Times New Roman" w:eastAsia="Times New Roman" w:hAnsi="Times New Roman" w:cs="Times New Roman"/>
          <w:sz w:val="24"/>
          <w:szCs w:val="24"/>
        </w:rPr>
        <w:t>as follows:</w:t>
      </w:r>
    </w:p>
    <w:p w14:paraId="50F62DD1" w14:textId="77777777" w:rsidR="009A08F3" w:rsidRPr="005706F8" w:rsidRDefault="009A08F3" w:rsidP="009A08F3">
      <w:pPr>
        <w:spacing w:after="0" w:line="240" w:lineRule="auto"/>
        <w:rPr>
          <w:rFonts w:ascii="Times New Roman" w:eastAsia="Times New Roman" w:hAnsi="Times New Roman" w:cs="Times New Roman"/>
          <w:sz w:val="24"/>
          <w:szCs w:val="24"/>
        </w:rPr>
      </w:pPr>
    </w:p>
    <w:p w14:paraId="47F073E6" w14:textId="571847DB" w:rsidR="00995827" w:rsidRPr="005706F8" w:rsidRDefault="009A08F3" w:rsidP="00995827">
      <w:pPr>
        <w:spacing w:after="0" w:line="240" w:lineRule="auto"/>
        <w:ind w:left="1440" w:right="1440"/>
        <w:rPr>
          <w:rFonts w:ascii="Times New Roman" w:eastAsia="Times New Roman" w:hAnsi="Times New Roman" w:cs="Times New Roman"/>
          <w:sz w:val="24"/>
          <w:szCs w:val="24"/>
        </w:rPr>
      </w:pPr>
      <w:r w:rsidRPr="005706F8">
        <w:rPr>
          <w:rFonts w:ascii="Times New Roman" w:eastAsia="Times New Roman" w:hAnsi="Times New Roman" w:cs="Times New Roman"/>
          <w:sz w:val="24"/>
          <w:szCs w:val="24"/>
        </w:rPr>
        <w:t xml:space="preserve">(3) </w:t>
      </w:r>
      <w:r w:rsidRPr="005706F8">
        <w:rPr>
          <w:rFonts w:ascii="Times New Roman" w:eastAsia="Times New Roman" w:hAnsi="Times New Roman" w:cs="Times New Roman"/>
          <w:sz w:val="24"/>
          <w:szCs w:val="24"/>
          <w:u w:val="single"/>
        </w:rPr>
        <w:t>Bureau of Special Education Appeals: Jurisdiction</w:t>
      </w:r>
      <w:r w:rsidRPr="005706F8">
        <w:rPr>
          <w:rFonts w:ascii="Times New Roman" w:eastAsia="Times New Roman" w:hAnsi="Times New Roman" w:cs="Times New Roman"/>
          <w:sz w:val="24"/>
          <w:szCs w:val="24"/>
        </w:rPr>
        <w:t>. In order to provide for the resolution of differences of opinion among school districts, private schools, parents and state agencies, the [BSEA], pursuant to MGL c. 71B, §2A, shall conduct mediations and hea</w:t>
      </w:r>
      <w:r w:rsidR="00995827" w:rsidRPr="005706F8">
        <w:rPr>
          <w:rFonts w:ascii="Times New Roman" w:eastAsia="Times New Roman" w:hAnsi="Times New Roman" w:cs="Times New Roman"/>
          <w:sz w:val="24"/>
          <w:szCs w:val="24"/>
        </w:rPr>
        <w:t>rings to resolve such disputes…</w:t>
      </w:r>
    </w:p>
    <w:p w14:paraId="5989872E" w14:textId="7A652782" w:rsidR="00995827" w:rsidRPr="005706F8" w:rsidRDefault="00995827" w:rsidP="00995827">
      <w:pPr>
        <w:spacing w:after="0" w:line="240" w:lineRule="auto"/>
        <w:ind w:left="1440" w:right="1440"/>
        <w:rPr>
          <w:rFonts w:ascii="Times New Roman" w:eastAsia="Times New Roman" w:hAnsi="Times New Roman" w:cs="Times New Roman"/>
          <w:sz w:val="24"/>
          <w:szCs w:val="24"/>
        </w:rPr>
      </w:pPr>
      <w:r w:rsidRPr="005706F8">
        <w:rPr>
          <w:rFonts w:ascii="Times New Roman" w:eastAsia="Times New Roman" w:hAnsi="Times New Roman" w:cs="Times New Roman"/>
          <w:sz w:val="24"/>
          <w:szCs w:val="24"/>
        </w:rPr>
        <w:tab/>
        <w:t xml:space="preserve">(a) A parent or a school district…may request mediation and/or a hearing…on any matter concerning the eligibility, </w:t>
      </w:r>
      <w:r w:rsidRPr="005706F8">
        <w:rPr>
          <w:rFonts w:ascii="Times New Roman" w:eastAsia="Times New Roman" w:hAnsi="Times New Roman" w:cs="Times New Roman"/>
          <w:sz w:val="24"/>
          <w:szCs w:val="24"/>
        </w:rPr>
        <w:lastRenderedPageBreak/>
        <w:t>evaluation, placement, IEP provision or special education in accordance with state or federal law, or procedural protections of state and federal law for students with disabilities…[or] on any issue involving the denial of the free appropriate public education guaranteed by Section 504 of the Rehabilitation Act…</w:t>
      </w:r>
    </w:p>
    <w:p w14:paraId="7EF6E6BF" w14:textId="77777777" w:rsidR="00553E78" w:rsidRPr="005706F8" w:rsidRDefault="00553E78" w:rsidP="00553E78">
      <w:pPr>
        <w:spacing w:after="0" w:line="240" w:lineRule="auto"/>
        <w:rPr>
          <w:rFonts w:ascii="Times New Roman" w:eastAsia="Times New Roman" w:hAnsi="Times New Roman" w:cs="Times New Roman"/>
          <w:sz w:val="24"/>
          <w:szCs w:val="24"/>
        </w:rPr>
      </w:pPr>
    </w:p>
    <w:p w14:paraId="36A34DFF" w14:textId="474F8B77" w:rsidR="00CE24A0" w:rsidRPr="005706F8" w:rsidRDefault="00B74C43" w:rsidP="00553E78">
      <w:pPr>
        <w:spacing w:after="0" w:line="240" w:lineRule="auto"/>
        <w:rPr>
          <w:rFonts w:ascii="Times New Roman" w:eastAsia="Times New Roman" w:hAnsi="Times New Roman" w:cs="Times New Roman"/>
          <w:sz w:val="24"/>
          <w:szCs w:val="24"/>
        </w:rPr>
      </w:pPr>
      <w:r w:rsidRPr="005706F8">
        <w:rPr>
          <w:rFonts w:ascii="Times New Roman" w:eastAsia="Times New Roman" w:hAnsi="Times New Roman" w:cs="Times New Roman"/>
          <w:sz w:val="24"/>
          <w:szCs w:val="24"/>
        </w:rPr>
        <w:t xml:space="preserve">603 CMR </w:t>
      </w:r>
      <w:r w:rsidR="00553E78" w:rsidRPr="005706F8">
        <w:rPr>
          <w:rFonts w:ascii="Times New Roman" w:eastAsia="Times New Roman" w:hAnsi="Times New Roman" w:cs="Times New Roman"/>
          <w:sz w:val="24"/>
          <w:szCs w:val="24"/>
        </w:rPr>
        <w:t>28.08(3).</w:t>
      </w:r>
    </w:p>
    <w:p w14:paraId="18D3D864" w14:textId="77777777" w:rsidR="00CE24A0" w:rsidRPr="005706F8" w:rsidRDefault="00CE24A0" w:rsidP="00553E78">
      <w:pPr>
        <w:spacing w:after="0" w:line="240" w:lineRule="auto"/>
        <w:rPr>
          <w:rFonts w:ascii="Times New Roman" w:eastAsia="Times New Roman" w:hAnsi="Times New Roman" w:cs="Times New Roman"/>
          <w:sz w:val="24"/>
          <w:szCs w:val="24"/>
        </w:rPr>
      </w:pPr>
    </w:p>
    <w:p w14:paraId="3551E7B5" w14:textId="77777777" w:rsidR="005D1B61" w:rsidRDefault="00CE24A0" w:rsidP="00553E78">
      <w:pPr>
        <w:spacing w:after="0" w:line="240" w:lineRule="auto"/>
        <w:rPr>
          <w:rFonts w:ascii="Times New Roman" w:eastAsia="Times New Roman" w:hAnsi="Times New Roman" w:cs="Times New Roman"/>
          <w:sz w:val="24"/>
          <w:szCs w:val="24"/>
        </w:rPr>
      </w:pPr>
      <w:r w:rsidRPr="005706F8">
        <w:rPr>
          <w:rFonts w:ascii="Times New Roman" w:eastAsia="Times New Roman" w:hAnsi="Times New Roman" w:cs="Times New Roman"/>
          <w:sz w:val="24"/>
          <w:szCs w:val="24"/>
        </w:rPr>
        <w:t xml:space="preserve">The above-referenced Massachusetts statute and regulations are consistent with the pertinent </w:t>
      </w:r>
      <w:r w:rsidR="00B74C43" w:rsidRPr="005706F8">
        <w:rPr>
          <w:rFonts w:ascii="Times New Roman" w:eastAsia="Times New Roman" w:hAnsi="Times New Roman" w:cs="Times New Roman"/>
          <w:sz w:val="24"/>
          <w:szCs w:val="24"/>
        </w:rPr>
        <w:t>f</w:t>
      </w:r>
      <w:r w:rsidRPr="005706F8">
        <w:rPr>
          <w:rFonts w:ascii="Times New Roman" w:eastAsia="Times New Roman" w:hAnsi="Times New Roman" w:cs="Times New Roman"/>
          <w:sz w:val="24"/>
          <w:szCs w:val="24"/>
        </w:rPr>
        <w:t>ederal provisions.  The IDEA at 20 USC §1415</w:t>
      </w:r>
      <w:r w:rsidR="00DF5DAF" w:rsidRPr="005706F8">
        <w:rPr>
          <w:rFonts w:ascii="Times New Roman" w:eastAsia="Times New Roman" w:hAnsi="Times New Roman" w:cs="Times New Roman"/>
          <w:sz w:val="24"/>
          <w:szCs w:val="24"/>
        </w:rPr>
        <w:t>(B)(6) and corresponding regulations at 34 CFR §§300.500-517, also permit parents and/or school districts to request mediations and/or due process hearings “relating to the identification, evaluation, or educational placement of a child with a disability or the provision of FAPE to the child.” 34 CFR §300.507(a)(1).</w:t>
      </w:r>
    </w:p>
    <w:p w14:paraId="340EBCFA" w14:textId="77777777" w:rsidR="00D24480" w:rsidRDefault="00D24480" w:rsidP="00553E78">
      <w:pPr>
        <w:spacing w:after="0" w:line="240" w:lineRule="auto"/>
        <w:rPr>
          <w:rFonts w:ascii="Times New Roman" w:eastAsia="Times New Roman" w:hAnsi="Times New Roman" w:cs="Times New Roman"/>
          <w:sz w:val="24"/>
          <w:szCs w:val="24"/>
        </w:rPr>
      </w:pPr>
    </w:p>
    <w:p w14:paraId="347486B5" w14:textId="2EBDE950" w:rsidR="00D24480" w:rsidRDefault="001B4C09" w:rsidP="00553E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this framework in mind, I turn to the facts and arguments before me.</w:t>
      </w:r>
    </w:p>
    <w:p w14:paraId="46CA51F1" w14:textId="77777777" w:rsidR="00E5725A" w:rsidRDefault="00E5725A" w:rsidP="00553E78">
      <w:pPr>
        <w:spacing w:after="0" w:line="240" w:lineRule="auto"/>
        <w:rPr>
          <w:rFonts w:ascii="Times New Roman" w:eastAsia="Times New Roman" w:hAnsi="Times New Roman" w:cs="Times New Roman"/>
          <w:sz w:val="24"/>
          <w:szCs w:val="24"/>
        </w:rPr>
      </w:pPr>
    </w:p>
    <w:p w14:paraId="15A35221" w14:textId="77777777" w:rsidR="00101224" w:rsidRDefault="00E5725A" w:rsidP="00553E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noted above, the jurisdiction of the BSEA is limited.  BSEA hearing officers do not have jurisdiction over all issues arising in a school setting that pertain to special education students, as Parents argue.  </w:t>
      </w:r>
      <w:r w:rsidR="00B7418A">
        <w:rPr>
          <w:rFonts w:ascii="Times New Roman" w:eastAsia="Times New Roman" w:hAnsi="Times New Roman" w:cs="Times New Roman"/>
          <w:sz w:val="24"/>
          <w:szCs w:val="24"/>
        </w:rPr>
        <w:t>There is nothing within the state or special education law or regulations that specifically provides hearing officers with jurisdiction over the awarding of credits or the application of attendance provisions</w:t>
      </w:r>
      <w:r w:rsidR="00B13CE3">
        <w:rPr>
          <w:rFonts w:ascii="Times New Roman" w:eastAsia="Times New Roman" w:hAnsi="Times New Roman" w:cs="Times New Roman"/>
          <w:sz w:val="24"/>
          <w:szCs w:val="24"/>
        </w:rPr>
        <w:t xml:space="preserve"> to special education students</w:t>
      </w:r>
      <w:r w:rsidR="00B7418A">
        <w:rPr>
          <w:rFonts w:ascii="Times New Roman" w:eastAsia="Times New Roman" w:hAnsi="Times New Roman" w:cs="Times New Roman"/>
          <w:sz w:val="24"/>
          <w:szCs w:val="24"/>
        </w:rPr>
        <w:t xml:space="preserve">.  One BSEA decision addressed the issue of student promotion and found that the decision whether to promote a Student or not is a regular education issue, and thus beyond the jurisdiction of the BSEA.  See </w:t>
      </w:r>
      <w:r w:rsidR="00B7418A" w:rsidRPr="00B7418A">
        <w:rPr>
          <w:rFonts w:ascii="Times New Roman" w:hAnsi="Times New Roman" w:cs="Times New Roman"/>
          <w:i/>
          <w:sz w:val="24"/>
          <w:szCs w:val="24"/>
        </w:rPr>
        <w:t>Student v. Greater Fall River Regional Vocational School District</w:t>
      </w:r>
      <w:r w:rsidR="00B7418A">
        <w:rPr>
          <w:rFonts w:ascii="Times New Roman" w:hAnsi="Times New Roman" w:cs="Times New Roman"/>
          <w:sz w:val="24"/>
          <w:szCs w:val="24"/>
        </w:rPr>
        <w:t xml:space="preserve"> (</w:t>
      </w:r>
      <w:r w:rsidR="00B7418A" w:rsidRPr="00B7418A">
        <w:rPr>
          <w:rFonts w:ascii="Times New Roman" w:hAnsi="Times New Roman" w:cs="Times New Roman"/>
          <w:sz w:val="24"/>
          <w:szCs w:val="24"/>
        </w:rPr>
        <w:t>BSEA #01-3218</w:t>
      </w:r>
      <w:r w:rsidR="00B7418A">
        <w:rPr>
          <w:rFonts w:ascii="Times New Roman" w:hAnsi="Times New Roman" w:cs="Times New Roman"/>
          <w:sz w:val="24"/>
          <w:szCs w:val="24"/>
        </w:rPr>
        <w:t xml:space="preserve">) </w:t>
      </w:r>
      <w:r w:rsidR="00B7418A">
        <w:rPr>
          <w:rFonts w:ascii="Times New Roman" w:eastAsia="Times New Roman" w:hAnsi="Times New Roman" w:cs="Times New Roman"/>
          <w:sz w:val="24"/>
          <w:szCs w:val="24"/>
        </w:rPr>
        <w:t xml:space="preserve"> </w:t>
      </w:r>
      <w:r w:rsidR="00C05666">
        <w:rPr>
          <w:rFonts w:ascii="Times New Roman" w:eastAsia="Times New Roman" w:hAnsi="Times New Roman" w:cs="Times New Roman"/>
          <w:sz w:val="24"/>
          <w:szCs w:val="24"/>
        </w:rPr>
        <w:t>Similarly, the awarding of credits, which lead to a Student’s promotion from grade to grade, are not generally within the jurisdiction of the BSEA.  However, t</w:t>
      </w:r>
      <w:r w:rsidR="00B7418A">
        <w:rPr>
          <w:rFonts w:ascii="Times New Roman" w:eastAsia="Times New Roman" w:hAnsi="Times New Roman" w:cs="Times New Roman"/>
          <w:sz w:val="24"/>
          <w:szCs w:val="24"/>
        </w:rPr>
        <w:t xml:space="preserve">he above description of BSEA jurisdiction states that the BSEA has jurisdiction over the provision of FAPE.  </w:t>
      </w:r>
    </w:p>
    <w:p w14:paraId="514EB16C" w14:textId="77777777" w:rsidR="00101224" w:rsidRDefault="00101224" w:rsidP="00553E78">
      <w:pPr>
        <w:spacing w:after="0" w:line="240" w:lineRule="auto"/>
        <w:rPr>
          <w:rFonts w:ascii="Times New Roman" w:eastAsia="Times New Roman" w:hAnsi="Times New Roman" w:cs="Times New Roman"/>
          <w:sz w:val="24"/>
          <w:szCs w:val="24"/>
        </w:rPr>
      </w:pPr>
    </w:p>
    <w:p w14:paraId="5AB657F3" w14:textId="359286EB" w:rsidR="00E5725A" w:rsidRDefault="00B7418A" w:rsidP="00553E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IEP provides a roadmap for the provision of FAPE to a special education student.</w:t>
      </w:r>
      <w:r w:rsidR="005A7C15">
        <w:rPr>
          <w:rFonts w:ascii="Times New Roman" w:eastAsia="Times New Roman" w:hAnsi="Times New Roman" w:cs="Times New Roman"/>
          <w:sz w:val="24"/>
          <w:szCs w:val="24"/>
        </w:rPr>
        <w:t xml:space="preserve">  Therefore, if a Student’</w:t>
      </w:r>
      <w:r w:rsidR="005E732B">
        <w:rPr>
          <w:rFonts w:ascii="Times New Roman" w:eastAsia="Times New Roman" w:hAnsi="Times New Roman" w:cs="Times New Roman"/>
          <w:sz w:val="24"/>
          <w:szCs w:val="24"/>
        </w:rPr>
        <w:t xml:space="preserve">s IEP makes a provision regarding the award of credits to a Student, the issue of credits could come within the jurisdiction of the BSEA.  That is not Student’s situation.  </w:t>
      </w:r>
      <w:r w:rsidR="00FA2ABA">
        <w:rPr>
          <w:rFonts w:ascii="Times New Roman" w:eastAsia="Times New Roman" w:hAnsi="Times New Roman" w:cs="Times New Roman"/>
          <w:sz w:val="24"/>
          <w:szCs w:val="24"/>
        </w:rPr>
        <w:t xml:space="preserve">Since there is nothing within his accepted IEP requiring that he be awarded credits in a way different from regular education students, the BSEA does not have jurisdiction over that issue.  </w:t>
      </w:r>
    </w:p>
    <w:p w14:paraId="2F9F8B0E" w14:textId="77777777" w:rsidR="00FA2ABA" w:rsidRDefault="00FA2ABA" w:rsidP="00553E78">
      <w:pPr>
        <w:spacing w:after="0" w:line="240" w:lineRule="auto"/>
        <w:rPr>
          <w:rFonts w:ascii="Times New Roman" w:eastAsia="Times New Roman" w:hAnsi="Times New Roman" w:cs="Times New Roman"/>
          <w:sz w:val="24"/>
          <w:szCs w:val="24"/>
        </w:rPr>
      </w:pPr>
    </w:p>
    <w:p w14:paraId="1DBDBDD2" w14:textId="77777777" w:rsidR="00B2270E" w:rsidRDefault="00FA2ABA" w:rsidP="00FA2ABA">
      <w:pPr>
        <w:spacing w:after="0" w:line="240" w:lineRule="auto"/>
        <w:rPr>
          <w:rFonts w:ascii="Times New Roman" w:hAnsi="Times New Roman" w:cs="Times New Roman"/>
          <w:color w:val="4B4D4D"/>
          <w:sz w:val="24"/>
          <w:szCs w:val="24"/>
        </w:rPr>
      </w:pPr>
      <w:r>
        <w:rPr>
          <w:rFonts w:ascii="Times New Roman" w:eastAsia="Times New Roman" w:hAnsi="Times New Roman" w:cs="Times New Roman"/>
          <w:sz w:val="24"/>
          <w:szCs w:val="24"/>
        </w:rPr>
        <w:t xml:space="preserve">Parents argue that Hampden was aware that Student has anxiety and depression that sometimes interferes with his ability to attend school.  However, his accepted IEP, although including his diagnoses, does not include any indication that his disabilities impact his attendance.  In the case of </w:t>
      </w:r>
      <w:r w:rsidRPr="00101224">
        <w:rPr>
          <w:rFonts w:ascii="Times New Roman" w:eastAsia="Times New Roman" w:hAnsi="Times New Roman" w:cs="Times New Roman"/>
          <w:i/>
          <w:sz w:val="24"/>
          <w:szCs w:val="24"/>
        </w:rPr>
        <w:t xml:space="preserve">Student v. </w:t>
      </w:r>
      <w:r w:rsidRPr="00101224">
        <w:rPr>
          <w:rFonts w:ascii="Times New Roman" w:hAnsi="Times New Roman" w:cs="Times New Roman"/>
          <w:i/>
          <w:sz w:val="24"/>
          <w:szCs w:val="24"/>
        </w:rPr>
        <w:t>Attleboro Public Schools</w:t>
      </w:r>
      <w:r>
        <w:rPr>
          <w:rFonts w:ascii="Times New Roman" w:hAnsi="Times New Roman" w:cs="Times New Roman"/>
          <w:sz w:val="24"/>
          <w:szCs w:val="24"/>
        </w:rPr>
        <w:t xml:space="preserve"> (BSEA #06-0034) the hearing officer found that </w:t>
      </w:r>
      <w:r>
        <w:rPr>
          <w:rFonts w:ascii="Times New Roman" w:eastAsia="Times New Roman" w:hAnsi="Times New Roman" w:cs="Times New Roman"/>
          <w:sz w:val="24"/>
          <w:szCs w:val="24"/>
        </w:rPr>
        <w:t>, “[I]</w:t>
      </w:r>
      <w:r w:rsidR="00E90936" w:rsidRPr="00FA2ABA">
        <w:rPr>
          <w:rFonts w:ascii="Times New Roman" w:hAnsi="Times New Roman" w:cs="Times New Roman"/>
          <w:color w:val="4B4D4D"/>
          <w:sz w:val="24"/>
          <w:szCs w:val="24"/>
        </w:rPr>
        <w:t>n order for Attleboro to have a responsibility to address, through special education services and placement, the behavior of lack of attendance, there must be a sufficient nexus between this behavior and Student’s specia</w:t>
      </w:r>
      <w:r>
        <w:rPr>
          <w:rFonts w:ascii="Times New Roman" w:hAnsi="Times New Roman" w:cs="Times New Roman"/>
          <w:color w:val="4B4D4D"/>
          <w:sz w:val="24"/>
          <w:szCs w:val="24"/>
        </w:rPr>
        <w:t>l education deficits.”  In that case, Student’s IEP stated that Student’s disabilities affected his ability to attend school and to complete his coursework.  Additionally, the IEP included a goal to address his attendance issues.  Thus, in that case, Attleboro had conceded the nexus between Student’s attendance difficulties and his special education needs and therefore accepted responsibility to address that issue through special education services.  (</w:t>
      </w:r>
      <w:r w:rsidRPr="00FA2ABA">
        <w:rPr>
          <w:rFonts w:ascii="Times New Roman" w:hAnsi="Times New Roman" w:cs="Times New Roman"/>
          <w:i/>
          <w:color w:val="4B4D4D"/>
          <w:sz w:val="24"/>
          <w:szCs w:val="24"/>
        </w:rPr>
        <w:t>Id</w:t>
      </w:r>
      <w:r>
        <w:rPr>
          <w:rFonts w:ascii="Times New Roman" w:hAnsi="Times New Roman" w:cs="Times New Roman"/>
          <w:color w:val="4B4D4D"/>
          <w:sz w:val="24"/>
          <w:szCs w:val="24"/>
        </w:rPr>
        <w:t>.)</w:t>
      </w:r>
      <w:r w:rsidR="00E5725A" w:rsidRPr="00FA2ABA">
        <w:rPr>
          <w:rFonts w:ascii="Times New Roman" w:hAnsi="Times New Roman" w:cs="Times New Roman"/>
          <w:color w:val="4B4D4D"/>
          <w:sz w:val="24"/>
          <w:szCs w:val="24"/>
        </w:rPr>
        <w:t xml:space="preserve"> </w:t>
      </w:r>
      <w:r>
        <w:rPr>
          <w:rFonts w:ascii="Times New Roman" w:hAnsi="Times New Roman" w:cs="Times New Roman"/>
          <w:color w:val="4B4D4D"/>
          <w:sz w:val="24"/>
          <w:szCs w:val="24"/>
        </w:rPr>
        <w:t xml:space="preserve"> </w:t>
      </w:r>
    </w:p>
    <w:p w14:paraId="167E5080" w14:textId="1327E88D" w:rsidR="00E90936" w:rsidRDefault="00FA2ABA" w:rsidP="00FA2ABA">
      <w:pPr>
        <w:spacing w:after="0" w:line="240" w:lineRule="auto"/>
        <w:rPr>
          <w:rFonts w:ascii="Times New Roman" w:hAnsi="Times New Roman" w:cs="Times New Roman"/>
          <w:color w:val="4B4D4D"/>
          <w:sz w:val="24"/>
          <w:szCs w:val="24"/>
        </w:rPr>
      </w:pPr>
      <w:r>
        <w:rPr>
          <w:rFonts w:ascii="Times New Roman" w:hAnsi="Times New Roman" w:cs="Times New Roman"/>
          <w:color w:val="4B4D4D"/>
          <w:sz w:val="24"/>
          <w:szCs w:val="24"/>
        </w:rPr>
        <w:lastRenderedPageBreak/>
        <w:t>In the instant case, Hampden has not accepted the connection between Student’s disability and any inability to attend school as shown by Student’s IEP.  Thus, Student’s</w:t>
      </w:r>
      <w:r w:rsidR="00D208D2">
        <w:rPr>
          <w:rFonts w:ascii="Times New Roman" w:hAnsi="Times New Roman" w:cs="Times New Roman"/>
          <w:color w:val="4B4D4D"/>
          <w:sz w:val="24"/>
          <w:szCs w:val="24"/>
        </w:rPr>
        <w:t xml:space="preserve"> </w:t>
      </w:r>
      <w:r>
        <w:rPr>
          <w:rFonts w:ascii="Times New Roman" w:hAnsi="Times New Roman" w:cs="Times New Roman"/>
          <w:color w:val="4B4D4D"/>
          <w:sz w:val="24"/>
          <w:szCs w:val="24"/>
        </w:rPr>
        <w:t>credits and attendance during the time that his IEP was accepted is not within the jurisdiction of the BSEA.</w:t>
      </w:r>
      <w:r w:rsidR="00D208D2">
        <w:rPr>
          <w:rFonts w:ascii="Times New Roman" w:hAnsi="Times New Roman" w:cs="Times New Roman"/>
          <w:color w:val="4B4D4D"/>
          <w:sz w:val="24"/>
          <w:szCs w:val="24"/>
        </w:rPr>
        <w:t xml:space="preserve">  Parents’ claims with respect to the credits is dismissed with prejudice as beyond the jurisdiction of the BSEA. </w:t>
      </w:r>
      <w:r>
        <w:rPr>
          <w:rFonts w:ascii="Times New Roman" w:hAnsi="Times New Roman" w:cs="Times New Roman"/>
          <w:color w:val="4B4D4D"/>
          <w:sz w:val="24"/>
          <w:szCs w:val="24"/>
        </w:rPr>
        <w:t xml:space="preserve">  </w:t>
      </w:r>
    </w:p>
    <w:p w14:paraId="217CE20F" w14:textId="77777777" w:rsidR="00793D5F" w:rsidRDefault="00793D5F" w:rsidP="00FA2ABA">
      <w:pPr>
        <w:spacing w:after="0" w:line="240" w:lineRule="auto"/>
        <w:rPr>
          <w:rFonts w:ascii="Times New Roman" w:hAnsi="Times New Roman" w:cs="Times New Roman"/>
          <w:color w:val="4B4D4D"/>
          <w:sz w:val="24"/>
          <w:szCs w:val="24"/>
        </w:rPr>
      </w:pPr>
    </w:p>
    <w:p w14:paraId="4EF9267A" w14:textId="16ACCA34" w:rsidR="00793D5F" w:rsidRDefault="00793D5F" w:rsidP="00FA2ABA">
      <w:pPr>
        <w:spacing w:after="0" w:line="240" w:lineRule="auto"/>
        <w:rPr>
          <w:rFonts w:ascii="Times New Roman" w:hAnsi="Times New Roman" w:cs="Times New Roman"/>
          <w:color w:val="4B4D4D"/>
          <w:sz w:val="24"/>
          <w:szCs w:val="24"/>
        </w:rPr>
      </w:pPr>
      <w:r>
        <w:rPr>
          <w:rFonts w:ascii="Times New Roman" w:hAnsi="Times New Roman" w:cs="Times New Roman"/>
          <w:color w:val="4B4D4D"/>
          <w:sz w:val="24"/>
          <w:szCs w:val="24"/>
        </w:rPr>
        <w:t xml:space="preserve">However, </w:t>
      </w:r>
      <w:r w:rsidR="00A11405">
        <w:rPr>
          <w:rFonts w:ascii="Times New Roman" w:hAnsi="Times New Roman" w:cs="Times New Roman"/>
          <w:color w:val="4B4D4D"/>
          <w:sz w:val="24"/>
          <w:szCs w:val="24"/>
        </w:rPr>
        <w:t xml:space="preserve">on May 23, 2017, </w:t>
      </w:r>
      <w:r>
        <w:rPr>
          <w:rFonts w:ascii="Times New Roman" w:hAnsi="Times New Roman" w:cs="Times New Roman"/>
          <w:color w:val="4B4D4D"/>
          <w:sz w:val="24"/>
          <w:szCs w:val="24"/>
        </w:rPr>
        <w:t>Parents’</w:t>
      </w:r>
      <w:r w:rsidR="003D6F5F">
        <w:rPr>
          <w:rFonts w:ascii="Times New Roman" w:hAnsi="Times New Roman" w:cs="Times New Roman"/>
          <w:color w:val="4B4D4D"/>
          <w:sz w:val="24"/>
          <w:szCs w:val="24"/>
        </w:rPr>
        <w:t xml:space="preserve"> rejected the IEP </w:t>
      </w:r>
      <w:r w:rsidR="00D208D2">
        <w:rPr>
          <w:rFonts w:ascii="Times New Roman" w:hAnsi="Times New Roman" w:cs="Times New Roman"/>
          <w:color w:val="4B4D4D"/>
          <w:sz w:val="24"/>
          <w:szCs w:val="24"/>
        </w:rPr>
        <w:t xml:space="preserve">and challenged the IEP’s lack of accommodation relating to Student’s attendance.  Therefore, they </w:t>
      </w:r>
      <w:r w:rsidR="00705AAB">
        <w:rPr>
          <w:rFonts w:ascii="Times New Roman" w:hAnsi="Times New Roman" w:cs="Times New Roman"/>
          <w:color w:val="4B4D4D"/>
          <w:sz w:val="24"/>
          <w:szCs w:val="24"/>
        </w:rPr>
        <w:t xml:space="preserve">may </w:t>
      </w:r>
      <w:r w:rsidR="00D208D2">
        <w:rPr>
          <w:rFonts w:ascii="Times New Roman" w:hAnsi="Times New Roman" w:cs="Times New Roman"/>
          <w:color w:val="4B4D4D"/>
          <w:sz w:val="24"/>
          <w:szCs w:val="24"/>
        </w:rPr>
        <w:t>proceed with their claim that the IEP was inappropriate in that it did not provide for an accommodation for Student’s attendance for the period from May 23, 2017 until Student turned 18, on September 9, 2017</w:t>
      </w:r>
      <w:r w:rsidR="00D208D2">
        <w:rPr>
          <w:rStyle w:val="FootnoteReference"/>
          <w:rFonts w:ascii="Times New Roman" w:hAnsi="Times New Roman" w:cs="Times New Roman"/>
          <w:color w:val="4B4D4D"/>
          <w:sz w:val="24"/>
          <w:szCs w:val="24"/>
        </w:rPr>
        <w:footnoteReference w:id="9"/>
      </w:r>
      <w:r w:rsidR="00D208D2">
        <w:rPr>
          <w:rFonts w:ascii="Times New Roman" w:hAnsi="Times New Roman" w:cs="Times New Roman"/>
          <w:color w:val="4B4D4D"/>
          <w:sz w:val="24"/>
          <w:szCs w:val="24"/>
        </w:rPr>
        <w:t xml:space="preserve">.  </w:t>
      </w:r>
      <w:r w:rsidR="00E431DB">
        <w:rPr>
          <w:rFonts w:ascii="Times New Roman" w:hAnsi="Times New Roman" w:cs="Times New Roman"/>
          <w:color w:val="4B4D4D"/>
          <w:sz w:val="24"/>
          <w:szCs w:val="24"/>
        </w:rPr>
        <w:t xml:space="preserve"> </w:t>
      </w:r>
      <w:r w:rsidR="00705AAB">
        <w:rPr>
          <w:rFonts w:ascii="Times New Roman" w:hAnsi="Times New Roman" w:cs="Times New Roman"/>
          <w:color w:val="4B4D4D"/>
          <w:sz w:val="24"/>
          <w:szCs w:val="24"/>
        </w:rPr>
        <w:t xml:space="preserve">Similarly, </w:t>
      </w:r>
      <w:r w:rsidR="00AD5EC6">
        <w:rPr>
          <w:rFonts w:ascii="Times New Roman" w:hAnsi="Times New Roman" w:cs="Times New Roman"/>
          <w:color w:val="4B4D4D"/>
          <w:sz w:val="24"/>
          <w:szCs w:val="24"/>
        </w:rPr>
        <w:t>Parents may</w:t>
      </w:r>
      <w:r w:rsidR="00E431DB">
        <w:rPr>
          <w:rFonts w:ascii="Times New Roman" w:hAnsi="Times New Roman" w:cs="Times New Roman"/>
          <w:color w:val="4B4D4D"/>
          <w:sz w:val="24"/>
          <w:szCs w:val="24"/>
        </w:rPr>
        <w:t xml:space="preserve"> proceed with their claims regarding whether Student requires a shorter day or shorter year for the time period delineated above.</w:t>
      </w:r>
      <w:r w:rsidR="00555964">
        <w:rPr>
          <w:rFonts w:ascii="Times New Roman" w:hAnsi="Times New Roman" w:cs="Times New Roman"/>
          <w:color w:val="4B4D4D"/>
          <w:sz w:val="24"/>
          <w:szCs w:val="24"/>
        </w:rPr>
        <w:t xml:space="preserve">  They may also challenge the appropriateness of the 10/21/16-10/20/17 IEP for the time period noted above</w:t>
      </w:r>
      <w:r w:rsidR="00AD5EC6">
        <w:rPr>
          <w:rFonts w:ascii="Times New Roman" w:hAnsi="Times New Roman" w:cs="Times New Roman"/>
          <w:color w:val="4B4D4D"/>
          <w:sz w:val="24"/>
          <w:szCs w:val="24"/>
        </w:rPr>
        <w:t xml:space="preserve"> including their challenge to Student’s primary disability</w:t>
      </w:r>
      <w:r w:rsidR="00555964">
        <w:rPr>
          <w:rFonts w:ascii="Times New Roman" w:hAnsi="Times New Roman" w:cs="Times New Roman"/>
          <w:color w:val="4B4D4D"/>
          <w:sz w:val="24"/>
          <w:szCs w:val="24"/>
        </w:rPr>
        <w:t>.</w:t>
      </w:r>
    </w:p>
    <w:p w14:paraId="27A5E7B3" w14:textId="77777777" w:rsidR="00555964" w:rsidRDefault="00555964" w:rsidP="00FA2ABA">
      <w:pPr>
        <w:spacing w:after="0" w:line="240" w:lineRule="auto"/>
        <w:rPr>
          <w:rFonts w:ascii="Times New Roman" w:hAnsi="Times New Roman" w:cs="Times New Roman"/>
          <w:color w:val="4B4D4D"/>
          <w:sz w:val="24"/>
          <w:szCs w:val="24"/>
        </w:rPr>
      </w:pPr>
    </w:p>
    <w:p w14:paraId="4E57FA93" w14:textId="156D4B56" w:rsidR="00555964" w:rsidRPr="00FA2ABA" w:rsidRDefault="00555964" w:rsidP="00FA2ABA">
      <w:pPr>
        <w:spacing w:after="0" w:line="240" w:lineRule="auto"/>
        <w:rPr>
          <w:rFonts w:ascii="Times New Roman" w:eastAsia="Times New Roman" w:hAnsi="Times New Roman" w:cs="Times New Roman"/>
          <w:sz w:val="24"/>
          <w:szCs w:val="24"/>
        </w:rPr>
      </w:pPr>
      <w:r>
        <w:rPr>
          <w:rFonts w:ascii="Times New Roman" w:hAnsi="Times New Roman" w:cs="Times New Roman"/>
          <w:color w:val="4B4D4D"/>
          <w:sz w:val="24"/>
          <w:szCs w:val="24"/>
        </w:rPr>
        <w:t>Parents’ request that the principal of Minnechaug be prohibited from attending meetings pertaining to Student is dismissed as beyond the jurisdiction of the BSEA.</w:t>
      </w:r>
      <w:r w:rsidR="00472F2C">
        <w:rPr>
          <w:rFonts w:ascii="Times New Roman" w:hAnsi="Times New Roman" w:cs="Times New Roman"/>
          <w:color w:val="4B4D4D"/>
          <w:sz w:val="24"/>
          <w:szCs w:val="24"/>
        </w:rPr>
        <w:t xml:space="preserve">  Similarly, Parents’ request that the Team be responsible for making determinations with respect to Student’s grades is dismissed.</w:t>
      </w:r>
      <w:r w:rsidR="00885445">
        <w:rPr>
          <w:rFonts w:ascii="Times New Roman" w:hAnsi="Times New Roman" w:cs="Times New Roman"/>
          <w:color w:val="4B4D4D"/>
          <w:sz w:val="24"/>
          <w:szCs w:val="24"/>
        </w:rPr>
        <w:t xml:space="preserve">  Parents may proceed with their remaining claims consistent with this Ruling as explained above.</w:t>
      </w:r>
    </w:p>
    <w:p w14:paraId="3831CE31" w14:textId="28E3E4FF" w:rsidR="00E80350" w:rsidRPr="005706F8" w:rsidRDefault="00E90936" w:rsidP="00472F2C">
      <w:pPr>
        <w:pStyle w:val="NormalWeb"/>
        <w:shd w:val="clear" w:color="auto" w:fill="FFFFFF"/>
        <w:spacing w:line="345" w:lineRule="atLeast"/>
        <w:rPr>
          <w:b/>
          <w:u w:val="single"/>
        </w:rPr>
      </w:pPr>
      <w:r>
        <w:rPr>
          <w:rFonts w:ascii="Open Sans" w:hAnsi="Open Sans" w:cs="Arial"/>
          <w:color w:val="4B4D4D"/>
          <w:sz w:val="21"/>
          <w:szCs w:val="21"/>
        </w:rPr>
        <w:t xml:space="preserve"> </w:t>
      </w:r>
      <w:r w:rsidR="00E80350" w:rsidRPr="005706F8">
        <w:rPr>
          <w:b/>
          <w:u w:val="single"/>
        </w:rPr>
        <w:t>ORDER</w:t>
      </w:r>
    </w:p>
    <w:p w14:paraId="15120026" w14:textId="1CEFD5F2" w:rsidR="0003109E" w:rsidRDefault="00E540B3" w:rsidP="00165301">
      <w:pPr>
        <w:rPr>
          <w:rFonts w:ascii="Times New Roman" w:hAnsi="Times New Roman" w:cs="Times New Roman"/>
          <w:sz w:val="24"/>
          <w:szCs w:val="24"/>
        </w:rPr>
      </w:pPr>
      <w:r>
        <w:rPr>
          <w:rFonts w:ascii="Times New Roman" w:hAnsi="Times New Roman" w:cs="Times New Roman"/>
          <w:i/>
          <w:sz w:val="24"/>
          <w:szCs w:val="24"/>
        </w:rPr>
        <w:t>Hampden</w:t>
      </w:r>
      <w:r w:rsidR="006A12AA">
        <w:rPr>
          <w:rFonts w:ascii="Times New Roman" w:hAnsi="Times New Roman" w:cs="Times New Roman"/>
          <w:i/>
          <w:sz w:val="24"/>
          <w:szCs w:val="24"/>
        </w:rPr>
        <w:t xml:space="preserve">’s </w:t>
      </w:r>
      <w:r w:rsidR="0003109E">
        <w:rPr>
          <w:rFonts w:ascii="Times New Roman" w:hAnsi="Times New Roman" w:cs="Times New Roman"/>
          <w:i/>
          <w:sz w:val="24"/>
          <w:szCs w:val="24"/>
        </w:rPr>
        <w:t>M</w:t>
      </w:r>
      <w:r w:rsidR="00A12F1F" w:rsidRPr="005706F8">
        <w:rPr>
          <w:rFonts w:ascii="Times New Roman" w:hAnsi="Times New Roman" w:cs="Times New Roman"/>
          <w:i/>
          <w:sz w:val="24"/>
          <w:szCs w:val="24"/>
        </w:rPr>
        <w:t>otion to Dismiss</w:t>
      </w:r>
      <w:r w:rsidR="00A12F1F" w:rsidRPr="005706F8">
        <w:rPr>
          <w:rFonts w:ascii="Times New Roman" w:hAnsi="Times New Roman" w:cs="Times New Roman"/>
          <w:sz w:val="24"/>
          <w:szCs w:val="24"/>
        </w:rPr>
        <w:t xml:space="preserve"> </w:t>
      </w:r>
      <w:r w:rsidR="0003109E">
        <w:rPr>
          <w:rFonts w:ascii="Times New Roman" w:hAnsi="Times New Roman" w:cs="Times New Roman"/>
          <w:sz w:val="24"/>
          <w:szCs w:val="24"/>
        </w:rPr>
        <w:t>is</w:t>
      </w:r>
      <w:r w:rsidR="004A0918" w:rsidRPr="005706F8">
        <w:rPr>
          <w:rFonts w:ascii="Times New Roman" w:hAnsi="Times New Roman" w:cs="Times New Roman"/>
          <w:sz w:val="24"/>
          <w:szCs w:val="24"/>
        </w:rPr>
        <w:t xml:space="preserve"> </w:t>
      </w:r>
      <w:r w:rsidR="00861559" w:rsidRPr="005706F8">
        <w:rPr>
          <w:rFonts w:ascii="Times New Roman" w:hAnsi="Times New Roman" w:cs="Times New Roman"/>
          <w:sz w:val="24"/>
          <w:szCs w:val="24"/>
        </w:rPr>
        <w:t>ALLOWED</w:t>
      </w:r>
      <w:r>
        <w:rPr>
          <w:rFonts w:ascii="Times New Roman" w:hAnsi="Times New Roman" w:cs="Times New Roman"/>
          <w:sz w:val="24"/>
          <w:szCs w:val="24"/>
        </w:rPr>
        <w:t xml:space="preserve"> in part</w:t>
      </w:r>
      <w:r w:rsidR="00885445">
        <w:rPr>
          <w:rFonts w:ascii="Times New Roman" w:hAnsi="Times New Roman" w:cs="Times New Roman"/>
          <w:sz w:val="24"/>
          <w:szCs w:val="24"/>
        </w:rPr>
        <w:t xml:space="preserve"> as explained above</w:t>
      </w:r>
      <w:r w:rsidR="0003109E">
        <w:rPr>
          <w:rFonts w:ascii="Times New Roman" w:hAnsi="Times New Roman" w:cs="Times New Roman"/>
          <w:sz w:val="24"/>
          <w:szCs w:val="24"/>
        </w:rPr>
        <w:t>.</w:t>
      </w:r>
    </w:p>
    <w:p w14:paraId="37EF6521" w14:textId="750BD478" w:rsidR="00885445" w:rsidRDefault="00885445" w:rsidP="00165301">
      <w:pPr>
        <w:rPr>
          <w:rFonts w:ascii="Times New Roman" w:hAnsi="Times New Roman" w:cs="Times New Roman"/>
          <w:sz w:val="24"/>
          <w:szCs w:val="24"/>
        </w:rPr>
      </w:pPr>
      <w:r>
        <w:rPr>
          <w:rFonts w:ascii="Times New Roman" w:hAnsi="Times New Roman" w:cs="Times New Roman"/>
          <w:sz w:val="24"/>
          <w:szCs w:val="24"/>
        </w:rPr>
        <w:t>The hearing will proceed as scheduled on October 25 and 27, 2017 from 9:30 a.m. to 4:30 p.m. at the office of Catuogno Court Reporting, 446 Main Street, Worcester, MA</w:t>
      </w:r>
    </w:p>
    <w:p w14:paraId="65011191" w14:textId="40D14659" w:rsidR="00885445" w:rsidRDefault="00885445" w:rsidP="00165301">
      <w:pPr>
        <w:rPr>
          <w:rFonts w:ascii="Times New Roman" w:hAnsi="Times New Roman" w:cs="Times New Roman"/>
          <w:sz w:val="24"/>
          <w:szCs w:val="24"/>
        </w:rPr>
      </w:pPr>
      <w:r>
        <w:rPr>
          <w:rFonts w:ascii="Times New Roman" w:hAnsi="Times New Roman" w:cs="Times New Roman"/>
          <w:sz w:val="24"/>
          <w:szCs w:val="24"/>
        </w:rPr>
        <w:t>The Parties shall exchange and submit their proposed exhibits and witness lists by October 18, 2017.</w:t>
      </w:r>
    </w:p>
    <w:p w14:paraId="2AA6CCA3" w14:textId="77777777" w:rsidR="00E601EE" w:rsidRPr="005706F8" w:rsidRDefault="00E601EE">
      <w:pPr>
        <w:rPr>
          <w:rFonts w:ascii="Times New Roman" w:eastAsia="Times New Roman" w:hAnsi="Times New Roman" w:cs="Times New Roman"/>
          <w:sz w:val="24"/>
          <w:szCs w:val="24"/>
        </w:rPr>
      </w:pPr>
      <w:r w:rsidRPr="005706F8">
        <w:rPr>
          <w:rFonts w:ascii="Times New Roman" w:eastAsia="Times New Roman" w:hAnsi="Times New Roman" w:cs="Times New Roman"/>
          <w:sz w:val="24"/>
          <w:szCs w:val="24"/>
        </w:rPr>
        <w:t>By the Hearing Officer</w:t>
      </w:r>
    </w:p>
    <w:p w14:paraId="5C056094" w14:textId="77777777" w:rsidR="00E601EE" w:rsidRPr="005706F8" w:rsidRDefault="00E601EE">
      <w:pPr>
        <w:rPr>
          <w:rFonts w:ascii="Times New Roman" w:eastAsia="Times New Roman" w:hAnsi="Times New Roman" w:cs="Times New Roman"/>
          <w:sz w:val="24"/>
          <w:szCs w:val="24"/>
        </w:rPr>
      </w:pPr>
    </w:p>
    <w:p w14:paraId="55570606" w14:textId="77777777" w:rsidR="00E601EE" w:rsidRPr="005706F8" w:rsidRDefault="00E601EE" w:rsidP="00E601EE">
      <w:pPr>
        <w:spacing w:line="240" w:lineRule="auto"/>
        <w:rPr>
          <w:rFonts w:ascii="Times New Roman" w:eastAsia="Times New Roman" w:hAnsi="Times New Roman" w:cs="Times New Roman"/>
          <w:sz w:val="24"/>
          <w:szCs w:val="24"/>
        </w:rPr>
      </w:pPr>
      <w:r w:rsidRPr="005706F8">
        <w:rPr>
          <w:rFonts w:ascii="Times New Roman" w:eastAsia="Times New Roman" w:hAnsi="Times New Roman" w:cs="Times New Roman"/>
          <w:sz w:val="24"/>
          <w:szCs w:val="24"/>
        </w:rPr>
        <w:t>________________________</w:t>
      </w:r>
    </w:p>
    <w:p w14:paraId="21D53D91" w14:textId="45C364C6" w:rsidR="006E0BD7" w:rsidRPr="005706F8" w:rsidRDefault="009C269F" w:rsidP="00E601EE">
      <w:pPr>
        <w:spacing w:line="240" w:lineRule="auto"/>
        <w:rPr>
          <w:rFonts w:ascii="Times New Roman" w:hAnsi="Times New Roman" w:cs="Times New Roman"/>
          <w:sz w:val="24"/>
          <w:szCs w:val="24"/>
        </w:rPr>
      </w:pPr>
      <w:r>
        <w:rPr>
          <w:rFonts w:ascii="Times New Roman" w:hAnsi="Times New Roman" w:cs="Times New Roman"/>
          <w:sz w:val="24"/>
          <w:szCs w:val="24"/>
        </w:rPr>
        <w:t>Catherine M. Putney-Yaceshyn</w:t>
      </w:r>
      <w:r w:rsidR="00F113AD">
        <w:rPr>
          <w:rFonts w:ascii="Times New Roman" w:hAnsi="Times New Roman" w:cs="Times New Roman"/>
          <w:sz w:val="24"/>
          <w:szCs w:val="24"/>
        </w:rPr>
        <w:tab/>
      </w:r>
      <w:r w:rsidR="00F113AD">
        <w:rPr>
          <w:rFonts w:ascii="Times New Roman" w:hAnsi="Times New Roman" w:cs="Times New Roman"/>
          <w:sz w:val="24"/>
          <w:szCs w:val="24"/>
        </w:rPr>
        <w:tab/>
      </w:r>
      <w:r w:rsidR="00F113AD">
        <w:rPr>
          <w:rFonts w:ascii="Times New Roman" w:hAnsi="Times New Roman" w:cs="Times New Roman"/>
          <w:sz w:val="24"/>
          <w:szCs w:val="24"/>
        </w:rPr>
        <w:tab/>
      </w:r>
      <w:r w:rsidR="00F113AD">
        <w:rPr>
          <w:rFonts w:ascii="Times New Roman" w:hAnsi="Times New Roman" w:cs="Times New Roman"/>
          <w:sz w:val="24"/>
          <w:szCs w:val="24"/>
        </w:rPr>
        <w:tab/>
      </w:r>
      <w:r w:rsidR="00F113AD">
        <w:rPr>
          <w:rFonts w:ascii="Times New Roman" w:hAnsi="Times New Roman" w:cs="Times New Roman"/>
          <w:sz w:val="24"/>
          <w:szCs w:val="24"/>
        </w:rPr>
        <w:tab/>
        <w:t>D</w:t>
      </w:r>
      <w:r w:rsidR="006E0BD7" w:rsidRPr="005706F8">
        <w:rPr>
          <w:rFonts w:ascii="Times New Roman" w:hAnsi="Times New Roman" w:cs="Times New Roman"/>
          <w:sz w:val="24"/>
          <w:szCs w:val="24"/>
        </w:rPr>
        <w:t xml:space="preserve">ated:  </w:t>
      </w:r>
      <w:r w:rsidR="00D30AF8">
        <w:rPr>
          <w:rFonts w:ascii="Times New Roman" w:hAnsi="Times New Roman" w:cs="Times New Roman"/>
          <w:sz w:val="24"/>
          <w:szCs w:val="24"/>
        </w:rPr>
        <w:t>October 13</w:t>
      </w:r>
      <w:r w:rsidR="0010749E">
        <w:rPr>
          <w:rFonts w:ascii="Times New Roman" w:hAnsi="Times New Roman" w:cs="Times New Roman"/>
          <w:sz w:val="24"/>
          <w:szCs w:val="24"/>
        </w:rPr>
        <w:t>, 2017</w:t>
      </w:r>
    </w:p>
    <w:sectPr w:rsidR="006E0BD7" w:rsidRPr="005706F8" w:rsidSect="005B0C21">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F2EE1" w14:textId="77777777" w:rsidR="00517640" w:rsidRDefault="00517640" w:rsidP="00CA40BA">
      <w:pPr>
        <w:spacing w:after="0" w:line="240" w:lineRule="auto"/>
      </w:pPr>
      <w:r>
        <w:separator/>
      </w:r>
    </w:p>
  </w:endnote>
  <w:endnote w:type="continuationSeparator" w:id="0">
    <w:p w14:paraId="2293959E" w14:textId="77777777" w:rsidR="00517640" w:rsidRDefault="00517640" w:rsidP="00CA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693094"/>
      <w:docPartObj>
        <w:docPartGallery w:val="Page Numbers (Bottom of Page)"/>
        <w:docPartUnique/>
      </w:docPartObj>
    </w:sdtPr>
    <w:sdtEndPr>
      <w:rPr>
        <w:noProof/>
      </w:rPr>
    </w:sdtEndPr>
    <w:sdtContent>
      <w:p w14:paraId="08A53FFE" w14:textId="4ED6B08B" w:rsidR="005B0C21" w:rsidRDefault="005B0C21">
        <w:pPr>
          <w:pStyle w:val="Footer"/>
          <w:jc w:val="center"/>
        </w:pPr>
        <w:r>
          <w:fldChar w:fldCharType="begin"/>
        </w:r>
        <w:r>
          <w:instrText xml:space="preserve"> PAGE   \* MERGEFORMAT </w:instrText>
        </w:r>
        <w:r>
          <w:fldChar w:fldCharType="separate"/>
        </w:r>
        <w:r w:rsidR="006C2D10">
          <w:rPr>
            <w:noProof/>
          </w:rPr>
          <w:t>6</w:t>
        </w:r>
        <w:r>
          <w:rPr>
            <w:noProof/>
          </w:rPr>
          <w:fldChar w:fldCharType="end"/>
        </w:r>
      </w:p>
    </w:sdtContent>
  </w:sdt>
  <w:p w14:paraId="0D16311C" w14:textId="77777777" w:rsidR="005B0C21" w:rsidRDefault="005B0C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E93C9" w14:textId="77777777" w:rsidR="00517640" w:rsidRDefault="00517640" w:rsidP="00CA40BA">
      <w:pPr>
        <w:spacing w:after="0" w:line="240" w:lineRule="auto"/>
      </w:pPr>
      <w:r>
        <w:separator/>
      </w:r>
    </w:p>
  </w:footnote>
  <w:footnote w:type="continuationSeparator" w:id="0">
    <w:p w14:paraId="6E322B7C" w14:textId="77777777" w:rsidR="00517640" w:rsidRDefault="00517640" w:rsidP="00CA40BA">
      <w:pPr>
        <w:spacing w:after="0" w:line="240" w:lineRule="auto"/>
      </w:pPr>
      <w:r>
        <w:continuationSeparator/>
      </w:r>
    </w:p>
  </w:footnote>
  <w:footnote w:id="1">
    <w:p w14:paraId="6AA36903" w14:textId="28B0750E" w:rsidR="0010697F" w:rsidRPr="003B6854" w:rsidRDefault="0010697F">
      <w:pPr>
        <w:pStyle w:val="FootnoteText"/>
        <w:rPr>
          <w:rFonts w:ascii="Times New Roman" w:hAnsi="Times New Roman" w:cs="Times New Roman"/>
        </w:rPr>
      </w:pPr>
      <w:r w:rsidRPr="003B6854">
        <w:rPr>
          <w:rStyle w:val="FootnoteReference"/>
          <w:rFonts w:ascii="Times New Roman" w:hAnsi="Times New Roman" w:cs="Times New Roman"/>
        </w:rPr>
        <w:footnoteRef/>
      </w:r>
      <w:r w:rsidRPr="003B6854">
        <w:rPr>
          <w:rFonts w:ascii="Times New Roman" w:hAnsi="Times New Roman" w:cs="Times New Roman"/>
        </w:rPr>
        <w:t xml:space="preserve"> These factual findings are made for purposes of this ruling only.</w:t>
      </w:r>
    </w:p>
  </w:footnote>
  <w:footnote w:id="2">
    <w:p w14:paraId="16A00DE4" w14:textId="5189963D" w:rsidR="00533814" w:rsidRDefault="00533814">
      <w:pPr>
        <w:pStyle w:val="FootnoteText"/>
      </w:pPr>
      <w:r>
        <w:rPr>
          <w:rStyle w:val="FootnoteReference"/>
        </w:rPr>
        <w:footnoteRef/>
      </w:r>
      <w:r>
        <w:t xml:space="preserve"> </w:t>
      </w:r>
      <w:r w:rsidRPr="004929F1">
        <w:rPr>
          <w:rFonts w:ascii="Times New Roman" w:hAnsi="Times New Roman" w:cs="Times New Roman"/>
        </w:rPr>
        <w:t>P</w:t>
      </w:r>
      <w:r w:rsidR="00AA381A">
        <w:rPr>
          <w:rFonts w:ascii="Times New Roman" w:hAnsi="Times New Roman" w:cs="Times New Roman"/>
        </w:rPr>
        <w:t xml:space="preserve">arents Hearing </w:t>
      </w:r>
      <w:r w:rsidR="00F639D6">
        <w:rPr>
          <w:rFonts w:ascii="Times New Roman" w:hAnsi="Times New Roman" w:cs="Times New Roman"/>
        </w:rPr>
        <w:t>Request included</w:t>
      </w:r>
      <w:r w:rsidRPr="004929F1">
        <w:rPr>
          <w:rFonts w:ascii="Times New Roman" w:hAnsi="Times New Roman" w:cs="Times New Roman"/>
        </w:rPr>
        <w:t xml:space="preserve"> a request that Student be allowed to return to Minnechaug Regional High </w:t>
      </w:r>
      <w:r w:rsidR="00F639D6" w:rsidRPr="004929F1">
        <w:rPr>
          <w:rFonts w:ascii="Times New Roman" w:hAnsi="Times New Roman" w:cs="Times New Roman"/>
        </w:rPr>
        <w:t>School</w:t>
      </w:r>
      <w:r w:rsidRPr="004929F1">
        <w:rPr>
          <w:rFonts w:ascii="Times New Roman" w:hAnsi="Times New Roman" w:cs="Times New Roman"/>
        </w:rPr>
        <w:t>, but they w</w:t>
      </w:r>
      <w:r w:rsidR="00AA381A">
        <w:rPr>
          <w:rFonts w:ascii="Times New Roman" w:hAnsi="Times New Roman" w:cs="Times New Roman"/>
        </w:rPr>
        <w:t xml:space="preserve">ithdrew that request during the </w:t>
      </w:r>
      <w:r w:rsidRPr="004929F1">
        <w:rPr>
          <w:rFonts w:ascii="Times New Roman" w:hAnsi="Times New Roman" w:cs="Times New Roman"/>
        </w:rPr>
        <w:t>pre-hearing conference</w:t>
      </w:r>
      <w:r w:rsidR="00AA381A">
        <w:rPr>
          <w:rFonts w:ascii="Times New Roman" w:hAnsi="Times New Roman" w:cs="Times New Roman"/>
        </w:rPr>
        <w:t xml:space="preserve"> on July 24, 2017</w:t>
      </w:r>
      <w:r w:rsidRPr="004929F1">
        <w:rPr>
          <w:rFonts w:ascii="Times New Roman" w:hAnsi="Times New Roman" w:cs="Times New Roman"/>
        </w:rPr>
        <w:t xml:space="preserve">. </w:t>
      </w:r>
      <w:r>
        <w:t xml:space="preserve"> </w:t>
      </w:r>
    </w:p>
  </w:footnote>
  <w:footnote w:id="3">
    <w:p w14:paraId="7599B1C2" w14:textId="277D6EFE" w:rsidR="0029646A" w:rsidRDefault="0029646A">
      <w:pPr>
        <w:pStyle w:val="FootnoteText"/>
      </w:pPr>
      <w:r>
        <w:rPr>
          <w:rStyle w:val="FootnoteReference"/>
        </w:rPr>
        <w:footnoteRef/>
      </w:r>
      <w:r>
        <w:t xml:space="preserve"> </w:t>
      </w:r>
      <w:r w:rsidRPr="0029646A">
        <w:rPr>
          <w:rStyle w:val="Emphasis"/>
          <w:rFonts w:ascii="Times New Roman" w:hAnsi="Times New Roman" w:cs="Times New Roman"/>
          <w:color w:val="4B4D4D"/>
        </w:rPr>
        <w:t>Iannocchino v. Ford Motor Co.</w:t>
      </w:r>
      <w:r w:rsidRPr="0029646A">
        <w:rPr>
          <w:rFonts w:ascii="Times New Roman" w:hAnsi="Times New Roman" w:cs="Times New Roman"/>
          <w:color w:val="4B4D4D"/>
        </w:rPr>
        <w:t>, 451 Mass. 623, 636 (2008)</w:t>
      </w:r>
    </w:p>
  </w:footnote>
  <w:footnote w:id="4">
    <w:p w14:paraId="1C61709F" w14:textId="7D6272BE" w:rsidR="00EF0D90" w:rsidRDefault="00EF0D90">
      <w:pPr>
        <w:pStyle w:val="FootnoteText"/>
      </w:pPr>
      <w:r>
        <w:rPr>
          <w:rStyle w:val="FootnoteReference"/>
        </w:rPr>
        <w:footnoteRef/>
      </w:r>
      <w:r>
        <w:t xml:space="preserve"> </w:t>
      </w:r>
      <w:r w:rsidRPr="00EF0D90">
        <w:rPr>
          <w:rFonts w:ascii="Times New Roman" w:hAnsi="Times New Roman" w:cs="Times New Roman"/>
          <w:i/>
          <w:color w:val="4B4D4D"/>
        </w:rPr>
        <w:t>Blank v. Chelmsford Ob/Gyn, P.C.</w:t>
      </w:r>
      <w:r w:rsidRPr="00EF0D90">
        <w:rPr>
          <w:rFonts w:ascii="Times New Roman" w:hAnsi="Times New Roman" w:cs="Times New Roman"/>
          <w:color w:val="4B4D4D"/>
        </w:rPr>
        <w:t xml:space="preserve"> , 420 Mass. 404, 407 (1995).</w:t>
      </w:r>
    </w:p>
  </w:footnote>
  <w:footnote w:id="5">
    <w:p w14:paraId="026311AB" w14:textId="7DD58BAA" w:rsidR="00EF0D90" w:rsidRDefault="00EF0D90">
      <w:pPr>
        <w:pStyle w:val="FootnoteText"/>
      </w:pPr>
      <w:r>
        <w:rPr>
          <w:rStyle w:val="FootnoteReference"/>
        </w:rPr>
        <w:footnoteRef/>
      </w:r>
      <w:r>
        <w:t xml:space="preserve"> </w:t>
      </w:r>
      <w:r w:rsidRPr="00EF0D90">
        <w:rPr>
          <w:rFonts w:ascii="Times New Roman" w:hAnsi="Times New Roman" w:cs="Times New Roman"/>
          <w:i/>
          <w:color w:val="4B4D4D"/>
        </w:rPr>
        <w:t>Golchin v. Liberty Mut. Ins. Co.</w:t>
      </w:r>
      <w:r w:rsidRPr="00EF0D90">
        <w:rPr>
          <w:rFonts w:ascii="Times New Roman" w:hAnsi="Times New Roman" w:cs="Times New Roman"/>
          <w:color w:val="4B4D4D"/>
        </w:rPr>
        <w:t xml:space="preserve"> , 460 Mass. 222, 223 (2011) (internal quotation marks and citations omitted).</w:t>
      </w:r>
    </w:p>
  </w:footnote>
  <w:footnote w:id="6">
    <w:p w14:paraId="5FB929DA" w14:textId="77777777" w:rsidR="00995A0A" w:rsidRPr="003B6854" w:rsidRDefault="00995A0A">
      <w:pPr>
        <w:pStyle w:val="FootnoteText"/>
        <w:rPr>
          <w:rFonts w:ascii="Times New Roman" w:hAnsi="Times New Roman" w:cs="Times New Roman"/>
        </w:rPr>
      </w:pPr>
      <w:r w:rsidRPr="003B6854">
        <w:rPr>
          <w:rStyle w:val="FootnoteReference"/>
          <w:rFonts w:ascii="Times New Roman" w:hAnsi="Times New Roman" w:cs="Times New Roman"/>
        </w:rPr>
        <w:footnoteRef/>
      </w:r>
      <w:r w:rsidRPr="003B6854">
        <w:rPr>
          <w:rFonts w:ascii="Times New Roman" w:hAnsi="Times New Roman" w:cs="Times New Roman"/>
        </w:rPr>
        <w:t xml:space="preserve"> Individuals with Disabilities Education Act (IDEA), </w:t>
      </w:r>
      <w:r w:rsidRPr="003B6854">
        <w:rPr>
          <w:rFonts w:ascii="Times New Roman" w:eastAsia="Times New Roman" w:hAnsi="Times New Roman" w:cs="Times New Roman"/>
        </w:rPr>
        <w:t xml:space="preserve">20 U.S.C. § 1400 </w:t>
      </w:r>
      <w:r w:rsidRPr="003B6854">
        <w:rPr>
          <w:rFonts w:ascii="Times New Roman" w:eastAsia="Times New Roman" w:hAnsi="Times New Roman" w:cs="Times New Roman"/>
          <w:i/>
        </w:rPr>
        <w:t>et. seq</w:t>
      </w:r>
    </w:p>
  </w:footnote>
  <w:footnote w:id="7">
    <w:p w14:paraId="5D876EC1" w14:textId="77777777" w:rsidR="00995A0A" w:rsidRPr="003B6854" w:rsidRDefault="00995A0A">
      <w:pPr>
        <w:pStyle w:val="FootnoteText"/>
        <w:rPr>
          <w:rFonts w:ascii="Times New Roman" w:hAnsi="Times New Roman" w:cs="Times New Roman"/>
        </w:rPr>
      </w:pPr>
      <w:r w:rsidRPr="003B6854">
        <w:rPr>
          <w:rStyle w:val="FootnoteReference"/>
          <w:rFonts w:ascii="Times New Roman" w:hAnsi="Times New Roman" w:cs="Times New Roman"/>
        </w:rPr>
        <w:footnoteRef/>
      </w:r>
      <w:r w:rsidRPr="003B6854">
        <w:rPr>
          <w:rFonts w:ascii="Times New Roman" w:hAnsi="Times New Roman" w:cs="Times New Roman"/>
        </w:rPr>
        <w:t xml:space="preserve"> </w:t>
      </w:r>
      <w:r w:rsidRPr="003B6854">
        <w:rPr>
          <w:rFonts w:ascii="Times New Roman" w:eastAsia="Times New Roman" w:hAnsi="Times New Roman" w:cs="Times New Roman"/>
        </w:rPr>
        <w:t>M.G.L. 71B</w:t>
      </w:r>
    </w:p>
  </w:footnote>
  <w:footnote w:id="8">
    <w:p w14:paraId="2FB0C4CC" w14:textId="15AFFC03" w:rsidR="00995A0A" w:rsidRPr="003B6854" w:rsidRDefault="00995A0A">
      <w:pPr>
        <w:pStyle w:val="FootnoteText"/>
        <w:rPr>
          <w:rFonts w:ascii="Times New Roman" w:hAnsi="Times New Roman" w:cs="Times New Roman"/>
        </w:rPr>
      </w:pPr>
      <w:r w:rsidRPr="003B6854">
        <w:rPr>
          <w:rStyle w:val="FootnoteReference"/>
          <w:rFonts w:ascii="Times New Roman" w:hAnsi="Times New Roman" w:cs="Times New Roman"/>
        </w:rPr>
        <w:footnoteRef/>
      </w:r>
      <w:r w:rsidRPr="003B6854">
        <w:rPr>
          <w:rFonts w:ascii="Times New Roman" w:hAnsi="Times New Roman" w:cs="Times New Roman"/>
        </w:rPr>
        <w:t xml:space="preserve"> </w:t>
      </w:r>
      <w:r w:rsidR="00B74C43" w:rsidRPr="003B6854">
        <w:rPr>
          <w:rFonts w:ascii="Times New Roman" w:eastAsia="Times New Roman" w:hAnsi="Times New Roman" w:cs="Times New Roman"/>
        </w:rPr>
        <w:t>29 U.S.C. §794</w:t>
      </w:r>
    </w:p>
  </w:footnote>
  <w:footnote w:id="9">
    <w:p w14:paraId="0B7C69B2" w14:textId="690B672B" w:rsidR="00D208D2" w:rsidRDefault="00D208D2">
      <w:pPr>
        <w:pStyle w:val="FootnoteText"/>
      </w:pPr>
      <w:r>
        <w:rPr>
          <w:rStyle w:val="FootnoteReference"/>
        </w:rPr>
        <w:footnoteRef/>
      </w:r>
      <w:r>
        <w:t xml:space="preserve"> </w:t>
      </w:r>
      <w:r w:rsidRPr="00D208D2">
        <w:rPr>
          <w:rFonts w:ascii="Times New Roman" w:hAnsi="Times New Roman" w:cs="Times New Roman"/>
        </w:rPr>
        <w:t>Student elected to represent himself in special education proceedings beginning on his eighteenth birthday.  Parents requested the hearing request, and thus may only represent Student’s interests until his eighteenth birthday, absent a change in Student’s election to represent his own interests.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489B"/>
    <w:multiLevelType w:val="hybridMultilevel"/>
    <w:tmpl w:val="618EDAB0"/>
    <w:lvl w:ilvl="0" w:tplc="CF661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50411"/>
    <w:multiLevelType w:val="hybridMultilevel"/>
    <w:tmpl w:val="11A0A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5A28EC"/>
    <w:multiLevelType w:val="hybridMultilevel"/>
    <w:tmpl w:val="8D686B02"/>
    <w:lvl w:ilvl="0" w:tplc="8E8E4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ED58AA"/>
    <w:multiLevelType w:val="hybridMultilevel"/>
    <w:tmpl w:val="950EE27C"/>
    <w:lvl w:ilvl="0" w:tplc="4E6E40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BFA5775"/>
    <w:multiLevelType w:val="hybridMultilevel"/>
    <w:tmpl w:val="FB208372"/>
    <w:lvl w:ilvl="0" w:tplc="42A65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8F526C"/>
    <w:multiLevelType w:val="hybridMultilevel"/>
    <w:tmpl w:val="B01A6C80"/>
    <w:lvl w:ilvl="0" w:tplc="F43EB524">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7401CC"/>
    <w:multiLevelType w:val="hybridMultilevel"/>
    <w:tmpl w:val="D2FE0D62"/>
    <w:lvl w:ilvl="0" w:tplc="87D448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B93100"/>
    <w:multiLevelType w:val="hybridMultilevel"/>
    <w:tmpl w:val="7B7CD372"/>
    <w:lvl w:ilvl="0" w:tplc="4E3E0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765DD0"/>
    <w:multiLevelType w:val="multilevel"/>
    <w:tmpl w:val="A37C50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8"/>
  </w:num>
  <w:num w:numId="5">
    <w:abstractNumId w:val="5"/>
  </w:num>
  <w:num w:numId="6">
    <w:abstractNumId w:val="3"/>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5B"/>
    <w:rsid w:val="0000399E"/>
    <w:rsid w:val="00004B20"/>
    <w:rsid w:val="00005B36"/>
    <w:rsid w:val="000065B1"/>
    <w:rsid w:val="000077F6"/>
    <w:rsid w:val="00010C74"/>
    <w:rsid w:val="00013F03"/>
    <w:rsid w:val="00014273"/>
    <w:rsid w:val="00022BAE"/>
    <w:rsid w:val="000245DB"/>
    <w:rsid w:val="00030556"/>
    <w:rsid w:val="0003109E"/>
    <w:rsid w:val="000331B1"/>
    <w:rsid w:val="00036215"/>
    <w:rsid w:val="000418BD"/>
    <w:rsid w:val="0004582C"/>
    <w:rsid w:val="000474E8"/>
    <w:rsid w:val="00054174"/>
    <w:rsid w:val="00054432"/>
    <w:rsid w:val="00057293"/>
    <w:rsid w:val="000616CC"/>
    <w:rsid w:val="0006215F"/>
    <w:rsid w:val="00062B18"/>
    <w:rsid w:val="00067225"/>
    <w:rsid w:val="000740B9"/>
    <w:rsid w:val="00077761"/>
    <w:rsid w:val="00080074"/>
    <w:rsid w:val="00081EF8"/>
    <w:rsid w:val="00082497"/>
    <w:rsid w:val="00085CB3"/>
    <w:rsid w:val="00086A19"/>
    <w:rsid w:val="000876EB"/>
    <w:rsid w:val="00091DA3"/>
    <w:rsid w:val="000A4368"/>
    <w:rsid w:val="000A7D05"/>
    <w:rsid w:val="000B491F"/>
    <w:rsid w:val="000B55E0"/>
    <w:rsid w:val="000C4636"/>
    <w:rsid w:val="000D1283"/>
    <w:rsid w:val="000D3E46"/>
    <w:rsid w:val="000F0783"/>
    <w:rsid w:val="000F275A"/>
    <w:rsid w:val="000F2817"/>
    <w:rsid w:val="00100E35"/>
    <w:rsid w:val="00101224"/>
    <w:rsid w:val="00101D6C"/>
    <w:rsid w:val="0010697F"/>
    <w:rsid w:val="0010749E"/>
    <w:rsid w:val="00111477"/>
    <w:rsid w:val="00115510"/>
    <w:rsid w:val="001215D1"/>
    <w:rsid w:val="00122209"/>
    <w:rsid w:val="0012546C"/>
    <w:rsid w:val="001515D0"/>
    <w:rsid w:val="00156BA0"/>
    <w:rsid w:val="00164C8C"/>
    <w:rsid w:val="00165301"/>
    <w:rsid w:val="00166ED5"/>
    <w:rsid w:val="00166F4D"/>
    <w:rsid w:val="00172409"/>
    <w:rsid w:val="0017359B"/>
    <w:rsid w:val="00173719"/>
    <w:rsid w:val="00180C91"/>
    <w:rsid w:val="00181735"/>
    <w:rsid w:val="00184BA1"/>
    <w:rsid w:val="00184FF2"/>
    <w:rsid w:val="00190629"/>
    <w:rsid w:val="0019182E"/>
    <w:rsid w:val="001918E0"/>
    <w:rsid w:val="00195153"/>
    <w:rsid w:val="00195A34"/>
    <w:rsid w:val="00195BD8"/>
    <w:rsid w:val="001972AF"/>
    <w:rsid w:val="001A2423"/>
    <w:rsid w:val="001A347D"/>
    <w:rsid w:val="001A7E3D"/>
    <w:rsid w:val="001B0B91"/>
    <w:rsid w:val="001B3C02"/>
    <w:rsid w:val="001B4C09"/>
    <w:rsid w:val="001B606E"/>
    <w:rsid w:val="001C2A05"/>
    <w:rsid w:val="001C3CF7"/>
    <w:rsid w:val="001D1F06"/>
    <w:rsid w:val="001D5B57"/>
    <w:rsid w:val="001D607C"/>
    <w:rsid w:val="001D61F4"/>
    <w:rsid w:val="001E5536"/>
    <w:rsid w:val="0020092E"/>
    <w:rsid w:val="00206667"/>
    <w:rsid w:val="0021274B"/>
    <w:rsid w:val="002170AE"/>
    <w:rsid w:val="00217894"/>
    <w:rsid w:val="00225116"/>
    <w:rsid w:val="00232149"/>
    <w:rsid w:val="0023252C"/>
    <w:rsid w:val="00236D52"/>
    <w:rsid w:val="00246751"/>
    <w:rsid w:val="00250957"/>
    <w:rsid w:val="002525B6"/>
    <w:rsid w:val="00257A8C"/>
    <w:rsid w:val="002607A4"/>
    <w:rsid w:val="00271A70"/>
    <w:rsid w:val="00285157"/>
    <w:rsid w:val="0028659A"/>
    <w:rsid w:val="0029646A"/>
    <w:rsid w:val="00297CB9"/>
    <w:rsid w:val="00297E25"/>
    <w:rsid w:val="002A0336"/>
    <w:rsid w:val="002B088E"/>
    <w:rsid w:val="002C5F9E"/>
    <w:rsid w:val="002C7C07"/>
    <w:rsid w:val="002D0CAE"/>
    <w:rsid w:val="002D3EB0"/>
    <w:rsid w:val="002D4F98"/>
    <w:rsid w:val="002D5F35"/>
    <w:rsid w:val="002E1B8F"/>
    <w:rsid w:val="002E1D79"/>
    <w:rsid w:val="002E2405"/>
    <w:rsid w:val="002E2CB0"/>
    <w:rsid w:val="002F4E0F"/>
    <w:rsid w:val="00304921"/>
    <w:rsid w:val="0030549C"/>
    <w:rsid w:val="00306238"/>
    <w:rsid w:val="003078DE"/>
    <w:rsid w:val="00331EF8"/>
    <w:rsid w:val="00332714"/>
    <w:rsid w:val="0033371F"/>
    <w:rsid w:val="003361C4"/>
    <w:rsid w:val="00336310"/>
    <w:rsid w:val="00345BF8"/>
    <w:rsid w:val="00357222"/>
    <w:rsid w:val="00366BC9"/>
    <w:rsid w:val="0037035A"/>
    <w:rsid w:val="00371192"/>
    <w:rsid w:val="00375938"/>
    <w:rsid w:val="003768F6"/>
    <w:rsid w:val="0038233F"/>
    <w:rsid w:val="0038511F"/>
    <w:rsid w:val="0039458A"/>
    <w:rsid w:val="003B4D02"/>
    <w:rsid w:val="003B6854"/>
    <w:rsid w:val="003C1A83"/>
    <w:rsid w:val="003C6F17"/>
    <w:rsid w:val="003D033E"/>
    <w:rsid w:val="003D1E48"/>
    <w:rsid w:val="003D6F5F"/>
    <w:rsid w:val="003E179C"/>
    <w:rsid w:val="003F370E"/>
    <w:rsid w:val="003F65E4"/>
    <w:rsid w:val="003F6D2D"/>
    <w:rsid w:val="00410139"/>
    <w:rsid w:val="00410E7C"/>
    <w:rsid w:val="00426249"/>
    <w:rsid w:val="0044013B"/>
    <w:rsid w:val="00446242"/>
    <w:rsid w:val="00447452"/>
    <w:rsid w:val="00447F76"/>
    <w:rsid w:val="0045084A"/>
    <w:rsid w:val="00451F4F"/>
    <w:rsid w:val="00454B93"/>
    <w:rsid w:val="0046104E"/>
    <w:rsid w:val="00470CC5"/>
    <w:rsid w:val="00471385"/>
    <w:rsid w:val="00472F2C"/>
    <w:rsid w:val="0047419C"/>
    <w:rsid w:val="004776B2"/>
    <w:rsid w:val="004929F1"/>
    <w:rsid w:val="00493A33"/>
    <w:rsid w:val="00494B64"/>
    <w:rsid w:val="004A0918"/>
    <w:rsid w:val="004B49C4"/>
    <w:rsid w:val="004B6278"/>
    <w:rsid w:val="004C5340"/>
    <w:rsid w:val="004C5552"/>
    <w:rsid w:val="004C6ED2"/>
    <w:rsid w:val="004D0DC6"/>
    <w:rsid w:val="004D6898"/>
    <w:rsid w:val="004E4392"/>
    <w:rsid w:val="004F2731"/>
    <w:rsid w:val="00501228"/>
    <w:rsid w:val="00507F0F"/>
    <w:rsid w:val="00510CEC"/>
    <w:rsid w:val="00514E83"/>
    <w:rsid w:val="00516406"/>
    <w:rsid w:val="00517640"/>
    <w:rsid w:val="00521C14"/>
    <w:rsid w:val="005222BB"/>
    <w:rsid w:val="00533814"/>
    <w:rsid w:val="005417EB"/>
    <w:rsid w:val="005520B2"/>
    <w:rsid w:val="00553E78"/>
    <w:rsid w:val="00555964"/>
    <w:rsid w:val="00556364"/>
    <w:rsid w:val="00560BE5"/>
    <w:rsid w:val="00562798"/>
    <w:rsid w:val="005706F8"/>
    <w:rsid w:val="00572635"/>
    <w:rsid w:val="005726D4"/>
    <w:rsid w:val="00581F54"/>
    <w:rsid w:val="00585557"/>
    <w:rsid w:val="005A5DC8"/>
    <w:rsid w:val="005A7C15"/>
    <w:rsid w:val="005B0C21"/>
    <w:rsid w:val="005B22C1"/>
    <w:rsid w:val="005B23DF"/>
    <w:rsid w:val="005B38A9"/>
    <w:rsid w:val="005B608D"/>
    <w:rsid w:val="005C25EB"/>
    <w:rsid w:val="005C77E1"/>
    <w:rsid w:val="005D0951"/>
    <w:rsid w:val="005D1B61"/>
    <w:rsid w:val="005D5759"/>
    <w:rsid w:val="005D6C4B"/>
    <w:rsid w:val="005E3C5A"/>
    <w:rsid w:val="005E732B"/>
    <w:rsid w:val="005F72B4"/>
    <w:rsid w:val="006013C0"/>
    <w:rsid w:val="0061176B"/>
    <w:rsid w:val="006123D1"/>
    <w:rsid w:val="0061248E"/>
    <w:rsid w:val="006126FA"/>
    <w:rsid w:val="0062172D"/>
    <w:rsid w:val="00627563"/>
    <w:rsid w:val="006435F6"/>
    <w:rsid w:val="00651C04"/>
    <w:rsid w:val="00666093"/>
    <w:rsid w:val="00670A76"/>
    <w:rsid w:val="006740FA"/>
    <w:rsid w:val="0067526C"/>
    <w:rsid w:val="00676AC8"/>
    <w:rsid w:val="006805B2"/>
    <w:rsid w:val="0068087D"/>
    <w:rsid w:val="00680905"/>
    <w:rsid w:val="0069221F"/>
    <w:rsid w:val="006A12AA"/>
    <w:rsid w:val="006A1E9C"/>
    <w:rsid w:val="006A4DEB"/>
    <w:rsid w:val="006B3638"/>
    <w:rsid w:val="006B5BBF"/>
    <w:rsid w:val="006B6AEA"/>
    <w:rsid w:val="006C2D10"/>
    <w:rsid w:val="006D4FE2"/>
    <w:rsid w:val="006E0BD7"/>
    <w:rsid w:val="006F505B"/>
    <w:rsid w:val="00705202"/>
    <w:rsid w:val="00705AAB"/>
    <w:rsid w:val="0071446A"/>
    <w:rsid w:val="007173BC"/>
    <w:rsid w:val="00724A80"/>
    <w:rsid w:val="00731064"/>
    <w:rsid w:val="007350B1"/>
    <w:rsid w:val="0074188D"/>
    <w:rsid w:val="00741C9B"/>
    <w:rsid w:val="00742BE5"/>
    <w:rsid w:val="00746FD9"/>
    <w:rsid w:val="00750696"/>
    <w:rsid w:val="00760B96"/>
    <w:rsid w:val="00793D5F"/>
    <w:rsid w:val="0079475A"/>
    <w:rsid w:val="007956F6"/>
    <w:rsid w:val="007A0B78"/>
    <w:rsid w:val="007A15E5"/>
    <w:rsid w:val="007A16CF"/>
    <w:rsid w:val="007A51C1"/>
    <w:rsid w:val="007B5294"/>
    <w:rsid w:val="007C1744"/>
    <w:rsid w:val="007D41F8"/>
    <w:rsid w:val="007D540D"/>
    <w:rsid w:val="007E1AD6"/>
    <w:rsid w:val="007E1B03"/>
    <w:rsid w:val="007F6497"/>
    <w:rsid w:val="007F6BFA"/>
    <w:rsid w:val="008032FA"/>
    <w:rsid w:val="00804DEE"/>
    <w:rsid w:val="00806FBE"/>
    <w:rsid w:val="00810993"/>
    <w:rsid w:val="00826A7B"/>
    <w:rsid w:val="008361EA"/>
    <w:rsid w:val="00836A88"/>
    <w:rsid w:val="0083773E"/>
    <w:rsid w:val="00840B76"/>
    <w:rsid w:val="00842AE6"/>
    <w:rsid w:val="00844AED"/>
    <w:rsid w:val="00845E85"/>
    <w:rsid w:val="008545A0"/>
    <w:rsid w:val="00855471"/>
    <w:rsid w:val="00861559"/>
    <w:rsid w:val="00862E04"/>
    <w:rsid w:val="00865972"/>
    <w:rsid w:val="00876258"/>
    <w:rsid w:val="00876501"/>
    <w:rsid w:val="008768B1"/>
    <w:rsid w:val="00881EBF"/>
    <w:rsid w:val="00882054"/>
    <w:rsid w:val="00885445"/>
    <w:rsid w:val="0088608A"/>
    <w:rsid w:val="008872FD"/>
    <w:rsid w:val="00892C8B"/>
    <w:rsid w:val="008959CA"/>
    <w:rsid w:val="0089626D"/>
    <w:rsid w:val="008A2828"/>
    <w:rsid w:val="008A2B86"/>
    <w:rsid w:val="008B0395"/>
    <w:rsid w:val="008B11D1"/>
    <w:rsid w:val="008D45C7"/>
    <w:rsid w:val="008D5A5D"/>
    <w:rsid w:val="008E108A"/>
    <w:rsid w:val="008E4969"/>
    <w:rsid w:val="008E66B3"/>
    <w:rsid w:val="008E6FF2"/>
    <w:rsid w:val="008E71A4"/>
    <w:rsid w:val="008E7CA1"/>
    <w:rsid w:val="008F1FB1"/>
    <w:rsid w:val="008F4A0F"/>
    <w:rsid w:val="00903E50"/>
    <w:rsid w:val="00907E27"/>
    <w:rsid w:val="00913912"/>
    <w:rsid w:val="00914FD0"/>
    <w:rsid w:val="00916C44"/>
    <w:rsid w:val="00925C70"/>
    <w:rsid w:val="0093044F"/>
    <w:rsid w:val="00936990"/>
    <w:rsid w:val="0093771D"/>
    <w:rsid w:val="0094374C"/>
    <w:rsid w:val="00944A8D"/>
    <w:rsid w:val="00946E8E"/>
    <w:rsid w:val="009562A6"/>
    <w:rsid w:val="009634A8"/>
    <w:rsid w:val="0098215E"/>
    <w:rsid w:val="0098279E"/>
    <w:rsid w:val="00984596"/>
    <w:rsid w:val="009866E1"/>
    <w:rsid w:val="00991F32"/>
    <w:rsid w:val="00994A62"/>
    <w:rsid w:val="00995827"/>
    <w:rsid w:val="00995A0A"/>
    <w:rsid w:val="00997164"/>
    <w:rsid w:val="009A08F3"/>
    <w:rsid w:val="009B231B"/>
    <w:rsid w:val="009C269F"/>
    <w:rsid w:val="009C579F"/>
    <w:rsid w:val="009D3DAC"/>
    <w:rsid w:val="009D6C1C"/>
    <w:rsid w:val="009F3554"/>
    <w:rsid w:val="00A01D3B"/>
    <w:rsid w:val="00A05C4A"/>
    <w:rsid w:val="00A1026A"/>
    <w:rsid w:val="00A112C6"/>
    <w:rsid w:val="00A11405"/>
    <w:rsid w:val="00A12F1F"/>
    <w:rsid w:val="00A20552"/>
    <w:rsid w:val="00A268CE"/>
    <w:rsid w:val="00A337FE"/>
    <w:rsid w:val="00A3401A"/>
    <w:rsid w:val="00A341D2"/>
    <w:rsid w:val="00A4208D"/>
    <w:rsid w:val="00A42A69"/>
    <w:rsid w:val="00A47516"/>
    <w:rsid w:val="00A479B9"/>
    <w:rsid w:val="00A47B23"/>
    <w:rsid w:val="00A62AF3"/>
    <w:rsid w:val="00A70F43"/>
    <w:rsid w:val="00A7166C"/>
    <w:rsid w:val="00A739DB"/>
    <w:rsid w:val="00A81374"/>
    <w:rsid w:val="00A87091"/>
    <w:rsid w:val="00A871CB"/>
    <w:rsid w:val="00A8751C"/>
    <w:rsid w:val="00A9116C"/>
    <w:rsid w:val="00A93D6A"/>
    <w:rsid w:val="00AA381A"/>
    <w:rsid w:val="00AA59BE"/>
    <w:rsid w:val="00AB4A19"/>
    <w:rsid w:val="00AB5860"/>
    <w:rsid w:val="00AC1472"/>
    <w:rsid w:val="00AC3E32"/>
    <w:rsid w:val="00AC3F55"/>
    <w:rsid w:val="00AC677A"/>
    <w:rsid w:val="00AD5EC6"/>
    <w:rsid w:val="00AF1717"/>
    <w:rsid w:val="00B04100"/>
    <w:rsid w:val="00B04796"/>
    <w:rsid w:val="00B135D5"/>
    <w:rsid w:val="00B13CE3"/>
    <w:rsid w:val="00B21B1B"/>
    <w:rsid w:val="00B2270E"/>
    <w:rsid w:val="00B27D8A"/>
    <w:rsid w:val="00B31283"/>
    <w:rsid w:val="00B501FC"/>
    <w:rsid w:val="00B55498"/>
    <w:rsid w:val="00B71C9D"/>
    <w:rsid w:val="00B7418A"/>
    <w:rsid w:val="00B74C43"/>
    <w:rsid w:val="00B80BEA"/>
    <w:rsid w:val="00B82A4D"/>
    <w:rsid w:val="00B84084"/>
    <w:rsid w:val="00B951B7"/>
    <w:rsid w:val="00BA1129"/>
    <w:rsid w:val="00BA20F7"/>
    <w:rsid w:val="00BA232C"/>
    <w:rsid w:val="00BB1306"/>
    <w:rsid w:val="00BB2A7D"/>
    <w:rsid w:val="00BB6CD4"/>
    <w:rsid w:val="00BC2367"/>
    <w:rsid w:val="00BC42B1"/>
    <w:rsid w:val="00BD7BE4"/>
    <w:rsid w:val="00BD7CDC"/>
    <w:rsid w:val="00BE302C"/>
    <w:rsid w:val="00BE7474"/>
    <w:rsid w:val="00BF4D2B"/>
    <w:rsid w:val="00C035A7"/>
    <w:rsid w:val="00C05666"/>
    <w:rsid w:val="00C177C0"/>
    <w:rsid w:val="00C21C23"/>
    <w:rsid w:val="00C21E98"/>
    <w:rsid w:val="00C22E0D"/>
    <w:rsid w:val="00C24F8E"/>
    <w:rsid w:val="00C360D9"/>
    <w:rsid w:val="00C52CD4"/>
    <w:rsid w:val="00C52E7F"/>
    <w:rsid w:val="00C556B8"/>
    <w:rsid w:val="00C55720"/>
    <w:rsid w:val="00C72A0F"/>
    <w:rsid w:val="00C74901"/>
    <w:rsid w:val="00C770D2"/>
    <w:rsid w:val="00C84DE4"/>
    <w:rsid w:val="00C85256"/>
    <w:rsid w:val="00C86888"/>
    <w:rsid w:val="00C90C43"/>
    <w:rsid w:val="00C92FE4"/>
    <w:rsid w:val="00C94A38"/>
    <w:rsid w:val="00C94DEE"/>
    <w:rsid w:val="00C95D52"/>
    <w:rsid w:val="00CA2AC8"/>
    <w:rsid w:val="00CA350E"/>
    <w:rsid w:val="00CA40BA"/>
    <w:rsid w:val="00CD38E2"/>
    <w:rsid w:val="00CD4530"/>
    <w:rsid w:val="00CD6BD2"/>
    <w:rsid w:val="00CE24A0"/>
    <w:rsid w:val="00CE2F99"/>
    <w:rsid w:val="00CF6FB5"/>
    <w:rsid w:val="00D061A9"/>
    <w:rsid w:val="00D072E1"/>
    <w:rsid w:val="00D11EF9"/>
    <w:rsid w:val="00D13E36"/>
    <w:rsid w:val="00D14748"/>
    <w:rsid w:val="00D16772"/>
    <w:rsid w:val="00D208D2"/>
    <w:rsid w:val="00D2156E"/>
    <w:rsid w:val="00D24480"/>
    <w:rsid w:val="00D26E6A"/>
    <w:rsid w:val="00D30AF8"/>
    <w:rsid w:val="00D33C5B"/>
    <w:rsid w:val="00D41770"/>
    <w:rsid w:val="00D43922"/>
    <w:rsid w:val="00D45588"/>
    <w:rsid w:val="00D46012"/>
    <w:rsid w:val="00D51BA7"/>
    <w:rsid w:val="00D52A85"/>
    <w:rsid w:val="00D61CDA"/>
    <w:rsid w:val="00D632D7"/>
    <w:rsid w:val="00D64AF1"/>
    <w:rsid w:val="00D66182"/>
    <w:rsid w:val="00D673AC"/>
    <w:rsid w:val="00D67CB4"/>
    <w:rsid w:val="00D77F43"/>
    <w:rsid w:val="00D809C2"/>
    <w:rsid w:val="00D81F76"/>
    <w:rsid w:val="00D82875"/>
    <w:rsid w:val="00D84471"/>
    <w:rsid w:val="00D84952"/>
    <w:rsid w:val="00D97606"/>
    <w:rsid w:val="00DA1CFA"/>
    <w:rsid w:val="00DC1693"/>
    <w:rsid w:val="00DD1B9E"/>
    <w:rsid w:val="00DD5D92"/>
    <w:rsid w:val="00DE6256"/>
    <w:rsid w:val="00DF028C"/>
    <w:rsid w:val="00DF154C"/>
    <w:rsid w:val="00DF5DAF"/>
    <w:rsid w:val="00E020B0"/>
    <w:rsid w:val="00E161E0"/>
    <w:rsid w:val="00E27FC5"/>
    <w:rsid w:val="00E3780A"/>
    <w:rsid w:val="00E431DB"/>
    <w:rsid w:val="00E50371"/>
    <w:rsid w:val="00E540B3"/>
    <w:rsid w:val="00E5725A"/>
    <w:rsid w:val="00E57663"/>
    <w:rsid w:val="00E601EE"/>
    <w:rsid w:val="00E63F73"/>
    <w:rsid w:val="00E64CDE"/>
    <w:rsid w:val="00E80350"/>
    <w:rsid w:val="00E90936"/>
    <w:rsid w:val="00E92F96"/>
    <w:rsid w:val="00E93F47"/>
    <w:rsid w:val="00EB3698"/>
    <w:rsid w:val="00EB3A7E"/>
    <w:rsid w:val="00EB5E18"/>
    <w:rsid w:val="00EB621F"/>
    <w:rsid w:val="00EC438A"/>
    <w:rsid w:val="00ED0954"/>
    <w:rsid w:val="00ED2E9F"/>
    <w:rsid w:val="00EE3D05"/>
    <w:rsid w:val="00EF0D90"/>
    <w:rsid w:val="00F0302A"/>
    <w:rsid w:val="00F113AD"/>
    <w:rsid w:val="00F12377"/>
    <w:rsid w:val="00F12F07"/>
    <w:rsid w:val="00F135D0"/>
    <w:rsid w:val="00F17FC6"/>
    <w:rsid w:val="00F207EA"/>
    <w:rsid w:val="00F27FFE"/>
    <w:rsid w:val="00F31538"/>
    <w:rsid w:val="00F31C56"/>
    <w:rsid w:val="00F33A28"/>
    <w:rsid w:val="00F3770C"/>
    <w:rsid w:val="00F37D4F"/>
    <w:rsid w:val="00F415E6"/>
    <w:rsid w:val="00F41D6C"/>
    <w:rsid w:val="00F42A84"/>
    <w:rsid w:val="00F51F59"/>
    <w:rsid w:val="00F62CB1"/>
    <w:rsid w:val="00F62F77"/>
    <w:rsid w:val="00F639D6"/>
    <w:rsid w:val="00F64749"/>
    <w:rsid w:val="00F66CE4"/>
    <w:rsid w:val="00F73CBA"/>
    <w:rsid w:val="00F80C3D"/>
    <w:rsid w:val="00F82D17"/>
    <w:rsid w:val="00F8433C"/>
    <w:rsid w:val="00F87E13"/>
    <w:rsid w:val="00F9707A"/>
    <w:rsid w:val="00FA066C"/>
    <w:rsid w:val="00FA2ABA"/>
    <w:rsid w:val="00FB4201"/>
    <w:rsid w:val="00FB5BF8"/>
    <w:rsid w:val="00FB6B97"/>
    <w:rsid w:val="00FD6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E0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searchterm">
    <w:name w:val="co_searchterm"/>
    <w:basedOn w:val="DefaultParagraphFont"/>
    <w:rsid w:val="00D33C5B"/>
  </w:style>
  <w:style w:type="character" w:styleId="Emphasis">
    <w:name w:val="Emphasis"/>
    <w:basedOn w:val="DefaultParagraphFont"/>
    <w:uiPriority w:val="20"/>
    <w:qFormat/>
    <w:rsid w:val="00D33C5B"/>
    <w:rPr>
      <w:i/>
      <w:iCs/>
    </w:rPr>
  </w:style>
  <w:style w:type="character" w:customStyle="1" w:styleId="costarpage">
    <w:name w:val="co_starpage"/>
    <w:basedOn w:val="DefaultParagraphFont"/>
    <w:rsid w:val="00D33C5B"/>
  </w:style>
  <w:style w:type="paragraph" w:styleId="ListParagraph">
    <w:name w:val="List Paragraph"/>
    <w:basedOn w:val="Normal"/>
    <w:uiPriority w:val="34"/>
    <w:qFormat/>
    <w:rsid w:val="003C6F17"/>
    <w:pPr>
      <w:ind w:left="720"/>
      <w:contextualSpacing/>
    </w:pPr>
  </w:style>
  <w:style w:type="character" w:styleId="Hyperlink">
    <w:name w:val="Hyperlink"/>
    <w:basedOn w:val="DefaultParagraphFont"/>
    <w:uiPriority w:val="99"/>
    <w:unhideWhenUsed/>
    <w:rsid w:val="003361C4"/>
    <w:rPr>
      <w:color w:val="0000FF" w:themeColor="hyperlink"/>
      <w:u w:val="single"/>
    </w:rPr>
  </w:style>
  <w:style w:type="paragraph" w:styleId="FootnoteText">
    <w:name w:val="footnote text"/>
    <w:basedOn w:val="Normal"/>
    <w:link w:val="FootnoteTextChar"/>
    <w:uiPriority w:val="99"/>
    <w:semiHidden/>
    <w:unhideWhenUsed/>
    <w:rsid w:val="00CA40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0BA"/>
    <w:rPr>
      <w:sz w:val="20"/>
      <w:szCs w:val="20"/>
    </w:rPr>
  </w:style>
  <w:style w:type="character" w:styleId="FootnoteReference">
    <w:name w:val="footnote reference"/>
    <w:basedOn w:val="DefaultParagraphFont"/>
    <w:uiPriority w:val="99"/>
    <w:semiHidden/>
    <w:unhideWhenUsed/>
    <w:rsid w:val="00CA40BA"/>
    <w:rPr>
      <w:vertAlign w:val="superscript"/>
    </w:rPr>
  </w:style>
  <w:style w:type="paragraph" w:styleId="Header">
    <w:name w:val="header"/>
    <w:basedOn w:val="Normal"/>
    <w:link w:val="HeaderChar"/>
    <w:uiPriority w:val="99"/>
    <w:unhideWhenUsed/>
    <w:rsid w:val="005B0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C21"/>
  </w:style>
  <w:style w:type="paragraph" w:styleId="Footer">
    <w:name w:val="footer"/>
    <w:basedOn w:val="Normal"/>
    <w:link w:val="FooterChar"/>
    <w:uiPriority w:val="99"/>
    <w:unhideWhenUsed/>
    <w:rsid w:val="005B0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C21"/>
  </w:style>
  <w:style w:type="paragraph" w:styleId="BalloonText">
    <w:name w:val="Balloon Text"/>
    <w:basedOn w:val="Normal"/>
    <w:link w:val="BalloonTextChar"/>
    <w:uiPriority w:val="99"/>
    <w:semiHidden/>
    <w:unhideWhenUsed/>
    <w:rsid w:val="00252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5B6"/>
    <w:rPr>
      <w:rFonts w:ascii="Tahoma" w:hAnsi="Tahoma" w:cs="Tahoma"/>
      <w:sz w:val="16"/>
      <w:szCs w:val="16"/>
    </w:rPr>
  </w:style>
  <w:style w:type="paragraph" w:styleId="BlockText">
    <w:name w:val="Block Text"/>
    <w:basedOn w:val="Normal"/>
    <w:rsid w:val="00D67CB4"/>
    <w:pPr>
      <w:spacing w:after="0" w:line="240" w:lineRule="auto"/>
      <w:ind w:left="1440" w:right="1440"/>
    </w:pPr>
    <w:rPr>
      <w:rFonts w:ascii="Times New Roman" w:eastAsia="Times New Roman" w:hAnsi="Times New Roman" w:cs="Times New Roman"/>
      <w:sz w:val="24"/>
      <w:szCs w:val="20"/>
    </w:rPr>
  </w:style>
  <w:style w:type="paragraph" w:customStyle="1" w:styleId="casepara">
    <w:name w:val="casepara"/>
    <w:basedOn w:val="Normal"/>
    <w:rsid w:val="00A337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DefaultParagraphFont"/>
    <w:rsid w:val="001B4C09"/>
  </w:style>
  <w:style w:type="character" w:customStyle="1" w:styleId="s3">
    <w:name w:val="s3"/>
    <w:basedOn w:val="DefaultParagraphFont"/>
    <w:rsid w:val="001B4C09"/>
  </w:style>
  <w:style w:type="character" w:customStyle="1" w:styleId="s4">
    <w:name w:val="s4"/>
    <w:basedOn w:val="DefaultParagraphFont"/>
    <w:rsid w:val="001B4C09"/>
  </w:style>
  <w:style w:type="paragraph" w:styleId="NormalWeb">
    <w:name w:val="Normal (Web)"/>
    <w:basedOn w:val="Normal"/>
    <w:uiPriority w:val="99"/>
    <w:unhideWhenUsed/>
    <w:rsid w:val="00E9093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searchterm">
    <w:name w:val="co_searchterm"/>
    <w:basedOn w:val="DefaultParagraphFont"/>
    <w:rsid w:val="00D33C5B"/>
  </w:style>
  <w:style w:type="character" w:styleId="Emphasis">
    <w:name w:val="Emphasis"/>
    <w:basedOn w:val="DefaultParagraphFont"/>
    <w:uiPriority w:val="20"/>
    <w:qFormat/>
    <w:rsid w:val="00D33C5B"/>
    <w:rPr>
      <w:i/>
      <w:iCs/>
    </w:rPr>
  </w:style>
  <w:style w:type="character" w:customStyle="1" w:styleId="costarpage">
    <w:name w:val="co_starpage"/>
    <w:basedOn w:val="DefaultParagraphFont"/>
    <w:rsid w:val="00D33C5B"/>
  </w:style>
  <w:style w:type="paragraph" w:styleId="ListParagraph">
    <w:name w:val="List Paragraph"/>
    <w:basedOn w:val="Normal"/>
    <w:uiPriority w:val="34"/>
    <w:qFormat/>
    <w:rsid w:val="003C6F17"/>
    <w:pPr>
      <w:ind w:left="720"/>
      <w:contextualSpacing/>
    </w:pPr>
  </w:style>
  <w:style w:type="character" w:styleId="Hyperlink">
    <w:name w:val="Hyperlink"/>
    <w:basedOn w:val="DefaultParagraphFont"/>
    <w:uiPriority w:val="99"/>
    <w:unhideWhenUsed/>
    <w:rsid w:val="003361C4"/>
    <w:rPr>
      <w:color w:val="0000FF" w:themeColor="hyperlink"/>
      <w:u w:val="single"/>
    </w:rPr>
  </w:style>
  <w:style w:type="paragraph" w:styleId="FootnoteText">
    <w:name w:val="footnote text"/>
    <w:basedOn w:val="Normal"/>
    <w:link w:val="FootnoteTextChar"/>
    <w:uiPriority w:val="99"/>
    <w:semiHidden/>
    <w:unhideWhenUsed/>
    <w:rsid w:val="00CA40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0BA"/>
    <w:rPr>
      <w:sz w:val="20"/>
      <w:szCs w:val="20"/>
    </w:rPr>
  </w:style>
  <w:style w:type="character" w:styleId="FootnoteReference">
    <w:name w:val="footnote reference"/>
    <w:basedOn w:val="DefaultParagraphFont"/>
    <w:uiPriority w:val="99"/>
    <w:semiHidden/>
    <w:unhideWhenUsed/>
    <w:rsid w:val="00CA40BA"/>
    <w:rPr>
      <w:vertAlign w:val="superscript"/>
    </w:rPr>
  </w:style>
  <w:style w:type="paragraph" w:styleId="Header">
    <w:name w:val="header"/>
    <w:basedOn w:val="Normal"/>
    <w:link w:val="HeaderChar"/>
    <w:uiPriority w:val="99"/>
    <w:unhideWhenUsed/>
    <w:rsid w:val="005B0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C21"/>
  </w:style>
  <w:style w:type="paragraph" w:styleId="Footer">
    <w:name w:val="footer"/>
    <w:basedOn w:val="Normal"/>
    <w:link w:val="FooterChar"/>
    <w:uiPriority w:val="99"/>
    <w:unhideWhenUsed/>
    <w:rsid w:val="005B0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C21"/>
  </w:style>
  <w:style w:type="paragraph" w:styleId="BalloonText">
    <w:name w:val="Balloon Text"/>
    <w:basedOn w:val="Normal"/>
    <w:link w:val="BalloonTextChar"/>
    <w:uiPriority w:val="99"/>
    <w:semiHidden/>
    <w:unhideWhenUsed/>
    <w:rsid w:val="00252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5B6"/>
    <w:rPr>
      <w:rFonts w:ascii="Tahoma" w:hAnsi="Tahoma" w:cs="Tahoma"/>
      <w:sz w:val="16"/>
      <w:szCs w:val="16"/>
    </w:rPr>
  </w:style>
  <w:style w:type="paragraph" w:styleId="BlockText">
    <w:name w:val="Block Text"/>
    <w:basedOn w:val="Normal"/>
    <w:rsid w:val="00D67CB4"/>
    <w:pPr>
      <w:spacing w:after="0" w:line="240" w:lineRule="auto"/>
      <w:ind w:left="1440" w:right="1440"/>
    </w:pPr>
    <w:rPr>
      <w:rFonts w:ascii="Times New Roman" w:eastAsia="Times New Roman" w:hAnsi="Times New Roman" w:cs="Times New Roman"/>
      <w:sz w:val="24"/>
      <w:szCs w:val="20"/>
    </w:rPr>
  </w:style>
  <w:style w:type="paragraph" w:customStyle="1" w:styleId="casepara">
    <w:name w:val="casepara"/>
    <w:basedOn w:val="Normal"/>
    <w:rsid w:val="00A337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DefaultParagraphFont"/>
    <w:rsid w:val="001B4C09"/>
  </w:style>
  <w:style w:type="character" w:customStyle="1" w:styleId="s3">
    <w:name w:val="s3"/>
    <w:basedOn w:val="DefaultParagraphFont"/>
    <w:rsid w:val="001B4C09"/>
  </w:style>
  <w:style w:type="character" w:customStyle="1" w:styleId="s4">
    <w:name w:val="s4"/>
    <w:basedOn w:val="DefaultParagraphFont"/>
    <w:rsid w:val="001B4C09"/>
  </w:style>
  <w:style w:type="paragraph" w:styleId="NormalWeb">
    <w:name w:val="Normal (Web)"/>
    <w:basedOn w:val="Normal"/>
    <w:uiPriority w:val="99"/>
    <w:unhideWhenUsed/>
    <w:rsid w:val="00E909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23527">
      <w:bodyDiv w:val="1"/>
      <w:marLeft w:val="0"/>
      <w:marRight w:val="0"/>
      <w:marTop w:val="0"/>
      <w:marBottom w:val="0"/>
      <w:divBdr>
        <w:top w:val="none" w:sz="0" w:space="0" w:color="auto"/>
        <w:left w:val="none" w:sz="0" w:space="0" w:color="auto"/>
        <w:bottom w:val="none" w:sz="0" w:space="0" w:color="auto"/>
        <w:right w:val="none" w:sz="0" w:space="0" w:color="auto"/>
      </w:divBdr>
      <w:divsChild>
        <w:div w:id="767509756">
          <w:marLeft w:val="0"/>
          <w:marRight w:val="0"/>
          <w:marTop w:val="0"/>
          <w:marBottom w:val="0"/>
          <w:divBdr>
            <w:top w:val="none" w:sz="0" w:space="0" w:color="auto"/>
            <w:left w:val="none" w:sz="0" w:space="0" w:color="auto"/>
            <w:bottom w:val="none" w:sz="0" w:space="0" w:color="auto"/>
            <w:right w:val="none" w:sz="0" w:space="0" w:color="auto"/>
          </w:divBdr>
          <w:divsChild>
            <w:div w:id="2009743195">
              <w:marLeft w:val="0"/>
              <w:marRight w:val="0"/>
              <w:marTop w:val="0"/>
              <w:marBottom w:val="0"/>
              <w:divBdr>
                <w:top w:val="none" w:sz="0" w:space="0" w:color="auto"/>
                <w:left w:val="none" w:sz="0" w:space="0" w:color="auto"/>
                <w:bottom w:val="none" w:sz="0" w:space="0" w:color="auto"/>
                <w:right w:val="none" w:sz="0" w:space="0" w:color="auto"/>
              </w:divBdr>
              <w:divsChild>
                <w:div w:id="840854178">
                  <w:marLeft w:val="0"/>
                  <w:marRight w:val="0"/>
                  <w:marTop w:val="0"/>
                  <w:marBottom w:val="0"/>
                  <w:divBdr>
                    <w:top w:val="none" w:sz="0" w:space="0" w:color="auto"/>
                    <w:left w:val="none" w:sz="0" w:space="0" w:color="auto"/>
                    <w:bottom w:val="none" w:sz="0" w:space="0" w:color="auto"/>
                    <w:right w:val="none" w:sz="0" w:space="0" w:color="auto"/>
                  </w:divBdr>
                  <w:divsChild>
                    <w:div w:id="304049257">
                      <w:marLeft w:val="0"/>
                      <w:marRight w:val="0"/>
                      <w:marTop w:val="0"/>
                      <w:marBottom w:val="0"/>
                      <w:divBdr>
                        <w:top w:val="none" w:sz="0" w:space="0" w:color="auto"/>
                        <w:left w:val="none" w:sz="0" w:space="0" w:color="auto"/>
                        <w:bottom w:val="none" w:sz="0" w:space="0" w:color="auto"/>
                        <w:right w:val="none" w:sz="0" w:space="0" w:color="auto"/>
                      </w:divBdr>
                      <w:divsChild>
                        <w:div w:id="1192263449">
                          <w:marLeft w:val="0"/>
                          <w:marRight w:val="0"/>
                          <w:marTop w:val="0"/>
                          <w:marBottom w:val="0"/>
                          <w:divBdr>
                            <w:top w:val="none" w:sz="0" w:space="0" w:color="auto"/>
                            <w:left w:val="none" w:sz="0" w:space="0" w:color="auto"/>
                            <w:bottom w:val="none" w:sz="0" w:space="0" w:color="auto"/>
                            <w:right w:val="none" w:sz="0" w:space="0" w:color="auto"/>
                          </w:divBdr>
                          <w:divsChild>
                            <w:div w:id="190279105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725318">
      <w:bodyDiv w:val="1"/>
      <w:marLeft w:val="0"/>
      <w:marRight w:val="0"/>
      <w:marTop w:val="100"/>
      <w:marBottom w:val="100"/>
      <w:divBdr>
        <w:top w:val="none" w:sz="0" w:space="0" w:color="auto"/>
        <w:left w:val="none" w:sz="0" w:space="0" w:color="auto"/>
        <w:bottom w:val="none" w:sz="0" w:space="0" w:color="auto"/>
        <w:right w:val="none" w:sz="0" w:space="0" w:color="auto"/>
      </w:divBdr>
      <w:divsChild>
        <w:div w:id="956252879">
          <w:marLeft w:val="0"/>
          <w:marRight w:val="0"/>
          <w:marTop w:val="450"/>
          <w:marBottom w:val="0"/>
          <w:divBdr>
            <w:top w:val="none" w:sz="0" w:space="0" w:color="auto"/>
            <w:left w:val="none" w:sz="0" w:space="0" w:color="auto"/>
            <w:bottom w:val="none" w:sz="0" w:space="0" w:color="auto"/>
            <w:right w:val="none" w:sz="0" w:space="0" w:color="auto"/>
          </w:divBdr>
          <w:divsChild>
            <w:div w:id="17319879">
              <w:marLeft w:val="0"/>
              <w:marRight w:val="0"/>
              <w:marTop w:val="100"/>
              <w:marBottom w:val="100"/>
              <w:divBdr>
                <w:top w:val="none" w:sz="0" w:space="0" w:color="auto"/>
                <w:left w:val="none" w:sz="0" w:space="0" w:color="auto"/>
                <w:bottom w:val="none" w:sz="0" w:space="0" w:color="auto"/>
                <w:right w:val="none" w:sz="0" w:space="0" w:color="auto"/>
              </w:divBdr>
              <w:divsChild>
                <w:div w:id="1222836891">
                  <w:marLeft w:val="0"/>
                  <w:marRight w:val="0"/>
                  <w:marTop w:val="0"/>
                  <w:marBottom w:val="0"/>
                  <w:divBdr>
                    <w:top w:val="none" w:sz="0" w:space="11" w:color="auto"/>
                    <w:left w:val="none" w:sz="0" w:space="0" w:color="auto"/>
                    <w:bottom w:val="none" w:sz="0" w:space="11" w:color="auto"/>
                    <w:right w:val="none" w:sz="0" w:space="0" w:color="auto"/>
                  </w:divBdr>
                </w:div>
              </w:divsChild>
            </w:div>
          </w:divsChild>
        </w:div>
      </w:divsChild>
    </w:div>
    <w:div w:id="712313773">
      <w:bodyDiv w:val="1"/>
      <w:marLeft w:val="0"/>
      <w:marRight w:val="0"/>
      <w:marTop w:val="0"/>
      <w:marBottom w:val="0"/>
      <w:divBdr>
        <w:top w:val="none" w:sz="0" w:space="0" w:color="auto"/>
        <w:left w:val="none" w:sz="0" w:space="0" w:color="auto"/>
        <w:bottom w:val="none" w:sz="0" w:space="0" w:color="auto"/>
        <w:right w:val="none" w:sz="0" w:space="0" w:color="auto"/>
      </w:divBdr>
      <w:divsChild>
        <w:div w:id="1386685227">
          <w:marLeft w:val="0"/>
          <w:marRight w:val="0"/>
          <w:marTop w:val="0"/>
          <w:marBottom w:val="0"/>
          <w:divBdr>
            <w:top w:val="none" w:sz="0" w:space="0" w:color="auto"/>
            <w:left w:val="none" w:sz="0" w:space="0" w:color="auto"/>
            <w:bottom w:val="none" w:sz="0" w:space="0" w:color="auto"/>
            <w:right w:val="none" w:sz="0" w:space="0" w:color="auto"/>
          </w:divBdr>
          <w:divsChild>
            <w:div w:id="1350788636">
              <w:marLeft w:val="0"/>
              <w:marRight w:val="0"/>
              <w:marTop w:val="0"/>
              <w:marBottom w:val="0"/>
              <w:divBdr>
                <w:top w:val="none" w:sz="0" w:space="0" w:color="auto"/>
                <w:left w:val="none" w:sz="0" w:space="0" w:color="auto"/>
                <w:bottom w:val="none" w:sz="0" w:space="0" w:color="auto"/>
                <w:right w:val="none" w:sz="0" w:space="0" w:color="auto"/>
              </w:divBdr>
              <w:divsChild>
                <w:div w:id="1540169405">
                  <w:marLeft w:val="0"/>
                  <w:marRight w:val="0"/>
                  <w:marTop w:val="0"/>
                  <w:marBottom w:val="0"/>
                  <w:divBdr>
                    <w:top w:val="none" w:sz="0" w:space="0" w:color="auto"/>
                    <w:left w:val="none" w:sz="0" w:space="0" w:color="auto"/>
                    <w:bottom w:val="none" w:sz="0" w:space="0" w:color="auto"/>
                    <w:right w:val="none" w:sz="0" w:space="0" w:color="auto"/>
                  </w:divBdr>
                </w:div>
              </w:divsChild>
            </w:div>
            <w:div w:id="839930519">
              <w:marLeft w:val="0"/>
              <w:marRight w:val="0"/>
              <w:marTop w:val="0"/>
              <w:marBottom w:val="0"/>
              <w:divBdr>
                <w:top w:val="none" w:sz="0" w:space="0" w:color="auto"/>
                <w:left w:val="none" w:sz="0" w:space="0" w:color="auto"/>
                <w:bottom w:val="none" w:sz="0" w:space="0" w:color="auto"/>
                <w:right w:val="none" w:sz="0" w:space="0" w:color="auto"/>
              </w:divBdr>
              <w:divsChild>
                <w:div w:id="1728069217">
                  <w:marLeft w:val="0"/>
                  <w:marRight w:val="0"/>
                  <w:marTop w:val="0"/>
                  <w:marBottom w:val="0"/>
                  <w:divBdr>
                    <w:top w:val="none" w:sz="0" w:space="0" w:color="auto"/>
                    <w:left w:val="none" w:sz="0" w:space="0" w:color="auto"/>
                    <w:bottom w:val="none" w:sz="0" w:space="0" w:color="auto"/>
                    <w:right w:val="none" w:sz="0" w:space="0" w:color="auto"/>
                  </w:divBdr>
                </w:div>
              </w:divsChild>
            </w:div>
            <w:div w:id="21466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8237">
      <w:bodyDiv w:val="1"/>
      <w:marLeft w:val="0"/>
      <w:marRight w:val="0"/>
      <w:marTop w:val="0"/>
      <w:marBottom w:val="0"/>
      <w:divBdr>
        <w:top w:val="none" w:sz="0" w:space="0" w:color="auto"/>
        <w:left w:val="none" w:sz="0" w:space="0" w:color="auto"/>
        <w:bottom w:val="none" w:sz="0" w:space="0" w:color="auto"/>
        <w:right w:val="none" w:sz="0" w:space="0" w:color="auto"/>
      </w:divBdr>
    </w:div>
    <w:div w:id="1540044275">
      <w:bodyDiv w:val="1"/>
      <w:marLeft w:val="0"/>
      <w:marRight w:val="0"/>
      <w:marTop w:val="0"/>
      <w:marBottom w:val="0"/>
      <w:divBdr>
        <w:top w:val="none" w:sz="0" w:space="0" w:color="auto"/>
        <w:left w:val="none" w:sz="0" w:space="0" w:color="auto"/>
        <w:bottom w:val="none" w:sz="0" w:space="0" w:color="auto"/>
        <w:right w:val="none" w:sz="0" w:space="0" w:color="auto"/>
      </w:divBdr>
    </w:div>
    <w:div w:id="1586302075">
      <w:bodyDiv w:val="1"/>
      <w:marLeft w:val="0"/>
      <w:marRight w:val="0"/>
      <w:marTop w:val="0"/>
      <w:marBottom w:val="0"/>
      <w:divBdr>
        <w:top w:val="none" w:sz="0" w:space="0" w:color="auto"/>
        <w:left w:val="none" w:sz="0" w:space="0" w:color="auto"/>
        <w:bottom w:val="none" w:sz="0" w:space="0" w:color="auto"/>
        <w:right w:val="none" w:sz="0" w:space="0" w:color="auto"/>
      </w:divBdr>
      <w:divsChild>
        <w:div w:id="281112046">
          <w:marLeft w:val="0"/>
          <w:marRight w:val="0"/>
          <w:marTop w:val="0"/>
          <w:marBottom w:val="0"/>
          <w:divBdr>
            <w:top w:val="none" w:sz="0" w:space="0" w:color="auto"/>
            <w:left w:val="none" w:sz="0" w:space="0" w:color="auto"/>
            <w:bottom w:val="none" w:sz="0" w:space="0" w:color="auto"/>
            <w:right w:val="none" w:sz="0" w:space="0" w:color="auto"/>
          </w:divBdr>
          <w:divsChild>
            <w:div w:id="1179655906">
              <w:marLeft w:val="0"/>
              <w:marRight w:val="0"/>
              <w:marTop w:val="0"/>
              <w:marBottom w:val="0"/>
              <w:divBdr>
                <w:top w:val="none" w:sz="0" w:space="0" w:color="auto"/>
                <w:left w:val="none" w:sz="0" w:space="0" w:color="auto"/>
                <w:bottom w:val="none" w:sz="0" w:space="0" w:color="auto"/>
                <w:right w:val="none" w:sz="0" w:space="0" w:color="auto"/>
              </w:divBdr>
              <w:divsChild>
                <w:div w:id="1267154780">
                  <w:marLeft w:val="0"/>
                  <w:marRight w:val="0"/>
                  <w:marTop w:val="0"/>
                  <w:marBottom w:val="0"/>
                  <w:divBdr>
                    <w:top w:val="none" w:sz="0" w:space="0" w:color="auto"/>
                    <w:left w:val="none" w:sz="0" w:space="0" w:color="auto"/>
                    <w:bottom w:val="none" w:sz="0" w:space="0" w:color="auto"/>
                    <w:right w:val="none" w:sz="0" w:space="0" w:color="auto"/>
                  </w:divBdr>
                </w:div>
              </w:divsChild>
            </w:div>
            <w:div w:id="316806514">
              <w:marLeft w:val="0"/>
              <w:marRight w:val="0"/>
              <w:marTop w:val="0"/>
              <w:marBottom w:val="0"/>
              <w:divBdr>
                <w:top w:val="none" w:sz="0" w:space="0" w:color="auto"/>
                <w:left w:val="none" w:sz="0" w:space="0" w:color="auto"/>
                <w:bottom w:val="none" w:sz="0" w:space="0" w:color="auto"/>
                <w:right w:val="none" w:sz="0" w:space="0" w:color="auto"/>
              </w:divBdr>
              <w:divsChild>
                <w:div w:id="1592543354">
                  <w:marLeft w:val="0"/>
                  <w:marRight w:val="0"/>
                  <w:marTop w:val="0"/>
                  <w:marBottom w:val="0"/>
                  <w:divBdr>
                    <w:top w:val="none" w:sz="0" w:space="0" w:color="auto"/>
                    <w:left w:val="none" w:sz="0" w:space="0" w:color="auto"/>
                    <w:bottom w:val="none" w:sz="0" w:space="0" w:color="auto"/>
                    <w:right w:val="none" w:sz="0" w:space="0" w:color="auto"/>
                  </w:divBdr>
                </w:div>
              </w:divsChild>
            </w:div>
            <w:div w:id="740449335">
              <w:marLeft w:val="0"/>
              <w:marRight w:val="0"/>
              <w:marTop w:val="0"/>
              <w:marBottom w:val="0"/>
              <w:divBdr>
                <w:top w:val="none" w:sz="0" w:space="0" w:color="auto"/>
                <w:left w:val="none" w:sz="0" w:space="0" w:color="auto"/>
                <w:bottom w:val="none" w:sz="0" w:space="0" w:color="auto"/>
                <w:right w:val="none" w:sz="0" w:space="0" w:color="auto"/>
              </w:divBdr>
              <w:divsChild>
                <w:div w:id="1415513990">
                  <w:marLeft w:val="0"/>
                  <w:marRight w:val="0"/>
                  <w:marTop w:val="0"/>
                  <w:marBottom w:val="0"/>
                  <w:divBdr>
                    <w:top w:val="none" w:sz="0" w:space="0" w:color="auto"/>
                    <w:left w:val="none" w:sz="0" w:space="0" w:color="auto"/>
                    <w:bottom w:val="none" w:sz="0" w:space="0" w:color="auto"/>
                    <w:right w:val="none" w:sz="0" w:space="0" w:color="auto"/>
                  </w:divBdr>
                </w:div>
              </w:divsChild>
            </w:div>
            <w:div w:id="14902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4032">
      <w:bodyDiv w:val="1"/>
      <w:marLeft w:val="0"/>
      <w:marRight w:val="0"/>
      <w:marTop w:val="0"/>
      <w:marBottom w:val="0"/>
      <w:divBdr>
        <w:top w:val="none" w:sz="0" w:space="0" w:color="auto"/>
        <w:left w:val="none" w:sz="0" w:space="0" w:color="auto"/>
        <w:bottom w:val="none" w:sz="0" w:space="0" w:color="auto"/>
        <w:right w:val="none" w:sz="0" w:space="0" w:color="auto"/>
      </w:divBdr>
      <w:divsChild>
        <w:div w:id="583344857">
          <w:marLeft w:val="0"/>
          <w:marRight w:val="0"/>
          <w:marTop w:val="0"/>
          <w:marBottom w:val="0"/>
          <w:divBdr>
            <w:top w:val="none" w:sz="0" w:space="0" w:color="auto"/>
            <w:left w:val="none" w:sz="0" w:space="0" w:color="auto"/>
            <w:bottom w:val="none" w:sz="0" w:space="0" w:color="auto"/>
            <w:right w:val="none" w:sz="0" w:space="0" w:color="auto"/>
          </w:divBdr>
          <w:divsChild>
            <w:div w:id="983390418">
              <w:marLeft w:val="0"/>
              <w:marRight w:val="0"/>
              <w:marTop w:val="0"/>
              <w:marBottom w:val="0"/>
              <w:divBdr>
                <w:top w:val="none" w:sz="0" w:space="0" w:color="auto"/>
                <w:left w:val="none" w:sz="0" w:space="0" w:color="auto"/>
                <w:bottom w:val="none" w:sz="0" w:space="0" w:color="auto"/>
                <w:right w:val="none" w:sz="0" w:space="0" w:color="auto"/>
              </w:divBdr>
              <w:divsChild>
                <w:div w:id="375351588">
                  <w:marLeft w:val="0"/>
                  <w:marRight w:val="0"/>
                  <w:marTop w:val="0"/>
                  <w:marBottom w:val="0"/>
                  <w:divBdr>
                    <w:top w:val="none" w:sz="0" w:space="0" w:color="auto"/>
                    <w:left w:val="none" w:sz="0" w:space="0" w:color="auto"/>
                    <w:bottom w:val="none" w:sz="0" w:space="0" w:color="auto"/>
                    <w:right w:val="none" w:sz="0" w:space="0" w:color="auto"/>
                  </w:divBdr>
                  <w:divsChild>
                    <w:div w:id="644116759">
                      <w:marLeft w:val="0"/>
                      <w:marRight w:val="0"/>
                      <w:marTop w:val="0"/>
                      <w:marBottom w:val="0"/>
                      <w:divBdr>
                        <w:top w:val="none" w:sz="0" w:space="0" w:color="auto"/>
                        <w:left w:val="none" w:sz="0" w:space="0" w:color="auto"/>
                        <w:bottom w:val="none" w:sz="0" w:space="0" w:color="auto"/>
                        <w:right w:val="none" w:sz="0" w:space="0" w:color="auto"/>
                      </w:divBdr>
                      <w:divsChild>
                        <w:div w:id="1264876270">
                          <w:marLeft w:val="0"/>
                          <w:marRight w:val="0"/>
                          <w:marTop w:val="0"/>
                          <w:marBottom w:val="0"/>
                          <w:divBdr>
                            <w:top w:val="none" w:sz="0" w:space="0" w:color="auto"/>
                            <w:left w:val="none" w:sz="0" w:space="0" w:color="auto"/>
                            <w:bottom w:val="none" w:sz="0" w:space="0" w:color="auto"/>
                            <w:right w:val="none" w:sz="0" w:space="0" w:color="auto"/>
                          </w:divBdr>
                          <w:divsChild>
                            <w:div w:id="30520307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2D5DC-7162-4A04-843B-EF35B468B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2407</Words>
  <Characters>13721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 Colleen (ALA)</dc:creator>
  <cp:lastModifiedBy>ANF</cp:lastModifiedBy>
  <cp:revision>2</cp:revision>
  <cp:lastPrinted>2017-07-27T17:29:00Z</cp:lastPrinted>
  <dcterms:created xsi:type="dcterms:W3CDTF">2017-10-30T14:37:00Z</dcterms:created>
  <dcterms:modified xsi:type="dcterms:W3CDTF">2017-10-30T14:37:00Z</dcterms:modified>
</cp:coreProperties>
</file>