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E2AA1" w14:textId="77777777" w:rsidR="00EE3D05" w:rsidRPr="00EE3D05" w:rsidRDefault="00EE3D05" w:rsidP="00EE3D05">
      <w:pPr>
        <w:jc w:val="center"/>
        <w:rPr>
          <w:rFonts w:ascii="Times New Roman" w:hAnsi="Times New Roman" w:cs="Times New Roman"/>
          <w:b/>
          <w:sz w:val="24"/>
          <w:szCs w:val="24"/>
        </w:rPr>
      </w:pPr>
      <w:bookmarkStart w:id="0" w:name="_GoBack"/>
      <w:bookmarkEnd w:id="0"/>
      <w:r w:rsidRPr="00EE3D05">
        <w:rPr>
          <w:rFonts w:ascii="Times New Roman" w:hAnsi="Times New Roman" w:cs="Times New Roman"/>
          <w:b/>
          <w:sz w:val="24"/>
          <w:szCs w:val="24"/>
        </w:rPr>
        <w:t>COMMONWEALTH OF MASSACHUSETTS</w:t>
      </w:r>
    </w:p>
    <w:p w14:paraId="158630DE" w14:textId="77777777" w:rsidR="00EE3D05" w:rsidRPr="00EE3D05" w:rsidRDefault="00EE3D05" w:rsidP="00EE3D05">
      <w:pPr>
        <w:jc w:val="center"/>
        <w:rPr>
          <w:rFonts w:ascii="Times New Roman" w:hAnsi="Times New Roman" w:cs="Times New Roman"/>
          <w:b/>
          <w:sz w:val="24"/>
          <w:szCs w:val="24"/>
        </w:rPr>
      </w:pPr>
      <w:r w:rsidRPr="00EE3D05">
        <w:rPr>
          <w:rFonts w:ascii="Times New Roman" w:hAnsi="Times New Roman" w:cs="Times New Roman"/>
          <w:b/>
          <w:sz w:val="24"/>
          <w:szCs w:val="24"/>
        </w:rPr>
        <w:t>BUREAU OF SPECIAL EDUCATION APPEALS</w:t>
      </w:r>
    </w:p>
    <w:p w14:paraId="580D67F9" w14:textId="77777777" w:rsidR="00EE3D05" w:rsidRPr="00EE3D05" w:rsidRDefault="00EE3D05" w:rsidP="00EE3D05">
      <w:pPr>
        <w:jc w:val="center"/>
        <w:rPr>
          <w:rFonts w:ascii="Times New Roman" w:hAnsi="Times New Roman" w:cs="Times New Roman"/>
          <w:b/>
          <w:sz w:val="24"/>
          <w:szCs w:val="24"/>
        </w:rPr>
      </w:pPr>
    </w:p>
    <w:p w14:paraId="155AA58F" w14:textId="118B5B98" w:rsidR="00EE3D05" w:rsidRPr="00EE3D05" w:rsidRDefault="00EE3D05" w:rsidP="00EE3D05">
      <w:pPr>
        <w:rPr>
          <w:rFonts w:ascii="Times New Roman" w:hAnsi="Times New Roman" w:cs="Times New Roman"/>
          <w:b/>
          <w:sz w:val="24"/>
          <w:szCs w:val="24"/>
        </w:rPr>
      </w:pPr>
      <w:r w:rsidRPr="00EE3D05">
        <w:rPr>
          <w:rFonts w:ascii="Times New Roman" w:hAnsi="Times New Roman" w:cs="Times New Roman"/>
          <w:b/>
          <w:sz w:val="24"/>
          <w:szCs w:val="24"/>
        </w:rPr>
        <w:t>Student</w:t>
      </w:r>
      <w:r w:rsidR="00B71C9D">
        <w:rPr>
          <w:rFonts w:ascii="Times New Roman" w:hAnsi="Times New Roman" w:cs="Times New Roman"/>
          <w:b/>
          <w:sz w:val="24"/>
          <w:szCs w:val="24"/>
        </w:rPr>
        <w:t xml:space="preserve"> v. Minuteman Regional Vocational Technical</w:t>
      </w:r>
      <w:r w:rsidR="00916C44">
        <w:rPr>
          <w:rFonts w:ascii="Times New Roman" w:hAnsi="Times New Roman" w:cs="Times New Roman"/>
          <w:b/>
          <w:sz w:val="24"/>
          <w:szCs w:val="24"/>
        </w:rPr>
        <w:t xml:space="preserve"> School</w:t>
      </w:r>
      <w:r w:rsidRPr="00EE3D05">
        <w:rPr>
          <w:rFonts w:ascii="Times New Roman" w:hAnsi="Times New Roman" w:cs="Times New Roman"/>
          <w:b/>
          <w:sz w:val="24"/>
          <w:szCs w:val="24"/>
        </w:rPr>
        <w:tab/>
      </w:r>
      <w:r>
        <w:rPr>
          <w:rFonts w:ascii="Times New Roman" w:hAnsi="Times New Roman" w:cs="Times New Roman"/>
          <w:b/>
          <w:sz w:val="24"/>
          <w:szCs w:val="24"/>
        </w:rPr>
        <w:tab/>
      </w:r>
      <w:r w:rsidR="00B71C9D">
        <w:rPr>
          <w:rFonts w:ascii="Times New Roman" w:hAnsi="Times New Roman" w:cs="Times New Roman"/>
          <w:b/>
          <w:sz w:val="24"/>
          <w:szCs w:val="24"/>
        </w:rPr>
        <w:t>BSEA # 1710814</w:t>
      </w:r>
    </w:p>
    <w:p w14:paraId="0AFDB7BF" w14:textId="77777777" w:rsidR="00B135D5" w:rsidRPr="005706F8" w:rsidRDefault="00B135D5" w:rsidP="00D33C5B">
      <w:pPr>
        <w:spacing w:after="0" w:line="240" w:lineRule="auto"/>
        <w:rPr>
          <w:rFonts w:ascii="Times New Roman" w:eastAsia="Times New Roman" w:hAnsi="Times New Roman" w:cs="Times New Roman"/>
          <w:sz w:val="24"/>
          <w:szCs w:val="24"/>
        </w:rPr>
      </w:pPr>
    </w:p>
    <w:p w14:paraId="5F8BA1C7" w14:textId="77777777" w:rsidR="00FB6B97" w:rsidRPr="005706F8" w:rsidRDefault="00FB6B97" w:rsidP="00B135D5">
      <w:pPr>
        <w:spacing w:after="0" w:line="240" w:lineRule="auto"/>
        <w:rPr>
          <w:rFonts w:ascii="Times New Roman" w:hAnsi="Times New Roman" w:cs="Times New Roman"/>
          <w:sz w:val="24"/>
          <w:szCs w:val="24"/>
        </w:rPr>
      </w:pPr>
    </w:p>
    <w:p w14:paraId="74E6EA52" w14:textId="0EE81D4B" w:rsidR="00B135D5" w:rsidRPr="005706F8" w:rsidRDefault="0030549C" w:rsidP="00B135D5">
      <w:pPr>
        <w:spacing w:after="0" w:line="240" w:lineRule="auto"/>
        <w:jc w:val="center"/>
        <w:rPr>
          <w:rFonts w:ascii="Times New Roman" w:hAnsi="Times New Roman" w:cs="Times New Roman"/>
          <w:b/>
          <w:sz w:val="24"/>
          <w:szCs w:val="24"/>
        </w:rPr>
      </w:pPr>
      <w:r w:rsidRPr="005706F8">
        <w:rPr>
          <w:rFonts w:ascii="Times New Roman" w:hAnsi="Times New Roman" w:cs="Times New Roman"/>
          <w:b/>
          <w:sz w:val="24"/>
          <w:szCs w:val="24"/>
        </w:rPr>
        <w:t>RULING ON</w:t>
      </w:r>
      <w:r w:rsidR="00B71C9D">
        <w:rPr>
          <w:rFonts w:ascii="Times New Roman" w:hAnsi="Times New Roman" w:cs="Times New Roman"/>
          <w:b/>
          <w:sz w:val="24"/>
          <w:szCs w:val="24"/>
        </w:rPr>
        <w:t xml:space="preserve"> MINUTEMAN</w:t>
      </w:r>
      <w:r w:rsidR="00DA1CFA">
        <w:rPr>
          <w:rFonts w:ascii="Times New Roman" w:hAnsi="Times New Roman" w:cs="Times New Roman"/>
          <w:b/>
          <w:sz w:val="24"/>
          <w:szCs w:val="24"/>
        </w:rPr>
        <w:t xml:space="preserve"> REGIONAL VOCATIONAL TECHNICAL SCHOOL</w:t>
      </w:r>
      <w:r w:rsidR="00447F76" w:rsidRPr="005706F8">
        <w:rPr>
          <w:rFonts w:ascii="Times New Roman" w:hAnsi="Times New Roman" w:cs="Times New Roman"/>
          <w:b/>
          <w:sz w:val="24"/>
          <w:szCs w:val="24"/>
        </w:rPr>
        <w:t>’S MOTION</w:t>
      </w:r>
      <w:r w:rsidR="00936990" w:rsidRPr="005706F8">
        <w:rPr>
          <w:rFonts w:ascii="Times New Roman" w:hAnsi="Times New Roman" w:cs="Times New Roman"/>
          <w:b/>
          <w:sz w:val="24"/>
          <w:szCs w:val="24"/>
        </w:rPr>
        <w:t xml:space="preserve"> TO DISMISS </w:t>
      </w:r>
    </w:p>
    <w:p w14:paraId="59B8494B" w14:textId="77777777" w:rsidR="00B135D5" w:rsidRPr="005706F8" w:rsidRDefault="00B135D5" w:rsidP="00D33C5B">
      <w:pPr>
        <w:spacing w:after="0" w:line="240" w:lineRule="auto"/>
        <w:rPr>
          <w:rFonts w:ascii="Times New Roman" w:eastAsia="Times New Roman" w:hAnsi="Times New Roman" w:cs="Times New Roman"/>
          <w:sz w:val="24"/>
          <w:szCs w:val="24"/>
        </w:rPr>
      </w:pPr>
    </w:p>
    <w:p w14:paraId="0DE0A5AE" w14:textId="07213624" w:rsidR="002E2CB0" w:rsidRDefault="00190629" w:rsidP="005706F8">
      <w:pPr>
        <w:spacing w:after="0" w:line="240" w:lineRule="auto"/>
        <w:rPr>
          <w:rFonts w:ascii="Times New Roman" w:eastAsia="Times New Roman" w:hAnsi="Times New Roman" w:cs="Times New Roman"/>
          <w:sz w:val="24"/>
          <w:szCs w:val="24"/>
        </w:rPr>
      </w:pPr>
      <w:r w:rsidRPr="00881EBF">
        <w:rPr>
          <w:rFonts w:ascii="Times New Roman" w:eastAsia="Times New Roman" w:hAnsi="Times New Roman" w:cs="Times New Roman"/>
          <w:sz w:val="24"/>
          <w:szCs w:val="24"/>
        </w:rPr>
        <w:t xml:space="preserve">This case involves </w:t>
      </w:r>
      <w:r w:rsidR="005A5DC8" w:rsidRPr="00881EBF">
        <w:rPr>
          <w:rFonts w:ascii="Times New Roman" w:eastAsia="Times New Roman" w:hAnsi="Times New Roman" w:cs="Times New Roman"/>
          <w:sz w:val="24"/>
          <w:szCs w:val="24"/>
        </w:rPr>
        <w:t>a</w:t>
      </w:r>
      <w:r w:rsidR="000F275A" w:rsidRPr="00881EBF">
        <w:rPr>
          <w:rFonts w:ascii="Times New Roman" w:eastAsia="Times New Roman" w:hAnsi="Times New Roman" w:cs="Times New Roman"/>
          <w:sz w:val="24"/>
          <w:szCs w:val="24"/>
        </w:rPr>
        <w:t xml:space="preserve"> 19</w:t>
      </w:r>
      <w:r w:rsidR="005A5DC8" w:rsidRPr="00881EBF">
        <w:rPr>
          <w:rFonts w:ascii="Times New Roman" w:eastAsia="Times New Roman" w:hAnsi="Times New Roman" w:cs="Times New Roman"/>
          <w:sz w:val="24"/>
          <w:szCs w:val="24"/>
        </w:rPr>
        <w:t>-year old special education student (</w:t>
      </w:r>
      <w:r w:rsidR="00916C44">
        <w:rPr>
          <w:rFonts w:ascii="Times New Roman" w:eastAsia="Times New Roman" w:hAnsi="Times New Roman" w:cs="Times New Roman"/>
          <w:sz w:val="24"/>
          <w:szCs w:val="24"/>
        </w:rPr>
        <w:t xml:space="preserve">hereinafter, </w:t>
      </w:r>
      <w:r w:rsidR="005A5DC8" w:rsidRPr="00881EBF">
        <w:rPr>
          <w:rFonts w:ascii="Times New Roman" w:eastAsia="Times New Roman" w:hAnsi="Times New Roman" w:cs="Times New Roman"/>
          <w:sz w:val="24"/>
          <w:szCs w:val="24"/>
        </w:rPr>
        <w:t>Student) who</w:t>
      </w:r>
      <w:r w:rsidRPr="00881EBF">
        <w:rPr>
          <w:rFonts w:ascii="Times New Roman" w:eastAsia="Times New Roman" w:hAnsi="Times New Roman" w:cs="Times New Roman"/>
          <w:sz w:val="24"/>
          <w:szCs w:val="24"/>
        </w:rPr>
        <w:t xml:space="preserve"> </w:t>
      </w:r>
      <w:r w:rsidR="00881EBF" w:rsidRPr="00881EBF">
        <w:rPr>
          <w:rFonts w:ascii="Times New Roman" w:eastAsia="Times New Roman" w:hAnsi="Times New Roman" w:cs="Times New Roman"/>
          <w:sz w:val="24"/>
          <w:szCs w:val="24"/>
        </w:rPr>
        <w:t xml:space="preserve">is enrolled in the </w:t>
      </w:r>
      <w:proofErr w:type="spellStart"/>
      <w:r w:rsidR="00881EBF" w:rsidRPr="00881EBF">
        <w:rPr>
          <w:rFonts w:ascii="Times New Roman" w:eastAsia="Times New Roman" w:hAnsi="Times New Roman" w:cs="Times New Roman"/>
          <w:sz w:val="24"/>
          <w:szCs w:val="24"/>
        </w:rPr>
        <w:t>Nashoba</w:t>
      </w:r>
      <w:proofErr w:type="spellEnd"/>
      <w:r w:rsidR="00881EBF" w:rsidRPr="00881EBF">
        <w:rPr>
          <w:rFonts w:ascii="Times New Roman" w:eastAsia="Times New Roman" w:hAnsi="Times New Roman" w:cs="Times New Roman"/>
          <w:sz w:val="24"/>
          <w:szCs w:val="24"/>
        </w:rPr>
        <w:t xml:space="preserve"> Regional School Distr</w:t>
      </w:r>
      <w:r w:rsidR="00881EBF">
        <w:rPr>
          <w:rFonts w:ascii="Times New Roman" w:eastAsia="Times New Roman" w:hAnsi="Times New Roman" w:cs="Times New Roman"/>
          <w:sz w:val="24"/>
          <w:szCs w:val="24"/>
        </w:rPr>
        <w:t xml:space="preserve">ict (hereinafter, </w:t>
      </w:r>
      <w:proofErr w:type="spellStart"/>
      <w:r w:rsidR="00881EBF">
        <w:rPr>
          <w:rFonts w:ascii="Times New Roman" w:eastAsia="Times New Roman" w:hAnsi="Times New Roman" w:cs="Times New Roman"/>
          <w:sz w:val="24"/>
          <w:szCs w:val="24"/>
        </w:rPr>
        <w:t>Nashoba</w:t>
      </w:r>
      <w:proofErr w:type="spellEnd"/>
      <w:r w:rsidR="00881EBF">
        <w:rPr>
          <w:rFonts w:ascii="Times New Roman" w:eastAsia="Times New Roman" w:hAnsi="Times New Roman" w:cs="Times New Roman"/>
          <w:sz w:val="24"/>
          <w:szCs w:val="24"/>
        </w:rPr>
        <w:t xml:space="preserve">) and received a certificate of completion from </w:t>
      </w:r>
      <w:proofErr w:type="spellStart"/>
      <w:r w:rsidR="00881EBF">
        <w:rPr>
          <w:rFonts w:ascii="Times New Roman" w:eastAsia="Times New Roman" w:hAnsi="Times New Roman" w:cs="Times New Roman"/>
          <w:sz w:val="24"/>
          <w:szCs w:val="24"/>
        </w:rPr>
        <w:t>Nashoba</w:t>
      </w:r>
      <w:proofErr w:type="spellEnd"/>
      <w:r w:rsidR="00881EBF">
        <w:rPr>
          <w:rFonts w:ascii="Times New Roman" w:eastAsia="Times New Roman" w:hAnsi="Times New Roman" w:cs="Times New Roman"/>
          <w:sz w:val="24"/>
          <w:szCs w:val="24"/>
        </w:rPr>
        <w:t xml:space="preserve"> in June 2016.  Student currently receives </w:t>
      </w:r>
      <w:r w:rsidR="00881EBF" w:rsidRPr="00881EBF">
        <w:rPr>
          <w:rFonts w:ascii="Times New Roman" w:eastAsia="Times New Roman" w:hAnsi="Times New Roman" w:cs="Times New Roman"/>
          <w:sz w:val="24"/>
          <w:szCs w:val="24"/>
        </w:rPr>
        <w:t>transitional/</w:t>
      </w:r>
      <w:proofErr w:type="spellStart"/>
      <w:r w:rsidR="00881EBF" w:rsidRPr="00881EBF">
        <w:rPr>
          <w:rFonts w:ascii="Times New Roman" w:eastAsia="Times New Roman" w:hAnsi="Times New Roman" w:cs="Times New Roman"/>
          <w:sz w:val="24"/>
          <w:szCs w:val="24"/>
        </w:rPr>
        <w:t>lifeskills</w:t>
      </w:r>
      <w:proofErr w:type="spellEnd"/>
      <w:r w:rsidR="00916C44">
        <w:rPr>
          <w:rFonts w:ascii="Times New Roman" w:eastAsia="Times New Roman" w:hAnsi="Times New Roman" w:cs="Times New Roman"/>
          <w:sz w:val="24"/>
          <w:szCs w:val="24"/>
        </w:rPr>
        <w:t>/vocational</w:t>
      </w:r>
      <w:r w:rsidR="00881EBF" w:rsidRPr="00881EBF">
        <w:rPr>
          <w:rFonts w:ascii="Times New Roman" w:eastAsia="Times New Roman" w:hAnsi="Times New Roman" w:cs="Times New Roman"/>
          <w:sz w:val="24"/>
          <w:szCs w:val="24"/>
        </w:rPr>
        <w:t xml:space="preserve"> service</w:t>
      </w:r>
      <w:r w:rsidR="00881EBF">
        <w:rPr>
          <w:rFonts w:ascii="Times New Roman" w:eastAsia="Times New Roman" w:hAnsi="Times New Roman" w:cs="Times New Roman"/>
          <w:sz w:val="24"/>
          <w:szCs w:val="24"/>
        </w:rPr>
        <w:t>s pursuant to</w:t>
      </w:r>
      <w:r w:rsidR="00881EBF" w:rsidRPr="00881EBF">
        <w:rPr>
          <w:rFonts w:ascii="Times New Roman" w:eastAsia="Times New Roman" w:hAnsi="Times New Roman" w:cs="Times New Roman"/>
          <w:sz w:val="24"/>
          <w:szCs w:val="24"/>
        </w:rPr>
        <w:t xml:space="preserve"> an IEP provided by </w:t>
      </w:r>
      <w:proofErr w:type="spellStart"/>
      <w:r w:rsidR="00881EBF" w:rsidRPr="00881EBF">
        <w:rPr>
          <w:rFonts w:ascii="Times New Roman" w:eastAsia="Times New Roman" w:hAnsi="Times New Roman" w:cs="Times New Roman"/>
          <w:sz w:val="24"/>
          <w:szCs w:val="24"/>
        </w:rPr>
        <w:t>Nashoba</w:t>
      </w:r>
      <w:proofErr w:type="spellEnd"/>
      <w:r w:rsidR="00881EBF" w:rsidRPr="00881EBF">
        <w:rPr>
          <w:rFonts w:ascii="Times New Roman" w:eastAsia="Times New Roman" w:hAnsi="Times New Roman" w:cs="Times New Roman"/>
          <w:sz w:val="24"/>
          <w:szCs w:val="24"/>
        </w:rPr>
        <w:t>.</w:t>
      </w:r>
      <w:r w:rsidR="00916C44">
        <w:rPr>
          <w:rFonts w:ascii="Times New Roman" w:eastAsia="Times New Roman" w:hAnsi="Times New Roman" w:cs="Times New Roman"/>
          <w:sz w:val="24"/>
          <w:szCs w:val="24"/>
        </w:rPr>
        <w:t xml:space="preserve">  Student resides within a town that is a member of the Minuteman Regional Vocational Technical School District</w:t>
      </w:r>
      <w:r w:rsidR="00881EBF">
        <w:rPr>
          <w:rFonts w:ascii="Times New Roman" w:eastAsia="Times New Roman" w:hAnsi="Times New Roman" w:cs="Times New Roman"/>
          <w:sz w:val="24"/>
          <w:szCs w:val="24"/>
        </w:rPr>
        <w:t xml:space="preserve"> </w:t>
      </w:r>
      <w:r w:rsidR="00916C44">
        <w:rPr>
          <w:rFonts w:ascii="Times New Roman" w:eastAsia="Times New Roman" w:hAnsi="Times New Roman" w:cs="Times New Roman"/>
          <w:sz w:val="24"/>
          <w:szCs w:val="24"/>
        </w:rPr>
        <w:t>(hereinafter, Minuteman)</w:t>
      </w:r>
    </w:p>
    <w:p w14:paraId="38765857" w14:textId="77777777" w:rsidR="00916C44" w:rsidRDefault="00916C44" w:rsidP="005706F8">
      <w:pPr>
        <w:spacing w:after="0" w:line="240" w:lineRule="auto"/>
        <w:rPr>
          <w:rFonts w:ascii="Times New Roman" w:eastAsia="Times New Roman" w:hAnsi="Times New Roman" w:cs="Times New Roman"/>
          <w:sz w:val="24"/>
          <w:szCs w:val="24"/>
        </w:rPr>
      </w:pPr>
    </w:p>
    <w:p w14:paraId="2F27D501" w14:textId="26FAE942" w:rsidR="00916C44" w:rsidRDefault="00916C44" w:rsidP="005706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Parents, (hereinafter, Parents) filed a hearing request after Minuteman denied Student admission to its culinary arts program</w:t>
      </w:r>
      <w:r w:rsidR="008B11D1">
        <w:rPr>
          <w:rFonts w:ascii="Times New Roman" w:eastAsia="Times New Roman" w:hAnsi="Times New Roman" w:cs="Times New Roman"/>
          <w:sz w:val="24"/>
          <w:szCs w:val="24"/>
        </w:rPr>
        <w:t>.</w:t>
      </w:r>
      <w:r w:rsidR="00EB36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Parents claim that the vocational services available at Minuteman are far superior to those offered by </w:t>
      </w:r>
      <w:proofErr w:type="spellStart"/>
      <w:r>
        <w:rPr>
          <w:rFonts w:ascii="Times New Roman" w:eastAsia="Times New Roman" w:hAnsi="Times New Roman" w:cs="Times New Roman"/>
          <w:sz w:val="24"/>
          <w:szCs w:val="24"/>
        </w:rPr>
        <w:t>Nashoba</w:t>
      </w:r>
      <w:proofErr w:type="spellEnd"/>
      <w:r>
        <w:rPr>
          <w:rFonts w:ascii="Times New Roman" w:eastAsia="Times New Roman" w:hAnsi="Times New Roman" w:cs="Times New Roman"/>
          <w:sz w:val="24"/>
          <w:szCs w:val="24"/>
        </w:rPr>
        <w:t xml:space="preserve"> and that because Student lives within the Minuteman </w:t>
      </w:r>
      <w:proofErr w:type="gramStart"/>
      <w:r>
        <w:rPr>
          <w:rFonts w:ascii="Times New Roman" w:eastAsia="Times New Roman" w:hAnsi="Times New Roman" w:cs="Times New Roman"/>
          <w:sz w:val="24"/>
          <w:szCs w:val="24"/>
        </w:rPr>
        <w:t>district,</w:t>
      </w:r>
      <w:proofErr w:type="gramEnd"/>
      <w:r>
        <w:rPr>
          <w:rFonts w:ascii="Times New Roman" w:eastAsia="Times New Roman" w:hAnsi="Times New Roman" w:cs="Times New Roman"/>
          <w:sz w:val="24"/>
          <w:szCs w:val="24"/>
        </w:rPr>
        <w:t xml:space="preserve"> Minuteman is obligated to provide her with special education services.</w:t>
      </w:r>
      <w:r w:rsidR="0023252C">
        <w:rPr>
          <w:rFonts w:ascii="Times New Roman" w:eastAsia="Times New Roman" w:hAnsi="Times New Roman" w:cs="Times New Roman"/>
          <w:sz w:val="24"/>
          <w:szCs w:val="24"/>
        </w:rPr>
        <w:t xml:space="preserve">  Although they did not specifically rais</w:t>
      </w:r>
      <w:r w:rsidR="007D540D">
        <w:rPr>
          <w:rFonts w:ascii="Times New Roman" w:eastAsia="Times New Roman" w:hAnsi="Times New Roman" w:cs="Times New Roman"/>
          <w:sz w:val="24"/>
          <w:szCs w:val="24"/>
        </w:rPr>
        <w:t>e claims under section 504, Parents</w:t>
      </w:r>
      <w:r w:rsidR="0023252C">
        <w:rPr>
          <w:rFonts w:ascii="Times New Roman" w:eastAsia="Times New Roman" w:hAnsi="Times New Roman" w:cs="Times New Roman"/>
          <w:sz w:val="24"/>
          <w:szCs w:val="24"/>
        </w:rPr>
        <w:t xml:space="preserve"> referenced the BSEA’s jurisdiction</w:t>
      </w:r>
      <w:r w:rsidR="007D540D">
        <w:rPr>
          <w:rFonts w:ascii="Times New Roman" w:eastAsia="Times New Roman" w:hAnsi="Times New Roman" w:cs="Times New Roman"/>
          <w:sz w:val="24"/>
          <w:szCs w:val="24"/>
        </w:rPr>
        <w:t xml:space="preserve"> over 504 claims</w:t>
      </w:r>
      <w:r w:rsidR="0023252C">
        <w:rPr>
          <w:rFonts w:ascii="Times New Roman" w:eastAsia="Times New Roman" w:hAnsi="Times New Roman" w:cs="Times New Roman"/>
          <w:sz w:val="24"/>
          <w:szCs w:val="24"/>
        </w:rPr>
        <w:t xml:space="preserve">. </w:t>
      </w:r>
    </w:p>
    <w:p w14:paraId="0FF6BBE0" w14:textId="77777777" w:rsidR="0023252C" w:rsidRDefault="0023252C" w:rsidP="005706F8">
      <w:pPr>
        <w:spacing w:after="0" w:line="240" w:lineRule="auto"/>
        <w:rPr>
          <w:rFonts w:ascii="Times New Roman" w:eastAsia="Times New Roman" w:hAnsi="Times New Roman" w:cs="Times New Roman"/>
          <w:sz w:val="24"/>
          <w:szCs w:val="24"/>
        </w:rPr>
      </w:pPr>
    </w:p>
    <w:p w14:paraId="0CF079FC" w14:textId="33C34F4F" w:rsidR="0023252C" w:rsidRPr="00DD1B9E" w:rsidRDefault="0023252C" w:rsidP="005706F8">
      <w:pPr>
        <w:spacing w:after="0" w:line="240" w:lineRule="auto"/>
        <w:rPr>
          <w:rFonts w:ascii="Times New Roman" w:eastAsia="Times New Roman" w:hAnsi="Times New Roman" w:cs="Times New Roman"/>
          <w:sz w:val="24"/>
          <w:szCs w:val="24"/>
          <w:highlight w:val="magenta"/>
        </w:rPr>
      </w:pPr>
      <w:r>
        <w:rPr>
          <w:rFonts w:ascii="Times New Roman" w:eastAsia="Times New Roman" w:hAnsi="Times New Roman" w:cs="Times New Roman"/>
          <w:sz w:val="24"/>
          <w:szCs w:val="24"/>
        </w:rPr>
        <w:t xml:space="preserve">Minuteman </w:t>
      </w:r>
      <w:r w:rsidR="00D61CDA">
        <w:rPr>
          <w:rFonts w:ascii="Times New Roman" w:eastAsia="Times New Roman" w:hAnsi="Times New Roman" w:cs="Times New Roman"/>
          <w:sz w:val="24"/>
          <w:szCs w:val="24"/>
        </w:rPr>
        <w:t>filed a Motion to Dismiss, arguing</w:t>
      </w:r>
      <w:r>
        <w:rPr>
          <w:rFonts w:ascii="Times New Roman" w:eastAsia="Times New Roman" w:hAnsi="Times New Roman" w:cs="Times New Roman"/>
          <w:sz w:val="24"/>
          <w:szCs w:val="24"/>
        </w:rPr>
        <w:t xml:space="preserve"> that the BSEA does not have jurisdiction in this dispute because Minute</w:t>
      </w:r>
      <w:r w:rsidR="00D61CDA">
        <w:rPr>
          <w:rFonts w:ascii="Times New Roman" w:eastAsia="Times New Roman" w:hAnsi="Times New Roman" w:cs="Times New Roman"/>
          <w:sz w:val="24"/>
          <w:szCs w:val="24"/>
        </w:rPr>
        <w:t xml:space="preserve">man does not have programmatic </w:t>
      </w:r>
      <w:r>
        <w:rPr>
          <w:rFonts w:ascii="Times New Roman" w:eastAsia="Times New Roman" w:hAnsi="Times New Roman" w:cs="Times New Roman"/>
          <w:sz w:val="24"/>
          <w:szCs w:val="24"/>
        </w:rPr>
        <w:t>or fiscal r</w:t>
      </w:r>
      <w:r w:rsidR="002E2405">
        <w:rPr>
          <w:rFonts w:ascii="Times New Roman" w:eastAsia="Times New Roman" w:hAnsi="Times New Roman" w:cs="Times New Roman"/>
          <w:sz w:val="24"/>
          <w:szCs w:val="24"/>
        </w:rPr>
        <w:t>esponsibility for Student.  It states that Minuteman has no</w:t>
      </w:r>
      <w:r>
        <w:rPr>
          <w:rFonts w:ascii="Times New Roman" w:eastAsia="Times New Roman" w:hAnsi="Times New Roman" w:cs="Times New Roman"/>
          <w:sz w:val="24"/>
          <w:szCs w:val="24"/>
        </w:rPr>
        <w:t xml:space="preserve"> obligations under the IDEA or M.G.L. c. </w:t>
      </w:r>
      <w:proofErr w:type="gramStart"/>
      <w:r>
        <w:rPr>
          <w:rFonts w:ascii="Times New Roman" w:eastAsia="Times New Roman" w:hAnsi="Times New Roman" w:cs="Times New Roman"/>
          <w:sz w:val="24"/>
          <w:szCs w:val="24"/>
        </w:rPr>
        <w:t xml:space="preserve">71B </w:t>
      </w:r>
      <w:r w:rsidR="00BA20F7">
        <w:rPr>
          <w:rFonts w:ascii="Times New Roman" w:eastAsia="Times New Roman" w:hAnsi="Times New Roman" w:cs="Times New Roman"/>
          <w:sz w:val="24"/>
          <w:szCs w:val="24"/>
        </w:rPr>
        <w:t xml:space="preserve"> because</w:t>
      </w:r>
      <w:proofErr w:type="gramEnd"/>
      <w:r w:rsidR="00BA20F7">
        <w:rPr>
          <w:rFonts w:ascii="Times New Roman" w:eastAsia="Times New Roman" w:hAnsi="Times New Roman" w:cs="Times New Roman"/>
          <w:sz w:val="24"/>
          <w:szCs w:val="24"/>
        </w:rPr>
        <w:t xml:space="preserve"> Student</w:t>
      </w:r>
      <w:r>
        <w:rPr>
          <w:rFonts w:ascii="Times New Roman" w:eastAsia="Times New Roman" w:hAnsi="Times New Roman" w:cs="Times New Roman"/>
          <w:sz w:val="24"/>
          <w:szCs w:val="24"/>
        </w:rPr>
        <w:t xml:space="preserve"> is not and has never been enrolled at Minuteman.  </w:t>
      </w:r>
      <w:r w:rsidR="002E2405">
        <w:rPr>
          <w:rFonts w:ascii="Times New Roman" w:eastAsia="Times New Roman" w:hAnsi="Times New Roman" w:cs="Times New Roman"/>
          <w:sz w:val="24"/>
          <w:szCs w:val="24"/>
        </w:rPr>
        <w:t>Further, it claims</w:t>
      </w:r>
      <w:r w:rsidR="00D64AF1">
        <w:rPr>
          <w:rFonts w:ascii="Times New Roman" w:eastAsia="Times New Roman" w:hAnsi="Times New Roman" w:cs="Times New Roman"/>
          <w:sz w:val="24"/>
          <w:szCs w:val="24"/>
        </w:rPr>
        <w:t xml:space="preserve"> that the BSEA does not have jurisdiction over Minuteman’s policies and practices, including its admissions policies</w:t>
      </w:r>
      <w:r w:rsidR="00BA20F7">
        <w:rPr>
          <w:rFonts w:ascii="Times New Roman" w:eastAsia="Times New Roman" w:hAnsi="Times New Roman" w:cs="Times New Roman"/>
          <w:sz w:val="24"/>
          <w:szCs w:val="24"/>
        </w:rPr>
        <w:t>, and that its admissions policy is non-discriminatory</w:t>
      </w:r>
      <w:r w:rsidR="00D64AF1">
        <w:rPr>
          <w:rFonts w:ascii="Times New Roman" w:eastAsia="Times New Roman" w:hAnsi="Times New Roman" w:cs="Times New Roman"/>
          <w:sz w:val="24"/>
          <w:szCs w:val="24"/>
        </w:rPr>
        <w:t>.</w:t>
      </w:r>
    </w:p>
    <w:p w14:paraId="32AE8A5E" w14:textId="46A45EFC" w:rsidR="00F33A28" w:rsidRPr="00DD1B9E" w:rsidRDefault="00297CB9" w:rsidP="005706F8">
      <w:pPr>
        <w:spacing w:after="0" w:line="240" w:lineRule="auto"/>
        <w:rPr>
          <w:rFonts w:ascii="Times New Roman" w:eastAsia="Times New Roman" w:hAnsi="Times New Roman" w:cs="Times New Roman"/>
          <w:sz w:val="24"/>
          <w:szCs w:val="24"/>
          <w:highlight w:val="magenta"/>
        </w:rPr>
      </w:pPr>
      <w:r w:rsidRPr="00DD1B9E">
        <w:rPr>
          <w:rFonts w:ascii="Times New Roman" w:eastAsia="Times New Roman" w:hAnsi="Times New Roman" w:cs="Times New Roman"/>
          <w:sz w:val="24"/>
          <w:szCs w:val="24"/>
          <w:highlight w:val="magenta"/>
        </w:rPr>
        <w:t xml:space="preserve">  </w:t>
      </w:r>
      <w:r w:rsidR="00876258" w:rsidRPr="00DD1B9E">
        <w:rPr>
          <w:rFonts w:ascii="Times New Roman" w:eastAsia="Times New Roman" w:hAnsi="Times New Roman" w:cs="Times New Roman"/>
          <w:sz w:val="24"/>
          <w:szCs w:val="24"/>
          <w:highlight w:val="magenta"/>
        </w:rPr>
        <w:t xml:space="preserve">  </w:t>
      </w:r>
      <w:r w:rsidR="00F33A28" w:rsidRPr="00DD1B9E">
        <w:rPr>
          <w:rFonts w:ascii="Times New Roman" w:eastAsia="Times New Roman" w:hAnsi="Times New Roman" w:cs="Times New Roman"/>
          <w:sz w:val="24"/>
          <w:szCs w:val="24"/>
          <w:highlight w:val="magenta"/>
        </w:rPr>
        <w:t xml:space="preserve">     </w:t>
      </w:r>
    </w:p>
    <w:p w14:paraId="3675B98D" w14:textId="66C66230" w:rsidR="005706F8" w:rsidRPr="005706F8" w:rsidRDefault="00D64AF1" w:rsidP="005706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Parents opposed the Motion to Dismiss.</w:t>
      </w:r>
    </w:p>
    <w:p w14:paraId="35351243" w14:textId="5D5C28F1" w:rsidR="00B74C43" w:rsidRPr="005706F8" w:rsidRDefault="00F135D0" w:rsidP="005706F8">
      <w:pPr>
        <w:spacing w:after="0" w:line="240" w:lineRule="auto"/>
        <w:rPr>
          <w:rFonts w:ascii="Times New Roman" w:eastAsia="Times New Roman" w:hAnsi="Times New Roman" w:cs="Times New Roman"/>
          <w:sz w:val="24"/>
          <w:szCs w:val="24"/>
        </w:rPr>
      </w:pPr>
      <w:r w:rsidRPr="005706F8">
        <w:rPr>
          <w:rFonts w:ascii="Times New Roman" w:eastAsia="Times New Roman" w:hAnsi="Times New Roman" w:cs="Times New Roman"/>
          <w:sz w:val="24"/>
          <w:szCs w:val="24"/>
        </w:rPr>
        <w:t xml:space="preserve">  </w:t>
      </w:r>
    </w:p>
    <w:p w14:paraId="1456BFB8" w14:textId="420F93BC" w:rsidR="00E80350" w:rsidRPr="005706F8" w:rsidRDefault="00E80350" w:rsidP="00E80350">
      <w:pPr>
        <w:spacing w:after="0" w:line="240" w:lineRule="auto"/>
        <w:ind w:firstLine="720"/>
        <w:jc w:val="center"/>
        <w:rPr>
          <w:rFonts w:ascii="Times New Roman" w:eastAsia="Times New Roman" w:hAnsi="Times New Roman" w:cs="Times New Roman"/>
          <w:b/>
          <w:sz w:val="24"/>
          <w:szCs w:val="24"/>
          <w:u w:val="single"/>
        </w:rPr>
      </w:pPr>
      <w:r w:rsidRPr="005706F8">
        <w:rPr>
          <w:rFonts w:ascii="Times New Roman" w:eastAsia="Times New Roman" w:hAnsi="Times New Roman" w:cs="Times New Roman"/>
          <w:b/>
          <w:sz w:val="24"/>
          <w:szCs w:val="24"/>
          <w:u w:val="single"/>
        </w:rPr>
        <w:t>FACT</w:t>
      </w:r>
      <w:r w:rsidR="0010697F">
        <w:rPr>
          <w:rFonts w:ascii="Times New Roman" w:eastAsia="Times New Roman" w:hAnsi="Times New Roman" w:cs="Times New Roman"/>
          <w:b/>
          <w:sz w:val="24"/>
          <w:szCs w:val="24"/>
          <w:u w:val="single"/>
        </w:rPr>
        <w:t>S</w:t>
      </w:r>
      <w:r w:rsidR="0010697F">
        <w:rPr>
          <w:rStyle w:val="FootnoteReference"/>
          <w:rFonts w:ascii="Times New Roman" w:eastAsia="Times New Roman" w:hAnsi="Times New Roman" w:cs="Times New Roman"/>
          <w:b/>
          <w:sz w:val="24"/>
          <w:szCs w:val="24"/>
          <w:u w:val="single"/>
        </w:rPr>
        <w:footnoteReference w:id="1"/>
      </w:r>
    </w:p>
    <w:p w14:paraId="5F05B575" w14:textId="77777777" w:rsidR="00E80350" w:rsidRPr="005706F8" w:rsidRDefault="00E80350" w:rsidP="00E80350">
      <w:pPr>
        <w:spacing w:after="0" w:line="240" w:lineRule="auto"/>
        <w:ind w:firstLine="720"/>
        <w:jc w:val="center"/>
        <w:rPr>
          <w:rFonts w:ascii="Times New Roman" w:eastAsia="Times New Roman" w:hAnsi="Times New Roman" w:cs="Times New Roman"/>
          <w:b/>
          <w:sz w:val="24"/>
          <w:szCs w:val="24"/>
          <w:u w:val="single"/>
        </w:rPr>
      </w:pPr>
    </w:p>
    <w:p w14:paraId="790F2B82" w14:textId="73EB8774" w:rsidR="00A8751C" w:rsidRPr="005706F8" w:rsidRDefault="00A8751C" w:rsidP="0037035A">
      <w:pPr>
        <w:spacing w:after="0" w:line="240" w:lineRule="auto"/>
        <w:rPr>
          <w:rFonts w:ascii="Times New Roman" w:eastAsia="Times New Roman" w:hAnsi="Times New Roman" w:cs="Times New Roman"/>
          <w:sz w:val="24"/>
          <w:szCs w:val="24"/>
        </w:rPr>
      </w:pPr>
      <w:r w:rsidRPr="005706F8">
        <w:rPr>
          <w:rFonts w:ascii="Times New Roman" w:eastAsia="Times New Roman" w:hAnsi="Times New Roman" w:cs="Times New Roman"/>
          <w:sz w:val="24"/>
          <w:szCs w:val="24"/>
        </w:rPr>
        <w:t xml:space="preserve">For purposes of </w:t>
      </w:r>
      <w:r w:rsidR="005F72B4">
        <w:rPr>
          <w:rFonts w:ascii="Times New Roman" w:eastAsia="Times New Roman" w:hAnsi="Times New Roman" w:cs="Times New Roman"/>
          <w:sz w:val="24"/>
          <w:szCs w:val="24"/>
        </w:rPr>
        <w:t>this Ruling</w:t>
      </w:r>
      <w:r w:rsidRPr="005706F8">
        <w:rPr>
          <w:rFonts w:ascii="Times New Roman" w:eastAsia="Times New Roman" w:hAnsi="Times New Roman" w:cs="Times New Roman"/>
          <w:sz w:val="24"/>
          <w:szCs w:val="24"/>
        </w:rPr>
        <w:t xml:space="preserve"> the following assertions are considered to be true and construed in favor of the party </w:t>
      </w:r>
      <w:r w:rsidR="00560BE5">
        <w:rPr>
          <w:rFonts w:ascii="Times New Roman" w:eastAsia="Times New Roman" w:hAnsi="Times New Roman" w:cs="Times New Roman"/>
          <w:sz w:val="24"/>
          <w:szCs w:val="24"/>
        </w:rPr>
        <w:t xml:space="preserve">opposing dismissal, namely, </w:t>
      </w:r>
      <w:r w:rsidR="00AC3E32" w:rsidRPr="005706F8">
        <w:rPr>
          <w:rFonts w:ascii="Times New Roman" w:eastAsia="Times New Roman" w:hAnsi="Times New Roman" w:cs="Times New Roman"/>
          <w:sz w:val="24"/>
          <w:szCs w:val="24"/>
        </w:rPr>
        <w:t>Student.</w:t>
      </w:r>
    </w:p>
    <w:p w14:paraId="56050A8B" w14:textId="77777777" w:rsidR="00A8751C" w:rsidRPr="005706F8" w:rsidRDefault="00A8751C" w:rsidP="00A8751C">
      <w:pPr>
        <w:spacing w:after="0" w:line="240" w:lineRule="auto"/>
        <w:ind w:firstLine="720"/>
        <w:rPr>
          <w:rFonts w:ascii="Times New Roman" w:eastAsia="Times New Roman" w:hAnsi="Times New Roman" w:cs="Times New Roman"/>
          <w:sz w:val="24"/>
          <w:szCs w:val="24"/>
        </w:rPr>
      </w:pPr>
    </w:p>
    <w:p w14:paraId="1A725B21" w14:textId="1EC34E8E" w:rsidR="000F0783" w:rsidRPr="005706F8" w:rsidRDefault="000F275A" w:rsidP="00B951B7">
      <w:pPr>
        <w:pStyle w:val="ListParagraph"/>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is a ni</w:t>
      </w:r>
      <w:r w:rsidR="005F72B4">
        <w:rPr>
          <w:rFonts w:ascii="Times New Roman" w:eastAsia="Times New Roman" w:hAnsi="Times New Roman" w:cs="Times New Roman"/>
          <w:sz w:val="24"/>
          <w:szCs w:val="24"/>
        </w:rPr>
        <w:t>n</w:t>
      </w:r>
      <w:r>
        <w:rPr>
          <w:rFonts w:ascii="Times New Roman" w:eastAsia="Times New Roman" w:hAnsi="Times New Roman" w:cs="Times New Roman"/>
          <w:sz w:val="24"/>
          <w:szCs w:val="24"/>
        </w:rPr>
        <w:t>e</w:t>
      </w:r>
      <w:r w:rsidR="005F72B4">
        <w:rPr>
          <w:rFonts w:ascii="Times New Roman" w:eastAsia="Times New Roman" w:hAnsi="Times New Roman" w:cs="Times New Roman"/>
          <w:sz w:val="24"/>
          <w:szCs w:val="24"/>
        </w:rPr>
        <w:t>teen</w:t>
      </w:r>
      <w:r w:rsidR="00195153" w:rsidRPr="005706F8">
        <w:rPr>
          <w:rFonts w:ascii="Times New Roman" w:eastAsia="Times New Roman" w:hAnsi="Times New Roman" w:cs="Times New Roman"/>
          <w:sz w:val="24"/>
          <w:szCs w:val="24"/>
        </w:rPr>
        <w:t xml:space="preserve"> </w:t>
      </w:r>
      <w:r w:rsidR="00AC3F55" w:rsidRPr="005706F8">
        <w:rPr>
          <w:rFonts w:ascii="Times New Roman" w:eastAsia="Times New Roman" w:hAnsi="Times New Roman" w:cs="Times New Roman"/>
          <w:sz w:val="24"/>
          <w:szCs w:val="24"/>
        </w:rPr>
        <w:t>year-</w:t>
      </w:r>
      <w:r w:rsidR="0010697F">
        <w:rPr>
          <w:rFonts w:ascii="Times New Roman" w:eastAsia="Times New Roman" w:hAnsi="Times New Roman" w:cs="Times New Roman"/>
          <w:sz w:val="24"/>
          <w:szCs w:val="24"/>
        </w:rPr>
        <w:t>old student</w:t>
      </w:r>
      <w:r w:rsidR="000F0783" w:rsidRPr="005706F8">
        <w:rPr>
          <w:rFonts w:ascii="Times New Roman" w:eastAsia="Times New Roman" w:hAnsi="Times New Roman" w:cs="Times New Roman"/>
          <w:sz w:val="24"/>
          <w:szCs w:val="24"/>
        </w:rPr>
        <w:t xml:space="preserve"> with disabilities</w:t>
      </w:r>
      <w:r w:rsidR="00D82875" w:rsidRPr="005706F8">
        <w:rPr>
          <w:rFonts w:ascii="Times New Roman" w:eastAsia="Times New Roman" w:hAnsi="Times New Roman" w:cs="Times New Roman"/>
          <w:sz w:val="24"/>
          <w:szCs w:val="24"/>
        </w:rPr>
        <w:t>.</w:t>
      </w:r>
      <w:r w:rsidR="001069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town in which she resides is a member of both the </w:t>
      </w:r>
      <w:proofErr w:type="spellStart"/>
      <w:r>
        <w:rPr>
          <w:rFonts w:ascii="Times New Roman" w:eastAsia="Times New Roman" w:hAnsi="Times New Roman" w:cs="Times New Roman"/>
          <w:sz w:val="24"/>
          <w:szCs w:val="24"/>
        </w:rPr>
        <w:t>Nashoba</w:t>
      </w:r>
      <w:proofErr w:type="spellEnd"/>
      <w:r>
        <w:rPr>
          <w:rFonts w:ascii="Times New Roman" w:eastAsia="Times New Roman" w:hAnsi="Times New Roman" w:cs="Times New Roman"/>
          <w:sz w:val="24"/>
          <w:szCs w:val="24"/>
        </w:rPr>
        <w:t xml:space="preserve"> Regional School District and </w:t>
      </w:r>
      <w:r w:rsidR="009F3554">
        <w:rPr>
          <w:rFonts w:ascii="Times New Roman" w:eastAsia="Times New Roman" w:hAnsi="Times New Roman" w:cs="Times New Roman"/>
          <w:sz w:val="24"/>
          <w:szCs w:val="24"/>
        </w:rPr>
        <w:t>Minuteman.</w:t>
      </w:r>
      <w:r w:rsidR="00081EF8" w:rsidRPr="005706F8">
        <w:rPr>
          <w:rFonts w:ascii="Times New Roman" w:eastAsia="Times New Roman" w:hAnsi="Times New Roman" w:cs="Times New Roman"/>
          <w:sz w:val="24"/>
          <w:szCs w:val="24"/>
        </w:rPr>
        <w:t xml:space="preserve">  </w:t>
      </w:r>
      <w:r w:rsidR="000F0783" w:rsidRPr="005706F8">
        <w:rPr>
          <w:rFonts w:ascii="Times New Roman" w:eastAsia="Times New Roman" w:hAnsi="Times New Roman" w:cs="Times New Roman"/>
          <w:sz w:val="24"/>
          <w:szCs w:val="24"/>
        </w:rPr>
        <w:t xml:space="preserve">  </w:t>
      </w:r>
    </w:p>
    <w:p w14:paraId="301EB24B" w14:textId="77777777" w:rsidR="000F0783" w:rsidRPr="005706F8" w:rsidRDefault="000F0783" w:rsidP="000F0783">
      <w:pPr>
        <w:pStyle w:val="ListParagraph"/>
        <w:spacing w:after="0" w:line="240" w:lineRule="auto"/>
        <w:ind w:left="1080"/>
        <w:rPr>
          <w:rFonts w:ascii="Times New Roman" w:eastAsia="Times New Roman" w:hAnsi="Times New Roman" w:cs="Times New Roman"/>
          <w:sz w:val="24"/>
          <w:szCs w:val="24"/>
        </w:rPr>
      </w:pPr>
    </w:p>
    <w:p w14:paraId="0FA555CD" w14:textId="77777777" w:rsidR="009F3554" w:rsidRDefault="0010697F" w:rsidP="0021274B">
      <w:pPr>
        <w:pStyle w:val="ListParagraph"/>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has been diagnosed with</w:t>
      </w:r>
      <w:r w:rsidR="009F3554">
        <w:rPr>
          <w:rFonts w:ascii="Times New Roman" w:eastAsia="Times New Roman" w:hAnsi="Times New Roman" w:cs="Times New Roman"/>
          <w:sz w:val="24"/>
          <w:szCs w:val="24"/>
        </w:rPr>
        <w:t xml:space="preserve"> Pervasive Developmental Disorder.</w:t>
      </w:r>
    </w:p>
    <w:p w14:paraId="309D6A1D" w14:textId="77777777" w:rsidR="009F3554" w:rsidRPr="009F3554" w:rsidRDefault="009F3554" w:rsidP="009F3554">
      <w:pPr>
        <w:pStyle w:val="ListParagraph"/>
        <w:rPr>
          <w:rFonts w:ascii="Times New Roman" w:eastAsia="Times New Roman" w:hAnsi="Times New Roman" w:cs="Times New Roman"/>
          <w:sz w:val="24"/>
          <w:szCs w:val="24"/>
        </w:rPr>
      </w:pPr>
    </w:p>
    <w:p w14:paraId="3C2D8E88" w14:textId="77777777" w:rsidR="009F3554" w:rsidRDefault="009F3554" w:rsidP="0021274B">
      <w:pPr>
        <w:pStyle w:val="ListParagraph"/>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Mother has a Limited Guardianship over her.</w:t>
      </w:r>
    </w:p>
    <w:p w14:paraId="37A219C7" w14:textId="77777777" w:rsidR="009F3554" w:rsidRPr="009F3554" w:rsidRDefault="009F3554" w:rsidP="009F3554">
      <w:pPr>
        <w:pStyle w:val="ListParagraph"/>
        <w:rPr>
          <w:rFonts w:ascii="Times New Roman" w:eastAsia="Times New Roman" w:hAnsi="Times New Roman" w:cs="Times New Roman"/>
          <w:sz w:val="24"/>
          <w:szCs w:val="24"/>
        </w:rPr>
      </w:pPr>
    </w:p>
    <w:p w14:paraId="561FCEE1" w14:textId="26CDAC59" w:rsidR="009F3554" w:rsidRDefault="009F3554" w:rsidP="0021274B">
      <w:pPr>
        <w:pStyle w:val="ListParagraph"/>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w:t>
      </w:r>
      <w:r w:rsidR="00D2156E">
        <w:rPr>
          <w:rFonts w:ascii="Times New Roman" w:eastAsia="Times New Roman" w:hAnsi="Times New Roman" w:cs="Times New Roman"/>
          <w:sz w:val="24"/>
          <w:szCs w:val="24"/>
        </w:rPr>
        <w:t xml:space="preserve">t is enrolled at </w:t>
      </w:r>
      <w:proofErr w:type="spellStart"/>
      <w:r>
        <w:rPr>
          <w:rFonts w:ascii="Times New Roman" w:eastAsia="Times New Roman" w:hAnsi="Times New Roman" w:cs="Times New Roman"/>
          <w:sz w:val="24"/>
          <w:szCs w:val="24"/>
        </w:rPr>
        <w:t>Nashoba</w:t>
      </w:r>
      <w:proofErr w:type="spellEnd"/>
      <w:r>
        <w:rPr>
          <w:rFonts w:ascii="Times New Roman" w:eastAsia="Times New Roman" w:hAnsi="Times New Roman" w:cs="Times New Roman"/>
          <w:sz w:val="24"/>
          <w:szCs w:val="24"/>
        </w:rPr>
        <w:t>.</w:t>
      </w:r>
      <w:r w:rsidR="00855471">
        <w:rPr>
          <w:rFonts w:ascii="Times New Roman" w:eastAsia="Times New Roman" w:hAnsi="Times New Roman" w:cs="Times New Roman"/>
          <w:sz w:val="24"/>
          <w:szCs w:val="24"/>
        </w:rPr>
        <w:t xml:space="preserve"> </w:t>
      </w:r>
    </w:p>
    <w:p w14:paraId="325FF665" w14:textId="77777777" w:rsidR="009F3554" w:rsidRPr="009F3554" w:rsidRDefault="009F3554" w:rsidP="009F3554">
      <w:pPr>
        <w:pStyle w:val="ListParagraph"/>
        <w:rPr>
          <w:rFonts w:ascii="Times New Roman" w:eastAsia="Times New Roman" w:hAnsi="Times New Roman" w:cs="Times New Roman"/>
          <w:sz w:val="24"/>
          <w:szCs w:val="24"/>
        </w:rPr>
      </w:pPr>
    </w:p>
    <w:p w14:paraId="676A6894" w14:textId="741A39E1" w:rsidR="008872FD" w:rsidRDefault="009F3554" w:rsidP="0021274B">
      <w:pPr>
        <w:pStyle w:val="ListParagraph"/>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received a certificate of completion from </w:t>
      </w:r>
      <w:proofErr w:type="spellStart"/>
      <w:r>
        <w:rPr>
          <w:rFonts w:ascii="Times New Roman" w:eastAsia="Times New Roman" w:hAnsi="Times New Roman" w:cs="Times New Roman"/>
          <w:sz w:val="24"/>
          <w:szCs w:val="24"/>
        </w:rPr>
        <w:t>Nashoba</w:t>
      </w:r>
      <w:proofErr w:type="spellEnd"/>
      <w:r>
        <w:rPr>
          <w:rFonts w:ascii="Times New Roman" w:eastAsia="Times New Roman" w:hAnsi="Times New Roman" w:cs="Times New Roman"/>
          <w:sz w:val="24"/>
          <w:szCs w:val="24"/>
        </w:rPr>
        <w:t xml:space="preserve"> in June 2016.  She currently receives transition, </w:t>
      </w:r>
      <w:proofErr w:type="spellStart"/>
      <w:r>
        <w:rPr>
          <w:rFonts w:ascii="Times New Roman" w:eastAsia="Times New Roman" w:hAnsi="Times New Roman" w:cs="Times New Roman"/>
          <w:sz w:val="24"/>
          <w:szCs w:val="24"/>
        </w:rPr>
        <w:t>lifeskills</w:t>
      </w:r>
      <w:proofErr w:type="spellEnd"/>
      <w:r>
        <w:rPr>
          <w:rFonts w:ascii="Times New Roman" w:eastAsia="Times New Roman" w:hAnsi="Times New Roman" w:cs="Times New Roman"/>
          <w:sz w:val="24"/>
          <w:szCs w:val="24"/>
        </w:rPr>
        <w:t xml:space="preserve">, and vocational services through an IEP provided by </w:t>
      </w:r>
      <w:proofErr w:type="spellStart"/>
      <w:r>
        <w:rPr>
          <w:rFonts w:ascii="Times New Roman" w:eastAsia="Times New Roman" w:hAnsi="Times New Roman" w:cs="Times New Roman"/>
          <w:sz w:val="24"/>
          <w:szCs w:val="24"/>
        </w:rPr>
        <w:t>Nashoba</w:t>
      </w:r>
      <w:proofErr w:type="spellEnd"/>
      <w:r>
        <w:rPr>
          <w:rFonts w:ascii="Times New Roman" w:eastAsia="Times New Roman" w:hAnsi="Times New Roman" w:cs="Times New Roman"/>
          <w:sz w:val="24"/>
          <w:szCs w:val="24"/>
        </w:rPr>
        <w:t>.</w:t>
      </w:r>
      <w:r w:rsidR="00855471">
        <w:rPr>
          <w:rFonts w:ascii="Times New Roman" w:eastAsia="Times New Roman" w:hAnsi="Times New Roman" w:cs="Times New Roman"/>
          <w:sz w:val="24"/>
          <w:szCs w:val="24"/>
        </w:rPr>
        <w:t xml:space="preserve"> </w:t>
      </w:r>
    </w:p>
    <w:p w14:paraId="064EDB8D" w14:textId="77777777" w:rsidR="008872FD" w:rsidRDefault="008872FD" w:rsidP="008872FD">
      <w:pPr>
        <w:pStyle w:val="ListParagraph"/>
        <w:spacing w:after="0" w:line="240" w:lineRule="auto"/>
        <w:ind w:left="360"/>
        <w:rPr>
          <w:rFonts w:ascii="Times New Roman" w:eastAsia="Times New Roman" w:hAnsi="Times New Roman" w:cs="Times New Roman"/>
          <w:sz w:val="24"/>
          <w:szCs w:val="24"/>
        </w:rPr>
      </w:pPr>
    </w:p>
    <w:p w14:paraId="79EEFBEB" w14:textId="179182A3" w:rsidR="00F82D17" w:rsidRDefault="00F82D17" w:rsidP="00F82D17">
      <w:pPr>
        <w:pStyle w:val="ListParagraph"/>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has a strong interest in</w:t>
      </w:r>
      <w:r w:rsidR="00BA20F7">
        <w:rPr>
          <w:rFonts w:ascii="Times New Roman" w:eastAsia="Times New Roman" w:hAnsi="Times New Roman" w:cs="Times New Roman"/>
          <w:sz w:val="24"/>
          <w:szCs w:val="24"/>
        </w:rPr>
        <w:t xml:space="preserve"> the culinary arts and </w:t>
      </w:r>
      <w:r>
        <w:rPr>
          <w:rFonts w:ascii="Times New Roman" w:eastAsia="Times New Roman" w:hAnsi="Times New Roman" w:cs="Times New Roman"/>
          <w:sz w:val="24"/>
          <w:szCs w:val="24"/>
        </w:rPr>
        <w:t xml:space="preserve">desires to become a baker/restaurant owner.  </w:t>
      </w:r>
      <w:r w:rsidR="00BA20F7">
        <w:rPr>
          <w:rFonts w:ascii="Times New Roman" w:eastAsia="Times New Roman" w:hAnsi="Times New Roman" w:cs="Times New Roman"/>
          <w:sz w:val="24"/>
          <w:szCs w:val="24"/>
        </w:rPr>
        <w:t xml:space="preserve">She has already attained </w:t>
      </w:r>
      <w:r>
        <w:rPr>
          <w:rFonts w:ascii="Times New Roman" w:eastAsia="Times New Roman" w:hAnsi="Times New Roman" w:cs="Times New Roman"/>
          <w:sz w:val="24"/>
          <w:szCs w:val="24"/>
        </w:rPr>
        <w:t>skills in the area of culinary arts and has successfully worked in local restaurants and bakeries.</w:t>
      </w:r>
    </w:p>
    <w:p w14:paraId="1F2B1E64" w14:textId="77777777" w:rsidR="00B80BEA" w:rsidRPr="00B80BEA" w:rsidRDefault="00B80BEA" w:rsidP="00B80BEA">
      <w:pPr>
        <w:pStyle w:val="ListParagraph"/>
        <w:rPr>
          <w:rFonts w:ascii="Times New Roman" w:eastAsia="Times New Roman" w:hAnsi="Times New Roman" w:cs="Times New Roman"/>
          <w:sz w:val="24"/>
          <w:szCs w:val="24"/>
        </w:rPr>
      </w:pPr>
    </w:p>
    <w:p w14:paraId="38FB63A9" w14:textId="74F43AE0" w:rsidR="00B80BEA" w:rsidRDefault="00B80BEA" w:rsidP="00F82D17">
      <w:pPr>
        <w:pStyle w:val="ListParagraph"/>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requires additional training and job opportunities to assist her in achieving her vocational goals</w:t>
      </w:r>
      <w:r w:rsidR="0093044F">
        <w:rPr>
          <w:rFonts w:ascii="Times New Roman" w:eastAsia="Times New Roman" w:hAnsi="Times New Roman" w:cs="Times New Roman"/>
          <w:sz w:val="24"/>
          <w:szCs w:val="24"/>
        </w:rPr>
        <w:t xml:space="preserve"> and </w:t>
      </w:r>
      <w:proofErr w:type="spellStart"/>
      <w:r w:rsidR="0093044F">
        <w:rPr>
          <w:rFonts w:ascii="Times New Roman" w:eastAsia="Times New Roman" w:hAnsi="Times New Roman" w:cs="Times New Roman"/>
          <w:sz w:val="24"/>
          <w:szCs w:val="24"/>
        </w:rPr>
        <w:t>Nashoba</w:t>
      </w:r>
      <w:proofErr w:type="spellEnd"/>
      <w:r w:rsidR="00845E85">
        <w:rPr>
          <w:rFonts w:ascii="Times New Roman" w:eastAsia="Times New Roman" w:hAnsi="Times New Roman" w:cs="Times New Roman"/>
          <w:sz w:val="24"/>
          <w:szCs w:val="24"/>
        </w:rPr>
        <w:t xml:space="preserve"> has been unable to provide her with the type and degree of training and vocational work opportunities she requires</w:t>
      </w:r>
      <w:r w:rsidR="00022BAE">
        <w:rPr>
          <w:rFonts w:ascii="Times New Roman" w:eastAsia="Times New Roman" w:hAnsi="Times New Roman" w:cs="Times New Roman"/>
          <w:sz w:val="24"/>
          <w:szCs w:val="24"/>
        </w:rPr>
        <w:t>.</w:t>
      </w:r>
      <w:r w:rsidR="00845E85">
        <w:rPr>
          <w:rFonts w:ascii="Times New Roman" w:eastAsia="Times New Roman" w:hAnsi="Times New Roman" w:cs="Times New Roman"/>
          <w:sz w:val="24"/>
          <w:szCs w:val="24"/>
        </w:rPr>
        <w:t xml:space="preserve">  </w:t>
      </w:r>
    </w:p>
    <w:p w14:paraId="230336C5" w14:textId="77777777" w:rsidR="00892C8B" w:rsidRPr="00892C8B" w:rsidRDefault="00892C8B" w:rsidP="00892C8B">
      <w:pPr>
        <w:pStyle w:val="ListParagraph"/>
        <w:rPr>
          <w:rFonts w:ascii="Times New Roman" w:eastAsia="Times New Roman" w:hAnsi="Times New Roman" w:cs="Times New Roman"/>
          <w:sz w:val="24"/>
          <w:szCs w:val="24"/>
        </w:rPr>
      </w:pPr>
    </w:p>
    <w:p w14:paraId="2694F6A5" w14:textId="7D10FA27" w:rsidR="00892C8B" w:rsidRDefault="00892C8B" w:rsidP="00F82D17">
      <w:pPr>
        <w:pStyle w:val="ListParagraph"/>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Minuteman Career and Technical High School District is a public vocation</w:t>
      </w:r>
      <w:r w:rsidR="006A4DEB">
        <w:rPr>
          <w:rFonts w:ascii="Times New Roman" w:eastAsia="Times New Roman" w:hAnsi="Times New Roman" w:cs="Times New Roman"/>
          <w:sz w:val="24"/>
          <w:szCs w:val="24"/>
        </w:rPr>
        <w:t>al and technical high school serving</w:t>
      </w:r>
      <w:r>
        <w:rPr>
          <w:rFonts w:ascii="Times New Roman" w:eastAsia="Times New Roman" w:hAnsi="Times New Roman" w:cs="Times New Roman"/>
          <w:sz w:val="24"/>
          <w:szCs w:val="24"/>
        </w:rPr>
        <w:t xml:space="preserve"> grades nine through twelve, inclusive, and organized pursuant to M.G.L. </w:t>
      </w:r>
      <w:proofErr w:type="spellStart"/>
      <w:r>
        <w:rPr>
          <w:rFonts w:ascii="Times New Roman" w:eastAsia="Times New Roman" w:hAnsi="Times New Roman" w:cs="Times New Roman"/>
          <w:sz w:val="24"/>
          <w:szCs w:val="24"/>
        </w:rPr>
        <w:t>ch.</w:t>
      </w:r>
      <w:proofErr w:type="spellEnd"/>
      <w:r>
        <w:rPr>
          <w:rFonts w:ascii="Times New Roman" w:eastAsia="Times New Roman" w:hAnsi="Times New Roman" w:cs="Times New Roman"/>
          <w:sz w:val="24"/>
          <w:szCs w:val="24"/>
        </w:rPr>
        <w:t xml:space="preserve"> 74.</w:t>
      </w:r>
    </w:p>
    <w:p w14:paraId="55D829A3" w14:textId="77777777" w:rsidR="00892C8B" w:rsidRPr="00892C8B" w:rsidRDefault="00892C8B" w:rsidP="00892C8B">
      <w:pPr>
        <w:pStyle w:val="ListParagraph"/>
        <w:rPr>
          <w:rFonts w:ascii="Times New Roman" w:eastAsia="Times New Roman" w:hAnsi="Times New Roman" w:cs="Times New Roman"/>
          <w:sz w:val="24"/>
          <w:szCs w:val="24"/>
        </w:rPr>
      </w:pPr>
    </w:p>
    <w:p w14:paraId="7E1FBF84" w14:textId="2BE5C523" w:rsidR="00892C8B" w:rsidRDefault="00892C8B" w:rsidP="00F82D17">
      <w:pPr>
        <w:pStyle w:val="ListParagraph"/>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town of residence</w:t>
      </w:r>
      <w:r>
        <w:rPr>
          <w:rStyle w:val="FootnoteReference"/>
          <w:rFonts w:ascii="Times New Roman" w:eastAsia="Times New Roman" w:hAnsi="Times New Roman" w:cs="Times New Roman"/>
          <w:sz w:val="24"/>
          <w:szCs w:val="24"/>
        </w:rPr>
        <w:footnoteReference w:id="2"/>
      </w:r>
      <w:r>
        <w:rPr>
          <w:rFonts w:ascii="Times New Roman" w:eastAsia="Times New Roman" w:hAnsi="Times New Roman" w:cs="Times New Roman"/>
          <w:sz w:val="24"/>
          <w:szCs w:val="24"/>
        </w:rPr>
        <w:t xml:space="preserve"> is a member town of Minuteman.    </w:t>
      </w:r>
    </w:p>
    <w:p w14:paraId="7E809BC0" w14:textId="77777777" w:rsidR="00F17FC6" w:rsidRPr="00F17FC6" w:rsidRDefault="00F17FC6" w:rsidP="00F17FC6">
      <w:pPr>
        <w:pStyle w:val="ListParagraph"/>
        <w:rPr>
          <w:rFonts w:ascii="Times New Roman" w:eastAsia="Times New Roman" w:hAnsi="Times New Roman" w:cs="Times New Roman"/>
          <w:sz w:val="24"/>
          <w:szCs w:val="24"/>
        </w:rPr>
      </w:pPr>
    </w:p>
    <w:p w14:paraId="1B49EFC8" w14:textId="46006B76" w:rsidR="00F17FC6" w:rsidRDefault="00F17FC6" w:rsidP="00F82D17">
      <w:pPr>
        <w:pStyle w:val="ListParagraph"/>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Minuteman affords its students culinary training and vocational opportuniti</w:t>
      </w:r>
      <w:r w:rsidR="0093044F">
        <w:rPr>
          <w:rFonts w:ascii="Times New Roman" w:eastAsia="Times New Roman" w:hAnsi="Times New Roman" w:cs="Times New Roman"/>
          <w:sz w:val="24"/>
          <w:szCs w:val="24"/>
        </w:rPr>
        <w:t xml:space="preserve">es that are superior to those offered to Student at </w:t>
      </w:r>
      <w:proofErr w:type="spellStart"/>
      <w:r w:rsidR="0093044F">
        <w:rPr>
          <w:rFonts w:ascii="Times New Roman" w:eastAsia="Times New Roman" w:hAnsi="Times New Roman" w:cs="Times New Roman"/>
          <w:sz w:val="24"/>
          <w:szCs w:val="24"/>
        </w:rPr>
        <w:t>Nashoba</w:t>
      </w:r>
      <w:proofErr w:type="spellEnd"/>
      <w:r w:rsidR="0093044F">
        <w:rPr>
          <w:rFonts w:ascii="Times New Roman" w:eastAsia="Times New Roman" w:hAnsi="Times New Roman" w:cs="Times New Roman"/>
          <w:sz w:val="24"/>
          <w:szCs w:val="24"/>
        </w:rPr>
        <w:t xml:space="preserve">.  Minuteman offers a culinary arts program for in district eligible students that provides on-site training in baking and cooking.  Its baking facilities are on the premises and provide more technically current equipment.  </w:t>
      </w:r>
      <w:r w:rsidR="00A87091">
        <w:rPr>
          <w:rFonts w:ascii="Times New Roman" w:eastAsia="Times New Roman" w:hAnsi="Times New Roman" w:cs="Times New Roman"/>
          <w:sz w:val="24"/>
          <w:szCs w:val="24"/>
        </w:rPr>
        <w:t xml:space="preserve">It affords placement opportunities for students to work in bakeries, restaurants, and similar businesses to supplement their </w:t>
      </w:r>
      <w:r w:rsidR="00BD7BE4">
        <w:rPr>
          <w:rFonts w:ascii="Times New Roman" w:eastAsia="Times New Roman" w:hAnsi="Times New Roman" w:cs="Times New Roman"/>
          <w:sz w:val="24"/>
          <w:szCs w:val="24"/>
        </w:rPr>
        <w:t xml:space="preserve">school-based </w:t>
      </w:r>
      <w:r w:rsidR="00A87091">
        <w:rPr>
          <w:rFonts w:ascii="Times New Roman" w:eastAsia="Times New Roman" w:hAnsi="Times New Roman" w:cs="Times New Roman"/>
          <w:sz w:val="24"/>
          <w:szCs w:val="24"/>
        </w:rPr>
        <w:t>vocational training.</w:t>
      </w:r>
    </w:p>
    <w:p w14:paraId="39B3A1D2" w14:textId="77777777" w:rsidR="000C4636" w:rsidRPr="000C4636" w:rsidRDefault="000C4636" w:rsidP="000C4636">
      <w:pPr>
        <w:pStyle w:val="ListParagraph"/>
        <w:rPr>
          <w:rFonts w:ascii="Times New Roman" w:eastAsia="Times New Roman" w:hAnsi="Times New Roman" w:cs="Times New Roman"/>
          <w:sz w:val="24"/>
          <w:szCs w:val="24"/>
        </w:rPr>
      </w:pPr>
    </w:p>
    <w:p w14:paraId="4A8DB709" w14:textId="5BACF726" w:rsidR="000C4636" w:rsidRDefault="000C4636" w:rsidP="00F82D17">
      <w:pPr>
        <w:pStyle w:val="ListParagraph"/>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Student lives in a member town, Minuteman has refused to </w:t>
      </w:r>
      <w:r w:rsidR="00EB3A7E">
        <w:rPr>
          <w:rFonts w:ascii="Times New Roman" w:eastAsia="Times New Roman" w:hAnsi="Times New Roman" w:cs="Times New Roman"/>
          <w:sz w:val="24"/>
          <w:szCs w:val="24"/>
        </w:rPr>
        <w:t>accept Student</w:t>
      </w:r>
      <w:r>
        <w:rPr>
          <w:rFonts w:ascii="Times New Roman" w:eastAsia="Times New Roman" w:hAnsi="Times New Roman" w:cs="Times New Roman"/>
          <w:sz w:val="24"/>
          <w:szCs w:val="24"/>
        </w:rPr>
        <w:t>.</w:t>
      </w:r>
    </w:p>
    <w:p w14:paraId="2B9DA78F" w14:textId="77777777" w:rsidR="0067526C" w:rsidRPr="0067526C" w:rsidRDefault="0067526C" w:rsidP="0067526C">
      <w:pPr>
        <w:pStyle w:val="ListParagraph"/>
        <w:rPr>
          <w:rFonts w:ascii="Times New Roman" w:eastAsia="Times New Roman" w:hAnsi="Times New Roman" w:cs="Times New Roman"/>
          <w:sz w:val="24"/>
          <w:szCs w:val="24"/>
        </w:rPr>
      </w:pPr>
    </w:p>
    <w:p w14:paraId="4EEB1551" w14:textId="1490DD6C" w:rsidR="0067526C" w:rsidRDefault="0067526C" w:rsidP="00F82D17">
      <w:pPr>
        <w:pStyle w:val="ListParagraph"/>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Parents approached Minuteman abou</w:t>
      </w:r>
      <w:r w:rsidR="000065B1">
        <w:rPr>
          <w:rFonts w:ascii="Times New Roman" w:eastAsia="Times New Roman" w:hAnsi="Times New Roman" w:cs="Times New Roman"/>
          <w:sz w:val="24"/>
          <w:szCs w:val="24"/>
        </w:rPr>
        <w:t>t enrolling Student</w:t>
      </w:r>
      <w:r>
        <w:rPr>
          <w:rFonts w:ascii="Times New Roman" w:eastAsia="Times New Roman" w:hAnsi="Times New Roman" w:cs="Times New Roman"/>
          <w:sz w:val="24"/>
          <w:szCs w:val="24"/>
        </w:rPr>
        <w:t xml:space="preserve"> in November 2016, its Director of Admissions stated that Minuteman had no obligation to p</w:t>
      </w:r>
      <w:r w:rsidR="001918E0">
        <w:rPr>
          <w:rFonts w:ascii="Times New Roman" w:eastAsia="Times New Roman" w:hAnsi="Times New Roman" w:cs="Times New Roman"/>
          <w:sz w:val="24"/>
          <w:szCs w:val="24"/>
        </w:rPr>
        <w:t>rovide services to students who have received a certificate of completion while they were not already enrolled at Minuteman.</w:t>
      </w:r>
    </w:p>
    <w:p w14:paraId="6AB0A47F" w14:textId="77777777" w:rsidR="001918E0" w:rsidRPr="001918E0" w:rsidRDefault="001918E0" w:rsidP="001918E0">
      <w:pPr>
        <w:pStyle w:val="ListParagraph"/>
        <w:rPr>
          <w:rFonts w:ascii="Times New Roman" w:eastAsia="Times New Roman" w:hAnsi="Times New Roman" w:cs="Times New Roman"/>
          <w:sz w:val="24"/>
          <w:szCs w:val="24"/>
        </w:rPr>
      </w:pPr>
    </w:p>
    <w:p w14:paraId="20F2082F" w14:textId="68B67164" w:rsidR="001918E0" w:rsidRDefault="001918E0" w:rsidP="00F82D17">
      <w:pPr>
        <w:pStyle w:val="ListParagraph"/>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Parents followed up on their query about enrolling Student at Minuteman with Minuteman’s Director of Special Education this year</w:t>
      </w:r>
      <w:r w:rsidR="008032F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were not provided with any legal authority for Minuteman’s position.</w:t>
      </w:r>
    </w:p>
    <w:p w14:paraId="4DD6B0BA" w14:textId="77777777" w:rsidR="001918E0" w:rsidRPr="001918E0" w:rsidRDefault="001918E0" w:rsidP="001918E0">
      <w:pPr>
        <w:pStyle w:val="ListParagraph"/>
        <w:rPr>
          <w:rFonts w:ascii="Times New Roman" w:eastAsia="Times New Roman" w:hAnsi="Times New Roman" w:cs="Times New Roman"/>
          <w:sz w:val="24"/>
          <w:szCs w:val="24"/>
        </w:rPr>
      </w:pPr>
    </w:p>
    <w:p w14:paraId="4D338A3B" w14:textId="7670DFDA" w:rsidR="001918E0" w:rsidRDefault="00907E27" w:rsidP="00F82D17">
      <w:pPr>
        <w:pStyle w:val="ListParagraph"/>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March 2017, Student, through her parents, applied on-line to become a student at Minuteman.  On April 27, 2017, Minuteman’s Director of Admissions notified Parents that Studen</w:t>
      </w:r>
      <w:r w:rsidR="00AF1717">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would not be enrolled at Minuteman because she </w:t>
      </w:r>
      <w:r w:rsidR="00892C8B">
        <w:rPr>
          <w:rFonts w:ascii="Times New Roman" w:eastAsia="Times New Roman" w:hAnsi="Times New Roman" w:cs="Times New Roman"/>
          <w:sz w:val="24"/>
          <w:szCs w:val="24"/>
        </w:rPr>
        <w:t xml:space="preserve">had already completed the </w:t>
      </w:r>
      <w:r>
        <w:rPr>
          <w:rFonts w:ascii="Times New Roman" w:eastAsia="Times New Roman" w:hAnsi="Times New Roman" w:cs="Times New Roman"/>
          <w:sz w:val="24"/>
          <w:szCs w:val="24"/>
        </w:rPr>
        <w:t xml:space="preserve">twelfth </w:t>
      </w:r>
      <w:r>
        <w:rPr>
          <w:rFonts w:ascii="Times New Roman" w:eastAsia="Times New Roman" w:hAnsi="Times New Roman" w:cs="Times New Roman"/>
          <w:sz w:val="24"/>
          <w:szCs w:val="24"/>
        </w:rPr>
        <w:lastRenderedPageBreak/>
        <w:t>grade</w:t>
      </w:r>
      <w:r w:rsidR="00892C8B">
        <w:rPr>
          <w:rFonts w:ascii="Times New Roman" w:eastAsia="Times New Roman" w:hAnsi="Times New Roman" w:cs="Times New Roman"/>
          <w:sz w:val="24"/>
          <w:szCs w:val="24"/>
        </w:rPr>
        <w:t xml:space="preserve"> at </w:t>
      </w:r>
      <w:proofErr w:type="spellStart"/>
      <w:r w:rsidR="00892C8B">
        <w:rPr>
          <w:rFonts w:ascii="Times New Roman" w:eastAsia="Times New Roman" w:hAnsi="Times New Roman" w:cs="Times New Roman"/>
          <w:sz w:val="24"/>
          <w:szCs w:val="24"/>
        </w:rPr>
        <w:t>Nashoba</w:t>
      </w:r>
      <w:proofErr w:type="spellEnd"/>
      <w:r w:rsidR="003D1E48">
        <w:rPr>
          <w:rFonts w:ascii="Times New Roman" w:eastAsia="Times New Roman" w:hAnsi="Times New Roman" w:cs="Times New Roman"/>
          <w:sz w:val="24"/>
          <w:szCs w:val="24"/>
        </w:rPr>
        <w:t xml:space="preserve"> and Minuteman’s program was for students in grades nine through twelve</w:t>
      </w:r>
      <w:r>
        <w:rPr>
          <w:rFonts w:ascii="Times New Roman" w:eastAsia="Times New Roman" w:hAnsi="Times New Roman" w:cs="Times New Roman"/>
          <w:sz w:val="24"/>
          <w:szCs w:val="24"/>
        </w:rPr>
        <w:t>.</w:t>
      </w:r>
      <w:r w:rsidR="003D1E48">
        <w:rPr>
          <w:rFonts w:ascii="Times New Roman" w:eastAsia="Times New Roman" w:hAnsi="Times New Roman" w:cs="Times New Roman"/>
          <w:sz w:val="24"/>
          <w:szCs w:val="24"/>
        </w:rPr>
        <w:t xml:space="preserve">  Therefore, Student was not eligible for admission to Minuteman.  </w:t>
      </w:r>
      <w:r w:rsidR="00B27D8A">
        <w:rPr>
          <w:rFonts w:ascii="Times New Roman" w:eastAsia="Times New Roman" w:hAnsi="Times New Roman" w:cs="Times New Roman"/>
          <w:sz w:val="24"/>
          <w:szCs w:val="24"/>
        </w:rPr>
        <w:t xml:space="preserve">On May 5, 2017, </w:t>
      </w:r>
      <w:r w:rsidR="00091DA3">
        <w:rPr>
          <w:rFonts w:ascii="Times New Roman" w:eastAsia="Times New Roman" w:hAnsi="Times New Roman" w:cs="Times New Roman"/>
          <w:sz w:val="24"/>
          <w:szCs w:val="24"/>
        </w:rPr>
        <w:t xml:space="preserve">after a further follow up request from Parents, </w:t>
      </w:r>
      <w:r w:rsidR="00B27D8A">
        <w:rPr>
          <w:rFonts w:ascii="Times New Roman" w:eastAsia="Times New Roman" w:hAnsi="Times New Roman" w:cs="Times New Roman"/>
          <w:sz w:val="24"/>
          <w:szCs w:val="24"/>
        </w:rPr>
        <w:t xml:space="preserve">the Director of Admissions </w:t>
      </w:r>
      <w:r w:rsidR="00091DA3">
        <w:rPr>
          <w:rFonts w:ascii="Times New Roman" w:eastAsia="Times New Roman" w:hAnsi="Times New Roman" w:cs="Times New Roman"/>
          <w:sz w:val="24"/>
          <w:szCs w:val="24"/>
        </w:rPr>
        <w:t>failed to</w:t>
      </w:r>
      <w:r w:rsidR="00B27D8A">
        <w:rPr>
          <w:rFonts w:ascii="Times New Roman" w:eastAsia="Times New Roman" w:hAnsi="Times New Roman" w:cs="Times New Roman"/>
          <w:sz w:val="24"/>
          <w:szCs w:val="24"/>
        </w:rPr>
        <w:t xml:space="preserve"> offer an explanation for denying admission to Student and did not provide Parents with the appeals forms for Parents to file an appeal of Minuteman’s refusal to enroll Student.</w:t>
      </w:r>
    </w:p>
    <w:p w14:paraId="6DFCF89A" w14:textId="77777777" w:rsidR="00AC677A" w:rsidRPr="00AC677A" w:rsidRDefault="00AC677A" w:rsidP="00AC677A">
      <w:pPr>
        <w:pStyle w:val="ListParagraph"/>
        <w:rPr>
          <w:rFonts w:ascii="Times New Roman" w:eastAsia="Times New Roman" w:hAnsi="Times New Roman" w:cs="Times New Roman"/>
          <w:sz w:val="24"/>
          <w:szCs w:val="24"/>
        </w:rPr>
      </w:pPr>
    </w:p>
    <w:p w14:paraId="2B441F4A" w14:textId="1F9480A4" w:rsidR="00166ED5" w:rsidRPr="00AC677A" w:rsidRDefault="00AC677A" w:rsidP="00840B76">
      <w:pPr>
        <w:pStyle w:val="ListParagraph"/>
        <w:numPr>
          <w:ilvl w:val="0"/>
          <w:numId w:val="5"/>
        </w:numPr>
        <w:spacing w:after="0" w:line="240" w:lineRule="auto"/>
        <w:rPr>
          <w:rFonts w:ascii="Times New Roman" w:eastAsia="Times New Roman" w:hAnsi="Times New Roman" w:cs="Times New Roman"/>
          <w:sz w:val="24"/>
          <w:szCs w:val="24"/>
        </w:rPr>
      </w:pPr>
      <w:r w:rsidRPr="00AC677A">
        <w:rPr>
          <w:rFonts w:ascii="Times New Roman" w:eastAsia="Times New Roman" w:hAnsi="Times New Roman" w:cs="Times New Roman"/>
          <w:sz w:val="24"/>
          <w:szCs w:val="24"/>
        </w:rPr>
        <w:t>Minuteman’s Director of Admissions informed Father that Minuteman has provided transition/vocational training to post-secondary students who were previously enrolled at Minuteman.</w:t>
      </w:r>
    </w:p>
    <w:p w14:paraId="311449E4" w14:textId="77777777" w:rsidR="00724A80" w:rsidRPr="00724A80" w:rsidRDefault="00724A80" w:rsidP="00724A80">
      <w:pPr>
        <w:pStyle w:val="ListParagraph"/>
        <w:rPr>
          <w:rFonts w:ascii="Times New Roman" w:eastAsia="Times New Roman" w:hAnsi="Times New Roman" w:cs="Times New Roman"/>
          <w:sz w:val="24"/>
          <w:szCs w:val="24"/>
        </w:rPr>
      </w:pPr>
    </w:p>
    <w:p w14:paraId="49C8A2A4" w14:textId="7EBD0555" w:rsidR="00724A80" w:rsidRDefault="00724A80" w:rsidP="00F82D17">
      <w:pPr>
        <w:pStyle w:val="ListParagraph"/>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Department of Elementary and Secondary Education approved Minuteman’s Admission Policy in 2013.</w:t>
      </w:r>
    </w:p>
    <w:p w14:paraId="34828697" w14:textId="77777777" w:rsidR="00724A80" w:rsidRPr="00724A80" w:rsidRDefault="00724A80" w:rsidP="00724A80">
      <w:pPr>
        <w:pStyle w:val="ListParagraph"/>
        <w:rPr>
          <w:rFonts w:ascii="Times New Roman" w:eastAsia="Times New Roman" w:hAnsi="Times New Roman" w:cs="Times New Roman"/>
          <w:sz w:val="24"/>
          <w:szCs w:val="24"/>
        </w:rPr>
      </w:pPr>
    </w:p>
    <w:p w14:paraId="7E14CB02" w14:textId="61B61B1F" w:rsidR="00724A80" w:rsidRDefault="00724A80" w:rsidP="00F82D17">
      <w:pPr>
        <w:pStyle w:val="ListParagraph"/>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Minuteman’s Admissions Policy indicates that “[a]</w:t>
      </w:r>
      <w:proofErr w:type="spellStart"/>
      <w:r>
        <w:rPr>
          <w:rFonts w:ascii="Times New Roman" w:eastAsia="Times New Roman" w:hAnsi="Times New Roman" w:cs="Times New Roman"/>
          <w:sz w:val="24"/>
          <w:szCs w:val="24"/>
        </w:rPr>
        <w:t>ny</w:t>
      </w:r>
      <w:proofErr w:type="spellEnd"/>
      <w:r>
        <w:rPr>
          <w:rFonts w:ascii="Times New Roman" w:eastAsia="Times New Roman" w:hAnsi="Times New Roman" w:cs="Times New Roman"/>
          <w:sz w:val="24"/>
          <w:szCs w:val="24"/>
        </w:rPr>
        <w:t xml:space="preserve"> 8</w:t>
      </w:r>
      <w:r w:rsidRPr="00724A80">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9</w:t>
      </w:r>
      <w:r w:rsidRPr="00724A80">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10</w:t>
      </w:r>
      <w:r w:rsidRPr="00724A80">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or 11</w:t>
      </w:r>
      <w:r w:rsidRPr="00724A80">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grade student who is a resident of the Min</w:t>
      </w:r>
      <w:r w:rsidR="00357222">
        <w:rPr>
          <w:rFonts w:ascii="Times New Roman" w:eastAsia="Times New Roman" w:hAnsi="Times New Roman" w:cs="Times New Roman"/>
          <w:sz w:val="24"/>
          <w:szCs w:val="24"/>
        </w:rPr>
        <w:t>uteman Regional Vocational Tech</w:t>
      </w:r>
      <w:r>
        <w:rPr>
          <w:rFonts w:ascii="Times New Roman" w:eastAsia="Times New Roman" w:hAnsi="Times New Roman" w:cs="Times New Roman"/>
          <w:sz w:val="24"/>
          <w:szCs w:val="24"/>
        </w:rPr>
        <w:t>n</w:t>
      </w:r>
      <w:r w:rsidR="00357222">
        <w:rPr>
          <w:rFonts w:ascii="Times New Roman" w:eastAsia="Times New Roman" w:hAnsi="Times New Roman" w:cs="Times New Roman"/>
          <w:sz w:val="24"/>
          <w:szCs w:val="24"/>
        </w:rPr>
        <w:t>i</w:t>
      </w:r>
      <w:r>
        <w:rPr>
          <w:rFonts w:ascii="Times New Roman" w:eastAsia="Times New Roman" w:hAnsi="Times New Roman" w:cs="Times New Roman"/>
          <w:sz w:val="24"/>
          <w:szCs w:val="24"/>
        </w:rPr>
        <w:t>cal School District (Ac</w:t>
      </w:r>
      <w:r w:rsidR="00357222">
        <w:rPr>
          <w:rFonts w:ascii="Times New Roman" w:eastAsia="Times New Roman" w:hAnsi="Times New Roman" w:cs="Times New Roman"/>
          <w:sz w:val="24"/>
          <w:szCs w:val="24"/>
        </w:rPr>
        <w:t>ton, Arlington, Belmont, Bolton, Boxborough, Carlisle, Concord, Dover, Lancaster, Lexington, Lincoln, Needham, Stow, Sudbury, Wayland, and Weston</w:t>
      </w:r>
      <w:r w:rsidR="00357222">
        <w:rPr>
          <w:rStyle w:val="FootnoteReference"/>
          <w:rFonts w:ascii="Times New Roman" w:eastAsia="Times New Roman" w:hAnsi="Times New Roman" w:cs="Times New Roman"/>
          <w:sz w:val="24"/>
          <w:szCs w:val="24"/>
        </w:rPr>
        <w:footnoteReference w:id="3"/>
      </w:r>
      <w:r w:rsidR="00357222">
        <w:rPr>
          <w:rFonts w:ascii="Times New Roman" w:eastAsia="Times New Roman" w:hAnsi="Times New Roman" w:cs="Times New Roman"/>
          <w:sz w:val="24"/>
          <w:szCs w:val="24"/>
        </w:rPr>
        <w:t>)</w:t>
      </w:r>
      <w:r w:rsidR="00036215">
        <w:rPr>
          <w:rFonts w:ascii="Times New Roman" w:eastAsia="Times New Roman" w:hAnsi="Times New Roman" w:cs="Times New Roman"/>
          <w:sz w:val="24"/>
          <w:szCs w:val="24"/>
        </w:rPr>
        <w:t xml:space="preserve"> </w:t>
      </w:r>
      <w:r w:rsidR="003D033E">
        <w:rPr>
          <w:rFonts w:ascii="Times New Roman" w:eastAsia="Times New Roman" w:hAnsi="Times New Roman" w:cs="Times New Roman"/>
          <w:sz w:val="24"/>
          <w:szCs w:val="24"/>
        </w:rPr>
        <w:t>who expects to be promoted into the grade they seek to enter by their local district is eligible to apply for fall admission or admission during the school year subject to availability of openings to Minuteman High School.  Resident students will be evaluated using the criteria contained in this Admissions Policy.    Priority for admission is given to [Minuteman</w:t>
      </w:r>
      <w:r w:rsidR="00B04100">
        <w:rPr>
          <w:rFonts w:ascii="Times New Roman" w:eastAsia="Times New Roman" w:hAnsi="Times New Roman" w:cs="Times New Roman"/>
          <w:sz w:val="24"/>
          <w:szCs w:val="24"/>
        </w:rPr>
        <w:t xml:space="preserve"> member district</w:t>
      </w:r>
      <w:r w:rsidR="003D033E">
        <w:rPr>
          <w:rFonts w:ascii="Times New Roman" w:eastAsia="Times New Roman" w:hAnsi="Times New Roman" w:cs="Times New Roman"/>
          <w:sz w:val="24"/>
          <w:szCs w:val="24"/>
        </w:rPr>
        <w:t>] residents according to the District Ag</w:t>
      </w:r>
      <w:r w:rsidR="00F62F77">
        <w:rPr>
          <w:rFonts w:ascii="Times New Roman" w:eastAsia="Times New Roman" w:hAnsi="Times New Roman" w:cs="Times New Roman"/>
          <w:sz w:val="24"/>
          <w:szCs w:val="24"/>
        </w:rPr>
        <w:t>r</w:t>
      </w:r>
      <w:r w:rsidR="003D033E">
        <w:rPr>
          <w:rFonts w:ascii="Times New Roman" w:eastAsia="Times New Roman" w:hAnsi="Times New Roman" w:cs="Times New Roman"/>
          <w:sz w:val="24"/>
          <w:szCs w:val="24"/>
        </w:rPr>
        <w:t xml:space="preserve">eement.” </w:t>
      </w:r>
    </w:p>
    <w:p w14:paraId="1CC3C86C" w14:textId="77777777" w:rsidR="008E66B3" w:rsidRPr="008E66B3" w:rsidRDefault="008E66B3" w:rsidP="008E66B3">
      <w:pPr>
        <w:pStyle w:val="ListParagraph"/>
        <w:rPr>
          <w:rFonts w:ascii="Times New Roman" w:eastAsia="Times New Roman" w:hAnsi="Times New Roman" w:cs="Times New Roman"/>
          <w:sz w:val="24"/>
          <w:szCs w:val="24"/>
        </w:rPr>
      </w:pPr>
    </w:p>
    <w:p w14:paraId="23E414FB" w14:textId="2C308AEE" w:rsidR="008E66B3" w:rsidRDefault="008E66B3" w:rsidP="00F82D17">
      <w:pPr>
        <w:pStyle w:val="ListParagraph"/>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Minuteman’s Amended Regional Agreement was approved by DESE on March 11, 2016.</w:t>
      </w:r>
    </w:p>
    <w:p w14:paraId="411A38EA" w14:textId="77777777" w:rsidR="00D77F43" w:rsidRPr="00D77F43" w:rsidRDefault="00D77F43" w:rsidP="00D77F43">
      <w:pPr>
        <w:pStyle w:val="ListParagraph"/>
        <w:rPr>
          <w:rFonts w:ascii="Times New Roman" w:eastAsia="Times New Roman" w:hAnsi="Times New Roman" w:cs="Times New Roman"/>
          <w:sz w:val="24"/>
          <w:szCs w:val="24"/>
        </w:rPr>
      </w:pPr>
    </w:p>
    <w:p w14:paraId="0B511834" w14:textId="77777777" w:rsidR="00D77F43" w:rsidRPr="00F82D17" w:rsidRDefault="00D77F43" w:rsidP="00D77F43">
      <w:pPr>
        <w:pStyle w:val="ListParagraph"/>
        <w:spacing w:after="0" w:line="240" w:lineRule="auto"/>
        <w:ind w:left="360"/>
        <w:rPr>
          <w:rFonts w:ascii="Times New Roman" w:eastAsia="Times New Roman" w:hAnsi="Times New Roman" w:cs="Times New Roman"/>
          <w:sz w:val="24"/>
          <w:szCs w:val="24"/>
        </w:rPr>
      </w:pPr>
    </w:p>
    <w:p w14:paraId="51E1BA2C" w14:textId="7C9DDAA5" w:rsidR="00E80350" w:rsidRPr="005706F8" w:rsidRDefault="00865972" w:rsidP="00B74C43">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w:t>
      </w:r>
      <w:r w:rsidR="00E80350" w:rsidRPr="005706F8">
        <w:rPr>
          <w:rFonts w:ascii="Times New Roman" w:eastAsia="Times New Roman" w:hAnsi="Times New Roman" w:cs="Times New Roman"/>
          <w:b/>
          <w:sz w:val="24"/>
          <w:szCs w:val="24"/>
          <w:u w:val="single"/>
        </w:rPr>
        <w:t>INDINGS AND CONCLUSIONS</w:t>
      </w:r>
    </w:p>
    <w:p w14:paraId="13553488" w14:textId="77777777" w:rsidR="009D3DAC" w:rsidRPr="005706F8" w:rsidRDefault="009D3DAC" w:rsidP="00225116">
      <w:pPr>
        <w:spacing w:after="0" w:line="240" w:lineRule="auto"/>
        <w:rPr>
          <w:rFonts w:ascii="Times New Roman" w:eastAsia="Times New Roman" w:hAnsi="Times New Roman" w:cs="Times New Roman"/>
          <w:sz w:val="24"/>
          <w:szCs w:val="24"/>
        </w:rPr>
      </w:pPr>
    </w:p>
    <w:p w14:paraId="46CCFE34" w14:textId="08183FF9" w:rsidR="00925C70" w:rsidRPr="005706F8" w:rsidRDefault="00925C70" w:rsidP="00225116">
      <w:pPr>
        <w:pStyle w:val="ListParagraph"/>
        <w:numPr>
          <w:ilvl w:val="0"/>
          <w:numId w:val="7"/>
        </w:numPr>
        <w:spacing w:after="0" w:line="240" w:lineRule="auto"/>
        <w:rPr>
          <w:rFonts w:ascii="Times New Roman" w:eastAsia="Times New Roman" w:hAnsi="Times New Roman" w:cs="Times New Roman"/>
          <w:b/>
          <w:sz w:val="24"/>
          <w:szCs w:val="24"/>
          <w:u w:val="single"/>
        </w:rPr>
      </w:pPr>
      <w:r w:rsidRPr="005706F8">
        <w:rPr>
          <w:rFonts w:ascii="Times New Roman" w:eastAsia="Times New Roman" w:hAnsi="Times New Roman" w:cs="Times New Roman"/>
          <w:b/>
          <w:sz w:val="24"/>
          <w:szCs w:val="24"/>
          <w:u w:val="single"/>
        </w:rPr>
        <w:t>Standard for Ruling on A Motion to Dismiss</w:t>
      </w:r>
    </w:p>
    <w:p w14:paraId="2DB85E82" w14:textId="264A0F9E" w:rsidR="001B4C09" w:rsidRDefault="005D0951" w:rsidP="005D0951">
      <w:pPr>
        <w:tabs>
          <w:tab w:val="left" w:pos="600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50E7453" w14:textId="11C309FE" w:rsidR="001B4C09" w:rsidRPr="005D0951" w:rsidRDefault="001B4C09" w:rsidP="00F64749">
      <w:pPr>
        <w:spacing w:after="0" w:line="240" w:lineRule="auto"/>
        <w:rPr>
          <w:rFonts w:ascii="Times New Roman" w:eastAsia="Times New Roman" w:hAnsi="Times New Roman" w:cs="Times New Roman"/>
          <w:sz w:val="24"/>
          <w:szCs w:val="24"/>
        </w:rPr>
      </w:pPr>
      <w:r w:rsidRPr="005D0951">
        <w:rPr>
          <w:rStyle w:val="s5"/>
          <w:rFonts w:ascii="Times New Roman" w:hAnsi="Times New Roman" w:cs="Times New Roman"/>
          <w:color w:val="4B4D4D"/>
          <w:sz w:val="24"/>
          <w:szCs w:val="24"/>
        </w:rPr>
        <w:t xml:space="preserve">Pursuant to the </w:t>
      </w:r>
      <w:r w:rsidRPr="005D0951">
        <w:rPr>
          <w:rStyle w:val="s5"/>
          <w:rFonts w:ascii="Times New Roman" w:hAnsi="Times New Roman" w:cs="Times New Roman"/>
          <w:i/>
          <w:iCs/>
          <w:color w:val="4B4D4D"/>
          <w:sz w:val="24"/>
          <w:szCs w:val="24"/>
        </w:rPr>
        <w:t xml:space="preserve">Standard Adjudicatory Rules of Practice and Procedure, </w:t>
      </w:r>
      <w:r w:rsidRPr="005D0951">
        <w:rPr>
          <w:rStyle w:val="s5"/>
          <w:rFonts w:ascii="Times New Roman" w:hAnsi="Times New Roman" w:cs="Times New Roman"/>
          <w:color w:val="4B4D4D"/>
          <w:sz w:val="24"/>
          <w:szCs w:val="24"/>
        </w:rPr>
        <w:t xml:space="preserve">801 CMR </w:t>
      </w:r>
      <w:r w:rsidRPr="005D0951">
        <w:rPr>
          <w:rStyle w:val="s3"/>
          <w:rFonts w:ascii="Times New Roman" w:hAnsi="Times New Roman" w:cs="Times New Roman"/>
          <w:color w:val="4B4D4D"/>
          <w:sz w:val="24"/>
          <w:szCs w:val="24"/>
        </w:rPr>
        <w:t xml:space="preserve">1.01(7)(g)(3) and Rule 17B of the BSEA </w:t>
      </w:r>
      <w:r w:rsidRPr="005D0951">
        <w:rPr>
          <w:rStyle w:val="s3"/>
          <w:rFonts w:ascii="Times New Roman" w:hAnsi="Times New Roman" w:cs="Times New Roman"/>
          <w:i/>
          <w:iCs/>
          <w:color w:val="4B4D4D"/>
          <w:sz w:val="24"/>
          <w:szCs w:val="24"/>
        </w:rPr>
        <w:t xml:space="preserve">Hearing Rules for Special Education Appeals, </w:t>
      </w:r>
      <w:r w:rsidRPr="005D0951">
        <w:rPr>
          <w:rStyle w:val="s3"/>
          <w:rFonts w:ascii="Times New Roman" w:hAnsi="Times New Roman" w:cs="Times New Roman"/>
          <w:color w:val="4B4D4D"/>
          <w:sz w:val="24"/>
          <w:szCs w:val="24"/>
        </w:rPr>
        <w:t xml:space="preserve">a </w:t>
      </w:r>
      <w:r w:rsidRPr="005D0951">
        <w:rPr>
          <w:rFonts w:ascii="Times New Roman" w:hAnsi="Times New Roman" w:cs="Times New Roman"/>
          <w:color w:val="4B4D4D"/>
          <w:sz w:val="24"/>
          <w:szCs w:val="24"/>
        </w:rPr>
        <w:t xml:space="preserve">hearing officer may allow a motion to dismiss if the party requesting the appeal fails to state </w:t>
      </w:r>
      <w:r w:rsidRPr="005D0951">
        <w:rPr>
          <w:rStyle w:val="s3"/>
          <w:rFonts w:ascii="Times New Roman" w:hAnsi="Times New Roman" w:cs="Times New Roman"/>
          <w:color w:val="4B4D4D"/>
          <w:sz w:val="24"/>
          <w:szCs w:val="24"/>
        </w:rPr>
        <w:t xml:space="preserve">a claim on which relief can be granted. This rule is analogous to Rule 12(b)(6) of the Federal Rules of Civil Procedure and as such hearing officers have generally used the same standards as the courts in deciding motions to dismiss for failure to state a claim. Specifically, what is </w:t>
      </w:r>
      <w:r w:rsidRPr="005D0951">
        <w:rPr>
          <w:rFonts w:ascii="Times New Roman" w:hAnsi="Times New Roman" w:cs="Times New Roman"/>
          <w:color w:val="4B4D4D"/>
          <w:sz w:val="24"/>
          <w:szCs w:val="24"/>
        </w:rPr>
        <w:t xml:space="preserve">required to survive a motion to dismiss “are factual ‘allegations plausibly suggesting (not </w:t>
      </w:r>
      <w:r w:rsidRPr="005D0951">
        <w:rPr>
          <w:rStyle w:val="s3"/>
          <w:rFonts w:ascii="Times New Roman" w:hAnsi="Times New Roman" w:cs="Times New Roman"/>
          <w:color w:val="4B4D4D"/>
          <w:sz w:val="24"/>
          <w:szCs w:val="24"/>
        </w:rPr>
        <w:t>merely consistent with)’ an entitlement to relief.”</w:t>
      </w:r>
      <w:r w:rsidR="0029646A">
        <w:rPr>
          <w:rStyle w:val="FootnoteReference"/>
          <w:rFonts w:ascii="Times New Roman" w:hAnsi="Times New Roman" w:cs="Times New Roman"/>
          <w:color w:val="4B4D4D"/>
          <w:sz w:val="24"/>
          <w:szCs w:val="24"/>
        </w:rPr>
        <w:footnoteReference w:id="4"/>
      </w:r>
      <w:r w:rsidRPr="005D0951">
        <w:rPr>
          <w:rStyle w:val="s3"/>
          <w:rFonts w:ascii="Times New Roman" w:hAnsi="Times New Roman" w:cs="Times New Roman"/>
          <w:color w:val="4B4D4D"/>
          <w:sz w:val="24"/>
          <w:szCs w:val="24"/>
        </w:rPr>
        <w:t xml:space="preserve"> In evaluating the complaint, the hearing officer must take as true “the allegations of the complaint, as well as such inferences as may be drawn therefrom in the plaintiff’s favor.”</w:t>
      </w:r>
      <w:r w:rsidR="00EF0D90">
        <w:rPr>
          <w:rStyle w:val="FootnoteReference"/>
          <w:rFonts w:ascii="Times New Roman" w:hAnsi="Times New Roman" w:cs="Times New Roman"/>
          <w:color w:val="4B4D4D"/>
          <w:sz w:val="24"/>
          <w:szCs w:val="24"/>
        </w:rPr>
        <w:footnoteReference w:id="5"/>
      </w:r>
      <w:r w:rsidR="00EF0D90">
        <w:rPr>
          <w:rStyle w:val="s3"/>
          <w:rFonts w:ascii="Times New Roman" w:hAnsi="Times New Roman" w:cs="Times New Roman"/>
          <w:color w:val="4B4D4D"/>
          <w:sz w:val="24"/>
          <w:szCs w:val="24"/>
        </w:rPr>
        <w:t xml:space="preserve">  </w:t>
      </w:r>
      <w:r w:rsidRPr="005D0951">
        <w:rPr>
          <w:rStyle w:val="s3"/>
          <w:rFonts w:ascii="Times New Roman" w:hAnsi="Times New Roman" w:cs="Times New Roman"/>
          <w:color w:val="4B4D4D"/>
          <w:sz w:val="24"/>
          <w:szCs w:val="24"/>
        </w:rPr>
        <w:t xml:space="preserve">These “[f]actual allegations must be enough to </w:t>
      </w:r>
      <w:r w:rsidRPr="005D0951">
        <w:rPr>
          <w:rStyle w:val="s4"/>
          <w:rFonts w:ascii="Times New Roman" w:hAnsi="Times New Roman" w:cs="Times New Roman"/>
          <w:color w:val="4B4D4D"/>
          <w:sz w:val="24"/>
          <w:szCs w:val="24"/>
        </w:rPr>
        <w:t xml:space="preserve">raise a right to relief above the </w:t>
      </w:r>
      <w:r w:rsidRPr="005D0951">
        <w:rPr>
          <w:rStyle w:val="s4"/>
          <w:rFonts w:ascii="Times New Roman" w:hAnsi="Times New Roman" w:cs="Times New Roman"/>
          <w:color w:val="4B4D4D"/>
          <w:sz w:val="24"/>
          <w:szCs w:val="24"/>
        </w:rPr>
        <w:lastRenderedPageBreak/>
        <w:t xml:space="preserve">speculative level . . . [based] on the assumption that all the </w:t>
      </w:r>
      <w:r w:rsidRPr="005D0951">
        <w:rPr>
          <w:rStyle w:val="s5"/>
          <w:rFonts w:ascii="Times New Roman" w:hAnsi="Times New Roman" w:cs="Times New Roman"/>
          <w:color w:val="4B4D4D"/>
          <w:sz w:val="24"/>
          <w:szCs w:val="24"/>
        </w:rPr>
        <w:t>allegations in the complaint are true (even if doubtful in fact). . .”</w:t>
      </w:r>
      <w:r w:rsidR="00EF0D90">
        <w:rPr>
          <w:rStyle w:val="FootnoteReference"/>
          <w:rFonts w:ascii="Times New Roman" w:hAnsi="Times New Roman" w:cs="Times New Roman"/>
          <w:color w:val="4B4D4D"/>
          <w:sz w:val="24"/>
          <w:szCs w:val="24"/>
        </w:rPr>
        <w:footnoteReference w:id="6"/>
      </w:r>
    </w:p>
    <w:p w14:paraId="7F0EE668" w14:textId="77777777" w:rsidR="009D3DAC" w:rsidRPr="005706F8" w:rsidRDefault="009D3DAC" w:rsidP="005D0951">
      <w:pPr>
        <w:spacing w:after="0" w:line="240" w:lineRule="auto"/>
        <w:ind w:firstLine="720"/>
        <w:jc w:val="right"/>
        <w:rPr>
          <w:rFonts w:ascii="Times New Roman" w:eastAsia="Times New Roman" w:hAnsi="Times New Roman" w:cs="Times New Roman"/>
          <w:sz w:val="24"/>
          <w:szCs w:val="24"/>
        </w:rPr>
      </w:pPr>
    </w:p>
    <w:p w14:paraId="79AA287A" w14:textId="0858CE29" w:rsidR="009D3DAC" w:rsidRPr="005706F8" w:rsidRDefault="005417EB" w:rsidP="00F64749">
      <w:pPr>
        <w:spacing w:after="0" w:line="240" w:lineRule="auto"/>
        <w:rPr>
          <w:rFonts w:ascii="Times New Roman" w:eastAsia="Times New Roman" w:hAnsi="Times New Roman" w:cs="Times New Roman"/>
          <w:sz w:val="24"/>
          <w:szCs w:val="24"/>
        </w:rPr>
      </w:pPr>
      <w:r w:rsidRPr="005706F8">
        <w:rPr>
          <w:rFonts w:ascii="Times New Roman" w:eastAsia="Times New Roman" w:hAnsi="Times New Roman" w:cs="Times New Roman"/>
          <w:sz w:val="24"/>
          <w:szCs w:val="24"/>
        </w:rPr>
        <w:t>In determining whether to dismiss a claim, a</w:t>
      </w:r>
      <w:r w:rsidR="009D3DAC" w:rsidRPr="005706F8">
        <w:rPr>
          <w:rFonts w:ascii="Times New Roman" w:eastAsia="Times New Roman" w:hAnsi="Times New Roman" w:cs="Times New Roman"/>
          <w:sz w:val="24"/>
          <w:szCs w:val="24"/>
        </w:rPr>
        <w:t xml:space="preserve"> hearing officer must consider as true all facts alleged by the party opposing dismissal</w:t>
      </w:r>
      <w:r w:rsidRPr="005706F8">
        <w:rPr>
          <w:rFonts w:ascii="Times New Roman" w:eastAsia="Times New Roman" w:hAnsi="Times New Roman" w:cs="Times New Roman"/>
          <w:sz w:val="24"/>
          <w:szCs w:val="24"/>
        </w:rPr>
        <w:t xml:space="preserve">.  The hearing officer </w:t>
      </w:r>
      <w:r w:rsidR="009D3DAC" w:rsidRPr="005706F8">
        <w:rPr>
          <w:rFonts w:ascii="Times New Roman" w:eastAsia="Times New Roman" w:hAnsi="Times New Roman" w:cs="Times New Roman"/>
          <w:sz w:val="24"/>
          <w:szCs w:val="24"/>
        </w:rPr>
        <w:t>should not dismiss</w:t>
      </w:r>
      <w:r w:rsidR="00B501FC">
        <w:rPr>
          <w:rFonts w:ascii="Times New Roman" w:eastAsia="Times New Roman" w:hAnsi="Times New Roman" w:cs="Times New Roman"/>
          <w:sz w:val="24"/>
          <w:szCs w:val="24"/>
        </w:rPr>
        <w:t xml:space="preserve"> </w:t>
      </w:r>
      <w:r w:rsidR="009B231B" w:rsidRPr="005706F8">
        <w:rPr>
          <w:rFonts w:ascii="Times New Roman" w:eastAsia="Times New Roman" w:hAnsi="Times New Roman" w:cs="Times New Roman"/>
          <w:sz w:val="24"/>
          <w:szCs w:val="24"/>
        </w:rPr>
        <w:t xml:space="preserve">the case if the </w:t>
      </w:r>
      <w:r w:rsidRPr="005706F8">
        <w:rPr>
          <w:rFonts w:ascii="Times New Roman" w:eastAsia="Times New Roman" w:hAnsi="Times New Roman" w:cs="Times New Roman"/>
          <w:sz w:val="24"/>
          <w:szCs w:val="24"/>
        </w:rPr>
        <w:t>facts</w:t>
      </w:r>
      <w:r w:rsidR="009B231B" w:rsidRPr="005706F8">
        <w:rPr>
          <w:rFonts w:ascii="Times New Roman" w:eastAsia="Times New Roman" w:hAnsi="Times New Roman" w:cs="Times New Roman"/>
          <w:sz w:val="24"/>
          <w:szCs w:val="24"/>
        </w:rPr>
        <w:t xml:space="preserve"> alleged</w:t>
      </w:r>
      <w:r w:rsidR="009D3DAC" w:rsidRPr="005706F8">
        <w:rPr>
          <w:rFonts w:ascii="Times New Roman" w:eastAsia="Times New Roman" w:hAnsi="Times New Roman" w:cs="Times New Roman"/>
          <w:sz w:val="24"/>
          <w:szCs w:val="24"/>
        </w:rPr>
        <w:t>, if proven</w:t>
      </w:r>
      <w:r w:rsidRPr="005706F8">
        <w:rPr>
          <w:rFonts w:ascii="Times New Roman" w:eastAsia="Times New Roman" w:hAnsi="Times New Roman" w:cs="Times New Roman"/>
          <w:sz w:val="24"/>
          <w:szCs w:val="24"/>
        </w:rPr>
        <w:t>,</w:t>
      </w:r>
      <w:r w:rsidR="009D3DAC" w:rsidRPr="005706F8">
        <w:rPr>
          <w:rFonts w:ascii="Times New Roman" w:eastAsia="Times New Roman" w:hAnsi="Times New Roman" w:cs="Times New Roman"/>
          <w:sz w:val="24"/>
          <w:szCs w:val="24"/>
        </w:rPr>
        <w:t xml:space="preserve"> would entitle the non-moving party</w:t>
      </w:r>
      <w:r w:rsidR="00F9707A">
        <w:rPr>
          <w:rFonts w:ascii="Times New Roman" w:eastAsia="Times New Roman" w:hAnsi="Times New Roman" w:cs="Times New Roman"/>
          <w:sz w:val="24"/>
          <w:szCs w:val="24"/>
        </w:rPr>
        <w:t xml:space="preserve"> to</w:t>
      </w:r>
      <w:r w:rsidR="009D3DAC" w:rsidRPr="005706F8">
        <w:rPr>
          <w:rFonts w:ascii="Times New Roman" w:eastAsia="Times New Roman" w:hAnsi="Times New Roman" w:cs="Times New Roman"/>
          <w:sz w:val="24"/>
          <w:szCs w:val="24"/>
        </w:rPr>
        <w:t xml:space="preserve"> relief that the BSEA has authority to grant. </w:t>
      </w:r>
      <w:proofErr w:type="spellStart"/>
      <w:proofErr w:type="gramStart"/>
      <w:r w:rsidR="009D3DAC" w:rsidRPr="005706F8">
        <w:rPr>
          <w:rFonts w:ascii="Times New Roman" w:eastAsia="Times New Roman" w:hAnsi="Times New Roman" w:cs="Times New Roman"/>
          <w:i/>
          <w:sz w:val="24"/>
          <w:szCs w:val="24"/>
        </w:rPr>
        <w:t>Caleron</w:t>
      </w:r>
      <w:proofErr w:type="spellEnd"/>
      <w:r w:rsidR="009D3DAC" w:rsidRPr="005706F8">
        <w:rPr>
          <w:rFonts w:ascii="Times New Roman" w:eastAsia="Times New Roman" w:hAnsi="Times New Roman" w:cs="Times New Roman"/>
          <w:i/>
          <w:sz w:val="24"/>
          <w:szCs w:val="24"/>
        </w:rPr>
        <w:t xml:space="preserve">-Ortiz v. </w:t>
      </w:r>
      <w:proofErr w:type="spellStart"/>
      <w:r w:rsidR="009D3DAC" w:rsidRPr="005706F8">
        <w:rPr>
          <w:rFonts w:ascii="Times New Roman" w:eastAsia="Times New Roman" w:hAnsi="Times New Roman" w:cs="Times New Roman"/>
          <w:i/>
          <w:sz w:val="24"/>
          <w:szCs w:val="24"/>
        </w:rPr>
        <w:t>LaBoy</w:t>
      </w:r>
      <w:proofErr w:type="spellEnd"/>
      <w:r w:rsidR="009D3DAC" w:rsidRPr="005706F8">
        <w:rPr>
          <w:rFonts w:ascii="Times New Roman" w:eastAsia="Times New Roman" w:hAnsi="Times New Roman" w:cs="Times New Roman"/>
          <w:i/>
          <w:sz w:val="24"/>
          <w:szCs w:val="24"/>
        </w:rPr>
        <w:t>-Alvarado</w:t>
      </w:r>
      <w:r w:rsidR="009D3DAC" w:rsidRPr="005706F8">
        <w:rPr>
          <w:rFonts w:ascii="Times New Roman" w:eastAsia="Times New Roman" w:hAnsi="Times New Roman" w:cs="Times New Roman"/>
          <w:sz w:val="24"/>
          <w:szCs w:val="24"/>
        </w:rPr>
        <w:t>, 300 F.3d 60 (1</w:t>
      </w:r>
      <w:r w:rsidR="009D3DAC" w:rsidRPr="005706F8">
        <w:rPr>
          <w:rFonts w:ascii="Times New Roman" w:eastAsia="Times New Roman" w:hAnsi="Times New Roman" w:cs="Times New Roman"/>
          <w:sz w:val="24"/>
          <w:szCs w:val="24"/>
          <w:vertAlign w:val="superscript"/>
        </w:rPr>
        <w:t>st</w:t>
      </w:r>
      <w:r w:rsidR="009D3DAC" w:rsidRPr="005706F8">
        <w:rPr>
          <w:rFonts w:ascii="Times New Roman" w:eastAsia="Times New Roman" w:hAnsi="Times New Roman" w:cs="Times New Roman"/>
          <w:sz w:val="24"/>
          <w:szCs w:val="24"/>
        </w:rPr>
        <w:t xml:space="preserve"> Cir. 2002); </w:t>
      </w:r>
      <w:r w:rsidR="009D3DAC" w:rsidRPr="005706F8">
        <w:rPr>
          <w:rFonts w:ascii="Times New Roman" w:eastAsia="Times New Roman" w:hAnsi="Times New Roman" w:cs="Times New Roman"/>
          <w:i/>
          <w:sz w:val="24"/>
          <w:szCs w:val="24"/>
        </w:rPr>
        <w:t>Ocasio-Hernandez v. Fortunato-</w:t>
      </w:r>
      <w:proofErr w:type="spellStart"/>
      <w:r w:rsidR="009D3DAC" w:rsidRPr="005706F8">
        <w:rPr>
          <w:rFonts w:ascii="Times New Roman" w:eastAsia="Times New Roman" w:hAnsi="Times New Roman" w:cs="Times New Roman"/>
          <w:i/>
          <w:sz w:val="24"/>
          <w:szCs w:val="24"/>
        </w:rPr>
        <w:t>Burset</w:t>
      </w:r>
      <w:proofErr w:type="spellEnd"/>
      <w:r w:rsidR="009D3DAC" w:rsidRPr="005706F8">
        <w:rPr>
          <w:rFonts w:ascii="Times New Roman" w:eastAsia="Times New Roman" w:hAnsi="Times New Roman" w:cs="Times New Roman"/>
          <w:sz w:val="24"/>
          <w:szCs w:val="24"/>
        </w:rPr>
        <w:t>, 640 F.3d. 1 (1</w:t>
      </w:r>
      <w:r w:rsidR="009D3DAC" w:rsidRPr="005706F8">
        <w:rPr>
          <w:rFonts w:ascii="Times New Roman" w:eastAsia="Times New Roman" w:hAnsi="Times New Roman" w:cs="Times New Roman"/>
          <w:sz w:val="24"/>
          <w:szCs w:val="24"/>
          <w:vertAlign w:val="superscript"/>
        </w:rPr>
        <w:t>st</w:t>
      </w:r>
      <w:r w:rsidR="009D3DAC" w:rsidRPr="005706F8">
        <w:rPr>
          <w:rFonts w:ascii="Times New Roman" w:eastAsia="Times New Roman" w:hAnsi="Times New Roman" w:cs="Times New Roman"/>
          <w:sz w:val="24"/>
          <w:szCs w:val="24"/>
        </w:rPr>
        <w:t xml:space="preserve"> Cir. 2011).</w:t>
      </w:r>
      <w:proofErr w:type="gramEnd"/>
      <w:r w:rsidR="009D3DAC" w:rsidRPr="005706F8">
        <w:rPr>
          <w:rFonts w:ascii="Times New Roman" w:eastAsia="Times New Roman" w:hAnsi="Times New Roman" w:cs="Times New Roman"/>
          <w:sz w:val="24"/>
          <w:szCs w:val="24"/>
        </w:rPr>
        <w:t xml:space="preserve"> </w:t>
      </w:r>
      <w:r w:rsidR="00627563" w:rsidRPr="005706F8">
        <w:rPr>
          <w:rFonts w:ascii="Times New Roman" w:eastAsia="Times New Roman" w:hAnsi="Times New Roman" w:cs="Times New Roman"/>
          <w:sz w:val="24"/>
          <w:szCs w:val="24"/>
        </w:rPr>
        <w:t xml:space="preserve"> </w:t>
      </w:r>
      <w:r w:rsidR="009D3DAC" w:rsidRPr="005706F8">
        <w:rPr>
          <w:rFonts w:ascii="Times New Roman" w:eastAsia="Times New Roman" w:hAnsi="Times New Roman" w:cs="Times New Roman"/>
          <w:sz w:val="24"/>
          <w:szCs w:val="24"/>
        </w:rPr>
        <w:t xml:space="preserve">A motion to dismiss will be denied if “accepting as true well-pleaded factual averments and indulging all reasonable inferences in the plaintiff’s favor…recovery can be justified under any applicable legal theory.” See </w:t>
      </w:r>
      <w:proofErr w:type="spellStart"/>
      <w:r w:rsidR="003F65E4" w:rsidRPr="005706F8">
        <w:rPr>
          <w:rFonts w:ascii="Times New Roman" w:eastAsia="Times New Roman" w:hAnsi="Times New Roman" w:cs="Times New Roman"/>
          <w:i/>
          <w:sz w:val="24"/>
          <w:szCs w:val="24"/>
        </w:rPr>
        <w:t>Caleron</w:t>
      </w:r>
      <w:proofErr w:type="spellEnd"/>
      <w:r w:rsidR="003F65E4" w:rsidRPr="005706F8">
        <w:rPr>
          <w:rFonts w:ascii="Times New Roman" w:eastAsia="Times New Roman" w:hAnsi="Times New Roman" w:cs="Times New Roman"/>
          <w:i/>
          <w:sz w:val="24"/>
          <w:szCs w:val="24"/>
        </w:rPr>
        <w:t>-Ortiz, supra</w:t>
      </w:r>
      <w:r w:rsidR="009D3DAC" w:rsidRPr="005706F8">
        <w:rPr>
          <w:rFonts w:ascii="Times New Roman" w:eastAsia="Times New Roman" w:hAnsi="Times New Roman" w:cs="Times New Roman"/>
          <w:sz w:val="24"/>
          <w:szCs w:val="24"/>
        </w:rPr>
        <w:t>. The factual allegations must be suffici</w:t>
      </w:r>
      <w:r w:rsidRPr="005706F8">
        <w:rPr>
          <w:rFonts w:ascii="Times New Roman" w:eastAsia="Times New Roman" w:hAnsi="Times New Roman" w:cs="Times New Roman"/>
          <w:sz w:val="24"/>
          <w:szCs w:val="24"/>
        </w:rPr>
        <w:t>ent to “raise a right to relief</w:t>
      </w:r>
      <w:r w:rsidR="009D3DAC" w:rsidRPr="005706F8">
        <w:rPr>
          <w:rFonts w:ascii="Times New Roman" w:eastAsia="Times New Roman" w:hAnsi="Times New Roman" w:cs="Times New Roman"/>
          <w:sz w:val="24"/>
          <w:szCs w:val="24"/>
        </w:rPr>
        <w:t xml:space="preserve"> above a speculative level on the assumption that the allegations in the complaint are true (even if doubtful in fact.)” </w:t>
      </w:r>
      <w:proofErr w:type="gramStart"/>
      <w:r w:rsidR="009D3DAC" w:rsidRPr="005706F8">
        <w:rPr>
          <w:rFonts w:ascii="Times New Roman" w:eastAsia="Times New Roman" w:hAnsi="Times New Roman" w:cs="Times New Roman"/>
          <w:i/>
          <w:sz w:val="24"/>
          <w:szCs w:val="24"/>
        </w:rPr>
        <w:t xml:space="preserve">Bell Atlantic v. </w:t>
      </w:r>
      <w:proofErr w:type="spellStart"/>
      <w:r w:rsidR="009D3DAC" w:rsidRPr="005706F8">
        <w:rPr>
          <w:rFonts w:ascii="Times New Roman" w:eastAsia="Times New Roman" w:hAnsi="Times New Roman" w:cs="Times New Roman"/>
          <w:i/>
          <w:sz w:val="24"/>
          <w:szCs w:val="24"/>
        </w:rPr>
        <w:t>Twombly</w:t>
      </w:r>
      <w:proofErr w:type="spellEnd"/>
      <w:r w:rsidR="009D3DAC" w:rsidRPr="005706F8">
        <w:rPr>
          <w:rFonts w:ascii="Times New Roman" w:eastAsia="Times New Roman" w:hAnsi="Times New Roman" w:cs="Times New Roman"/>
          <w:sz w:val="24"/>
          <w:szCs w:val="24"/>
        </w:rPr>
        <w:t>, 550 U.S. 554, 555 (2007).</w:t>
      </w:r>
      <w:proofErr w:type="gramEnd"/>
      <w:r w:rsidR="009D3DAC" w:rsidRPr="005706F8">
        <w:rPr>
          <w:rFonts w:ascii="Times New Roman" w:eastAsia="Times New Roman" w:hAnsi="Times New Roman" w:cs="Times New Roman"/>
          <w:sz w:val="24"/>
          <w:szCs w:val="24"/>
        </w:rPr>
        <w:t xml:space="preserve"> </w:t>
      </w:r>
    </w:p>
    <w:p w14:paraId="0FDFC48A" w14:textId="77777777" w:rsidR="009D3DAC" w:rsidRPr="005706F8" w:rsidRDefault="009D3DAC" w:rsidP="00925C70">
      <w:pPr>
        <w:spacing w:after="0" w:line="240" w:lineRule="auto"/>
        <w:rPr>
          <w:rFonts w:ascii="Times New Roman" w:eastAsia="Times New Roman" w:hAnsi="Times New Roman" w:cs="Times New Roman"/>
          <w:sz w:val="24"/>
          <w:szCs w:val="24"/>
        </w:rPr>
      </w:pPr>
    </w:p>
    <w:p w14:paraId="057B47AB" w14:textId="5B878339" w:rsidR="009D3DAC" w:rsidRPr="005706F8" w:rsidRDefault="001B606E" w:rsidP="00F64749">
      <w:pPr>
        <w:spacing w:after="0" w:line="240" w:lineRule="auto"/>
        <w:rPr>
          <w:rFonts w:ascii="Times New Roman" w:eastAsia="Times New Roman" w:hAnsi="Times New Roman" w:cs="Times New Roman"/>
          <w:sz w:val="24"/>
          <w:szCs w:val="24"/>
        </w:rPr>
      </w:pPr>
      <w:r w:rsidRPr="005706F8">
        <w:rPr>
          <w:rFonts w:ascii="Times New Roman" w:eastAsia="Times New Roman" w:hAnsi="Times New Roman" w:cs="Times New Roman"/>
          <w:sz w:val="24"/>
          <w:szCs w:val="24"/>
        </w:rPr>
        <w:t xml:space="preserve">The </w:t>
      </w:r>
      <w:r w:rsidR="00666093" w:rsidRPr="005706F8">
        <w:rPr>
          <w:rFonts w:ascii="Times New Roman" w:eastAsia="Times New Roman" w:hAnsi="Times New Roman" w:cs="Times New Roman"/>
          <w:sz w:val="24"/>
          <w:szCs w:val="24"/>
        </w:rPr>
        <w:t xml:space="preserve">entire </w:t>
      </w:r>
      <w:r w:rsidRPr="005706F8">
        <w:rPr>
          <w:rFonts w:ascii="Times New Roman" w:eastAsia="Times New Roman" w:hAnsi="Times New Roman" w:cs="Times New Roman"/>
          <w:sz w:val="24"/>
          <w:szCs w:val="24"/>
        </w:rPr>
        <w:t>case may be dismissed o</w:t>
      </w:r>
      <w:r w:rsidR="009D3DAC" w:rsidRPr="005706F8">
        <w:rPr>
          <w:rFonts w:ascii="Times New Roman" w:eastAsia="Times New Roman" w:hAnsi="Times New Roman" w:cs="Times New Roman"/>
          <w:sz w:val="24"/>
          <w:szCs w:val="24"/>
        </w:rPr>
        <w:t xml:space="preserve">nly if the Hearing Officer cannot grant </w:t>
      </w:r>
      <w:r w:rsidRPr="005706F8">
        <w:rPr>
          <w:rFonts w:ascii="Times New Roman" w:eastAsia="Times New Roman" w:hAnsi="Times New Roman" w:cs="Times New Roman"/>
          <w:sz w:val="24"/>
          <w:szCs w:val="24"/>
        </w:rPr>
        <w:t xml:space="preserve">any </w:t>
      </w:r>
      <w:r w:rsidR="009D3DAC" w:rsidRPr="005706F8">
        <w:rPr>
          <w:rFonts w:ascii="Times New Roman" w:eastAsia="Times New Roman" w:hAnsi="Times New Roman" w:cs="Times New Roman"/>
          <w:sz w:val="24"/>
          <w:szCs w:val="24"/>
        </w:rPr>
        <w:t>relief under federal</w:t>
      </w:r>
      <w:r w:rsidRPr="005706F8">
        <w:rPr>
          <w:rStyle w:val="FootnoteReference"/>
          <w:rFonts w:ascii="Times New Roman" w:eastAsia="Times New Roman" w:hAnsi="Times New Roman" w:cs="Times New Roman"/>
          <w:sz w:val="24"/>
          <w:szCs w:val="24"/>
        </w:rPr>
        <w:footnoteReference w:id="7"/>
      </w:r>
      <w:r w:rsidR="009D3DAC" w:rsidRPr="005706F8">
        <w:rPr>
          <w:rFonts w:ascii="Times New Roman" w:eastAsia="Times New Roman" w:hAnsi="Times New Roman" w:cs="Times New Roman"/>
          <w:sz w:val="24"/>
          <w:szCs w:val="24"/>
        </w:rPr>
        <w:t xml:space="preserve"> or state</w:t>
      </w:r>
      <w:r w:rsidR="00E92F96" w:rsidRPr="005706F8">
        <w:rPr>
          <w:rStyle w:val="FootnoteReference"/>
          <w:rFonts w:ascii="Times New Roman" w:eastAsia="Times New Roman" w:hAnsi="Times New Roman" w:cs="Times New Roman"/>
          <w:sz w:val="24"/>
          <w:szCs w:val="24"/>
        </w:rPr>
        <w:footnoteReference w:id="8"/>
      </w:r>
      <w:r w:rsidR="000F2817" w:rsidRPr="005706F8">
        <w:rPr>
          <w:rFonts w:ascii="Times New Roman" w:eastAsia="Times New Roman" w:hAnsi="Times New Roman" w:cs="Times New Roman"/>
          <w:sz w:val="24"/>
          <w:szCs w:val="24"/>
        </w:rPr>
        <w:t xml:space="preserve"> special education statutes</w:t>
      </w:r>
      <w:r w:rsidR="009D3DAC" w:rsidRPr="005706F8">
        <w:rPr>
          <w:rFonts w:ascii="Times New Roman" w:eastAsia="Times New Roman" w:hAnsi="Times New Roman" w:cs="Times New Roman"/>
          <w:sz w:val="24"/>
          <w:szCs w:val="24"/>
        </w:rPr>
        <w:t xml:space="preserve">, or </w:t>
      </w:r>
      <w:r w:rsidR="0033371F" w:rsidRPr="005706F8">
        <w:rPr>
          <w:rFonts w:ascii="Times New Roman" w:eastAsia="Times New Roman" w:hAnsi="Times New Roman" w:cs="Times New Roman"/>
          <w:sz w:val="24"/>
          <w:szCs w:val="24"/>
        </w:rPr>
        <w:t>§</w:t>
      </w:r>
      <w:r w:rsidR="009D3DAC" w:rsidRPr="005706F8">
        <w:rPr>
          <w:rFonts w:ascii="Times New Roman" w:eastAsia="Times New Roman" w:hAnsi="Times New Roman" w:cs="Times New Roman"/>
          <w:sz w:val="24"/>
          <w:szCs w:val="24"/>
        </w:rPr>
        <w:t xml:space="preserve">504 </w:t>
      </w:r>
      <w:r w:rsidR="000F2817" w:rsidRPr="005706F8">
        <w:rPr>
          <w:rFonts w:ascii="Times New Roman" w:eastAsia="Times New Roman" w:hAnsi="Times New Roman" w:cs="Times New Roman"/>
          <w:sz w:val="24"/>
          <w:szCs w:val="24"/>
        </w:rPr>
        <w:t>of the Rehabilitation Act</w:t>
      </w:r>
      <w:r w:rsidRPr="005706F8">
        <w:rPr>
          <w:rFonts w:ascii="Times New Roman" w:eastAsia="Times New Roman" w:hAnsi="Times New Roman" w:cs="Times New Roman"/>
          <w:sz w:val="24"/>
          <w:szCs w:val="24"/>
        </w:rPr>
        <w:t>.</w:t>
      </w:r>
      <w:r w:rsidR="000F2817" w:rsidRPr="005706F8">
        <w:rPr>
          <w:rStyle w:val="FootnoteReference"/>
          <w:rFonts w:ascii="Times New Roman" w:eastAsia="Times New Roman" w:hAnsi="Times New Roman" w:cs="Times New Roman"/>
          <w:sz w:val="24"/>
          <w:szCs w:val="24"/>
        </w:rPr>
        <w:footnoteReference w:id="9"/>
      </w:r>
      <w:r w:rsidR="009D3DAC" w:rsidRPr="005706F8">
        <w:rPr>
          <w:rFonts w:ascii="Times New Roman" w:eastAsia="Times New Roman" w:hAnsi="Times New Roman" w:cs="Times New Roman"/>
          <w:sz w:val="24"/>
          <w:szCs w:val="24"/>
        </w:rPr>
        <w:t xml:space="preserve"> See </w:t>
      </w:r>
      <w:r w:rsidR="003F65E4" w:rsidRPr="005706F8">
        <w:rPr>
          <w:rFonts w:ascii="Times New Roman" w:eastAsia="Times New Roman" w:hAnsi="Times New Roman" w:cs="Times New Roman"/>
          <w:i/>
          <w:sz w:val="24"/>
          <w:szCs w:val="24"/>
        </w:rPr>
        <w:t xml:space="preserve">Calderon-Ortiz, supra; </w:t>
      </w:r>
      <w:r w:rsidR="005417EB" w:rsidRPr="005706F8">
        <w:rPr>
          <w:rFonts w:ascii="Times New Roman" w:eastAsia="Times New Roman" w:hAnsi="Times New Roman" w:cs="Times New Roman"/>
          <w:i/>
          <w:sz w:val="24"/>
          <w:szCs w:val="24"/>
        </w:rPr>
        <w:t>Wh</w:t>
      </w:r>
      <w:r w:rsidR="009D3DAC" w:rsidRPr="005706F8">
        <w:rPr>
          <w:rFonts w:ascii="Times New Roman" w:eastAsia="Times New Roman" w:hAnsi="Times New Roman" w:cs="Times New Roman"/>
          <w:i/>
          <w:sz w:val="24"/>
          <w:szCs w:val="24"/>
        </w:rPr>
        <w:t xml:space="preserve">itinsville Plaza Inc. v. </w:t>
      </w:r>
      <w:proofErr w:type="spellStart"/>
      <w:r w:rsidR="009D3DAC" w:rsidRPr="005706F8">
        <w:rPr>
          <w:rFonts w:ascii="Times New Roman" w:eastAsia="Times New Roman" w:hAnsi="Times New Roman" w:cs="Times New Roman"/>
          <w:i/>
          <w:sz w:val="24"/>
          <w:szCs w:val="24"/>
        </w:rPr>
        <w:t>Kotseas</w:t>
      </w:r>
      <w:proofErr w:type="spellEnd"/>
      <w:r w:rsidR="009D3DAC" w:rsidRPr="005706F8">
        <w:rPr>
          <w:rFonts w:ascii="Times New Roman" w:eastAsia="Times New Roman" w:hAnsi="Times New Roman" w:cs="Times New Roman"/>
          <w:sz w:val="24"/>
          <w:szCs w:val="24"/>
        </w:rPr>
        <w:t xml:space="preserve">, 378 Mass. 85, 89 (1979); </w:t>
      </w:r>
      <w:r w:rsidR="009D3DAC" w:rsidRPr="005706F8">
        <w:rPr>
          <w:rFonts w:ascii="Times New Roman" w:eastAsia="Times New Roman" w:hAnsi="Times New Roman" w:cs="Times New Roman"/>
          <w:i/>
          <w:sz w:val="24"/>
          <w:szCs w:val="24"/>
        </w:rPr>
        <w:t>Nader v. Citron</w:t>
      </w:r>
      <w:r w:rsidR="009D3DAC" w:rsidRPr="005706F8">
        <w:rPr>
          <w:rFonts w:ascii="Times New Roman" w:eastAsia="Times New Roman" w:hAnsi="Times New Roman" w:cs="Times New Roman"/>
          <w:sz w:val="24"/>
          <w:szCs w:val="24"/>
        </w:rPr>
        <w:t xml:space="preserve">, 372 Mass. 96, 98 (1977); </w:t>
      </w:r>
      <w:r w:rsidR="009D3DAC" w:rsidRPr="005706F8">
        <w:rPr>
          <w:rFonts w:ascii="Times New Roman" w:eastAsia="Times New Roman" w:hAnsi="Times New Roman" w:cs="Times New Roman"/>
          <w:i/>
          <w:sz w:val="24"/>
          <w:szCs w:val="24"/>
        </w:rPr>
        <w:t>Norfolk County Agricultural School</w:t>
      </w:r>
      <w:r w:rsidR="009D3DAC" w:rsidRPr="005706F8">
        <w:rPr>
          <w:rFonts w:ascii="Times New Roman" w:eastAsia="Times New Roman" w:hAnsi="Times New Roman" w:cs="Times New Roman"/>
          <w:sz w:val="24"/>
          <w:szCs w:val="24"/>
        </w:rPr>
        <w:t>, 45 IDELR, 26 (</w:t>
      </w:r>
      <w:r w:rsidR="003F65E4" w:rsidRPr="005706F8">
        <w:rPr>
          <w:rFonts w:ascii="Times New Roman" w:eastAsia="Times New Roman" w:hAnsi="Times New Roman" w:cs="Times New Roman"/>
          <w:sz w:val="24"/>
          <w:szCs w:val="24"/>
        </w:rPr>
        <w:t>2005)</w:t>
      </w:r>
      <w:r w:rsidRPr="005706F8">
        <w:rPr>
          <w:rFonts w:ascii="Times New Roman" w:eastAsia="Times New Roman" w:hAnsi="Times New Roman" w:cs="Times New Roman"/>
          <w:sz w:val="24"/>
          <w:szCs w:val="24"/>
        </w:rPr>
        <w:t>.</w:t>
      </w:r>
      <w:r w:rsidR="00666093" w:rsidRPr="005706F8">
        <w:rPr>
          <w:rFonts w:ascii="Times New Roman" w:eastAsia="Times New Roman" w:hAnsi="Times New Roman" w:cs="Times New Roman"/>
          <w:sz w:val="24"/>
          <w:szCs w:val="24"/>
        </w:rPr>
        <w:t xml:space="preserve">  </w:t>
      </w:r>
      <w:r w:rsidR="009D3DAC" w:rsidRPr="005706F8">
        <w:rPr>
          <w:rFonts w:ascii="Times New Roman" w:eastAsia="Times New Roman" w:hAnsi="Times New Roman" w:cs="Times New Roman"/>
          <w:sz w:val="24"/>
          <w:szCs w:val="24"/>
        </w:rPr>
        <w:t>Conversely, if the opposing party’s allegations raise the plausibility of a viable claim that may give rise to some form of reli</w:t>
      </w:r>
      <w:r w:rsidR="005417EB" w:rsidRPr="005706F8">
        <w:rPr>
          <w:rFonts w:ascii="Times New Roman" w:eastAsia="Times New Roman" w:hAnsi="Times New Roman" w:cs="Times New Roman"/>
          <w:sz w:val="24"/>
          <w:szCs w:val="24"/>
        </w:rPr>
        <w:t xml:space="preserve">ef </w:t>
      </w:r>
      <w:r w:rsidRPr="005706F8">
        <w:rPr>
          <w:rFonts w:ascii="Times New Roman" w:eastAsia="Times New Roman" w:hAnsi="Times New Roman" w:cs="Times New Roman"/>
          <w:sz w:val="24"/>
          <w:szCs w:val="24"/>
        </w:rPr>
        <w:t>cognizable</w:t>
      </w:r>
      <w:r w:rsidR="00010C74" w:rsidRPr="005706F8">
        <w:rPr>
          <w:rFonts w:ascii="Times New Roman" w:eastAsia="Times New Roman" w:hAnsi="Times New Roman" w:cs="Times New Roman"/>
          <w:sz w:val="24"/>
          <w:szCs w:val="24"/>
        </w:rPr>
        <w:t xml:space="preserve"> under</w:t>
      </w:r>
      <w:r w:rsidRPr="005706F8">
        <w:rPr>
          <w:rFonts w:ascii="Times New Roman" w:eastAsia="Times New Roman" w:hAnsi="Times New Roman" w:cs="Times New Roman"/>
          <w:sz w:val="24"/>
          <w:szCs w:val="24"/>
        </w:rPr>
        <w:t xml:space="preserve"> </w:t>
      </w:r>
      <w:r w:rsidR="000F2817" w:rsidRPr="005706F8">
        <w:rPr>
          <w:rFonts w:ascii="Times New Roman" w:eastAsia="Times New Roman" w:hAnsi="Times New Roman" w:cs="Times New Roman"/>
          <w:sz w:val="24"/>
          <w:szCs w:val="24"/>
        </w:rPr>
        <w:t>any one or more of these statutory provisions,</w:t>
      </w:r>
      <w:r w:rsidR="009D3DAC" w:rsidRPr="005706F8">
        <w:rPr>
          <w:rFonts w:ascii="Times New Roman" w:eastAsia="Times New Roman" w:hAnsi="Times New Roman" w:cs="Times New Roman"/>
          <w:sz w:val="24"/>
          <w:szCs w:val="24"/>
        </w:rPr>
        <w:t xml:space="preserve"> the matter </w:t>
      </w:r>
      <w:r w:rsidR="000F2817" w:rsidRPr="005706F8">
        <w:rPr>
          <w:rFonts w:ascii="Times New Roman" w:eastAsia="Times New Roman" w:hAnsi="Times New Roman" w:cs="Times New Roman"/>
          <w:sz w:val="24"/>
          <w:szCs w:val="24"/>
        </w:rPr>
        <w:t xml:space="preserve">should </w:t>
      </w:r>
      <w:r w:rsidR="009D3DAC" w:rsidRPr="005706F8">
        <w:rPr>
          <w:rFonts w:ascii="Times New Roman" w:eastAsia="Times New Roman" w:hAnsi="Times New Roman" w:cs="Times New Roman"/>
          <w:sz w:val="24"/>
          <w:szCs w:val="24"/>
        </w:rPr>
        <w:t xml:space="preserve">not be dismissed. See </w:t>
      </w:r>
      <w:r w:rsidR="009D3DAC" w:rsidRPr="005706F8">
        <w:rPr>
          <w:rFonts w:ascii="Times New Roman" w:eastAsia="Times New Roman" w:hAnsi="Times New Roman" w:cs="Times New Roman"/>
          <w:i/>
          <w:sz w:val="24"/>
          <w:szCs w:val="24"/>
        </w:rPr>
        <w:t>Ashc</w:t>
      </w:r>
      <w:r w:rsidR="00B74C43" w:rsidRPr="005706F8">
        <w:rPr>
          <w:rFonts w:ascii="Times New Roman" w:eastAsia="Times New Roman" w:hAnsi="Times New Roman" w:cs="Times New Roman"/>
          <w:i/>
          <w:sz w:val="24"/>
          <w:szCs w:val="24"/>
        </w:rPr>
        <w:t xml:space="preserve">roft </w:t>
      </w:r>
      <w:r w:rsidR="009D3DAC" w:rsidRPr="005706F8">
        <w:rPr>
          <w:rFonts w:ascii="Times New Roman" w:eastAsia="Times New Roman" w:hAnsi="Times New Roman" w:cs="Times New Roman"/>
          <w:i/>
          <w:sz w:val="24"/>
          <w:szCs w:val="24"/>
        </w:rPr>
        <w:t>v. Iqbal</w:t>
      </w:r>
      <w:r w:rsidR="009D3DAC" w:rsidRPr="005706F8">
        <w:rPr>
          <w:rFonts w:ascii="Times New Roman" w:eastAsia="Times New Roman" w:hAnsi="Times New Roman" w:cs="Times New Roman"/>
          <w:sz w:val="24"/>
          <w:szCs w:val="24"/>
        </w:rPr>
        <w:t>, 129 S. Ct. 1937, 1948 (2009).</w:t>
      </w:r>
      <w:r w:rsidR="00666093" w:rsidRPr="005706F8">
        <w:rPr>
          <w:rFonts w:ascii="Times New Roman" w:eastAsia="Times New Roman" w:hAnsi="Times New Roman" w:cs="Times New Roman"/>
          <w:sz w:val="24"/>
          <w:szCs w:val="24"/>
        </w:rPr>
        <w:t xml:space="preserve">  </w:t>
      </w:r>
      <w:r w:rsidR="009D3DAC" w:rsidRPr="005706F8">
        <w:rPr>
          <w:rFonts w:ascii="Times New Roman" w:eastAsia="Times New Roman" w:hAnsi="Times New Roman" w:cs="Times New Roman"/>
          <w:sz w:val="24"/>
          <w:szCs w:val="24"/>
        </w:rPr>
        <w:t xml:space="preserve"> </w:t>
      </w:r>
    </w:p>
    <w:p w14:paraId="0B59C5B7" w14:textId="15421086" w:rsidR="0038511F" w:rsidRPr="005706F8" w:rsidRDefault="0038511F" w:rsidP="00666093">
      <w:pPr>
        <w:spacing w:after="0" w:line="240" w:lineRule="auto"/>
        <w:rPr>
          <w:rFonts w:ascii="Times New Roman" w:eastAsia="Times New Roman" w:hAnsi="Times New Roman" w:cs="Times New Roman"/>
          <w:sz w:val="24"/>
          <w:szCs w:val="24"/>
        </w:rPr>
      </w:pPr>
    </w:p>
    <w:p w14:paraId="41C3F1BB" w14:textId="51E9C167" w:rsidR="00336310" w:rsidRPr="005706F8" w:rsidRDefault="00666093" w:rsidP="00F64749">
      <w:pPr>
        <w:spacing w:after="0" w:line="240" w:lineRule="auto"/>
        <w:rPr>
          <w:rFonts w:ascii="Times New Roman" w:eastAsia="Times New Roman" w:hAnsi="Times New Roman" w:cs="Times New Roman"/>
          <w:sz w:val="24"/>
          <w:szCs w:val="24"/>
        </w:rPr>
      </w:pPr>
      <w:r w:rsidRPr="005706F8">
        <w:rPr>
          <w:rFonts w:ascii="Times New Roman" w:eastAsia="Times New Roman" w:hAnsi="Times New Roman" w:cs="Times New Roman"/>
          <w:sz w:val="24"/>
          <w:szCs w:val="24"/>
        </w:rPr>
        <w:t xml:space="preserve">Particular claims </w:t>
      </w:r>
      <w:r w:rsidR="00B74C43" w:rsidRPr="005706F8">
        <w:rPr>
          <w:rFonts w:ascii="Times New Roman" w:eastAsia="Times New Roman" w:hAnsi="Times New Roman" w:cs="Times New Roman"/>
          <w:sz w:val="24"/>
          <w:szCs w:val="24"/>
        </w:rPr>
        <w:t>must</w:t>
      </w:r>
      <w:r w:rsidRPr="005706F8">
        <w:rPr>
          <w:rFonts w:ascii="Times New Roman" w:eastAsia="Times New Roman" w:hAnsi="Times New Roman" w:cs="Times New Roman"/>
          <w:sz w:val="24"/>
          <w:szCs w:val="24"/>
        </w:rPr>
        <w:t xml:space="preserve"> be dismissed, however, </w:t>
      </w:r>
      <w:r w:rsidR="00F9707A">
        <w:rPr>
          <w:rFonts w:ascii="Times New Roman" w:eastAsia="Times New Roman" w:hAnsi="Times New Roman" w:cs="Times New Roman"/>
          <w:sz w:val="24"/>
          <w:szCs w:val="24"/>
        </w:rPr>
        <w:t xml:space="preserve">on jurisdictional grounds, </w:t>
      </w:r>
      <w:r w:rsidRPr="005706F8">
        <w:rPr>
          <w:rFonts w:ascii="Times New Roman" w:eastAsia="Times New Roman" w:hAnsi="Times New Roman" w:cs="Times New Roman"/>
          <w:sz w:val="24"/>
          <w:szCs w:val="24"/>
        </w:rPr>
        <w:t>if they do not arise under the statutes referred to above.  Unlike a court with general jurisdiction, the BSEA may</w:t>
      </w:r>
      <w:r w:rsidR="0038511F" w:rsidRPr="005706F8">
        <w:rPr>
          <w:rFonts w:ascii="Times New Roman" w:eastAsia="Times New Roman" w:hAnsi="Times New Roman" w:cs="Times New Roman"/>
          <w:sz w:val="24"/>
          <w:szCs w:val="24"/>
        </w:rPr>
        <w:t xml:space="preserve"> consider only those claims for which enabling statutes and regulations provide express authority. </w:t>
      </w:r>
      <w:proofErr w:type="gramStart"/>
      <w:r w:rsidR="0038511F" w:rsidRPr="005706F8">
        <w:rPr>
          <w:rFonts w:ascii="Times New Roman" w:eastAsia="Times New Roman" w:hAnsi="Times New Roman" w:cs="Times New Roman"/>
          <w:sz w:val="24"/>
          <w:szCs w:val="24"/>
        </w:rPr>
        <w:t xml:space="preserve">See </w:t>
      </w:r>
      <w:r w:rsidR="0038511F" w:rsidRPr="005706F8">
        <w:rPr>
          <w:rFonts w:ascii="Times New Roman" w:eastAsia="Times New Roman" w:hAnsi="Times New Roman" w:cs="Times New Roman"/>
          <w:i/>
          <w:sz w:val="24"/>
          <w:szCs w:val="24"/>
        </w:rPr>
        <w:t>Globe Newspaper Co. v. Beacon Hill Architectural Comm.</w:t>
      </w:r>
      <w:r w:rsidR="0038511F" w:rsidRPr="005706F8">
        <w:rPr>
          <w:rFonts w:ascii="Times New Roman" w:eastAsia="Times New Roman" w:hAnsi="Times New Roman" w:cs="Times New Roman"/>
          <w:sz w:val="24"/>
          <w:szCs w:val="24"/>
        </w:rPr>
        <w:t>, 421 Mass. 570 (1996).</w:t>
      </w:r>
      <w:proofErr w:type="gramEnd"/>
      <w:r w:rsidR="0038511F" w:rsidRPr="005706F8">
        <w:rPr>
          <w:rFonts w:ascii="Times New Roman" w:eastAsia="Times New Roman" w:hAnsi="Times New Roman" w:cs="Times New Roman"/>
          <w:sz w:val="24"/>
          <w:szCs w:val="24"/>
        </w:rPr>
        <w:t xml:space="preserve"> </w:t>
      </w:r>
      <w:r w:rsidR="00336310" w:rsidRPr="005706F8">
        <w:rPr>
          <w:rFonts w:ascii="Times New Roman" w:eastAsia="Times New Roman" w:hAnsi="Times New Roman" w:cs="Times New Roman"/>
          <w:sz w:val="24"/>
          <w:szCs w:val="24"/>
        </w:rPr>
        <w:t xml:space="preserve"> Thus, </w:t>
      </w:r>
      <w:r w:rsidR="009A08F3" w:rsidRPr="005706F8">
        <w:rPr>
          <w:rFonts w:ascii="Times New Roman" w:eastAsia="Times New Roman" w:hAnsi="Times New Roman" w:cs="Times New Roman"/>
          <w:sz w:val="24"/>
          <w:szCs w:val="24"/>
        </w:rPr>
        <w:t xml:space="preserve">MGL c. 71B§2A, the </w:t>
      </w:r>
      <w:r w:rsidR="00553E78" w:rsidRPr="005706F8">
        <w:rPr>
          <w:rFonts w:ascii="Times New Roman" w:eastAsia="Times New Roman" w:hAnsi="Times New Roman" w:cs="Times New Roman"/>
          <w:sz w:val="24"/>
          <w:szCs w:val="24"/>
        </w:rPr>
        <w:t xml:space="preserve">current Massachusetts enabling statute for the BSEA, </w:t>
      </w:r>
      <w:r w:rsidR="009A08F3" w:rsidRPr="005706F8">
        <w:rPr>
          <w:rFonts w:ascii="Times New Roman" w:eastAsia="Times New Roman" w:hAnsi="Times New Roman" w:cs="Times New Roman"/>
          <w:sz w:val="24"/>
          <w:szCs w:val="24"/>
        </w:rPr>
        <w:t>limits its jurisdiction to the following:</w:t>
      </w:r>
    </w:p>
    <w:p w14:paraId="26C883BF" w14:textId="2660BB06" w:rsidR="00336310" w:rsidRPr="005706F8" w:rsidRDefault="000245DB" w:rsidP="000245DB">
      <w:pPr>
        <w:tabs>
          <w:tab w:val="left" w:pos="8428"/>
        </w:tabs>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EFBEE7B" w14:textId="77777777" w:rsidR="009A08F3" w:rsidRPr="005706F8" w:rsidRDefault="00336310" w:rsidP="00336310">
      <w:pPr>
        <w:spacing w:after="0" w:line="240" w:lineRule="auto"/>
        <w:ind w:left="1440" w:right="1440"/>
        <w:rPr>
          <w:rFonts w:ascii="Times New Roman" w:eastAsia="Times New Roman" w:hAnsi="Times New Roman" w:cs="Times New Roman"/>
          <w:sz w:val="24"/>
          <w:szCs w:val="24"/>
        </w:rPr>
      </w:pPr>
      <w:r w:rsidRPr="005706F8">
        <w:rPr>
          <w:rFonts w:ascii="Times New Roman" w:eastAsia="Times New Roman" w:hAnsi="Times New Roman" w:cs="Times New Roman"/>
          <w:sz w:val="24"/>
          <w:szCs w:val="24"/>
        </w:rPr>
        <w:t xml:space="preserve">[Resolution of] disputes between and among parents, school districts, private schools and state agencies concerning (i) any matter relating to the identification, evaluation, education program or educational placement of a child with a disability or the provision of a free and appropriate public education to the child </w:t>
      </w:r>
      <w:r w:rsidRPr="005706F8">
        <w:rPr>
          <w:rFonts w:ascii="Times New Roman" w:eastAsia="Times New Roman" w:hAnsi="Times New Roman" w:cs="Times New Roman"/>
          <w:i/>
          <w:sz w:val="24"/>
          <w:szCs w:val="24"/>
        </w:rPr>
        <w:t>arising under this chapter and regulations promulgated hereunder or under the Individuals with Disabilities Education Act…and its regulations; or (ii) a student’s rights</w:t>
      </w:r>
      <w:r w:rsidR="009A08F3" w:rsidRPr="005706F8">
        <w:rPr>
          <w:rFonts w:ascii="Times New Roman" w:eastAsia="Times New Roman" w:hAnsi="Times New Roman" w:cs="Times New Roman"/>
          <w:i/>
          <w:sz w:val="24"/>
          <w:szCs w:val="24"/>
        </w:rPr>
        <w:t xml:space="preserve"> under Section 504 of the Rehabilitation Act of 1973, 29 USC section 794, and its regulations.”</w:t>
      </w:r>
      <w:r w:rsidR="009A08F3" w:rsidRPr="005706F8">
        <w:rPr>
          <w:rFonts w:ascii="Times New Roman" w:eastAsia="Times New Roman" w:hAnsi="Times New Roman" w:cs="Times New Roman"/>
          <w:sz w:val="24"/>
          <w:szCs w:val="24"/>
        </w:rPr>
        <w:t xml:space="preserve">  </w:t>
      </w:r>
    </w:p>
    <w:p w14:paraId="7615D320" w14:textId="3EA75A5B" w:rsidR="00553E78" w:rsidRPr="005706F8" w:rsidRDefault="00553E78" w:rsidP="00553E78">
      <w:pPr>
        <w:spacing w:after="0" w:line="240" w:lineRule="auto"/>
        <w:rPr>
          <w:rFonts w:ascii="Times New Roman" w:eastAsia="Times New Roman" w:hAnsi="Times New Roman" w:cs="Times New Roman"/>
          <w:sz w:val="24"/>
          <w:szCs w:val="24"/>
        </w:rPr>
      </w:pPr>
      <w:r w:rsidRPr="005706F8">
        <w:rPr>
          <w:rFonts w:ascii="Times New Roman" w:eastAsia="Times New Roman" w:hAnsi="Times New Roman" w:cs="Times New Roman"/>
          <w:sz w:val="24"/>
          <w:szCs w:val="24"/>
        </w:rPr>
        <w:t xml:space="preserve"> </w:t>
      </w:r>
    </w:p>
    <w:p w14:paraId="6A6BA50A" w14:textId="35423A36" w:rsidR="00553E78" w:rsidRPr="005706F8" w:rsidRDefault="00553E78" w:rsidP="00553E78">
      <w:pPr>
        <w:spacing w:after="0" w:line="240" w:lineRule="auto"/>
        <w:rPr>
          <w:rFonts w:ascii="Times New Roman" w:eastAsia="Times New Roman" w:hAnsi="Times New Roman" w:cs="Times New Roman"/>
          <w:sz w:val="24"/>
          <w:szCs w:val="24"/>
        </w:rPr>
      </w:pPr>
      <w:r w:rsidRPr="005706F8">
        <w:rPr>
          <w:rFonts w:ascii="Times New Roman" w:eastAsia="Times New Roman" w:hAnsi="Times New Roman" w:cs="Times New Roman"/>
          <w:sz w:val="24"/>
          <w:szCs w:val="24"/>
        </w:rPr>
        <w:t xml:space="preserve">(Emphasis supplied).  </w:t>
      </w:r>
    </w:p>
    <w:p w14:paraId="36D6EAB7" w14:textId="77777777" w:rsidR="009A08F3" w:rsidRPr="005706F8" w:rsidRDefault="009A08F3" w:rsidP="009A08F3">
      <w:pPr>
        <w:spacing w:after="0" w:line="240" w:lineRule="auto"/>
        <w:rPr>
          <w:rFonts w:ascii="Times New Roman" w:eastAsia="Times New Roman" w:hAnsi="Times New Roman" w:cs="Times New Roman"/>
          <w:sz w:val="24"/>
          <w:szCs w:val="24"/>
        </w:rPr>
      </w:pPr>
    </w:p>
    <w:p w14:paraId="6BBC7EFC" w14:textId="5795F1D2" w:rsidR="009A08F3" w:rsidRPr="005706F8" w:rsidRDefault="009A08F3" w:rsidP="00F64749">
      <w:pPr>
        <w:spacing w:after="0" w:line="240" w:lineRule="auto"/>
        <w:rPr>
          <w:rFonts w:ascii="Times New Roman" w:eastAsia="Times New Roman" w:hAnsi="Times New Roman" w:cs="Times New Roman"/>
          <w:sz w:val="24"/>
          <w:szCs w:val="24"/>
        </w:rPr>
      </w:pPr>
      <w:r w:rsidRPr="005706F8">
        <w:rPr>
          <w:rFonts w:ascii="Times New Roman" w:eastAsia="Times New Roman" w:hAnsi="Times New Roman" w:cs="Times New Roman"/>
          <w:sz w:val="24"/>
          <w:szCs w:val="24"/>
        </w:rPr>
        <w:lastRenderedPageBreak/>
        <w:t>The s</w:t>
      </w:r>
      <w:r w:rsidR="00553E78" w:rsidRPr="005706F8">
        <w:rPr>
          <w:rFonts w:ascii="Times New Roman" w:eastAsia="Times New Roman" w:hAnsi="Times New Roman" w:cs="Times New Roman"/>
          <w:sz w:val="24"/>
          <w:szCs w:val="24"/>
        </w:rPr>
        <w:t>tate special education regulations implementing</w:t>
      </w:r>
      <w:r w:rsidRPr="005706F8">
        <w:rPr>
          <w:rFonts w:ascii="Times New Roman" w:eastAsia="Times New Roman" w:hAnsi="Times New Roman" w:cs="Times New Roman"/>
          <w:sz w:val="24"/>
          <w:szCs w:val="24"/>
        </w:rPr>
        <w:t xml:space="preserve"> </w:t>
      </w:r>
      <w:r w:rsidR="00B74C43" w:rsidRPr="005706F8">
        <w:rPr>
          <w:rFonts w:ascii="Times New Roman" w:eastAsia="Times New Roman" w:hAnsi="Times New Roman" w:cs="Times New Roman"/>
          <w:sz w:val="24"/>
          <w:szCs w:val="24"/>
        </w:rPr>
        <w:t xml:space="preserve">MGL c. 71B, </w:t>
      </w:r>
      <w:proofErr w:type="gramStart"/>
      <w:r w:rsidR="00B74C43" w:rsidRPr="005706F8">
        <w:rPr>
          <w:rFonts w:ascii="Times New Roman" w:eastAsia="Times New Roman" w:hAnsi="Times New Roman" w:cs="Times New Roman"/>
          <w:sz w:val="24"/>
          <w:szCs w:val="24"/>
        </w:rPr>
        <w:t xml:space="preserve">603 CMR </w:t>
      </w:r>
      <w:r w:rsidR="00553E78" w:rsidRPr="005706F8">
        <w:rPr>
          <w:rFonts w:ascii="Times New Roman" w:eastAsia="Times New Roman" w:hAnsi="Times New Roman" w:cs="Times New Roman"/>
          <w:sz w:val="24"/>
          <w:szCs w:val="24"/>
        </w:rPr>
        <w:t xml:space="preserve">28.00 </w:t>
      </w:r>
      <w:r w:rsidR="00553E78" w:rsidRPr="005706F8">
        <w:rPr>
          <w:rFonts w:ascii="Times New Roman" w:eastAsia="Times New Roman" w:hAnsi="Times New Roman" w:cs="Times New Roman"/>
          <w:i/>
          <w:sz w:val="24"/>
          <w:szCs w:val="24"/>
        </w:rPr>
        <w:t>et seq</w:t>
      </w:r>
      <w:r w:rsidR="00553E78" w:rsidRPr="005706F8">
        <w:rPr>
          <w:rFonts w:ascii="Times New Roman" w:eastAsia="Times New Roman" w:hAnsi="Times New Roman" w:cs="Times New Roman"/>
          <w:sz w:val="24"/>
          <w:szCs w:val="24"/>
        </w:rPr>
        <w:t>.,</w:t>
      </w:r>
      <w:proofErr w:type="gramEnd"/>
      <w:r w:rsidR="00553E78" w:rsidRPr="005706F8">
        <w:rPr>
          <w:rFonts w:ascii="Times New Roman" w:eastAsia="Times New Roman" w:hAnsi="Times New Roman" w:cs="Times New Roman"/>
          <w:sz w:val="24"/>
          <w:szCs w:val="24"/>
        </w:rPr>
        <w:t xml:space="preserve"> </w:t>
      </w:r>
      <w:r w:rsidRPr="005706F8">
        <w:rPr>
          <w:rFonts w:ascii="Times New Roman" w:eastAsia="Times New Roman" w:hAnsi="Times New Roman" w:cs="Times New Roman"/>
          <w:sz w:val="24"/>
          <w:szCs w:val="24"/>
        </w:rPr>
        <w:t xml:space="preserve">track the </w:t>
      </w:r>
      <w:r w:rsidR="00553E78" w:rsidRPr="005706F8">
        <w:rPr>
          <w:rFonts w:ascii="Times New Roman" w:eastAsia="Times New Roman" w:hAnsi="Times New Roman" w:cs="Times New Roman"/>
          <w:sz w:val="24"/>
          <w:szCs w:val="24"/>
        </w:rPr>
        <w:t xml:space="preserve">applicable </w:t>
      </w:r>
      <w:r w:rsidRPr="005706F8">
        <w:rPr>
          <w:rFonts w:ascii="Times New Roman" w:eastAsia="Times New Roman" w:hAnsi="Times New Roman" w:cs="Times New Roman"/>
          <w:sz w:val="24"/>
          <w:szCs w:val="24"/>
        </w:rPr>
        <w:t xml:space="preserve">statutory language </w:t>
      </w:r>
      <w:r w:rsidR="00553E78" w:rsidRPr="005706F8">
        <w:rPr>
          <w:rFonts w:ascii="Times New Roman" w:eastAsia="Times New Roman" w:hAnsi="Times New Roman" w:cs="Times New Roman"/>
          <w:sz w:val="24"/>
          <w:szCs w:val="24"/>
        </w:rPr>
        <w:t>as follows:</w:t>
      </w:r>
    </w:p>
    <w:p w14:paraId="50F62DD1" w14:textId="77777777" w:rsidR="009A08F3" w:rsidRPr="005706F8" w:rsidRDefault="009A08F3" w:rsidP="009A08F3">
      <w:pPr>
        <w:spacing w:after="0" w:line="240" w:lineRule="auto"/>
        <w:rPr>
          <w:rFonts w:ascii="Times New Roman" w:eastAsia="Times New Roman" w:hAnsi="Times New Roman" w:cs="Times New Roman"/>
          <w:sz w:val="24"/>
          <w:szCs w:val="24"/>
        </w:rPr>
      </w:pPr>
    </w:p>
    <w:p w14:paraId="47F073E6" w14:textId="571847DB" w:rsidR="00995827" w:rsidRPr="005706F8" w:rsidRDefault="009A08F3" w:rsidP="00995827">
      <w:pPr>
        <w:spacing w:after="0" w:line="240" w:lineRule="auto"/>
        <w:ind w:left="1440" w:right="1440"/>
        <w:rPr>
          <w:rFonts w:ascii="Times New Roman" w:eastAsia="Times New Roman" w:hAnsi="Times New Roman" w:cs="Times New Roman"/>
          <w:sz w:val="24"/>
          <w:szCs w:val="24"/>
        </w:rPr>
      </w:pPr>
      <w:r w:rsidRPr="005706F8">
        <w:rPr>
          <w:rFonts w:ascii="Times New Roman" w:eastAsia="Times New Roman" w:hAnsi="Times New Roman" w:cs="Times New Roman"/>
          <w:sz w:val="24"/>
          <w:szCs w:val="24"/>
        </w:rPr>
        <w:t xml:space="preserve">(3) </w:t>
      </w:r>
      <w:r w:rsidRPr="005706F8">
        <w:rPr>
          <w:rFonts w:ascii="Times New Roman" w:eastAsia="Times New Roman" w:hAnsi="Times New Roman" w:cs="Times New Roman"/>
          <w:sz w:val="24"/>
          <w:szCs w:val="24"/>
          <w:u w:val="single"/>
        </w:rPr>
        <w:t>Bureau of Special Education Appeals: Jurisdiction</w:t>
      </w:r>
      <w:r w:rsidRPr="005706F8">
        <w:rPr>
          <w:rFonts w:ascii="Times New Roman" w:eastAsia="Times New Roman" w:hAnsi="Times New Roman" w:cs="Times New Roman"/>
          <w:sz w:val="24"/>
          <w:szCs w:val="24"/>
        </w:rPr>
        <w:t>. In order to provide for the resolution of differences of opinion among school districts, private schools, parents and state agencies, the [BSEA], pursuant to MGL c. 71B, §2A, shall conduct mediations and hea</w:t>
      </w:r>
      <w:r w:rsidR="00995827" w:rsidRPr="005706F8">
        <w:rPr>
          <w:rFonts w:ascii="Times New Roman" w:eastAsia="Times New Roman" w:hAnsi="Times New Roman" w:cs="Times New Roman"/>
          <w:sz w:val="24"/>
          <w:szCs w:val="24"/>
        </w:rPr>
        <w:t>rings to resolve such disputes…</w:t>
      </w:r>
    </w:p>
    <w:p w14:paraId="5989872E" w14:textId="7A652782" w:rsidR="00995827" w:rsidRPr="005706F8" w:rsidRDefault="00995827" w:rsidP="00995827">
      <w:pPr>
        <w:spacing w:after="0" w:line="240" w:lineRule="auto"/>
        <w:ind w:left="1440" w:right="1440"/>
        <w:rPr>
          <w:rFonts w:ascii="Times New Roman" w:eastAsia="Times New Roman" w:hAnsi="Times New Roman" w:cs="Times New Roman"/>
          <w:sz w:val="24"/>
          <w:szCs w:val="24"/>
        </w:rPr>
      </w:pPr>
      <w:r w:rsidRPr="005706F8">
        <w:rPr>
          <w:rFonts w:ascii="Times New Roman" w:eastAsia="Times New Roman" w:hAnsi="Times New Roman" w:cs="Times New Roman"/>
          <w:sz w:val="24"/>
          <w:szCs w:val="24"/>
        </w:rPr>
        <w:tab/>
        <w:t>(a) A parent or a school district…may request mediation and/or a hearing…on any matter concerning the eligibility, evaluation, placement, IEP provision or special education in accordance with state or federal law, or procedural protections of state and federal law for students with disabilities</w:t>
      </w:r>
      <w:proofErr w:type="gramStart"/>
      <w:r w:rsidRPr="005706F8">
        <w:rPr>
          <w:rFonts w:ascii="Times New Roman" w:eastAsia="Times New Roman" w:hAnsi="Times New Roman" w:cs="Times New Roman"/>
          <w:sz w:val="24"/>
          <w:szCs w:val="24"/>
        </w:rPr>
        <w:t>…[</w:t>
      </w:r>
      <w:proofErr w:type="gramEnd"/>
      <w:r w:rsidRPr="005706F8">
        <w:rPr>
          <w:rFonts w:ascii="Times New Roman" w:eastAsia="Times New Roman" w:hAnsi="Times New Roman" w:cs="Times New Roman"/>
          <w:sz w:val="24"/>
          <w:szCs w:val="24"/>
        </w:rPr>
        <w:t>or] on any issue involving the denial of the free appropriate public education guaranteed by Section 504 of the Rehabilitation Act…</w:t>
      </w:r>
    </w:p>
    <w:p w14:paraId="7EF6E6BF" w14:textId="77777777" w:rsidR="00553E78" w:rsidRPr="005706F8" w:rsidRDefault="00553E78" w:rsidP="00553E78">
      <w:pPr>
        <w:spacing w:after="0" w:line="240" w:lineRule="auto"/>
        <w:rPr>
          <w:rFonts w:ascii="Times New Roman" w:eastAsia="Times New Roman" w:hAnsi="Times New Roman" w:cs="Times New Roman"/>
          <w:sz w:val="24"/>
          <w:szCs w:val="24"/>
        </w:rPr>
      </w:pPr>
    </w:p>
    <w:p w14:paraId="36A34DFF" w14:textId="474F8B77" w:rsidR="00CE24A0" w:rsidRPr="005706F8" w:rsidRDefault="00B74C43" w:rsidP="00553E78">
      <w:pPr>
        <w:spacing w:after="0" w:line="240" w:lineRule="auto"/>
        <w:rPr>
          <w:rFonts w:ascii="Times New Roman" w:eastAsia="Times New Roman" w:hAnsi="Times New Roman" w:cs="Times New Roman"/>
          <w:sz w:val="24"/>
          <w:szCs w:val="24"/>
        </w:rPr>
      </w:pPr>
      <w:proofErr w:type="gramStart"/>
      <w:r w:rsidRPr="005706F8">
        <w:rPr>
          <w:rFonts w:ascii="Times New Roman" w:eastAsia="Times New Roman" w:hAnsi="Times New Roman" w:cs="Times New Roman"/>
          <w:sz w:val="24"/>
          <w:szCs w:val="24"/>
        </w:rPr>
        <w:t xml:space="preserve">603 CMR </w:t>
      </w:r>
      <w:r w:rsidR="00553E78" w:rsidRPr="005706F8">
        <w:rPr>
          <w:rFonts w:ascii="Times New Roman" w:eastAsia="Times New Roman" w:hAnsi="Times New Roman" w:cs="Times New Roman"/>
          <w:sz w:val="24"/>
          <w:szCs w:val="24"/>
        </w:rPr>
        <w:t>28.08(3).</w:t>
      </w:r>
      <w:proofErr w:type="gramEnd"/>
    </w:p>
    <w:p w14:paraId="18D3D864" w14:textId="77777777" w:rsidR="00CE24A0" w:rsidRPr="005706F8" w:rsidRDefault="00CE24A0" w:rsidP="00553E78">
      <w:pPr>
        <w:spacing w:after="0" w:line="240" w:lineRule="auto"/>
        <w:rPr>
          <w:rFonts w:ascii="Times New Roman" w:eastAsia="Times New Roman" w:hAnsi="Times New Roman" w:cs="Times New Roman"/>
          <w:sz w:val="24"/>
          <w:szCs w:val="24"/>
        </w:rPr>
      </w:pPr>
    </w:p>
    <w:p w14:paraId="3551E7B5" w14:textId="77777777" w:rsidR="005D1B61" w:rsidRDefault="00CE24A0" w:rsidP="00553E78">
      <w:pPr>
        <w:spacing w:after="0" w:line="240" w:lineRule="auto"/>
        <w:rPr>
          <w:rFonts w:ascii="Times New Roman" w:eastAsia="Times New Roman" w:hAnsi="Times New Roman" w:cs="Times New Roman"/>
          <w:sz w:val="24"/>
          <w:szCs w:val="24"/>
        </w:rPr>
      </w:pPr>
      <w:r w:rsidRPr="005706F8">
        <w:rPr>
          <w:rFonts w:ascii="Times New Roman" w:eastAsia="Times New Roman" w:hAnsi="Times New Roman" w:cs="Times New Roman"/>
          <w:sz w:val="24"/>
          <w:szCs w:val="24"/>
        </w:rPr>
        <w:t xml:space="preserve">The above-referenced Massachusetts statute and regulations are consistent with the pertinent </w:t>
      </w:r>
      <w:r w:rsidR="00B74C43" w:rsidRPr="005706F8">
        <w:rPr>
          <w:rFonts w:ascii="Times New Roman" w:eastAsia="Times New Roman" w:hAnsi="Times New Roman" w:cs="Times New Roman"/>
          <w:sz w:val="24"/>
          <w:szCs w:val="24"/>
        </w:rPr>
        <w:t>f</w:t>
      </w:r>
      <w:r w:rsidRPr="005706F8">
        <w:rPr>
          <w:rFonts w:ascii="Times New Roman" w:eastAsia="Times New Roman" w:hAnsi="Times New Roman" w:cs="Times New Roman"/>
          <w:sz w:val="24"/>
          <w:szCs w:val="24"/>
        </w:rPr>
        <w:t>ederal provisions.  The IDEA at 20 USC §1415</w:t>
      </w:r>
      <w:r w:rsidR="00DF5DAF" w:rsidRPr="005706F8">
        <w:rPr>
          <w:rFonts w:ascii="Times New Roman" w:eastAsia="Times New Roman" w:hAnsi="Times New Roman" w:cs="Times New Roman"/>
          <w:sz w:val="24"/>
          <w:szCs w:val="24"/>
        </w:rPr>
        <w:t>(B</w:t>
      </w:r>
      <w:proofErr w:type="gramStart"/>
      <w:r w:rsidR="00DF5DAF" w:rsidRPr="005706F8">
        <w:rPr>
          <w:rFonts w:ascii="Times New Roman" w:eastAsia="Times New Roman" w:hAnsi="Times New Roman" w:cs="Times New Roman"/>
          <w:sz w:val="24"/>
          <w:szCs w:val="24"/>
        </w:rPr>
        <w:t>)(</w:t>
      </w:r>
      <w:proofErr w:type="gramEnd"/>
      <w:r w:rsidR="00DF5DAF" w:rsidRPr="005706F8">
        <w:rPr>
          <w:rFonts w:ascii="Times New Roman" w:eastAsia="Times New Roman" w:hAnsi="Times New Roman" w:cs="Times New Roman"/>
          <w:sz w:val="24"/>
          <w:szCs w:val="24"/>
        </w:rPr>
        <w:t>6) and corresponding regulations at 34 CFR §§300.500-517, also permit parents and/or school districts to request mediations and/or due process hearings “relating to the identification, evaluation, or educational placement of a child with a disability or the provision of FAPE to the child.” 34 CFR §300.507(a</w:t>
      </w:r>
      <w:proofErr w:type="gramStart"/>
      <w:r w:rsidR="00DF5DAF" w:rsidRPr="005706F8">
        <w:rPr>
          <w:rFonts w:ascii="Times New Roman" w:eastAsia="Times New Roman" w:hAnsi="Times New Roman" w:cs="Times New Roman"/>
          <w:sz w:val="24"/>
          <w:szCs w:val="24"/>
        </w:rPr>
        <w:t>)(</w:t>
      </w:r>
      <w:proofErr w:type="gramEnd"/>
      <w:r w:rsidR="00DF5DAF" w:rsidRPr="005706F8">
        <w:rPr>
          <w:rFonts w:ascii="Times New Roman" w:eastAsia="Times New Roman" w:hAnsi="Times New Roman" w:cs="Times New Roman"/>
          <w:sz w:val="24"/>
          <w:szCs w:val="24"/>
        </w:rPr>
        <w:t>1).</w:t>
      </w:r>
    </w:p>
    <w:p w14:paraId="340EBCFA" w14:textId="77777777" w:rsidR="00D24480" w:rsidRDefault="00D24480" w:rsidP="00553E78">
      <w:pPr>
        <w:spacing w:after="0" w:line="240" w:lineRule="auto"/>
        <w:rPr>
          <w:rFonts w:ascii="Times New Roman" w:eastAsia="Times New Roman" w:hAnsi="Times New Roman" w:cs="Times New Roman"/>
          <w:sz w:val="24"/>
          <w:szCs w:val="24"/>
        </w:rPr>
      </w:pPr>
    </w:p>
    <w:p w14:paraId="347486B5" w14:textId="2EBDE950" w:rsidR="00D24480" w:rsidRDefault="001B4C09" w:rsidP="00553E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With this framework in mind, I turn to the facts and arguments before me.</w:t>
      </w:r>
    </w:p>
    <w:p w14:paraId="133C66A1" w14:textId="77777777" w:rsidR="005D1B61" w:rsidRDefault="005D1B61" w:rsidP="00553E78">
      <w:pPr>
        <w:spacing w:after="0" w:line="240" w:lineRule="auto"/>
        <w:rPr>
          <w:rFonts w:ascii="Times New Roman" w:eastAsia="Times New Roman" w:hAnsi="Times New Roman" w:cs="Times New Roman"/>
          <w:sz w:val="24"/>
          <w:szCs w:val="24"/>
        </w:rPr>
      </w:pPr>
    </w:p>
    <w:p w14:paraId="0DC2E0A3" w14:textId="0529AD15" w:rsidR="00E64CDE" w:rsidRDefault="001B4C09" w:rsidP="00553E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Minuteman argues that Student’s claims must be dismissed because the BSEA has no jurisdiction over Minuteman in the present circumstances</w:t>
      </w:r>
      <w:r w:rsidR="00375938">
        <w:rPr>
          <w:rFonts w:ascii="Times New Roman" w:eastAsia="Times New Roman" w:hAnsi="Times New Roman" w:cs="Times New Roman"/>
          <w:sz w:val="24"/>
          <w:szCs w:val="24"/>
        </w:rPr>
        <w:t>, since</w:t>
      </w:r>
      <w:r>
        <w:rPr>
          <w:rFonts w:ascii="Times New Roman" w:eastAsia="Times New Roman" w:hAnsi="Times New Roman" w:cs="Times New Roman"/>
          <w:sz w:val="24"/>
          <w:szCs w:val="24"/>
        </w:rPr>
        <w:t xml:space="preserve"> Minuteman has neither programmatic nor fiscal responsibility for Student.</w:t>
      </w:r>
      <w:r w:rsidR="00EC438A">
        <w:rPr>
          <w:rFonts w:ascii="Times New Roman" w:eastAsia="Times New Roman" w:hAnsi="Times New Roman" w:cs="Times New Roman"/>
          <w:sz w:val="24"/>
          <w:szCs w:val="24"/>
        </w:rPr>
        <w:t xml:space="preserve">  </w:t>
      </w:r>
      <w:r w:rsidR="00057293">
        <w:rPr>
          <w:rFonts w:ascii="Times New Roman" w:eastAsia="Times New Roman" w:hAnsi="Times New Roman" w:cs="Times New Roman"/>
          <w:sz w:val="24"/>
          <w:szCs w:val="24"/>
        </w:rPr>
        <w:t>Parents’ recitation of the facts supports this argument.  Student</w:t>
      </w:r>
      <w:r w:rsidR="00EC438A">
        <w:rPr>
          <w:rFonts w:ascii="Times New Roman" w:eastAsia="Times New Roman" w:hAnsi="Times New Roman" w:cs="Times New Roman"/>
          <w:sz w:val="24"/>
          <w:szCs w:val="24"/>
        </w:rPr>
        <w:t xml:space="preserve"> </w:t>
      </w:r>
      <w:r w:rsidR="001D1F06">
        <w:rPr>
          <w:rFonts w:ascii="Times New Roman" w:eastAsia="Times New Roman" w:hAnsi="Times New Roman" w:cs="Times New Roman"/>
          <w:sz w:val="24"/>
          <w:szCs w:val="24"/>
        </w:rPr>
        <w:t xml:space="preserve">is enrolled at </w:t>
      </w:r>
      <w:proofErr w:type="spellStart"/>
      <w:r w:rsidR="001D1F06">
        <w:rPr>
          <w:rFonts w:ascii="Times New Roman" w:eastAsia="Times New Roman" w:hAnsi="Times New Roman" w:cs="Times New Roman"/>
          <w:sz w:val="24"/>
          <w:szCs w:val="24"/>
        </w:rPr>
        <w:t>Nashoba</w:t>
      </w:r>
      <w:proofErr w:type="spellEnd"/>
      <w:r w:rsidR="001D1F06">
        <w:rPr>
          <w:rFonts w:ascii="Times New Roman" w:eastAsia="Times New Roman" w:hAnsi="Times New Roman" w:cs="Times New Roman"/>
          <w:sz w:val="24"/>
          <w:szCs w:val="24"/>
        </w:rPr>
        <w:t xml:space="preserve">.  Student </w:t>
      </w:r>
      <w:r w:rsidR="00057293">
        <w:rPr>
          <w:rFonts w:ascii="Times New Roman" w:eastAsia="Times New Roman" w:hAnsi="Times New Roman" w:cs="Times New Roman"/>
          <w:sz w:val="24"/>
          <w:szCs w:val="24"/>
        </w:rPr>
        <w:t xml:space="preserve">received a certificate of completion from </w:t>
      </w:r>
      <w:proofErr w:type="spellStart"/>
      <w:r w:rsidR="00057293">
        <w:rPr>
          <w:rFonts w:ascii="Times New Roman" w:eastAsia="Times New Roman" w:hAnsi="Times New Roman" w:cs="Times New Roman"/>
          <w:sz w:val="24"/>
          <w:szCs w:val="24"/>
        </w:rPr>
        <w:t>Nashoba</w:t>
      </w:r>
      <w:proofErr w:type="spellEnd"/>
      <w:r w:rsidR="001D1F06">
        <w:rPr>
          <w:rFonts w:ascii="Times New Roman" w:eastAsia="Times New Roman" w:hAnsi="Times New Roman" w:cs="Times New Roman"/>
          <w:sz w:val="24"/>
          <w:szCs w:val="24"/>
        </w:rPr>
        <w:t xml:space="preserve"> in June 2016</w:t>
      </w:r>
      <w:r w:rsidR="00057293">
        <w:rPr>
          <w:rFonts w:ascii="Times New Roman" w:eastAsia="Times New Roman" w:hAnsi="Times New Roman" w:cs="Times New Roman"/>
          <w:sz w:val="24"/>
          <w:szCs w:val="24"/>
        </w:rPr>
        <w:t xml:space="preserve">, and </w:t>
      </w:r>
      <w:r w:rsidR="001D1F06">
        <w:rPr>
          <w:rFonts w:ascii="Times New Roman" w:eastAsia="Times New Roman" w:hAnsi="Times New Roman" w:cs="Times New Roman"/>
          <w:sz w:val="24"/>
          <w:szCs w:val="24"/>
        </w:rPr>
        <w:t xml:space="preserve">currently </w:t>
      </w:r>
      <w:r w:rsidR="00057293">
        <w:rPr>
          <w:rFonts w:ascii="Times New Roman" w:eastAsia="Times New Roman" w:hAnsi="Times New Roman" w:cs="Times New Roman"/>
          <w:sz w:val="24"/>
          <w:szCs w:val="24"/>
        </w:rPr>
        <w:t>receives transitional/</w:t>
      </w:r>
      <w:proofErr w:type="spellStart"/>
      <w:r w:rsidR="00057293">
        <w:rPr>
          <w:rFonts w:ascii="Times New Roman" w:eastAsia="Times New Roman" w:hAnsi="Times New Roman" w:cs="Times New Roman"/>
          <w:sz w:val="24"/>
          <w:szCs w:val="24"/>
        </w:rPr>
        <w:t>lifeskills</w:t>
      </w:r>
      <w:proofErr w:type="spellEnd"/>
      <w:r w:rsidR="00057293">
        <w:rPr>
          <w:rFonts w:ascii="Times New Roman" w:eastAsia="Times New Roman" w:hAnsi="Times New Roman" w:cs="Times New Roman"/>
          <w:sz w:val="24"/>
          <w:szCs w:val="24"/>
        </w:rPr>
        <w:t xml:space="preserve"> training from </w:t>
      </w:r>
      <w:proofErr w:type="spellStart"/>
      <w:r w:rsidR="00057293">
        <w:rPr>
          <w:rFonts w:ascii="Times New Roman" w:eastAsia="Times New Roman" w:hAnsi="Times New Roman" w:cs="Times New Roman"/>
          <w:sz w:val="24"/>
          <w:szCs w:val="24"/>
        </w:rPr>
        <w:t>Nashoba</w:t>
      </w:r>
      <w:proofErr w:type="spellEnd"/>
      <w:r w:rsidR="00057293">
        <w:rPr>
          <w:rFonts w:ascii="Times New Roman" w:eastAsia="Times New Roman" w:hAnsi="Times New Roman" w:cs="Times New Roman"/>
          <w:sz w:val="24"/>
          <w:szCs w:val="24"/>
        </w:rPr>
        <w:t xml:space="preserve"> pursuant to an IEP.</w:t>
      </w:r>
      <w:r w:rsidR="00D26E6A">
        <w:rPr>
          <w:rFonts w:ascii="Times New Roman" w:eastAsia="Times New Roman" w:hAnsi="Times New Roman" w:cs="Times New Roman"/>
          <w:sz w:val="24"/>
          <w:szCs w:val="24"/>
        </w:rPr>
        <w:t xml:space="preserve">  Minuteman is a program school and is governed by the rules and regulations pertaining to vocational schools, M.G.L. c. 74.  Massachusetts special education regulations state that school districts are programmatically and financially responsible for eligible students based on residency and </w:t>
      </w:r>
      <w:r w:rsidR="00D26E6A" w:rsidRPr="00E64CDE">
        <w:rPr>
          <w:rFonts w:ascii="Times New Roman" w:eastAsia="Times New Roman" w:hAnsi="Times New Roman" w:cs="Times New Roman"/>
          <w:i/>
          <w:sz w:val="24"/>
          <w:szCs w:val="24"/>
        </w:rPr>
        <w:t>enrollmen</w:t>
      </w:r>
      <w:r w:rsidR="00E64CDE">
        <w:rPr>
          <w:rFonts w:ascii="Times New Roman" w:eastAsia="Times New Roman" w:hAnsi="Times New Roman" w:cs="Times New Roman"/>
          <w:i/>
          <w:sz w:val="24"/>
          <w:szCs w:val="24"/>
        </w:rPr>
        <w:t xml:space="preserve">t </w:t>
      </w:r>
      <w:r w:rsidR="00E64CDE" w:rsidRPr="00E64CDE">
        <w:rPr>
          <w:rFonts w:ascii="Times New Roman" w:eastAsia="Times New Roman" w:hAnsi="Times New Roman" w:cs="Times New Roman"/>
          <w:sz w:val="24"/>
          <w:szCs w:val="24"/>
        </w:rPr>
        <w:t>[emphasis supplied]</w:t>
      </w:r>
      <w:r w:rsidR="00D26E6A" w:rsidRPr="00E64CDE">
        <w:rPr>
          <w:rFonts w:ascii="Times New Roman" w:eastAsia="Times New Roman" w:hAnsi="Times New Roman" w:cs="Times New Roman"/>
          <w:sz w:val="24"/>
          <w:szCs w:val="24"/>
        </w:rPr>
        <w:t>.</w:t>
      </w:r>
      <w:r w:rsidR="00D26E6A">
        <w:rPr>
          <w:rFonts w:ascii="Times New Roman" w:eastAsia="Times New Roman" w:hAnsi="Times New Roman" w:cs="Times New Roman"/>
          <w:sz w:val="24"/>
          <w:szCs w:val="24"/>
        </w:rPr>
        <w:t xml:space="preserve">  </w:t>
      </w:r>
      <w:proofErr w:type="gramStart"/>
      <w:r w:rsidR="00D26E6A">
        <w:rPr>
          <w:rFonts w:ascii="Times New Roman" w:eastAsia="Times New Roman" w:hAnsi="Times New Roman" w:cs="Times New Roman"/>
          <w:sz w:val="24"/>
          <w:szCs w:val="24"/>
        </w:rPr>
        <w:t>603 C.M.R. 28.10(1)</w:t>
      </w:r>
      <w:r w:rsidR="00BA232C">
        <w:rPr>
          <w:rFonts w:ascii="Times New Roman" w:eastAsia="Times New Roman" w:hAnsi="Times New Roman" w:cs="Times New Roman"/>
          <w:sz w:val="24"/>
          <w:szCs w:val="24"/>
        </w:rPr>
        <w:t>.</w:t>
      </w:r>
      <w:proofErr w:type="gramEnd"/>
      <w:r w:rsidR="00BA232C">
        <w:rPr>
          <w:rFonts w:ascii="Times New Roman" w:eastAsia="Times New Roman" w:hAnsi="Times New Roman" w:cs="Times New Roman"/>
          <w:sz w:val="24"/>
          <w:szCs w:val="24"/>
        </w:rPr>
        <w:t xml:space="preserve">  </w:t>
      </w:r>
      <w:r w:rsidR="00DC1693">
        <w:rPr>
          <w:rFonts w:ascii="Times New Roman" w:eastAsia="Times New Roman" w:hAnsi="Times New Roman" w:cs="Times New Roman"/>
          <w:sz w:val="24"/>
          <w:szCs w:val="24"/>
        </w:rPr>
        <w:t xml:space="preserve">Program schools, such as Minuteman, “[S]hall have programmatic and financial responsibility for </w:t>
      </w:r>
      <w:r w:rsidR="00DC1693" w:rsidRPr="008768B1">
        <w:rPr>
          <w:rFonts w:ascii="Times New Roman" w:eastAsia="Times New Roman" w:hAnsi="Times New Roman" w:cs="Times New Roman"/>
          <w:i/>
          <w:sz w:val="24"/>
          <w:szCs w:val="24"/>
        </w:rPr>
        <w:t>enrolled students</w:t>
      </w:r>
      <w:r w:rsidR="0045084A">
        <w:rPr>
          <w:rFonts w:ascii="Times New Roman" w:eastAsia="Times New Roman" w:hAnsi="Times New Roman" w:cs="Times New Roman"/>
          <w:sz w:val="24"/>
          <w:szCs w:val="24"/>
        </w:rPr>
        <w:t xml:space="preserve"> [emphasis added]</w:t>
      </w:r>
      <w:r w:rsidR="00DC1693">
        <w:rPr>
          <w:rFonts w:ascii="Times New Roman" w:eastAsia="Times New Roman" w:hAnsi="Times New Roman" w:cs="Times New Roman"/>
          <w:sz w:val="24"/>
          <w:szCs w:val="24"/>
        </w:rPr>
        <w:t>, subject only to specific finance provisions of any pertinent state law related to the program school.”</w:t>
      </w:r>
      <w:r w:rsidR="001D1F06">
        <w:rPr>
          <w:rFonts w:ascii="Times New Roman" w:eastAsia="Times New Roman" w:hAnsi="Times New Roman" w:cs="Times New Roman"/>
          <w:sz w:val="24"/>
          <w:szCs w:val="24"/>
        </w:rPr>
        <w:t xml:space="preserve">  </w:t>
      </w:r>
      <w:r w:rsidR="002A0336">
        <w:rPr>
          <w:rFonts w:ascii="Times New Roman" w:eastAsia="Times New Roman" w:hAnsi="Times New Roman" w:cs="Times New Roman"/>
          <w:sz w:val="24"/>
          <w:szCs w:val="24"/>
        </w:rPr>
        <w:t xml:space="preserve">Although Student lives within a district that is a member of the Minuteman school district, </w:t>
      </w:r>
      <w:r w:rsidR="001D1F06">
        <w:rPr>
          <w:rFonts w:ascii="Times New Roman" w:eastAsia="Times New Roman" w:hAnsi="Times New Roman" w:cs="Times New Roman"/>
          <w:sz w:val="24"/>
          <w:szCs w:val="24"/>
        </w:rPr>
        <w:t>Student is not enrolled at Minuteman, and thus, Minuteman does not have programmatic and/or financial responsibility for the provision of special education services to Student.</w:t>
      </w:r>
      <w:r w:rsidR="002A0336">
        <w:rPr>
          <w:rFonts w:ascii="Times New Roman" w:eastAsia="Times New Roman" w:hAnsi="Times New Roman" w:cs="Times New Roman"/>
          <w:sz w:val="24"/>
          <w:szCs w:val="24"/>
        </w:rPr>
        <w:t xml:space="preserve">  </w:t>
      </w:r>
      <w:proofErr w:type="spellStart"/>
      <w:r w:rsidR="002A0336">
        <w:rPr>
          <w:rFonts w:ascii="Times New Roman" w:eastAsia="Times New Roman" w:hAnsi="Times New Roman" w:cs="Times New Roman"/>
          <w:sz w:val="24"/>
          <w:szCs w:val="24"/>
        </w:rPr>
        <w:t>Nashoba</w:t>
      </w:r>
      <w:proofErr w:type="spellEnd"/>
      <w:r w:rsidR="00E64CDE">
        <w:rPr>
          <w:rFonts w:ascii="Times New Roman" w:eastAsia="Times New Roman" w:hAnsi="Times New Roman" w:cs="Times New Roman"/>
          <w:sz w:val="24"/>
          <w:szCs w:val="24"/>
        </w:rPr>
        <w:t xml:space="preserve">, Student’s local education agency (LEA), </w:t>
      </w:r>
      <w:r w:rsidR="002A0336">
        <w:rPr>
          <w:rFonts w:ascii="Times New Roman" w:eastAsia="Times New Roman" w:hAnsi="Times New Roman" w:cs="Times New Roman"/>
          <w:sz w:val="24"/>
          <w:szCs w:val="24"/>
        </w:rPr>
        <w:t>where Student is enrolled, and the district in which Student resides, is obligated to provide Student’s special education services and provides her services pursuant to an IEP</w:t>
      </w:r>
      <w:r w:rsidR="002A0336">
        <w:rPr>
          <w:rStyle w:val="FootnoteReference"/>
          <w:rFonts w:ascii="Times New Roman" w:eastAsia="Times New Roman" w:hAnsi="Times New Roman" w:cs="Times New Roman"/>
          <w:sz w:val="24"/>
          <w:szCs w:val="24"/>
        </w:rPr>
        <w:footnoteReference w:id="10"/>
      </w:r>
      <w:r w:rsidR="002A0336">
        <w:rPr>
          <w:rFonts w:ascii="Times New Roman" w:eastAsia="Times New Roman" w:hAnsi="Times New Roman" w:cs="Times New Roman"/>
          <w:sz w:val="24"/>
          <w:szCs w:val="24"/>
        </w:rPr>
        <w:t>.</w:t>
      </w:r>
      <w:r w:rsidR="00E64CDE">
        <w:rPr>
          <w:rFonts w:ascii="Times New Roman" w:eastAsia="Times New Roman" w:hAnsi="Times New Roman" w:cs="Times New Roman"/>
          <w:sz w:val="24"/>
          <w:szCs w:val="24"/>
        </w:rPr>
        <w:t xml:space="preserve">  Minuteman does not have any obligations with respect to Student’s special education services.</w:t>
      </w:r>
    </w:p>
    <w:p w14:paraId="45E2EDB3" w14:textId="77777777" w:rsidR="00E64CDE" w:rsidRDefault="00E64CDE" w:rsidP="00553E78">
      <w:pPr>
        <w:spacing w:after="0" w:line="240" w:lineRule="auto"/>
        <w:rPr>
          <w:rFonts w:ascii="Times New Roman" w:eastAsia="Times New Roman" w:hAnsi="Times New Roman" w:cs="Times New Roman"/>
          <w:sz w:val="24"/>
          <w:szCs w:val="24"/>
        </w:rPr>
      </w:pPr>
    </w:p>
    <w:p w14:paraId="65F03CA5" w14:textId="3B2FFAAB" w:rsidR="00E64CDE" w:rsidRDefault="00E64CDE" w:rsidP="00553E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Minuteman next argues that the BSEA does not have jurisdiction over Minuteman’s policies and practices which are approved by the Massachusetts Department of Elementary and Secondary Education (DESE).</w:t>
      </w:r>
      <w:r w:rsidR="00C035A7">
        <w:rPr>
          <w:rFonts w:ascii="Times New Roman" w:eastAsia="Times New Roman" w:hAnsi="Times New Roman" w:cs="Times New Roman"/>
          <w:sz w:val="24"/>
          <w:szCs w:val="24"/>
        </w:rPr>
        <w:t xml:space="preserve">  M.G.L. c. 74 sets forth the rules and regulations governing vocational schools in Massachusetts.  All policies, including admissions policies, utilized by vocational schools in Massachusetts must be approved by the Commissioner of DESE.  Minu</w:t>
      </w:r>
      <w:r w:rsidR="002607A4">
        <w:rPr>
          <w:rFonts w:ascii="Times New Roman" w:eastAsia="Times New Roman" w:hAnsi="Times New Roman" w:cs="Times New Roman"/>
          <w:sz w:val="24"/>
          <w:szCs w:val="24"/>
        </w:rPr>
        <w:t xml:space="preserve">teman’s Admissions Policy, </w:t>
      </w:r>
      <w:r w:rsidR="00C035A7">
        <w:rPr>
          <w:rFonts w:ascii="Times New Roman" w:eastAsia="Times New Roman" w:hAnsi="Times New Roman" w:cs="Times New Roman"/>
          <w:sz w:val="24"/>
          <w:szCs w:val="24"/>
        </w:rPr>
        <w:t>effective January 2014, was approved by DESE in 2013.  Additionally, DESE approved Minuteman’s Regional Agreement and found it to be in compliance with Massachusetts law on March 11, 2016.  The BSEA does not have jurisdiction over the legality of DESE approved policies and practices of vocational schools</w:t>
      </w:r>
      <w:r w:rsidR="00994A62">
        <w:rPr>
          <w:rFonts w:ascii="Times New Roman" w:eastAsia="Times New Roman" w:hAnsi="Times New Roman" w:cs="Times New Roman"/>
          <w:sz w:val="24"/>
          <w:szCs w:val="24"/>
        </w:rPr>
        <w:t xml:space="preserve"> that do not involve the provision of a free appropriate p</w:t>
      </w:r>
      <w:r w:rsidR="00C52E7F">
        <w:rPr>
          <w:rFonts w:ascii="Times New Roman" w:eastAsia="Times New Roman" w:hAnsi="Times New Roman" w:cs="Times New Roman"/>
          <w:sz w:val="24"/>
          <w:szCs w:val="24"/>
        </w:rPr>
        <w:t>ublic education to an enrolled s</w:t>
      </w:r>
      <w:r w:rsidR="00994A62">
        <w:rPr>
          <w:rFonts w:ascii="Times New Roman" w:eastAsia="Times New Roman" w:hAnsi="Times New Roman" w:cs="Times New Roman"/>
          <w:sz w:val="24"/>
          <w:szCs w:val="24"/>
        </w:rPr>
        <w:t>tudent</w:t>
      </w:r>
      <w:r w:rsidR="00C035A7">
        <w:rPr>
          <w:rFonts w:ascii="Times New Roman" w:eastAsia="Times New Roman" w:hAnsi="Times New Roman" w:cs="Times New Roman"/>
          <w:sz w:val="24"/>
          <w:szCs w:val="24"/>
        </w:rPr>
        <w:t>.  The</w:t>
      </w:r>
      <w:r w:rsidR="00994A62">
        <w:rPr>
          <w:rFonts w:ascii="Times New Roman" w:eastAsia="Times New Roman" w:hAnsi="Times New Roman" w:cs="Times New Roman"/>
          <w:sz w:val="24"/>
          <w:szCs w:val="24"/>
        </w:rPr>
        <w:t>re</w:t>
      </w:r>
      <w:r w:rsidR="00C035A7">
        <w:rPr>
          <w:rFonts w:ascii="Times New Roman" w:eastAsia="Times New Roman" w:hAnsi="Times New Roman" w:cs="Times New Roman"/>
          <w:sz w:val="24"/>
          <w:szCs w:val="24"/>
        </w:rPr>
        <w:t xml:space="preserve"> is nothing within the jurisdiction of the BSEA recited </w:t>
      </w:r>
      <w:r w:rsidR="00C035A7" w:rsidRPr="00C035A7">
        <w:rPr>
          <w:rFonts w:ascii="Times New Roman" w:eastAsia="Times New Roman" w:hAnsi="Times New Roman" w:cs="Times New Roman"/>
          <w:i/>
          <w:sz w:val="24"/>
          <w:szCs w:val="24"/>
        </w:rPr>
        <w:t>supra</w:t>
      </w:r>
      <w:r w:rsidR="00C035A7">
        <w:rPr>
          <w:rFonts w:ascii="Times New Roman" w:eastAsia="Times New Roman" w:hAnsi="Times New Roman" w:cs="Times New Roman"/>
          <w:sz w:val="24"/>
          <w:szCs w:val="24"/>
        </w:rPr>
        <w:t xml:space="preserve"> </w:t>
      </w:r>
      <w:r w:rsidR="00994A62">
        <w:rPr>
          <w:rFonts w:ascii="Times New Roman" w:eastAsia="Times New Roman" w:hAnsi="Times New Roman" w:cs="Times New Roman"/>
          <w:sz w:val="24"/>
          <w:szCs w:val="24"/>
        </w:rPr>
        <w:t>which would provide a hearing officer with the authority to determine the legality of vocational schools admissions policy unless it were found to be in conflict with the IDEA,</w:t>
      </w:r>
      <w:r w:rsidR="00C92FE4">
        <w:rPr>
          <w:rFonts w:ascii="Times New Roman" w:eastAsia="Times New Roman" w:hAnsi="Times New Roman" w:cs="Times New Roman"/>
          <w:sz w:val="24"/>
          <w:szCs w:val="24"/>
        </w:rPr>
        <w:t xml:space="preserve"> </w:t>
      </w:r>
      <w:r w:rsidR="00C92FE4" w:rsidRPr="005706F8">
        <w:rPr>
          <w:rFonts w:ascii="Times New Roman" w:eastAsia="Times New Roman" w:hAnsi="Times New Roman" w:cs="Times New Roman"/>
          <w:sz w:val="24"/>
          <w:szCs w:val="24"/>
        </w:rPr>
        <w:t>34 CFR §§300.500-517</w:t>
      </w:r>
      <w:r w:rsidR="00C92FE4">
        <w:rPr>
          <w:rFonts w:ascii="Times New Roman" w:eastAsia="Times New Roman" w:hAnsi="Times New Roman" w:cs="Times New Roman"/>
          <w:sz w:val="24"/>
          <w:szCs w:val="24"/>
        </w:rPr>
        <w:t>,</w:t>
      </w:r>
      <w:r w:rsidR="00994A62">
        <w:rPr>
          <w:rFonts w:ascii="Times New Roman" w:eastAsia="Times New Roman" w:hAnsi="Times New Roman" w:cs="Times New Roman"/>
          <w:sz w:val="24"/>
          <w:szCs w:val="24"/>
        </w:rPr>
        <w:t xml:space="preserve"> M.G.L. </w:t>
      </w:r>
      <w:proofErr w:type="spellStart"/>
      <w:r w:rsidR="00994A62">
        <w:rPr>
          <w:rFonts w:ascii="Times New Roman" w:eastAsia="Times New Roman" w:hAnsi="Times New Roman" w:cs="Times New Roman"/>
          <w:sz w:val="24"/>
          <w:szCs w:val="24"/>
        </w:rPr>
        <w:t>ch.</w:t>
      </w:r>
      <w:proofErr w:type="spellEnd"/>
      <w:r w:rsidR="00994A62">
        <w:rPr>
          <w:rFonts w:ascii="Times New Roman" w:eastAsia="Times New Roman" w:hAnsi="Times New Roman" w:cs="Times New Roman"/>
          <w:sz w:val="24"/>
          <w:szCs w:val="24"/>
        </w:rPr>
        <w:t xml:space="preserve"> 71B,</w:t>
      </w:r>
      <w:r w:rsidR="00A479B9">
        <w:rPr>
          <w:rFonts w:ascii="Times New Roman" w:eastAsia="Times New Roman" w:hAnsi="Times New Roman" w:cs="Times New Roman"/>
          <w:sz w:val="24"/>
          <w:szCs w:val="24"/>
        </w:rPr>
        <w:t xml:space="preserve"> </w:t>
      </w:r>
      <w:r w:rsidR="00A479B9" w:rsidRPr="005706F8">
        <w:rPr>
          <w:rFonts w:ascii="Times New Roman" w:eastAsia="Times New Roman" w:hAnsi="Times New Roman" w:cs="Times New Roman"/>
          <w:sz w:val="24"/>
          <w:szCs w:val="24"/>
        </w:rPr>
        <w:t>603 CMR 28.00</w:t>
      </w:r>
      <w:r w:rsidR="00A479B9">
        <w:rPr>
          <w:rFonts w:ascii="Times New Roman" w:eastAsia="Times New Roman" w:hAnsi="Times New Roman" w:cs="Times New Roman"/>
          <w:sz w:val="24"/>
          <w:szCs w:val="24"/>
        </w:rPr>
        <w:t>,</w:t>
      </w:r>
      <w:r w:rsidR="00994A62">
        <w:rPr>
          <w:rFonts w:ascii="Times New Roman" w:eastAsia="Times New Roman" w:hAnsi="Times New Roman" w:cs="Times New Roman"/>
          <w:sz w:val="24"/>
          <w:szCs w:val="24"/>
        </w:rPr>
        <w:t xml:space="preserve"> or section 504</w:t>
      </w:r>
      <w:r w:rsidR="004B49C4">
        <w:rPr>
          <w:rFonts w:ascii="Times New Roman" w:eastAsia="Times New Roman" w:hAnsi="Times New Roman" w:cs="Times New Roman"/>
          <w:sz w:val="24"/>
          <w:szCs w:val="24"/>
        </w:rPr>
        <w:t xml:space="preserve"> and 34 CFR § 104 as they relate to the provision of FAPE</w:t>
      </w:r>
      <w:r w:rsidR="00C52E7F">
        <w:rPr>
          <w:rFonts w:ascii="Times New Roman" w:eastAsia="Times New Roman" w:hAnsi="Times New Roman" w:cs="Times New Roman"/>
          <w:sz w:val="24"/>
          <w:szCs w:val="24"/>
        </w:rPr>
        <w:t xml:space="preserve"> to a particular student</w:t>
      </w:r>
      <w:r w:rsidR="004B49C4">
        <w:rPr>
          <w:rFonts w:ascii="Times New Roman" w:eastAsia="Times New Roman" w:hAnsi="Times New Roman" w:cs="Times New Roman"/>
          <w:sz w:val="24"/>
          <w:szCs w:val="24"/>
        </w:rPr>
        <w:t>.</w:t>
      </w:r>
    </w:p>
    <w:p w14:paraId="10060220" w14:textId="77777777" w:rsidR="00A479B9" w:rsidRDefault="00A479B9" w:rsidP="00553E78">
      <w:pPr>
        <w:spacing w:after="0" w:line="240" w:lineRule="auto"/>
        <w:rPr>
          <w:rFonts w:ascii="Times New Roman" w:eastAsia="Times New Roman" w:hAnsi="Times New Roman" w:cs="Times New Roman"/>
          <w:sz w:val="24"/>
          <w:szCs w:val="24"/>
        </w:rPr>
      </w:pPr>
    </w:p>
    <w:p w14:paraId="63F9A258" w14:textId="1C41F6D4" w:rsidR="00494B64" w:rsidRDefault="00A479B9" w:rsidP="00553E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Minuteman’s Admissions Policy states that “an admission process is necessary in vocational technical schools where space is a </w:t>
      </w:r>
      <w:r w:rsidR="00180C91">
        <w:rPr>
          <w:rFonts w:ascii="Times New Roman" w:eastAsia="Times New Roman" w:hAnsi="Times New Roman" w:cs="Times New Roman"/>
          <w:sz w:val="24"/>
          <w:szCs w:val="24"/>
        </w:rPr>
        <w:t>limiting factor …</w:t>
      </w:r>
      <w:r>
        <w:rPr>
          <w:rFonts w:ascii="Times New Roman" w:eastAsia="Times New Roman" w:hAnsi="Times New Roman" w:cs="Times New Roman"/>
          <w:sz w:val="24"/>
          <w:szCs w:val="24"/>
        </w:rPr>
        <w:t xml:space="preserve"> Therefore, a selection process is necessary.”  See Minuteman’s Exhibit C.  The Eligibility section of the policy states, “Any 8</w:t>
      </w:r>
      <w:r w:rsidRPr="00A479B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9</w:t>
      </w:r>
      <w:r w:rsidRPr="00A479B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10</w:t>
      </w:r>
      <w:r w:rsidRPr="00A479B9">
        <w:rPr>
          <w:rFonts w:ascii="Times New Roman" w:eastAsia="Times New Roman" w:hAnsi="Times New Roman" w:cs="Times New Roman"/>
          <w:sz w:val="24"/>
          <w:szCs w:val="24"/>
          <w:vertAlign w:val="superscript"/>
        </w:rPr>
        <w:t>th</w:t>
      </w:r>
      <w:r w:rsidR="00A3401A">
        <w:rPr>
          <w:rFonts w:ascii="Times New Roman" w:eastAsia="Times New Roman" w:hAnsi="Times New Roman" w:cs="Times New Roman"/>
          <w:sz w:val="24"/>
          <w:szCs w:val="24"/>
        </w:rPr>
        <w:t>, o</w:t>
      </w:r>
      <w:r>
        <w:rPr>
          <w:rFonts w:ascii="Times New Roman" w:eastAsia="Times New Roman" w:hAnsi="Times New Roman" w:cs="Times New Roman"/>
          <w:sz w:val="24"/>
          <w:szCs w:val="24"/>
        </w:rPr>
        <w:t>r 11</w:t>
      </w:r>
      <w:r w:rsidRPr="00A479B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grade student who is a resident of the [Minuteman district] who expects to be promoted into the grade they seek to enter by their local district is eligible to apply” for admission to Minuteman.  </w:t>
      </w:r>
      <w:r w:rsidR="00195BD8">
        <w:rPr>
          <w:rFonts w:ascii="Times New Roman" w:eastAsia="Times New Roman" w:hAnsi="Times New Roman" w:cs="Times New Roman"/>
          <w:sz w:val="24"/>
          <w:szCs w:val="24"/>
        </w:rPr>
        <w:t xml:space="preserve">  (See Minuteman’s Exhibit C.)</w:t>
      </w:r>
      <w:r w:rsidR="00180C91">
        <w:rPr>
          <w:rFonts w:ascii="Times New Roman" w:eastAsia="Times New Roman" w:hAnsi="Times New Roman" w:cs="Times New Roman"/>
          <w:sz w:val="24"/>
          <w:szCs w:val="24"/>
        </w:rPr>
        <w:t xml:space="preserve">  Minuteman argues that even</w:t>
      </w:r>
      <w:r w:rsidR="000616CC">
        <w:rPr>
          <w:rFonts w:ascii="Times New Roman" w:eastAsia="Times New Roman" w:hAnsi="Times New Roman" w:cs="Times New Roman"/>
          <w:sz w:val="24"/>
          <w:szCs w:val="24"/>
        </w:rPr>
        <w:t xml:space="preserve"> if the BSEA had jurisdiction over</w:t>
      </w:r>
      <w:r w:rsidR="00180C91">
        <w:rPr>
          <w:rFonts w:ascii="Times New Roman" w:eastAsia="Times New Roman" w:hAnsi="Times New Roman" w:cs="Times New Roman"/>
          <w:sz w:val="24"/>
          <w:szCs w:val="24"/>
        </w:rPr>
        <w:t xml:space="preserve"> Minuteman’s admission policies, its policy is non-discriminatory.  </w:t>
      </w:r>
    </w:p>
    <w:p w14:paraId="7F907451" w14:textId="77777777" w:rsidR="00494B64" w:rsidRDefault="00494B64" w:rsidP="00553E78">
      <w:pPr>
        <w:spacing w:after="0" w:line="240" w:lineRule="auto"/>
        <w:rPr>
          <w:rFonts w:ascii="Times New Roman" w:eastAsia="Times New Roman" w:hAnsi="Times New Roman" w:cs="Times New Roman"/>
          <w:sz w:val="24"/>
          <w:szCs w:val="24"/>
        </w:rPr>
      </w:pPr>
    </w:p>
    <w:p w14:paraId="518C2E9C" w14:textId="1D03D5A8" w:rsidR="00A479B9" w:rsidRDefault="003B6854" w:rsidP="00553E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the extent that Parents have raised a claim under § 504</w:t>
      </w:r>
      <w:r>
        <w:rPr>
          <w:rStyle w:val="FootnoteReference"/>
          <w:rFonts w:ascii="Times New Roman" w:eastAsia="Times New Roman" w:hAnsi="Times New Roman" w:cs="Times New Roman"/>
          <w:sz w:val="24"/>
          <w:szCs w:val="24"/>
        </w:rPr>
        <w:footnoteReference w:id="11"/>
      </w:r>
      <w:r>
        <w:rPr>
          <w:rFonts w:ascii="Times New Roman" w:eastAsia="Times New Roman" w:hAnsi="Times New Roman" w:cs="Times New Roman"/>
          <w:sz w:val="24"/>
          <w:szCs w:val="24"/>
        </w:rPr>
        <w:t>, and to the extent that the BSEA has jurisdiction over a discrimination claim (as opposed to a claim regarding the denial of FAPE</w:t>
      </w:r>
      <w:r w:rsidR="007A0B78">
        <w:rPr>
          <w:rFonts w:ascii="Times New Roman" w:eastAsia="Times New Roman" w:hAnsi="Times New Roman" w:cs="Times New Roman"/>
          <w:sz w:val="24"/>
          <w:szCs w:val="24"/>
        </w:rPr>
        <w:t xml:space="preserve"> pursuant to Section 504</w:t>
      </w:r>
      <w:r>
        <w:rPr>
          <w:rFonts w:ascii="Times New Roman" w:eastAsia="Times New Roman" w:hAnsi="Times New Roman" w:cs="Times New Roman"/>
          <w:sz w:val="24"/>
          <w:szCs w:val="24"/>
        </w:rPr>
        <w:t xml:space="preserve">) Parents are not able to make a prima facie showing that Minuteman’s admissions policy discriminated against Student. </w:t>
      </w:r>
      <w:r w:rsidR="00180C91">
        <w:rPr>
          <w:rFonts w:ascii="Times New Roman" w:eastAsia="Times New Roman" w:hAnsi="Times New Roman" w:cs="Times New Roman"/>
          <w:sz w:val="24"/>
          <w:szCs w:val="24"/>
        </w:rPr>
        <w:t xml:space="preserve"> </w:t>
      </w:r>
    </w:p>
    <w:p w14:paraId="16BAE72A" w14:textId="77777777" w:rsidR="0094374C" w:rsidRDefault="0094374C" w:rsidP="00553E78">
      <w:pPr>
        <w:spacing w:after="0" w:line="240" w:lineRule="auto"/>
        <w:rPr>
          <w:rFonts w:ascii="Times New Roman" w:eastAsia="Times New Roman" w:hAnsi="Times New Roman" w:cs="Times New Roman"/>
          <w:sz w:val="24"/>
          <w:szCs w:val="24"/>
        </w:rPr>
      </w:pPr>
    </w:p>
    <w:p w14:paraId="1B42EE75" w14:textId="2969AEF0" w:rsidR="0094374C" w:rsidRDefault="0094374C" w:rsidP="00553E78">
      <w:pPr>
        <w:spacing w:after="0" w:line="240" w:lineRule="auto"/>
        <w:rPr>
          <w:rFonts w:ascii="Times New Roman" w:hAnsi="Times New Roman" w:cs="Times New Roman"/>
          <w:color w:val="4B4D4D"/>
          <w:sz w:val="24"/>
          <w:szCs w:val="24"/>
        </w:rPr>
      </w:pPr>
      <w:r w:rsidRPr="003B6854">
        <w:rPr>
          <w:rFonts w:ascii="Times New Roman" w:hAnsi="Times New Roman" w:cs="Times New Roman"/>
          <w:color w:val="4B4D4D"/>
          <w:sz w:val="24"/>
          <w:szCs w:val="24"/>
        </w:rPr>
        <w:t xml:space="preserve">Section 504 of the Rehabilitation Act of 1973, 29 USC §794(a), is an anti-discrimination statute that provides that “no otherwise qualified handicapped person shall, on the basis of handicap, be excluded from participation in, be denied the benefits of, or otherwise be subjected to discrimination under any program or activity which receives Federal financial assistance.” </w:t>
      </w:r>
      <w:r w:rsidRPr="003B6854">
        <w:rPr>
          <w:rStyle w:val="Emphasis"/>
          <w:rFonts w:ascii="Times New Roman" w:hAnsi="Times New Roman" w:cs="Times New Roman"/>
          <w:color w:val="4B4D4D"/>
          <w:sz w:val="24"/>
          <w:szCs w:val="24"/>
        </w:rPr>
        <w:t>Id</w:t>
      </w:r>
      <w:r w:rsidRPr="003B6854">
        <w:rPr>
          <w:rFonts w:ascii="Times New Roman" w:hAnsi="Times New Roman" w:cs="Times New Roman"/>
          <w:color w:val="4B4D4D"/>
          <w:sz w:val="24"/>
          <w:szCs w:val="24"/>
        </w:rPr>
        <w:t>., 34 CFR §104.4(b</w:t>
      </w:r>
      <w:proofErr w:type="gramStart"/>
      <w:r w:rsidRPr="003B6854">
        <w:rPr>
          <w:rFonts w:ascii="Times New Roman" w:hAnsi="Times New Roman" w:cs="Times New Roman"/>
          <w:color w:val="4B4D4D"/>
          <w:sz w:val="24"/>
          <w:szCs w:val="24"/>
        </w:rPr>
        <w:t>)(</w:t>
      </w:r>
      <w:proofErr w:type="gramEnd"/>
      <w:r w:rsidRPr="003B6854">
        <w:rPr>
          <w:rFonts w:ascii="Times New Roman" w:hAnsi="Times New Roman" w:cs="Times New Roman"/>
          <w:color w:val="4B4D4D"/>
          <w:sz w:val="24"/>
          <w:szCs w:val="24"/>
        </w:rPr>
        <w:t>1). The BSEA is authorized by MGL c. 71B §2A and 603 CMR 28.08(3</w:t>
      </w:r>
      <w:proofErr w:type="gramStart"/>
      <w:r w:rsidRPr="003B6854">
        <w:rPr>
          <w:rFonts w:ascii="Times New Roman" w:hAnsi="Times New Roman" w:cs="Times New Roman"/>
          <w:color w:val="4B4D4D"/>
          <w:sz w:val="24"/>
          <w:szCs w:val="24"/>
        </w:rPr>
        <w:t>)(</w:t>
      </w:r>
      <w:proofErr w:type="gramEnd"/>
      <w:r w:rsidRPr="003B6854">
        <w:rPr>
          <w:rFonts w:ascii="Times New Roman" w:hAnsi="Times New Roman" w:cs="Times New Roman"/>
          <w:color w:val="4B4D4D"/>
          <w:sz w:val="24"/>
          <w:szCs w:val="24"/>
        </w:rPr>
        <w:t xml:space="preserve">a) to adjudicate any issue involving the denial of a free, appropriate public education guaranteed by §504 of the Rehabilitation Act. To prevail on a claim under §504 in the public education context (in which we can assume the receipt of Federal funding), a parent must show that the student has a qualifying “handicap,” that he or she was denied access to, or the benefit of, a program or activity of the public entity for which he or she is “otherwise qualified,” on an equal basis to a person without a disability, and that such denial was based on his or her disability. </w:t>
      </w:r>
      <w:r w:rsidRPr="003B6854">
        <w:rPr>
          <w:rStyle w:val="Emphasis"/>
          <w:rFonts w:ascii="Times New Roman" w:hAnsi="Times New Roman" w:cs="Times New Roman"/>
          <w:color w:val="4B4D4D"/>
          <w:sz w:val="24"/>
          <w:szCs w:val="24"/>
        </w:rPr>
        <w:t>Id</w:t>
      </w:r>
      <w:r w:rsidRPr="003B6854">
        <w:rPr>
          <w:rFonts w:ascii="Times New Roman" w:hAnsi="Times New Roman" w:cs="Times New Roman"/>
          <w:color w:val="4B4D4D"/>
          <w:sz w:val="24"/>
          <w:szCs w:val="24"/>
        </w:rPr>
        <w:t xml:space="preserve">. See also </w:t>
      </w:r>
      <w:r w:rsidRPr="003B6854">
        <w:rPr>
          <w:rStyle w:val="Emphasis"/>
          <w:rFonts w:ascii="Times New Roman" w:hAnsi="Times New Roman" w:cs="Times New Roman"/>
          <w:color w:val="4B4D4D"/>
          <w:sz w:val="24"/>
          <w:szCs w:val="24"/>
        </w:rPr>
        <w:t>In Re: Lincoln-Sudbury R.S.D. &amp;</w:t>
      </w:r>
      <w:r w:rsidRPr="003B6854">
        <w:rPr>
          <w:rFonts w:ascii="Times New Roman" w:hAnsi="Times New Roman" w:cs="Times New Roman"/>
          <w:color w:val="4B4D4D"/>
          <w:sz w:val="24"/>
          <w:szCs w:val="24"/>
        </w:rPr>
        <w:t xml:space="preserve"> </w:t>
      </w:r>
      <w:r w:rsidRPr="003B6854">
        <w:rPr>
          <w:rStyle w:val="Emphasis"/>
          <w:rFonts w:ascii="Times New Roman" w:hAnsi="Times New Roman" w:cs="Times New Roman"/>
          <w:color w:val="4B4D4D"/>
          <w:sz w:val="24"/>
          <w:szCs w:val="24"/>
        </w:rPr>
        <w:t>Wallis</w:t>
      </w:r>
      <w:r w:rsidRPr="003B6854">
        <w:rPr>
          <w:rFonts w:ascii="Times New Roman" w:hAnsi="Times New Roman" w:cs="Times New Roman"/>
          <w:color w:val="4B4D4D"/>
          <w:sz w:val="24"/>
          <w:szCs w:val="24"/>
        </w:rPr>
        <w:t>, 22 MSER 47, 56 (Byrne, 2016)</w:t>
      </w:r>
      <w:r w:rsidR="003B6854">
        <w:rPr>
          <w:rFonts w:ascii="Times New Roman" w:hAnsi="Times New Roman" w:cs="Times New Roman"/>
          <w:color w:val="4B4D4D"/>
          <w:sz w:val="24"/>
          <w:szCs w:val="24"/>
        </w:rPr>
        <w:t xml:space="preserve">  Parents are not able to show that Student was otherwise qualified as she had completed all grades served by Minuteman </w:t>
      </w:r>
      <w:r w:rsidR="003B6854">
        <w:rPr>
          <w:rFonts w:ascii="Times New Roman" w:hAnsi="Times New Roman" w:cs="Times New Roman"/>
          <w:color w:val="4B4D4D"/>
          <w:sz w:val="24"/>
          <w:szCs w:val="24"/>
        </w:rPr>
        <w:lastRenderedPageBreak/>
        <w:t>and was not an enrolled Student, and thus not entitled to receive any services from Minuteman. Additionally, the facts asserted by Parents demonstrate that Student was not denied access to Minuteman due to her disability, but due to having received a certificate of completion (completing grades nin</w:t>
      </w:r>
      <w:r w:rsidR="002E1D79">
        <w:rPr>
          <w:rFonts w:ascii="Times New Roman" w:hAnsi="Times New Roman" w:cs="Times New Roman"/>
          <w:color w:val="4B4D4D"/>
          <w:sz w:val="24"/>
          <w:szCs w:val="24"/>
        </w:rPr>
        <w:t>e through twelve</w:t>
      </w:r>
      <w:r w:rsidR="007E1AD6">
        <w:rPr>
          <w:rFonts w:ascii="Times New Roman" w:hAnsi="Times New Roman" w:cs="Times New Roman"/>
          <w:color w:val="4B4D4D"/>
          <w:sz w:val="24"/>
          <w:szCs w:val="24"/>
        </w:rPr>
        <w:t>)</w:t>
      </w:r>
      <w:r w:rsidR="002E1D79">
        <w:rPr>
          <w:rFonts w:ascii="Times New Roman" w:hAnsi="Times New Roman" w:cs="Times New Roman"/>
          <w:color w:val="4B4D4D"/>
          <w:sz w:val="24"/>
          <w:szCs w:val="24"/>
        </w:rPr>
        <w:t>.</w:t>
      </w:r>
      <w:r w:rsidR="007E1AD6">
        <w:rPr>
          <w:rFonts w:ascii="Times New Roman" w:hAnsi="Times New Roman" w:cs="Times New Roman"/>
          <w:color w:val="4B4D4D"/>
          <w:sz w:val="24"/>
          <w:szCs w:val="24"/>
        </w:rPr>
        <w:t xml:space="preserve">  </w:t>
      </w:r>
      <w:r w:rsidR="007A51C1">
        <w:rPr>
          <w:rFonts w:ascii="Times New Roman" w:hAnsi="Times New Roman" w:cs="Times New Roman"/>
          <w:color w:val="4B4D4D"/>
          <w:sz w:val="24"/>
          <w:szCs w:val="24"/>
        </w:rPr>
        <w:t>To the extent that Parents sought to claim that Student has been denied a FAPE pursuant to § 504, I have already d</w:t>
      </w:r>
      <w:r w:rsidR="001E5536">
        <w:rPr>
          <w:rFonts w:ascii="Times New Roman" w:hAnsi="Times New Roman" w:cs="Times New Roman"/>
          <w:color w:val="4B4D4D"/>
          <w:sz w:val="24"/>
          <w:szCs w:val="24"/>
        </w:rPr>
        <w:t>etermined that Minuteman has no</w:t>
      </w:r>
      <w:r w:rsidR="007A51C1">
        <w:rPr>
          <w:rFonts w:ascii="Times New Roman" w:hAnsi="Times New Roman" w:cs="Times New Roman"/>
          <w:color w:val="4B4D4D"/>
          <w:sz w:val="24"/>
          <w:szCs w:val="24"/>
        </w:rPr>
        <w:t xml:space="preserve"> obligation to provide Student with a FAPE under the ID</w:t>
      </w:r>
      <w:r w:rsidR="00DF028C">
        <w:rPr>
          <w:rFonts w:ascii="Times New Roman" w:hAnsi="Times New Roman" w:cs="Times New Roman"/>
          <w:color w:val="4B4D4D"/>
          <w:sz w:val="24"/>
          <w:szCs w:val="24"/>
        </w:rPr>
        <w:t xml:space="preserve">EA, and for the same reason, </w:t>
      </w:r>
      <w:r w:rsidR="007A51C1">
        <w:rPr>
          <w:rFonts w:ascii="Times New Roman" w:hAnsi="Times New Roman" w:cs="Times New Roman"/>
          <w:color w:val="4B4D4D"/>
          <w:sz w:val="24"/>
          <w:szCs w:val="24"/>
        </w:rPr>
        <w:t xml:space="preserve">does not have any obligation to provide Student with a FAPE pursuant to § 504.  </w:t>
      </w:r>
    </w:p>
    <w:p w14:paraId="2ACF689B" w14:textId="77777777" w:rsidR="007A51C1" w:rsidRDefault="007A51C1" w:rsidP="00553E78">
      <w:pPr>
        <w:spacing w:after="0" w:line="240" w:lineRule="auto"/>
        <w:rPr>
          <w:rFonts w:ascii="Times New Roman" w:hAnsi="Times New Roman" w:cs="Times New Roman"/>
          <w:color w:val="4B4D4D"/>
          <w:sz w:val="24"/>
          <w:szCs w:val="24"/>
        </w:rPr>
      </w:pPr>
    </w:p>
    <w:p w14:paraId="06F9E5FE" w14:textId="20287B70" w:rsidR="004C5340" w:rsidRDefault="00585557" w:rsidP="00553E78">
      <w:pPr>
        <w:spacing w:after="0" w:line="240" w:lineRule="auto"/>
        <w:rPr>
          <w:rFonts w:ascii="Times New Roman" w:hAnsi="Times New Roman" w:cs="Times New Roman"/>
          <w:color w:val="4B4D4D"/>
          <w:sz w:val="24"/>
          <w:szCs w:val="24"/>
        </w:rPr>
      </w:pPr>
      <w:r>
        <w:rPr>
          <w:rFonts w:ascii="Times New Roman" w:hAnsi="Times New Roman" w:cs="Times New Roman"/>
          <w:color w:val="4B4D4D"/>
          <w:sz w:val="24"/>
          <w:szCs w:val="24"/>
        </w:rPr>
        <w:t>Parents</w:t>
      </w:r>
      <w:r w:rsidR="004C5340">
        <w:rPr>
          <w:rFonts w:ascii="Times New Roman" w:hAnsi="Times New Roman" w:cs="Times New Roman"/>
          <w:color w:val="4B4D4D"/>
          <w:sz w:val="24"/>
          <w:szCs w:val="24"/>
        </w:rPr>
        <w:t xml:space="preserve"> argue that Minute</w:t>
      </w:r>
      <w:r>
        <w:rPr>
          <w:rFonts w:ascii="Times New Roman" w:hAnsi="Times New Roman" w:cs="Times New Roman"/>
          <w:color w:val="4B4D4D"/>
          <w:sz w:val="24"/>
          <w:szCs w:val="24"/>
        </w:rPr>
        <w:t>man</w:t>
      </w:r>
      <w:r w:rsidR="004C5340">
        <w:rPr>
          <w:rFonts w:ascii="Times New Roman" w:hAnsi="Times New Roman" w:cs="Times New Roman"/>
          <w:color w:val="4B4D4D"/>
          <w:sz w:val="24"/>
          <w:szCs w:val="24"/>
        </w:rPr>
        <w:t xml:space="preserve"> has a responsibility to provide transition services to Student until she has reached the age of twenty two regardless of its admissions policy for younger students.  </w:t>
      </w:r>
      <w:r w:rsidR="006A12AA">
        <w:rPr>
          <w:rFonts w:ascii="Times New Roman" w:hAnsi="Times New Roman" w:cs="Times New Roman"/>
          <w:color w:val="4B4D4D"/>
          <w:sz w:val="24"/>
          <w:szCs w:val="24"/>
        </w:rPr>
        <w:t>Parents cite to various provisions of the state special education regulations, including 603 C.M.R. 28.06(4)</w:t>
      </w:r>
      <w:r w:rsidR="00B31283">
        <w:rPr>
          <w:rFonts w:ascii="Times New Roman" w:hAnsi="Times New Roman" w:cs="Times New Roman"/>
          <w:color w:val="4B4D4D"/>
          <w:sz w:val="24"/>
          <w:szCs w:val="24"/>
        </w:rPr>
        <w:t>, which describes districts</w:t>
      </w:r>
      <w:r>
        <w:rPr>
          <w:rFonts w:ascii="Times New Roman" w:hAnsi="Times New Roman" w:cs="Times New Roman"/>
          <w:color w:val="4B4D4D"/>
          <w:sz w:val="24"/>
          <w:szCs w:val="24"/>
        </w:rPr>
        <w:t>’</w:t>
      </w:r>
      <w:r w:rsidR="00B31283">
        <w:rPr>
          <w:rFonts w:ascii="Times New Roman" w:hAnsi="Times New Roman" w:cs="Times New Roman"/>
          <w:color w:val="4B4D4D"/>
          <w:sz w:val="24"/>
          <w:szCs w:val="24"/>
        </w:rPr>
        <w:t xml:space="preserve"> obligations to older children.  Their argument ignores 603 C.M.R. 28.10(1).   Minuteman is a program school in which Student is not enrolled.  Thus, despite the fact that Student resides within a member town, Minuteman is not obligated to provide special education services to Student.  </w:t>
      </w:r>
      <w:proofErr w:type="spellStart"/>
      <w:r w:rsidR="00B31283">
        <w:rPr>
          <w:rFonts w:ascii="Times New Roman" w:hAnsi="Times New Roman" w:cs="Times New Roman"/>
          <w:color w:val="4B4D4D"/>
          <w:sz w:val="24"/>
          <w:szCs w:val="24"/>
        </w:rPr>
        <w:t>Nashoba</w:t>
      </w:r>
      <w:proofErr w:type="spellEnd"/>
      <w:r w:rsidR="00B31283">
        <w:rPr>
          <w:rFonts w:ascii="Times New Roman" w:hAnsi="Times New Roman" w:cs="Times New Roman"/>
          <w:color w:val="4B4D4D"/>
          <w:sz w:val="24"/>
          <w:szCs w:val="24"/>
        </w:rPr>
        <w:t>, Student’s LEA, a</w:t>
      </w:r>
      <w:r>
        <w:rPr>
          <w:rFonts w:ascii="Times New Roman" w:hAnsi="Times New Roman" w:cs="Times New Roman"/>
          <w:color w:val="4B4D4D"/>
          <w:sz w:val="24"/>
          <w:szCs w:val="24"/>
        </w:rPr>
        <w:t>nd the district in which she</w:t>
      </w:r>
      <w:r w:rsidR="00B31283">
        <w:rPr>
          <w:rFonts w:ascii="Times New Roman" w:hAnsi="Times New Roman" w:cs="Times New Roman"/>
          <w:color w:val="4B4D4D"/>
          <w:sz w:val="24"/>
          <w:szCs w:val="24"/>
        </w:rPr>
        <w:t xml:space="preserve"> is enrolled is obligated to provide </w:t>
      </w:r>
      <w:r>
        <w:rPr>
          <w:rFonts w:ascii="Times New Roman" w:hAnsi="Times New Roman" w:cs="Times New Roman"/>
          <w:color w:val="4B4D4D"/>
          <w:sz w:val="24"/>
          <w:szCs w:val="24"/>
        </w:rPr>
        <w:t xml:space="preserve">her </w:t>
      </w:r>
      <w:r w:rsidR="00B31283">
        <w:rPr>
          <w:rFonts w:ascii="Times New Roman" w:hAnsi="Times New Roman" w:cs="Times New Roman"/>
          <w:color w:val="4B4D4D"/>
          <w:sz w:val="24"/>
          <w:szCs w:val="24"/>
        </w:rPr>
        <w:t>services that comply with state and federal special education law and regulations.</w:t>
      </w:r>
    </w:p>
    <w:p w14:paraId="715C68C6" w14:textId="77777777" w:rsidR="002C5F9E" w:rsidRDefault="002C5F9E" w:rsidP="00553E78">
      <w:pPr>
        <w:spacing w:after="0" w:line="240" w:lineRule="auto"/>
        <w:rPr>
          <w:rFonts w:ascii="Times New Roman" w:hAnsi="Times New Roman" w:cs="Times New Roman"/>
          <w:color w:val="4B4D4D"/>
          <w:sz w:val="24"/>
          <w:szCs w:val="24"/>
        </w:rPr>
      </w:pPr>
    </w:p>
    <w:p w14:paraId="012C5F3B" w14:textId="0868C336" w:rsidR="002C5F9E" w:rsidRPr="0094374C" w:rsidRDefault="00BE302C" w:rsidP="00553E78">
      <w:pPr>
        <w:spacing w:after="0" w:line="240" w:lineRule="auto"/>
        <w:rPr>
          <w:rFonts w:ascii="Times New Roman" w:eastAsia="Times New Roman" w:hAnsi="Times New Roman" w:cs="Times New Roman"/>
          <w:sz w:val="24"/>
          <w:szCs w:val="24"/>
        </w:rPr>
      </w:pPr>
      <w:r>
        <w:rPr>
          <w:rFonts w:ascii="Times New Roman" w:hAnsi="Times New Roman" w:cs="Times New Roman"/>
          <w:color w:val="4B4D4D"/>
          <w:sz w:val="24"/>
          <w:szCs w:val="24"/>
        </w:rPr>
        <w:t xml:space="preserve">Because Parents have not been able to </w:t>
      </w:r>
      <w:r w:rsidRPr="005D0951">
        <w:rPr>
          <w:rFonts w:ascii="Times New Roman" w:hAnsi="Times New Roman" w:cs="Times New Roman"/>
          <w:color w:val="4B4D4D"/>
          <w:sz w:val="24"/>
          <w:szCs w:val="24"/>
        </w:rPr>
        <w:t xml:space="preserve">state </w:t>
      </w:r>
      <w:r w:rsidRPr="005D0951">
        <w:rPr>
          <w:rStyle w:val="s3"/>
          <w:rFonts w:ascii="Times New Roman" w:hAnsi="Times New Roman" w:cs="Times New Roman"/>
          <w:color w:val="4B4D4D"/>
          <w:sz w:val="24"/>
          <w:szCs w:val="24"/>
        </w:rPr>
        <w:t>a claim on which relief can be granted</w:t>
      </w:r>
      <w:r>
        <w:rPr>
          <w:rStyle w:val="s3"/>
          <w:rFonts w:ascii="Times New Roman" w:hAnsi="Times New Roman" w:cs="Times New Roman"/>
          <w:color w:val="4B4D4D"/>
          <w:sz w:val="24"/>
          <w:szCs w:val="24"/>
        </w:rPr>
        <w:t xml:space="preserve"> by the BSEA under state or federal special education law or regulation or under § 504, this matter is Dismissed </w:t>
      </w:r>
      <w:r w:rsidRPr="00F62CB1">
        <w:rPr>
          <w:rStyle w:val="s3"/>
          <w:rFonts w:ascii="Times New Roman" w:hAnsi="Times New Roman" w:cs="Times New Roman"/>
          <w:i/>
          <w:color w:val="4B4D4D"/>
          <w:sz w:val="24"/>
          <w:szCs w:val="24"/>
        </w:rPr>
        <w:t>with Prejudice</w:t>
      </w:r>
      <w:r>
        <w:rPr>
          <w:rStyle w:val="s3"/>
          <w:rFonts w:ascii="Times New Roman" w:hAnsi="Times New Roman" w:cs="Times New Roman"/>
          <w:color w:val="4B4D4D"/>
          <w:sz w:val="24"/>
          <w:szCs w:val="24"/>
        </w:rPr>
        <w:t>.</w:t>
      </w:r>
    </w:p>
    <w:p w14:paraId="0CC78B59" w14:textId="77777777" w:rsidR="00B82A4D" w:rsidRPr="005706F8" w:rsidRDefault="00B82A4D" w:rsidP="00B82A4D">
      <w:pPr>
        <w:spacing w:after="0" w:line="240" w:lineRule="auto"/>
        <w:rPr>
          <w:rFonts w:ascii="Times New Roman" w:eastAsia="Times New Roman" w:hAnsi="Times New Roman" w:cs="Times New Roman"/>
          <w:b/>
          <w:sz w:val="24"/>
          <w:szCs w:val="24"/>
          <w:u w:val="single"/>
        </w:rPr>
      </w:pPr>
    </w:p>
    <w:p w14:paraId="3831CE31" w14:textId="77777777" w:rsidR="00E80350" w:rsidRPr="005706F8" w:rsidRDefault="00E80350" w:rsidP="00B82A4D">
      <w:pPr>
        <w:spacing w:after="0" w:line="240" w:lineRule="auto"/>
        <w:jc w:val="center"/>
        <w:rPr>
          <w:rFonts w:ascii="Times New Roman" w:eastAsia="Times New Roman" w:hAnsi="Times New Roman" w:cs="Times New Roman"/>
          <w:b/>
          <w:sz w:val="24"/>
          <w:szCs w:val="24"/>
          <w:u w:val="single"/>
        </w:rPr>
      </w:pPr>
      <w:r w:rsidRPr="005706F8">
        <w:rPr>
          <w:rFonts w:ascii="Times New Roman" w:eastAsia="Times New Roman" w:hAnsi="Times New Roman" w:cs="Times New Roman"/>
          <w:b/>
          <w:sz w:val="24"/>
          <w:szCs w:val="24"/>
          <w:u w:val="single"/>
        </w:rPr>
        <w:t>ORDER</w:t>
      </w:r>
    </w:p>
    <w:p w14:paraId="69C0070A" w14:textId="77777777" w:rsidR="00101D6C" w:rsidRPr="005706F8" w:rsidRDefault="00101D6C" w:rsidP="00D33C5B">
      <w:pPr>
        <w:spacing w:after="0" w:line="240" w:lineRule="auto"/>
        <w:rPr>
          <w:rFonts w:ascii="Times New Roman" w:eastAsia="Times New Roman" w:hAnsi="Times New Roman" w:cs="Times New Roman"/>
          <w:sz w:val="24"/>
          <w:szCs w:val="24"/>
        </w:rPr>
      </w:pPr>
    </w:p>
    <w:p w14:paraId="15120026" w14:textId="42A8D697" w:rsidR="0003109E" w:rsidRDefault="008E4969" w:rsidP="00165301">
      <w:pPr>
        <w:rPr>
          <w:rFonts w:ascii="Times New Roman" w:hAnsi="Times New Roman" w:cs="Times New Roman"/>
          <w:sz w:val="24"/>
          <w:szCs w:val="24"/>
        </w:rPr>
      </w:pPr>
      <w:r>
        <w:rPr>
          <w:rFonts w:ascii="Times New Roman" w:hAnsi="Times New Roman" w:cs="Times New Roman"/>
          <w:i/>
          <w:sz w:val="24"/>
          <w:szCs w:val="24"/>
        </w:rPr>
        <w:t>Minuteman</w:t>
      </w:r>
      <w:r w:rsidR="006A12AA">
        <w:rPr>
          <w:rFonts w:ascii="Times New Roman" w:hAnsi="Times New Roman" w:cs="Times New Roman"/>
          <w:i/>
          <w:sz w:val="24"/>
          <w:szCs w:val="24"/>
        </w:rPr>
        <w:t xml:space="preserve">’s </w:t>
      </w:r>
      <w:r w:rsidR="0003109E">
        <w:rPr>
          <w:rFonts w:ascii="Times New Roman" w:hAnsi="Times New Roman" w:cs="Times New Roman"/>
          <w:i/>
          <w:sz w:val="24"/>
          <w:szCs w:val="24"/>
        </w:rPr>
        <w:t>M</w:t>
      </w:r>
      <w:r w:rsidR="00A12F1F" w:rsidRPr="005706F8">
        <w:rPr>
          <w:rFonts w:ascii="Times New Roman" w:hAnsi="Times New Roman" w:cs="Times New Roman"/>
          <w:i/>
          <w:sz w:val="24"/>
          <w:szCs w:val="24"/>
        </w:rPr>
        <w:t>otion to Dismiss</w:t>
      </w:r>
      <w:r w:rsidR="00A12F1F" w:rsidRPr="005706F8">
        <w:rPr>
          <w:rFonts w:ascii="Times New Roman" w:hAnsi="Times New Roman" w:cs="Times New Roman"/>
          <w:sz w:val="24"/>
          <w:szCs w:val="24"/>
        </w:rPr>
        <w:t xml:space="preserve"> </w:t>
      </w:r>
      <w:r w:rsidR="0003109E">
        <w:rPr>
          <w:rFonts w:ascii="Times New Roman" w:hAnsi="Times New Roman" w:cs="Times New Roman"/>
          <w:sz w:val="24"/>
          <w:szCs w:val="24"/>
        </w:rPr>
        <w:t>is</w:t>
      </w:r>
      <w:r w:rsidR="004A0918" w:rsidRPr="005706F8">
        <w:rPr>
          <w:rFonts w:ascii="Times New Roman" w:hAnsi="Times New Roman" w:cs="Times New Roman"/>
          <w:sz w:val="24"/>
          <w:szCs w:val="24"/>
        </w:rPr>
        <w:t xml:space="preserve"> </w:t>
      </w:r>
      <w:r w:rsidR="00861559" w:rsidRPr="005706F8">
        <w:rPr>
          <w:rFonts w:ascii="Times New Roman" w:hAnsi="Times New Roman" w:cs="Times New Roman"/>
          <w:sz w:val="24"/>
          <w:szCs w:val="24"/>
        </w:rPr>
        <w:t>ALLOWED</w:t>
      </w:r>
      <w:r w:rsidR="0003109E">
        <w:rPr>
          <w:rFonts w:ascii="Times New Roman" w:hAnsi="Times New Roman" w:cs="Times New Roman"/>
          <w:sz w:val="24"/>
          <w:szCs w:val="24"/>
        </w:rPr>
        <w:t>.</w:t>
      </w:r>
    </w:p>
    <w:p w14:paraId="18675184" w14:textId="623D2583" w:rsidR="00861559" w:rsidRPr="005706F8" w:rsidRDefault="00861559" w:rsidP="0003109E">
      <w:pPr>
        <w:rPr>
          <w:rFonts w:ascii="Times New Roman" w:eastAsia="Times New Roman" w:hAnsi="Times New Roman" w:cs="Times New Roman"/>
          <w:sz w:val="24"/>
          <w:szCs w:val="24"/>
        </w:rPr>
      </w:pPr>
    </w:p>
    <w:p w14:paraId="4EAF002E" w14:textId="77777777" w:rsidR="00E601EE" w:rsidRPr="005706F8" w:rsidRDefault="00E601EE">
      <w:pPr>
        <w:rPr>
          <w:rFonts w:ascii="Times New Roman" w:eastAsia="Times New Roman" w:hAnsi="Times New Roman" w:cs="Times New Roman"/>
          <w:sz w:val="24"/>
          <w:szCs w:val="24"/>
        </w:rPr>
      </w:pPr>
    </w:p>
    <w:p w14:paraId="2AA6CCA3" w14:textId="77777777" w:rsidR="00E601EE" w:rsidRPr="005706F8" w:rsidRDefault="00E601EE">
      <w:pPr>
        <w:rPr>
          <w:rFonts w:ascii="Times New Roman" w:eastAsia="Times New Roman" w:hAnsi="Times New Roman" w:cs="Times New Roman"/>
          <w:sz w:val="24"/>
          <w:szCs w:val="24"/>
        </w:rPr>
      </w:pPr>
      <w:r w:rsidRPr="005706F8">
        <w:rPr>
          <w:rFonts w:ascii="Times New Roman" w:eastAsia="Times New Roman" w:hAnsi="Times New Roman" w:cs="Times New Roman"/>
          <w:sz w:val="24"/>
          <w:szCs w:val="24"/>
        </w:rPr>
        <w:t>By the Hearing Officer</w:t>
      </w:r>
    </w:p>
    <w:p w14:paraId="5C056094" w14:textId="77777777" w:rsidR="00E601EE" w:rsidRPr="005706F8" w:rsidRDefault="00E601EE">
      <w:pPr>
        <w:rPr>
          <w:rFonts w:ascii="Times New Roman" w:eastAsia="Times New Roman" w:hAnsi="Times New Roman" w:cs="Times New Roman"/>
          <w:sz w:val="24"/>
          <w:szCs w:val="24"/>
        </w:rPr>
      </w:pPr>
    </w:p>
    <w:p w14:paraId="55570606" w14:textId="77777777" w:rsidR="00E601EE" w:rsidRPr="005706F8" w:rsidRDefault="00E601EE" w:rsidP="00E601EE">
      <w:pPr>
        <w:spacing w:line="240" w:lineRule="auto"/>
        <w:rPr>
          <w:rFonts w:ascii="Times New Roman" w:eastAsia="Times New Roman" w:hAnsi="Times New Roman" w:cs="Times New Roman"/>
          <w:sz w:val="24"/>
          <w:szCs w:val="24"/>
        </w:rPr>
      </w:pPr>
      <w:r w:rsidRPr="005706F8">
        <w:rPr>
          <w:rFonts w:ascii="Times New Roman" w:eastAsia="Times New Roman" w:hAnsi="Times New Roman" w:cs="Times New Roman"/>
          <w:sz w:val="24"/>
          <w:szCs w:val="24"/>
        </w:rPr>
        <w:t>________________________</w:t>
      </w:r>
    </w:p>
    <w:p w14:paraId="21D53D91" w14:textId="19628AD2" w:rsidR="006E0BD7" w:rsidRPr="005706F8" w:rsidRDefault="009C269F" w:rsidP="00E601EE">
      <w:pPr>
        <w:spacing w:line="240" w:lineRule="auto"/>
        <w:rPr>
          <w:rFonts w:ascii="Times New Roman" w:hAnsi="Times New Roman" w:cs="Times New Roman"/>
          <w:sz w:val="24"/>
          <w:szCs w:val="24"/>
        </w:rPr>
      </w:pPr>
      <w:r>
        <w:rPr>
          <w:rFonts w:ascii="Times New Roman" w:hAnsi="Times New Roman" w:cs="Times New Roman"/>
          <w:sz w:val="24"/>
          <w:szCs w:val="24"/>
        </w:rPr>
        <w:t>Catherine M. Putney-Yaceshyn</w:t>
      </w:r>
      <w:r w:rsidR="00F113AD">
        <w:rPr>
          <w:rFonts w:ascii="Times New Roman" w:hAnsi="Times New Roman" w:cs="Times New Roman"/>
          <w:sz w:val="24"/>
          <w:szCs w:val="24"/>
        </w:rPr>
        <w:tab/>
      </w:r>
      <w:r w:rsidR="00F113AD">
        <w:rPr>
          <w:rFonts w:ascii="Times New Roman" w:hAnsi="Times New Roman" w:cs="Times New Roman"/>
          <w:sz w:val="24"/>
          <w:szCs w:val="24"/>
        </w:rPr>
        <w:tab/>
      </w:r>
      <w:r w:rsidR="00F113AD">
        <w:rPr>
          <w:rFonts w:ascii="Times New Roman" w:hAnsi="Times New Roman" w:cs="Times New Roman"/>
          <w:sz w:val="24"/>
          <w:szCs w:val="24"/>
        </w:rPr>
        <w:tab/>
      </w:r>
      <w:r w:rsidR="00F113AD">
        <w:rPr>
          <w:rFonts w:ascii="Times New Roman" w:hAnsi="Times New Roman" w:cs="Times New Roman"/>
          <w:sz w:val="24"/>
          <w:szCs w:val="24"/>
        </w:rPr>
        <w:tab/>
      </w:r>
      <w:r w:rsidR="00F113AD">
        <w:rPr>
          <w:rFonts w:ascii="Times New Roman" w:hAnsi="Times New Roman" w:cs="Times New Roman"/>
          <w:sz w:val="24"/>
          <w:szCs w:val="24"/>
        </w:rPr>
        <w:tab/>
        <w:t>D</w:t>
      </w:r>
      <w:r w:rsidR="006E0BD7" w:rsidRPr="005706F8">
        <w:rPr>
          <w:rFonts w:ascii="Times New Roman" w:hAnsi="Times New Roman" w:cs="Times New Roman"/>
          <w:sz w:val="24"/>
          <w:szCs w:val="24"/>
        </w:rPr>
        <w:t xml:space="preserve">ated:  </w:t>
      </w:r>
      <w:r w:rsidR="00A341D2">
        <w:rPr>
          <w:rFonts w:ascii="Times New Roman" w:hAnsi="Times New Roman" w:cs="Times New Roman"/>
          <w:sz w:val="24"/>
          <w:szCs w:val="24"/>
        </w:rPr>
        <w:t>August 4</w:t>
      </w:r>
      <w:r w:rsidR="0010749E">
        <w:rPr>
          <w:rFonts w:ascii="Times New Roman" w:hAnsi="Times New Roman" w:cs="Times New Roman"/>
          <w:sz w:val="24"/>
          <w:szCs w:val="24"/>
        </w:rPr>
        <w:t>, 2017</w:t>
      </w:r>
    </w:p>
    <w:sectPr w:rsidR="006E0BD7" w:rsidRPr="005706F8" w:rsidSect="005B0C21">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49D4A" w14:textId="77777777" w:rsidR="00407EA2" w:rsidRDefault="00407EA2" w:rsidP="00CA40BA">
      <w:pPr>
        <w:spacing w:after="0" w:line="240" w:lineRule="auto"/>
      </w:pPr>
      <w:r>
        <w:separator/>
      </w:r>
    </w:p>
  </w:endnote>
  <w:endnote w:type="continuationSeparator" w:id="0">
    <w:p w14:paraId="0DF0455F" w14:textId="77777777" w:rsidR="00407EA2" w:rsidRDefault="00407EA2" w:rsidP="00CA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693094"/>
      <w:docPartObj>
        <w:docPartGallery w:val="Page Numbers (Bottom of Page)"/>
        <w:docPartUnique/>
      </w:docPartObj>
    </w:sdtPr>
    <w:sdtEndPr>
      <w:rPr>
        <w:noProof/>
      </w:rPr>
    </w:sdtEndPr>
    <w:sdtContent>
      <w:p w14:paraId="08A53FFE" w14:textId="4ED6B08B" w:rsidR="005B0C21" w:rsidRDefault="005B0C21">
        <w:pPr>
          <w:pStyle w:val="Footer"/>
          <w:jc w:val="center"/>
        </w:pPr>
        <w:r>
          <w:fldChar w:fldCharType="begin"/>
        </w:r>
        <w:r>
          <w:instrText xml:space="preserve"> PAGE   \* MERGEFORMAT </w:instrText>
        </w:r>
        <w:r>
          <w:fldChar w:fldCharType="separate"/>
        </w:r>
        <w:r w:rsidR="005C19D0">
          <w:rPr>
            <w:noProof/>
          </w:rPr>
          <w:t>7</w:t>
        </w:r>
        <w:r>
          <w:rPr>
            <w:noProof/>
          </w:rPr>
          <w:fldChar w:fldCharType="end"/>
        </w:r>
      </w:p>
    </w:sdtContent>
  </w:sdt>
  <w:p w14:paraId="0D16311C" w14:textId="77777777" w:rsidR="005B0C21" w:rsidRDefault="005B0C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937DC" w14:textId="77777777" w:rsidR="00407EA2" w:rsidRDefault="00407EA2" w:rsidP="00CA40BA">
      <w:pPr>
        <w:spacing w:after="0" w:line="240" w:lineRule="auto"/>
      </w:pPr>
      <w:r>
        <w:separator/>
      </w:r>
    </w:p>
  </w:footnote>
  <w:footnote w:type="continuationSeparator" w:id="0">
    <w:p w14:paraId="7412776F" w14:textId="77777777" w:rsidR="00407EA2" w:rsidRDefault="00407EA2" w:rsidP="00CA40BA">
      <w:pPr>
        <w:spacing w:after="0" w:line="240" w:lineRule="auto"/>
      </w:pPr>
      <w:r>
        <w:continuationSeparator/>
      </w:r>
    </w:p>
  </w:footnote>
  <w:footnote w:id="1">
    <w:p w14:paraId="6AA36903" w14:textId="28B0750E" w:rsidR="0010697F" w:rsidRPr="003B6854" w:rsidRDefault="0010697F">
      <w:pPr>
        <w:pStyle w:val="FootnoteText"/>
        <w:rPr>
          <w:rFonts w:ascii="Times New Roman" w:hAnsi="Times New Roman" w:cs="Times New Roman"/>
        </w:rPr>
      </w:pPr>
      <w:r w:rsidRPr="003B6854">
        <w:rPr>
          <w:rStyle w:val="FootnoteReference"/>
          <w:rFonts w:ascii="Times New Roman" w:hAnsi="Times New Roman" w:cs="Times New Roman"/>
        </w:rPr>
        <w:footnoteRef/>
      </w:r>
      <w:r w:rsidRPr="003B6854">
        <w:rPr>
          <w:rFonts w:ascii="Times New Roman" w:hAnsi="Times New Roman" w:cs="Times New Roman"/>
        </w:rPr>
        <w:t xml:space="preserve"> These factual findings are made for purposes of this ruling only.</w:t>
      </w:r>
    </w:p>
  </w:footnote>
  <w:footnote w:id="2">
    <w:p w14:paraId="28C8A74F" w14:textId="0389525B" w:rsidR="00892C8B" w:rsidRPr="003B6854" w:rsidRDefault="00892C8B">
      <w:pPr>
        <w:pStyle w:val="FootnoteText"/>
        <w:rPr>
          <w:rFonts w:ascii="Times New Roman" w:hAnsi="Times New Roman" w:cs="Times New Roman"/>
        </w:rPr>
      </w:pPr>
      <w:r w:rsidRPr="003B6854">
        <w:rPr>
          <w:rStyle w:val="FootnoteReference"/>
          <w:rFonts w:ascii="Times New Roman" w:hAnsi="Times New Roman" w:cs="Times New Roman"/>
        </w:rPr>
        <w:footnoteRef/>
      </w:r>
      <w:r w:rsidRPr="003B6854">
        <w:rPr>
          <w:rFonts w:ascii="Times New Roman" w:hAnsi="Times New Roman" w:cs="Times New Roman"/>
        </w:rPr>
        <w:t xml:space="preserve"> The town is not included in this Ruling to protect Student’s privacy.</w:t>
      </w:r>
    </w:p>
  </w:footnote>
  <w:footnote w:id="3">
    <w:p w14:paraId="7506BD38" w14:textId="605420B3" w:rsidR="00357222" w:rsidRPr="003B6854" w:rsidRDefault="00357222">
      <w:pPr>
        <w:pStyle w:val="FootnoteText"/>
        <w:rPr>
          <w:rFonts w:ascii="Times New Roman" w:hAnsi="Times New Roman" w:cs="Times New Roman"/>
        </w:rPr>
      </w:pPr>
      <w:r w:rsidRPr="003B6854">
        <w:rPr>
          <w:rStyle w:val="FootnoteReference"/>
          <w:rFonts w:ascii="Times New Roman" w:hAnsi="Times New Roman" w:cs="Times New Roman"/>
        </w:rPr>
        <w:footnoteRef/>
      </w:r>
      <w:r w:rsidRPr="003B6854">
        <w:rPr>
          <w:rFonts w:ascii="Times New Roman" w:hAnsi="Times New Roman" w:cs="Times New Roman"/>
        </w:rPr>
        <w:t xml:space="preserve"> Some of these towns are no longer part of the Minuteman district.</w:t>
      </w:r>
    </w:p>
  </w:footnote>
  <w:footnote w:id="4">
    <w:p w14:paraId="7599B1C2" w14:textId="277D6EFE" w:rsidR="0029646A" w:rsidRDefault="0029646A">
      <w:pPr>
        <w:pStyle w:val="FootnoteText"/>
      </w:pPr>
      <w:r>
        <w:rPr>
          <w:rStyle w:val="FootnoteReference"/>
        </w:rPr>
        <w:footnoteRef/>
      </w:r>
      <w:r>
        <w:t xml:space="preserve"> </w:t>
      </w:r>
      <w:proofErr w:type="spellStart"/>
      <w:r w:rsidRPr="0029646A">
        <w:rPr>
          <w:rStyle w:val="Emphasis"/>
          <w:rFonts w:ascii="Times New Roman" w:hAnsi="Times New Roman" w:cs="Times New Roman"/>
          <w:color w:val="4B4D4D"/>
        </w:rPr>
        <w:t>Iannocchino</w:t>
      </w:r>
      <w:proofErr w:type="spellEnd"/>
      <w:r w:rsidRPr="0029646A">
        <w:rPr>
          <w:rStyle w:val="Emphasis"/>
          <w:rFonts w:ascii="Times New Roman" w:hAnsi="Times New Roman" w:cs="Times New Roman"/>
          <w:color w:val="4B4D4D"/>
        </w:rPr>
        <w:t xml:space="preserve"> v. Ford Motor Co.</w:t>
      </w:r>
      <w:r w:rsidRPr="0029646A">
        <w:rPr>
          <w:rFonts w:ascii="Times New Roman" w:hAnsi="Times New Roman" w:cs="Times New Roman"/>
          <w:color w:val="4B4D4D"/>
        </w:rPr>
        <w:t>, 451 Mass. 623, 636 (2008)</w:t>
      </w:r>
    </w:p>
  </w:footnote>
  <w:footnote w:id="5">
    <w:p w14:paraId="1C61709F" w14:textId="7D6272BE" w:rsidR="00EF0D90" w:rsidRDefault="00EF0D90">
      <w:pPr>
        <w:pStyle w:val="FootnoteText"/>
      </w:pPr>
      <w:r>
        <w:rPr>
          <w:rStyle w:val="FootnoteReference"/>
        </w:rPr>
        <w:footnoteRef/>
      </w:r>
      <w:r>
        <w:t xml:space="preserve"> </w:t>
      </w:r>
      <w:r w:rsidRPr="00EF0D90">
        <w:rPr>
          <w:rFonts w:ascii="Times New Roman" w:hAnsi="Times New Roman" w:cs="Times New Roman"/>
          <w:i/>
          <w:color w:val="4B4D4D"/>
        </w:rPr>
        <w:t>Blank v. Chelmsford Ob/</w:t>
      </w:r>
      <w:proofErr w:type="spellStart"/>
      <w:r w:rsidRPr="00EF0D90">
        <w:rPr>
          <w:rFonts w:ascii="Times New Roman" w:hAnsi="Times New Roman" w:cs="Times New Roman"/>
          <w:i/>
          <w:color w:val="4B4D4D"/>
        </w:rPr>
        <w:t>Gyn</w:t>
      </w:r>
      <w:proofErr w:type="spellEnd"/>
      <w:r w:rsidRPr="00EF0D90">
        <w:rPr>
          <w:rFonts w:ascii="Times New Roman" w:hAnsi="Times New Roman" w:cs="Times New Roman"/>
          <w:i/>
          <w:color w:val="4B4D4D"/>
        </w:rPr>
        <w:t>, P.C</w:t>
      </w:r>
      <w:proofErr w:type="gramStart"/>
      <w:r w:rsidRPr="00EF0D90">
        <w:rPr>
          <w:rFonts w:ascii="Times New Roman" w:hAnsi="Times New Roman" w:cs="Times New Roman"/>
          <w:i/>
          <w:color w:val="4B4D4D"/>
        </w:rPr>
        <w:t>.</w:t>
      </w:r>
      <w:r w:rsidRPr="00EF0D90">
        <w:rPr>
          <w:rFonts w:ascii="Times New Roman" w:hAnsi="Times New Roman" w:cs="Times New Roman"/>
          <w:color w:val="4B4D4D"/>
        </w:rPr>
        <w:t xml:space="preserve"> ,</w:t>
      </w:r>
      <w:proofErr w:type="gramEnd"/>
      <w:r w:rsidRPr="00EF0D90">
        <w:rPr>
          <w:rFonts w:ascii="Times New Roman" w:hAnsi="Times New Roman" w:cs="Times New Roman"/>
          <w:color w:val="4B4D4D"/>
        </w:rPr>
        <w:t xml:space="preserve"> 420 Mass. 404, 407 (1995).</w:t>
      </w:r>
    </w:p>
  </w:footnote>
  <w:footnote w:id="6">
    <w:p w14:paraId="026311AB" w14:textId="7DD58BAA" w:rsidR="00EF0D90" w:rsidRDefault="00EF0D90">
      <w:pPr>
        <w:pStyle w:val="FootnoteText"/>
      </w:pPr>
      <w:r>
        <w:rPr>
          <w:rStyle w:val="FootnoteReference"/>
        </w:rPr>
        <w:footnoteRef/>
      </w:r>
      <w:r>
        <w:t xml:space="preserve"> </w:t>
      </w:r>
      <w:proofErr w:type="gramStart"/>
      <w:r w:rsidRPr="00EF0D90">
        <w:rPr>
          <w:rFonts w:ascii="Times New Roman" w:hAnsi="Times New Roman" w:cs="Times New Roman"/>
          <w:i/>
          <w:color w:val="4B4D4D"/>
        </w:rPr>
        <w:t xml:space="preserve">Golchin v. Liberty </w:t>
      </w:r>
      <w:proofErr w:type="spellStart"/>
      <w:r w:rsidRPr="00EF0D90">
        <w:rPr>
          <w:rFonts w:ascii="Times New Roman" w:hAnsi="Times New Roman" w:cs="Times New Roman"/>
          <w:i/>
          <w:color w:val="4B4D4D"/>
        </w:rPr>
        <w:t>Mut</w:t>
      </w:r>
      <w:proofErr w:type="spellEnd"/>
      <w:r w:rsidRPr="00EF0D90">
        <w:rPr>
          <w:rFonts w:ascii="Times New Roman" w:hAnsi="Times New Roman" w:cs="Times New Roman"/>
          <w:i/>
          <w:color w:val="4B4D4D"/>
        </w:rPr>
        <w:t>.</w:t>
      </w:r>
      <w:proofErr w:type="gramEnd"/>
      <w:r w:rsidRPr="00EF0D90">
        <w:rPr>
          <w:rFonts w:ascii="Times New Roman" w:hAnsi="Times New Roman" w:cs="Times New Roman"/>
          <w:i/>
          <w:color w:val="4B4D4D"/>
        </w:rPr>
        <w:t xml:space="preserve"> Ins. Co</w:t>
      </w:r>
      <w:proofErr w:type="gramStart"/>
      <w:r w:rsidRPr="00EF0D90">
        <w:rPr>
          <w:rFonts w:ascii="Times New Roman" w:hAnsi="Times New Roman" w:cs="Times New Roman"/>
          <w:i/>
          <w:color w:val="4B4D4D"/>
        </w:rPr>
        <w:t>.</w:t>
      </w:r>
      <w:r w:rsidRPr="00EF0D90">
        <w:rPr>
          <w:rFonts w:ascii="Times New Roman" w:hAnsi="Times New Roman" w:cs="Times New Roman"/>
          <w:color w:val="4B4D4D"/>
        </w:rPr>
        <w:t xml:space="preserve"> ,</w:t>
      </w:r>
      <w:proofErr w:type="gramEnd"/>
      <w:r w:rsidRPr="00EF0D90">
        <w:rPr>
          <w:rFonts w:ascii="Times New Roman" w:hAnsi="Times New Roman" w:cs="Times New Roman"/>
          <w:color w:val="4B4D4D"/>
        </w:rPr>
        <w:t xml:space="preserve"> 460 Mass. 222, 223 (2011) (internal quotation marks and citations omitted).</w:t>
      </w:r>
    </w:p>
  </w:footnote>
  <w:footnote w:id="7">
    <w:p w14:paraId="5FB929DA" w14:textId="77777777" w:rsidR="00995A0A" w:rsidRPr="003B6854" w:rsidRDefault="00995A0A">
      <w:pPr>
        <w:pStyle w:val="FootnoteText"/>
        <w:rPr>
          <w:rFonts w:ascii="Times New Roman" w:hAnsi="Times New Roman" w:cs="Times New Roman"/>
        </w:rPr>
      </w:pPr>
      <w:r w:rsidRPr="003B6854">
        <w:rPr>
          <w:rStyle w:val="FootnoteReference"/>
          <w:rFonts w:ascii="Times New Roman" w:hAnsi="Times New Roman" w:cs="Times New Roman"/>
        </w:rPr>
        <w:footnoteRef/>
      </w:r>
      <w:r w:rsidRPr="003B6854">
        <w:rPr>
          <w:rFonts w:ascii="Times New Roman" w:hAnsi="Times New Roman" w:cs="Times New Roman"/>
        </w:rPr>
        <w:t xml:space="preserve"> Individuals with Disabilities Education Act (IDEA), </w:t>
      </w:r>
      <w:r w:rsidRPr="003B6854">
        <w:rPr>
          <w:rFonts w:ascii="Times New Roman" w:eastAsia="Times New Roman" w:hAnsi="Times New Roman" w:cs="Times New Roman"/>
        </w:rPr>
        <w:t xml:space="preserve">20 U.S.C. § 1400 </w:t>
      </w:r>
      <w:proofErr w:type="gramStart"/>
      <w:r w:rsidRPr="003B6854">
        <w:rPr>
          <w:rFonts w:ascii="Times New Roman" w:eastAsia="Times New Roman" w:hAnsi="Times New Roman" w:cs="Times New Roman"/>
          <w:i/>
        </w:rPr>
        <w:t>et</w:t>
      </w:r>
      <w:proofErr w:type="gramEnd"/>
      <w:r w:rsidRPr="003B6854">
        <w:rPr>
          <w:rFonts w:ascii="Times New Roman" w:eastAsia="Times New Roman" w:hAnsi="Times New Roman" w:cs="Times New Roman"/>
          <w:i/>
        </w:rPr>
        <w:t xml:space="preserve">. </w:t>
      </w:r>
      <w:proofErr w:type="spellStart"/>
      <w:r w:rsidRPr="003B6854">
        <w:rPr>
          <w:rFonts w:ascii="Times New Roman" w:eastAsia="Times New Roman" w:hAnsi="Times New Roman" w:cs="Times New Roman"/>
          <w:i/>
        </w:rPr>
        <w:t>seq</w:t>
      </w:r>
      <w:proofErr w:type="spellEnd"/>
    </w:p>
  </w:footnote>
  <w:footnote w:id="8">
    <w:p w14:paraId="5D876EC1" w14:textId="77777777" w:rsidR="00995A0A" w:rsidRPr="003B6854" w:rsidRDefault="00995A0A">
      <w:pPr>
        <w:pStyle w:val="FootnoteText"/>
        <w:rPr>
          <w:rFonts w:ascii="Times New Roman" w:hAnsi="Times New Roman" w:cs="Times New Roman"/>
        </w:rPr>
      </w:pPr>
      <w:r w:rsidRPr="003B6854">
        <w:rPr>
          <w:rStyle w:val="FootnoteReference"/>
          <w:rFonts w:ascii="Times New Roman" w:hAnsi="Times New Roman" w:cs="Times New Roman"/>
        </w:rPr>
        <w:footnoteRef/>
      </w:r>
      <w:r w:rsidRPr="003B6854">
        <w:rPr>
          <w:rFonts w:ascii="Times New Roman" w:hAnsi="Times New Roman" w:cs="Times New Roman"/>
        </w:rPr>
        <w:t xml:space="preserve"> </w:t>
      </w:r>
      <w:r w:rsidRPr="003B6854">
        <w:rPr>
          <w:rFonts w:ascii="Times New Roman" w:eastAsia="Times New Roman" w:hAnsi="Times New Roman" w:cs="Times New Roman"/>
        </w:rPr>
        <w:t>M.G.L. 71B</w:t>
      </w:r>
    </w:p>
  </w:footnote>
  <w:footnote w:id="9">
    <w:p w14:paraId="2FB0C4CC" w14:textId="15AFFC03" w:rsidR="00995A0A" w:rsidRPr="003B6854" w:rsidRDefault="00995A0A">
      <w:pPr>
        <w:pStyle w:val="FootnoteText"/>
        <w:rPr>
          <w:rFonts w:ascii="Times New Roman" w:hAnsi="Times New Roman" w:cs="Times New Roman"/>
        </w:rPr>
      </w:pPr>
      <w:r w:rsidRPr="003B6854">
        <w:rPr>
          <w:rStyle w:val="FootnoteReference"/>
          <w:rFonts w:ascii="Times New Roman" w:hAnsi="Times New Roman" w:cs="Times New Roman"/>
        </w:rPr>
        <w:footnoteRef/>
      </w:r>
      <w:r w:rsidRPr="003B6854">
        <w:rPr>
          <w:rFonts w:ascii="Times New Roman" w:hAnsi="Times New Roman" w:cs="Times New Roman"/>
        </w:rPr>
        <w:t xml:space="preserve"> </w:t>
      </w:r>
      <w:r w:rsidR="00B74C43" w:rsidRPr="003B6854">
        <w:rPr>
          <w:rFonts w:ascii="Times New Roman" w:eastAsia="Times New Roman" w:hAnsi="Times New Roman" w:cs="Times New Roman"/>
        </w:rPr>
        <w:t>29 U.S.C. §794</w:t>
      </w:r>
    </w:p>
  </w:footnote>
  <w:footnote w:id="10">
    <w:p w14:paraId="0747ABC3" w14:textId="00411ABA" w:rsidR="002A0336" w:rsidRPr="003B6854" w:rsidRDefault="002A0336">
      <w:pPr>
        <w:pStyle w:val="FootnoteText"/>
        <w:rPr>
          <w:rFonts w:ascii="Times New Roman" w:hAnsi="Times New Roman" w:cs="Times New Roman"/>
        </w:rPr>
      </w:pPr>
      <w:r w:rsidRPr="003B6854">
        <w:rPr>
          <w:rStyle w:val="FootnoteReference"/>
          <w:rFonts w:ascii="Times New Roman" w:hAnsi="Times New Roman" w:cs="Times New Roman"/>
        </w:rPr>
        <w:footnoteRef/>
      </w:r>
      <w:r w:rsidR="00375938">
        <w:rPr>
          <w:rFonts w:ascii="Times New Roman" w:hAnsi="Times New Roman" w:cs="Times New Roman"/>
        </w:rPr>
        <w:t xml:space="preserve"> Given that one of</w:t>
      </w:r>
      <w:r w:rsidRPr="003B6854">
        <w:rPr>
          <w:rFonts w:ascii="Times New Roman" w:hAnsi="Times New Roman" w:cs="Times New Roman"/>
        </w:rPr>
        <w:t xml:space="preserve"> the parents is also acting as the attorney in this matter</w:t>
      </w:r>
      <w:r w:rsidR="00375938">
        <w:rPr>
          <w:rFonts w:ascii="Times New Roman" w:hAnsi="Times New Roman" w:cs="Times New Roman"/>
        </w:rPr>
        <w:t xml:space="preserve">, the BSEA did not seek to join </w:t>
      </w:r>
      <w:proofErr w:type="spellStart"/>
      <w:r w:rsidR="00375938">
        <w:rPr>
          <w:rFonts w:ascii="Times New Roman" w:hAnsi="Times New Roman" w:cs="Times New Roman"/>
        </w:rPr>
        <w:t>Nashoba</w:t>
      </w:r>
      <w:proofErr w:type="spellEnd"/>
      <w:r w:rsidR="00375938">
        <w:rPr>
          <w:rFonts w:ascii="Times New Roman" w:hAnsi="Times New Roman" w:cs="Times New Roman"/>
        </w:rPr>
        <w:t xml:space="preserve"> </w:t>
      </w:r>
      <w:proofErr w:type="spellStart"/>
      <w:r w:rsidR="00375938">
        <w:rPr>
          <w:rFonts w:ascii="Times New Roman" w:hAnsi="Times New Roman" w:cs="Times New Roman"/>
        </w:rPr>
        <w:t>sua</w:t>
      </w:r>
      <w:proofErr w:type="spellEnd"/>
      <w:r w:rsidR="00375938">
        <w:rPr>
          <w:rFonts w:ascii="Times New Roman" w:hAnsi="Times New Roman" w:cs="Times New Roman"/>
        </w:rPr>
        <w:t xml:space="preserve"> </w:t>
      </w:r>
      <w:proofErr w:type="spellStart"/>
      <w:r w:rsidR="00375938">
        <w:rPr>
          <w:rFonts w:ascii="Times New Roman" w:hAnsi="Times New Roman" w:cs="Times New Roman"/>
        </w:rPr>
        <w:t>sponte</w:t>
      </w:r>
      <w:proofErr w:type="spellEnd"/>
      <w:r w:rsidRPr="003B6854">
        <w:rPr>
          <w:rFonts w:ascii="Times New Roman" w:hAnsi="Times New Roman" w:cs="Times New Roman"/>
        </w:rPr>
        <w:t>.</w:t>
      </w:r>
      <w:r w:rsidR="005B38A9">
        <w:rPr>
          <w:rFonts w:ascii="Times New Roman" w:hAnsi="Times New Roman" w:cs="Times New Roman"/>
        </w:rPr>
        <w:t xml:space="preserve">  </w:t>
      </w:r>
      <w:r w:rsidR="00C90C43">
        <w:rPr>
          <w:rFonts w:ascii="Times New Roman" w:hAnsi="Times New Roman" w:cs="Times New Roman"/>
        </w:rPr>
        <w:t xml:space="preserve">Minuteman filed a conditional request that </w:t>
      </w:r>
      <w:proofErr w:type="spellStart"/>
      <w:r w:rsidR="00C90C43">
        <w:rPr>
          <w:rFonts w:ascii="Times New Roman" w:hAnsi="Times New Roman" w:cs="Times New Roman"/>
        </w:rPr>
        <w:t>Nashoba</w:t>
      </w:r>
      <w:proofErr w:type="spellEnd"/>
      <w:r w:rsidR="00C90C43">
        <w:rPr>
          <w:rFonts w:ascii="Times New Roman" w:hAnsi="Times New Roman" w:cs="Times New Roman"/>
        </w:rPr>
        <w:t xml:space="preserve"> be joined in the event </w:t>
      </w:r>
      <w:r w:rsidR="005E3C5A">
        <w:rPr>
          <w:rFonts w:ascii="Times New Roman" w:hAnsi="Times New Roman" w:cs="Times New Roman"/>
        </w:rPr>
        <w:t>that the Motion to Dismiss was d</w:t>
      </w:r>
      <w:r w:rsidR="00C90C43">
        <w:rPr>
          <w:rFonts w:ascii="Times New Roman" w:hAnsi="Times New Roman" w:cs="Times New Roman"/>
        </w:rPr>
        <w:t>enied whi</w:t>
      </w:r>
      <w:r w:rsidR="00062B18">
        <w:rPr>
          <w:rFonts w:ascii="Times New Roman" w:hAnsi="Times New Roman" w:cs="Times New Roman"/>
        </w:rPr>
        <w:t xml:space="preserve">ch Parents assented to.  </w:t>
      </w:r>
      <w:r w:rsidR="00C90C43">
        <w:rPr>
          <w:rFonts w:ascii="Times New Roman" w:hAnsi="Times New Roman" w:cs="Times New Roman"/>
        </w:rPr>
        <w:t xml:space="preserve">It is not necessary to rule upon the Motion to Join </w:t>
      </w:r>
      <w:proofErr w:type="spellStart"/>
      <w:r w:rsidR="00C90C43">
        <w:rPr>
          <w:rFonts w:ascii="Times New Roman" w:hAnsi="Times New Roman" w:cs="Times New Roman"/>
        </w:rPr>
        <w:t>Nashoba</w:t>
      </w:r>
      <w:proofErr w:type="spellEnd"/>
      <w:r w:rsidR="00CA350E">
        <w:rPr>
          <w:rFonts w:ascii="Times New Roman" w:hAnsi="Times New Roman" w:cs="Times New Roman"/>
        </w:rPr>
        <w:t xml:space="preserve">, because </w:t>
      </w:r>
      <w:r w:rsidR="005E3C5A">
        <w:rPr>
          <w:rFonts w:ascii="Times New Roman" w:hAnsi="Times New Roman" w:cs="Times New Roman"/>
        </w:rPr>
        <w:t xml:space="preserve">the Motion to Dismiss is </w:t>
      </w:r>
      <w:proofErr w:type="gramStart"/>
      <w:r w:rsidR="005E3C5A">
        <w:rPr>
          <w:rFonts w:ascii="Times New Roman" w:hAnsi="Times New Roman" w:cs="Times New Roman"/>
        </w:rPr>
        <w:t>A</w:t>
      </w:r>
      <w:r w:rsidR="00CA350E">
        <w:rPr>
          <w:rFonts w:ascii="Times New Roman" w:hAnsi="Times New Roman" w:cs="Times New Roman"/>
        </w:rPr>
        <w:t>llowed</w:t>
      </w:r>
      <w:proofErr w:type="gramEnd"/>
      <w:r w:rsidR="00C90C43">
        <w:rPr>
          <w:rFonts w:ascii="Times New Roman" w:hAnsi="Times New Roman" w:cs="Times New Roman"/>
        </w:rPr>
        <w:t>.</w:t>
      </w:r>
      <w:r w:rsidR="00EB5E18">
        <w:rPr>
          <w:rFonts w:ascii="Times New Roman" w:hAnsi="Times New Roman" w:cs="Times New Roman"/>
        </w:rPr>
        <w:t xml:space="preserve">  </w:t>
      </w:r>
    </w:p>
  </w:footnote>
  <w:footnote w:id="11">
    <w:p w14:paraId="791A4958" w14:textId="6D799FE4" w:rsidR="003B6854" w:rsidRPr="003B6854" w:rsidRDefault="003B6854">
      <w:pPr>
        <w:pStyle w:val="FootnoteText"/>
        <w:rPr>
          <w:rFonts w:ascii="Times New Roman" w:hAnsi="Times New Roman" w:cs="Times New Roman"/>
        </w:rPr>
      </w:pPr>
      <w:r w:rsidRPr="003B6854">
        <w:rPr>
          <w:rStyle w:val="FootnoteReference"/>
          <w:rFonts w:ascii="Times New Roman" w:hAnsi="Times New Roman" w:cs="Times New Roman"/>
        </w:rPr>
        <w:footnoteRef/>
      </w:r>
      <w:r w:rsidRPr="003B6854">
        <w:rPr>
          <w:rFonts w:ascii="Times New Roman" w:hAnsi="Times New Roman" w:cs="Times New Roman"/>
        </w:rPr>
        <w:t xml:space="preserve"> </w:t>
      </w:r>
      <w:r>
        <w:rPr>
          <w:rFonts w:ascii="Times New Roman" w:hAnsi="Times New Roman" w:cs="Times New Roman"/>
        </w:rPr>
        <w:t>Parents’ hearing request does not specify a claim under § 504.  It simply references § 504 in its recitation of the BSEA’s jurisdiction.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3489B"/>
    <w:multiLevelType w:val="hybridMultilevel"/>
    <w:tmpl w:val="618EDAB0"/>
    <w:lvl w:ilvl="0" w:tplc="CF6616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50411"/>
    <w:multiLevelType w:val="hybridMultilevel"/>
    <w:tmpl w:val="11A0A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5A28EC"/>
    <w:multiLevelType w:val="hybridMultilevel"/>
    <w:tmpl w:val="8D686B02"/>
    <w:lvl w:ilvl="0" w:tplc="8E8E4ED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BED58AA"/>
    <w:multiLevelType w:val="hybridMultilevel"/>
    <w:tmpl w:val="950EE27C"/>
    <w:lvl w:ilvl="0" w:tplc="4E6E40E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2BFA5775"/>
    <w:multiLevelType w:val="hybridMultilevel"/>
    <w:tmpl w:val="FB208372"/>
    <w:lvl w:ilvl="0" w:tplc="42A65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58F526C"/>
    <w:multiLevelType w:val="hybridMultilevel"/>
    <w:tmpl w:val="B01A6C80"/>
    <w:lvl w:ilvl="0" w:tplc="F43EB524">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A7401CC"/>
    <w:multiLevelType w:val="hybridMultilevel"/>
    <w:tmpl w:val="D2FE0D62"/>
    <w:lvl w:ilvl="0" w:tplc="87D448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3B93100"/>
    <w:multiLevelType w:val="hybridMultilevel"/>
    <w:tmpl w:val="7B7CD372"/>
    <w:lvl w:ilvl="0" w:tplc="4E3E0F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765DD0"/>
    <w:multiLevelType w:val="multilevel"/>
    <w:tmpl w:val="A37C50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8"/>
  </w:num>
  <w:num w:numId="5">
    <w:abstractNumId w:val="5"/>
  </w:num>
  <w:num w:numId="6">
    <w:abstractNumId w:val="3"/>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C5B"/>
    <w:rsid w:val="00004B20"/>
    <w:rsid w:val="00005B36"/>
    <w:rsid w:val="000065B1"/>
    <w:rsid w:val="00010C74"/>
    <w:rsid w:val="00013F03"/>
    <w:rsid w:val="00014273"/>
    <w:rsid w:val="00022BAE"/>
    <w:rsid w:val="000245DB"/>
    <w:rsid w:val="00030556"/>
    <w:rsid w:val="0003109E"/>
    <w:rsid w:val="000331B1"/>
    <w:rsid w:val="00036215"/>
    <w:rsid w:val="000418BD"/>
    <w:rsid w:val="0004582C"/>
    <w:rsid w:val="000474E8"/>
    <w:rsid w:val="00054174"/>
    <w:rsid w:val="00054432"/>
    <w:rsid w:val="00057293"/>
    <w:rsid w:val="000616CC"/>
    <w:rsid w:val="0006215F"/>
    <w:rsid w:val="00062B18"/>
    <w:rsid w:val="00067225"/>
    <w:rsid w:val="000740B9"/>
    <w:rsid w:val="00077761"/>
    <w:rsid w:val="00081EF8"/>
    <w:rsid w:val="00082497"/>
    <w:rsid w:val="00085CB3"/>
    <w:rsid w:val="00086A19"/>
    <w:rsid w:val="000876EB"/>
    <w:rsid w:val="00091DA3"/>
    <w:rsid w:val="000A4368"/>
    <w:rsid w:val="000A7D05"/>
    <w:rsid w:val="000B491F"/>
    <w:rsid w:val="000B55E0"/>
    <w:rsid w:val="000C4636"/>
    <w:rsid w:val="000D1283"/>
    <w:rsid w:val="000D3E46"/>
    <w:rsid w:val="000F0783"/>
    <w:rsid w:val="000F275A"/>
    <w:rsid w:val="000F2817"/>
    <w:rsid w:val="00101D6C"/>
    <w:rsid w:val="0010697F"/>
    <w:rsid w:val="0010749E"/>
    <w:rsid w:val="00111477"/>
    <w:rsid w:val="001215D1"/>
    <w:rsid w:val="00122209"/>
    <w:rsid w:val="001515D0"/>
    <w:rsid w:val="00156BA0"/>
    <w:rsid w:val="00164C8C"/>
    <w:rsid w:val="00165301"/>
    <w:rsid w:val="00166ED5"/>
    <w:rsid w:val="00166F4D"/>
    <w:rsid w:val="0017359B"/>
    <w:rsid w:val="00173719"/>
    <w:rsid w:val="00180C91"/>
    <w:rsid w:val="00181735"/>
    <w:rsid w:val="00184BA1"/>
    <w:rsid w:val="00184FF2"/>
    <w:rsid w:val="00190629"/>
    <w:rsid w:val="0019182E"/>
    <w:rsid w:val="001918E0"/>
    <w:rsid w:val="00195153"/>
    <w:rsid w:val="00195A34"/>
    <w:rsid w:val="00195BD8"/>
    <w:rsid w:val="001972AF"/>
    <w:rsid w:val="001A347D"/>
    <w:rsid w:val="001A7E3D"/>
    <w:rsid w:val="001B0B91"/>
    <w:rsid w:val="001B3C02"/>
    <w:rsid w:val="001B4C09"/>
    <w:rsid w:val="001B606E"/>
    <w:rsid w:val="001C2A05"/>
    <w:rsid w:val="001C3CF7"/>
    <w:rsid w:val="001D1F06"/>
    <w:rsid w:val="001D5B57"/>
    <w:rsid w:val="001D607C"/>
    <w:rsid w:val="001D61F4"/>
    <w:rsid w:val="001E5536"/>
    <w:rsid w:val="0020092E"/>
    <w:rsid w:val="00206667"/>
    <w:rsid w:val="0021274B"/>
    <w:rsid w:val="00217894"/>
    <w:rsid w:val="00225116"/>
    <w:rsid w:val="00232149"/>
    <w:rsid w:val="0023252C"/>
    <w:rsid w:val="00236D52"/>
    <w:rsid w:val="00246751"/>
    <w:rsid w:val="00250957"/>
    <w:rsid w:val="002525B6"/>
    <w:rsid w:val="002607A4"/>
    <w:rsid w:val="00271A70"/>
    <w:rsid w:val="00285157"/>
    <w:rsid w:val="0028659A"/>
    <w:rsid w:val="0029646A"/>
    <w:rsid w:val="00297CB9"/>
    <w:rsid w:val="00297E25"/>
    <w:rsid w:val="002A0336"/>
    <w:rsid w:val="002B088E"/>
    <w:rsid w:val="002C5F9E"/>
    <w:rsid w:val="002C7C07"/>
    <w:rsid w:val="002D3EB0"/>
    <w:rsid w:val="002D4F98"/>
    <w:rsid w:val="002D5F35"/>
    <w:rsid w:val="002E1B8F"/>
    <w:rsid w:val="002E1D79"/>
    <w:rsid w:val="002E2405"/>
    <w:rsid w:val="002E2CB0"/>
    <w:rsid w:val="002F4E0F"/>
    <w:rsid w:val="00304921"/>
    <w:rsid w:val="0030549C"/>
    <w:rsid w:val="00306238"/>
    <w:rsid w:val="003078DE"/>
    <w:rsid w:val="00332714"/>
    <w:rsid w:val="0033371F"/>
    <w:rsid w:val="003361C4"/>
    <w:rsid w:val="00336310"/>
    <w:rsid w:val="00357222"/>
    <w:rsid w:val="00366BC9"/>
    <w:rsid w:val="0037035A"/>
    <w:rsid w:val="00375938"/>
    <w:rsid w:val="003768F6"/>
    <w:rsid w:val="0038511F"/>
    <w:rsid w:val="0039458A"/>
    <w:rsid w:val="003B6854"/>
    <w:rsid w:val="003C1A83"/>
    <w:rsid w:val="003C6F17"/>
    <w:rsid w:val="003D033E"/>
    <w:rsid w:val="003D1E48"/>
    <w:rsid w:val="003E179C"/>
    <w:rsid w:val="003F370E"/>
    <w:rsid w:val="003F65E4"/>
    <w:rsid w:val="00407EA2"/>
    <w:rsid w:val="00410139"/>
    <w:rsid w:val="00410E7C"/>
    <w:rsid w:val="00426249"/>
    <w:rsid w:val="0044013B"/>
    <w:rsid w:val="00447452"/>
    <w:rsid w:val="00447F76"/>
    <w:rsid w:val="0045084A"/>
    <w:rsid w:val="00451F4F"/>
    <w:rsid w:val="00454B93"/>
    <w:rsid w:val="0046104E"/>
    <w:rsid w:val="00470CC5"/>
    <w:rsid w:val="00471385"/>
    <w:rsid w:val="00493A33"/>
    <w:rsid w:val="00494B64"/>
    <w:rsid w:val="004A0918"/>
    <w:rsid w:val="004B49C4"/>
    <w:rsid w:val="004B6278"/>
    <w:rsid w:val="004C5340"/>
    <w:rsid w:val="004C5552"/>
    <w:rsid w:val="004C6ED2"/>
    <w:rsid w:val="004D0DC6"/>
    <w:rsid w:val="004D6898"/>
    <w:rsid w:val="004E4392"/>
    <w:rsid w:val="004F2731"/>
    <w:rsid w:val="00501228"/>
    <w:rsid w:val="00510CEC"/>
    <w:rsid w:val="00514E83"/>
    <w:rsid w:val="00516406"/>
    <w:rsid w:val="005222BB"/>
    <w:rsid w:val="005417EB"/>
    <w:rsid w:val="00553E78"/>
    <w:rsid w:val="00556364"/>
    <w:rsid w:val="00560BE5"/>
    <w:rsid w:val="00562798"/>
    <w:rsid w:val="005706F8"/>
    <w:rsid w:val="00572635"/>
    <w:rsid w:val="005726D4"/>
    <w:rsid w:val="00581F54"/>
    <w:rsid w:val="00585557"/>
    <w:rsid w:val="005A5DC8"/>
    <w:rsid w:val="005B0C21"/>
    <w:rsid w:val="005B22C1"/>
    <w:rsid w:val="005B23DF"/>
    <w:rsid w:val="005B38A9"/>
    <w:rsid w:val="005B608D"/>
    <w:rsid w:val="005C19D0"/>
    <w:rsid w:val="005C25EB"/>
    <w:rsid w:val="005C77E1"/>
    <w:rsid w:val="005D0951"/>
    <w:rsid w:val="005D1B61"/>
    <w:rsid w:val="005D6C4B"/>
    <w:rsid w:val="005E3C5A"/>
    <w:rsid w:val="005F72B4"/>
    <w:rsid w:val="006013C0"/>
    <w:rsid w:val="006123D1"/>
    <w:rsid w:val="0061248E"/>
    <w:rsid w:val="006126FA"/>
    <w:rsid w:val="0062172D"/>
    <w:rsid w:val="00627563"/>
    <w:rsid w:val="00651C04"/>
    <w:rsid w:val="00666093"/>
    <w:rsid w:val="00670A76"/>
    <w:rsid w:val="006740FA"/>
    <w:rsid w:val="0067526C"/>
    <w:rsid w:val="00676AC8"/>
    <w:rsid w:val="006805B2"/>
    <w:rsid w:val="0068087D"/>
    <w:rsid w:val="00680905"/>
    <w:rsid w:val="0069221F"/>
    <w:rsid w:val="006A12AA"/>
    <w:rsid w:val="006A1E9C"/>
    <w:rsid w:val="006A4DEB"/>
    <w:rsid w:val="006B3638"/>
    <w:rsid w:val="006B5BBF"/>
    <w:rsid w:val="006B6AEA"/>
    <w:rsid w:val="006D4FE2"/>
    <w:rsid w:val="006E0BD7"/>
    <w:rsid w:val="00705202"/>
    <w:rsid w:val="0071446A"/>
    <w:rsid w:val="007173BC"/>
    <w:rsid w:val="00724A80"/>
    <w:rsid w:val="00731064"/>
    <w:rsid w:val="007350B1"/>
    <w:rsid w:val="0074188D"/>
    <w:rsid w:val="00741C9B"/>
    <w:rsid w:val="00742BE5"/>
    <w:rsid w:val="00746FD9"/>
    <w:rsid w:val="00750696"/>
    <w:rsid w:val="00760B96"/>
    <w:rsid w:val="0079475A"/>
    <w:rsid w:val="007956F6"/>
    <w:rsid w:val="007A0B78"/>
    <w:rsid w:val="007A15E5"/>
    <w:rsid w:val="007A16CF"/>
    <w:rsid w:val="007A51C1"/>
    <w:rsid w:val="007B5294"/>
    <w:rsid w:val="007C1744"/>
    <w:rsid w:val="007D41F8"/>
    <w:rsid w:val="007D540D"/>
    <w:rsid w:val="007E1AD6"/>
    <w:rsid w:val="007E1B03"/>
    <w:rsid w:val="007F6497"/>
    <w:rsid w:val="007F6BFA"/>
    <w:rsid w:val="008032FA"/>
    <w:rsid w:val="00804DEE"/>
    <w:rsid w:val="00810993"/>
    <w:rsid w:val="00826A7B"/>
    <w:rsid w:val="008361EA"/>
    <w:rsid w:val="00836A88"/>
    <w:rsid w:val="0083773E"/>
    <w:rsid w:val="00840B76"/>
    <w:rsid w:val="00842AE6"/>
    <w:rsid w:val="00844AED"/>
    <w:rsid w:val="00845E85"/>
    <w:rsid w:val="008545A0"/>
    <w:rsid w:val="00855471"/>
    <w:rsid w:val="00861559"/>
    <w:rsid w:val="00862E04"/>
    <w:rsid w:val="00865972"/>
    <w:rsid w:val="00876258"/>
    <w:rsid w:val="00876501"/>
    <w:rsid w:val="008768B1"/>
    <w:rsid w:val="00881EBF"/>
    <w:rsid w:val="00882054"/>
    <w:rsid w:val="0088608A"/>
    <w:rsid w:val="008872FD"/>
    <w:rsid w:val="00892C8B"/>
    <w:rsid w:val="008959CA"/>
    <w:rsid w:val="0089626D"/>
    <w:rsid w:val="008A2828"/>
    <w:rsid w:val="008A2B86"/>
    <w:rsid w:val="008B0395"/>
    <w:rsid w:val="008B11D1"/>
    <w:rsid w:val="008D5A5D"/>
    <w:rsid w:val="008E108A"/>
    <w:rsid w:val="008E4969"/>
    <w:rsid w:val="008E66B3"/>
    <w:rsid w:val="008E6FF2"/>
    <w:rsid w:val="008E71A4"/>
    <w:rsid w:val="008E7CA1"/>
    <w:rsid w:val="008F1FB1"/>
    <w:rsid w:val="00903E50"/>
    <w:rsid w:val="00907E27"/>
    <w:rsid w:val="00913912"/>
    <w:rsid w:val="00914FD0"/>
    <w:rsid w:val="00916C44"/>
    <w:rsid w:val="00925C70"/>
    <w:rsid w:val="0093044F"/>
    <w:rsid w:val="00936990"/>
    <w:rsid w:val="0093771D"/>
    <w:rsid w:val="0094374C"/>
    <w:rsid w:val="00944A8D"/>
    <w:rsid w:val="00946E8E"/>
    <w:rsid w:val="009562A6"/>
    <w:rsid w:val="009634A8"/>
    <w:rsid w:val="0098215E"/>
    <w:rsid w:val="0098279E"/>
    <w:rsid w:val="00987C73"/>
    <w:rsid w:val="00991F32"/>
    <w:rsid w:val="00994A62"/>
    <w:rsid w:val="00995827"/>
    <w:rsid w:val="00995A0A"/>
    <w:rsid w:val="00997164"/>
    <w:rsid w:val="009A08F3"/>
    <w:rsid w:val="009B231B"/>
    <w:rsid w:val="009C269F"/>
    <w:rsid w:val="009C579F"/>
    <w:rsid w:val="009D3DAC"/>
    <w:rsid w:val="009D6C1C"/>
    <w:rsid w:val="009F3554"/>
    <w:rsid w:val="00A01D3B"/>
    <w:rsid w:val="00A05C4A"/>
    <w:rsid w:val="00A112C6"/>
    <w:rsid w:val="00A12F1F"/>
    <w:rsid w:val="00A20552"/>
    <w:rsid w:val="00A268CE"/>
    <w:rsid w:val="00A337FE"/>
    <w:rsid w:val="00A3401A"/>
    <w:rsid w:val="00A341D2"/>
    <w:rsid w:val="00A4208D"/>
    <w:rsid w:val="00A42A69"/>
    <w:rsid w:val="00A47516"/>
    <w:rsid w:val="00A479B9"/>
    <w:rsid w:val="00A47B23"/>
    <w:rsid w:val="00A62AF3"/>
    <w:rsid w:val="00A70F43"/>
    <w:rsid w:val="00A7166C"/>
    <w:rsid w:val="00A739DB"/>
    <w:rsid w:val="00A81374"/>
    <w:rsid w:val="00A87091"/>
    <w:rsid w:val="00A871CB"/>
    <w:rsid w:val="00A8751C"/>
    <w:rsid w:val="00A9116C"/>
    <w:rsid w:val="00A93D6A"/>
    <w:rsid w:val="00AA59BE"/>
    <w:rsid w:val="00AB4A19"/>
    <w:rsid w:val="00AB5860"/>
    <w:rsid w:val="00AC1472"/>
    <w:rsid w:val="00AC3E32"/>
    <w:rsid w:val="00AC3F55"/>
    <w:rsid w:val="00AC677A"/>
    <w:rsid w:val="00AF1717"/>
    <w:rsid w:val="00B04100"/>
    <w:rsid w:val="00B04796"/>
    <w:rsid w:val="00B135D5"/>
    <w:rsid w:val="00B21B1B"/>
    <w:rsid w:val="00B27D8A"/>
    <w:rsid w:val="00B31283"/>
    <w:rsid w:val="00B501FC"/>
    <w:rsid w:val="00B55498"/>
    <w:rsid w:val="00B71C9D"/>
    <w:rsid w:val="00B74C43"/>
    <w:rsid w:val="00B80BEA"/>
    <w:rsid w:val="00B82A4D"/>
    <w:rsid w:val="00B84084"/>
    <w:rsid w:val="00B951B7"/>
    <w:rsid w:val="00BA1129"/>
    <w:rsid w:val="00BA20F7"/>
    <w:rsid w:val="00BA232C"/>
    <w:rsid w:val="00BB1306"/>
    <w:rsid w:val="00BB2A7D"/>
    <w:rsid w:val="00BB6CD4"/>
    <w:rsid w:val="00BD7BE4"/>
    <w:rsid w:val="00BD7CDC"/>
    <w:rsid w:val="00BE302C"/>
    <w:rsid w:val="00BF4D2B"/>
    <w:rsid w:val="00C035A7"/>
    <w:rsid w:val="00C177C0"/>
    <w:rsid w:val="00C21C23"/>
    <w:rsid w:val="00C21E98"/>
    <w:rsid w:val="00C24F8E"/>
    <w:rsid w:val="00C360D9"/>
    <w:rsid w:val="00C435AC"/>
    <w:rsid w:val="00C52CD4"/>
    <w:rsid w:val="00C52E7F"/>
    <w:rsid w:val="00C556B8"/>
    <w:rsid w:val="00C55720"/>
    <w:rsid w:val="00C74901"/>
    <w:rsid w:val="00C770D2"/>
    <w:rsid w:val="00C84DE4"/>
    <w:rsid w:val="00C85256"/>
    <w:rsid w:val="00C86888"/>
    <w:rsid w:val="00C90C43"/>
    <w:rsid w:val="00C92FE4"/>
    <w:rsid w:val="00C94A38"/>
    <w:rsid w:val="00C94DEE"/>
    <w:rsid w:val="00C95D52"/>
    <w:rsid w:val="00CA2AC8"/>
    <w:rsid w:val="00CA350E"/>
    <w:rsid w:val="00CA40BA"/>
    <w:rsid w:val="00CD38E2"/>
    <w:rsid w:val="00CD4530"/>
    <w:rsid w:val="00CD6BD2"/>
    <w:rsid w:val="00CE24A0"/>
    <w:rsid w:val="00CE2F99"/>
    <w:rsid w:val="00CF6FB5"/>
    <w:rsid w:val="00D061A9"/>
    <w:rsid w:val="00D072E1"/>
    <w:rsid w:val="00D11EF9"/>
    <w:rsid w:val="00D13E36"/>
    <w:rsid w:val="00D14748"/>
    <w:rsid w:val="00D2156E"/>
    <w:rsid w:val="00D24480"/>
    <w:rsid w:val="00D26E6A"/>
    <w:rsid w:val="00D33C5B"/>
    <w:rsid w:val="00D41770"/>
    <w:rsid w:val="00D43922"/>
    <w:rsid w:val="00D45588"/>
    <w:rsid w:val="00D46012"/>
    <w:rsid w:val="00D52A85"/>
    <w:rsid w:val="00D61CDA"/>
    <w:rsid w:val="00D64AF1"/>
    <w:rsid w:val="00D66182"/>
    <w:rsid w:val="00D673AC"/>
    <w:rsid w:val="00D67CB4"/>
    <w:rsid w:val="00D77F43"/>
    <w:rsid w:val="00D809C2"/>
    <w:rsid w:val="00D81F76"/>
    <w:rsid w:val="00D82875"/>
    <w:rsid w:val="00D84471"/>
    <w:rsid w:val="00D84952"/>
    <w:rsid w:val="00DA1CFA"/>
    <w:rsid w:val="00DC1693"/>
    <w:rsid w:val="00DD1B9E"/>
    <w:rsid w:val="00DD5D92"/>
    <w:rsid w:val="00DE6256"/>
    <w:rsid w:val="00DF028C"/>
    <w:rsid w:val="00DF154C"/>
    <w:rsid w:val="00DF5DAF"/>
    <w:rsid w:val="00E020B0"/>
    <w:rsid w:val="00E161E0"/>
    <w:rsid w:val="00E27FC5"/>
    <w:rsid w:val="00E3780A"/>
    <w:rsid w:val="00E50371"/>
    <w:rsid w:val="00E57663"/>
    <w:rsid w:val="00E601EE"/>
    <w:rsid w:val="00E63F73"/>
    <w:rsid w:val="00E64CDE"/>
    <w:rsid w:val="00E80350"/>
    <w:rsid w:val="00E92F96"/>
    <w:rsid w:val="00E93F47"/>
    <w:rsid w:val="00EB3698"/>
    <w:rsid w:val="00EB3A7E"/>
    <w:rsid w:val="00EB5E18"/>
    <w:rsid w:val="00EB621F"/>
    <w:rsid w:val="00EC438A"/>
    <w:rsid w:val="00ED0954"/>
    <w:rsid w:val="00ED2E9F"/>
    <w:rsid w:val="00EE3D05"/>
    <w:rsid w:val="00EF0D90"/>
    <w:rsid w:val="00F0302A"/>
    <w:rsid w:val="00F113AD"/>
    <w:rsid w:val="00F12377"/>
    <w:rsid w:val="00F12F07"/>
    <w:rsid w:val="00F135D0"/>
    <w:rsid w:val="00F17FC6"/>
    <w:rsid w:val="00F27FFE"/>
    <w:rsid w:val="00F31538"/>
    <w:rsid w:val="00F31C56"/>
    <w:rsid w:val="00F33A28"/>
    <w:rsid w:val="00F3770C"/>
    <w:rsid w:val="00F37D4F"/>
    <w:rsid w:val="00F415E6"/>
    <w:rsid w:val="00F41D6C"/>
    <w:rsid w:val="00F42A84"/>
    <w:rsid w:val="00F51F59"/>
    <w:rsid w:val="00F62CB1"/>
    <w:rsid w:val="00F62F77"/>
    <w:rsid w:val="00F64749"/>
    <w:rsid w:val="00F73CBA"/>
    <w:rsid w:val="00F80C3D"/>
    <w:rsid w:val="00F82D17"/>
    <w:rsid w:val="00F8433C"/>
    <w:rsid w:val="00F87E13"/>
    <w:rsid w:val="00F9707A"/>
    <w:rsid w:val="00FA066C"/>
    <w:rsid w:val="00FB4201"/>
    <w:rsid w:val="00FB5BF8"/>
    <w:rsid w:val="00FB6B97"/>
    <w:rsid w:val="00FD6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E03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searchterm">
    <w:name w:val="co_searchterm"/>
    <w:basedOn w:val="DefaultParagraphFont"/>
    <w:rsid w:val="00D33C5B"/>
  </w:style>
  <w:style w:type="character" w:styleId="Emphasis">
    <w:name w:val="Emphasis"/>
    <w:basedOn w:val="DefaultParagraphFont"/>
    <w:uiPriority w:val="20"/>
    <w:qFormat/>
    <w:rsid w:val="00D33C5B"/>
    <w:rPr>
      <w:i/>
      <w:iCs/>
    </w:rPr>
  </w:style>
  <w:style w:type="character" w:customStyle="1" w:styleId="costarpage">
    <w:name w:val="co_starpage"/>
    <w:basedOn w:val="DefaultParagraphFont"/>
    <w:rsid w:val="00D33C5B"/>
  </w:style>
  <w:style w:type="paragraph" w:styleId="ListParagraph">
    <w:name w:val="List Paragraph"/>
    <w:basedOn w:val="Normal"/>
    <w:uiPriority w:val="34"/>
    <w:qFormat/>
    <w:rsid w:val="003C6F17"/>
    <w:pPr>
      <w:ind w:left="720"/>
      <w:contextualSpacing/>
    </w:pPr>
  </w:style>
  <w:style w:type="character" w:styleId="Hyperlink">
    <w:name w:val="Hyperlink"/>
    <w:basedOn w:val="DefaultParagraphFont"/>
    <w:uiPriority w:val="99"/>
    <w:unhideWhenUsed/>
    <w:rsid w:val="003361C4"/>
    <w:rPr>
      <w:color w:val="0000FF" w:themeColor="hyperlink"/>
      <w:u w:val="single"/>
    </w:rPr>
  </w:style>
  <w:style w:type="paragraph" w:styleId="FootnoteText">
    <w:name w:val="footnote text"/>
    <w:basedOn w:val="Normal"/>
    <w:link w:val="FootnoteTextChar"/>
    <w:uiPriority w:val="99"/>
    <w:semiHidden/>
    <w:unhideWhenUsed/>
    <w:rsid w:val="00CA40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40BA"/>
    <w:rPr>
      <w:sz w:val="20"/>
      <w:szCs w:val="20"/>
    </w:rPr>
  </w:style>
  <w:style w:type="character" w:styleId="FootnoteReference">
    <w:name w:val="footnote reference"/>
    <w:basedOn w:val="DefaultParagraphFont"/>
    <w:uiPriority w:val="99"/>
    <w:semiHidden/>
    <w:unhideWhenUsed/>
    <w:rsid w:val="00CA40BA"/>
    <w:rPr>
      <w:vertAlign w:val="superscript"/>
    </w:rPr>
  </w:style>
  <w:style w:type="paragraph" w:styleId="Header">
    <w:name w:val="header"/>
    <w:basedOn w:val="Normal"/>
    <w:link w:val="HeaderChar"/>
    <w:uiPriority w:val="99"/>
    <w:unhideWhenUsed/>
    <w:rsid w:val="005B0C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C21"/>
  </w:style>
  <w:style w:type="paragraph" w:styleId="Footer">
    <w:name w:val="footer"/>
    <w:basedOn w:val="Normal"/>
    <w:link w:val="FooterChar"/>
    <w:uiPriority w:val="99"/>
    <w:unhideWhenUsed/>
    <w:rsid w:val="005B0C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C21"/>
  </w:style>
  <w:style w:type="paragraph" w:styleId="BalloonText">
    <w:name w:val="Balloon Text"/>
    <w:basedOn w:val="Normal"/>
    <w:link w:val="BalloonTextChar"/>
    <w:uiPriority w:val="99"/>
    <w:semiHidden/>
    <w:unhideWhenUsed/>
    <w:rsid w:val="00252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5B6"/>
    <w:rPr>
      <w:rFonts w:ascii="Tahoma" w:hAnsi="Tahoma" w:cs="Tahoma"/>
      <w:sz w:val="16"/>
      <w:szCs w:val="16"/>
    </w:rPr>
  </w:style>
  <w:style w:type="paragraph" w:styleId="BlockText">
    <w:name w:val="Block Text"/>
    <w:basedOn w:val="Normal"/>
    <w:rsid w:val="00D67CB4"/>
    <w:pPr>
      <w:spacing w:after="0" w:line="240" w:lineRule="auto"/>
      <w:ind w:left="1440" w:right="1440"/>
    </w:pPr>
    <w:rPr>
      <w:rFonts w:ascii="Times New Roman" w:eastAsia="Times New Roman" w:hAnsi="Times New Roman" w:cs="Times New Roman"/>
      <w:sz w:val="24"/>
      <w:szCs w:val="20"/>
    </w:rPr>
  </w:style>
  <w:style w:type="paragraph" w:customStyle="1" w:styleId="casepara">
    <w:name w:val="casepara"/>
    <w:basedOn w:val="Normal"/>
    <w:rsid w:val="00A337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DefaultParagraphFont"/>
    <w:rsid w:val="001B4C09"/>
  </w:style>
  <w:style w:type="character" w:customStyle="1" w:styleId="s3">
    <w:name w:val="s3"/>
    <w:basedOn w:val="DefaultParagraphFont"/>
    <w:rsid w:val="001B4C09"/>
  </w:style>
  <w:style w:type="character" w:customStyle="1" w:styleId="s4">
    <w:name w:val="s4"/>
    <w:basedOn w:val="DefaultParagraphFont"/>
    <w:rsid w:val="001B4C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searchterm">
    <w:name w:val="co_searchterm"/>
    <w:basedOn w:val="DefaultParagraphFont"/>
    <w:rsid w:val="00D33C5B"/>
  </w:style>
  <w:style w:type="character" w:styleId="Emphasis">
    <w:name w:val="Emphasis"/>
    <w:basedOn w:val="DefaultParagraphFont"/>
    <w:uiPriority w:val="20"/>
    <w:qFormat/>
    <w:rsid w:val="00D33C5B"/>
    <w:rPr>
      <w:i/>
      <w:iCs/>
    </w:rPr>
  </w:style>
  <w:style w:type="character" w:customStyle="1" w:styleId="costarpage">
    <w:name w:val="co_starpage"/>
    <w:basedOn w:val="DefaultParagraphFont"/>
    <w:rsid w:val="00D33C5B"/>
  </w:style>
  <w:style w:type="paragraph" w:styleId="ListParagraph">
    <w:name w:val="List Paragraph"/>
    <w:basedOn w:val="Normal"/>
    <w:uiPriority w:val="34"/>
    <w:qFormat/>
    <w:rsid w:val="003C6F17"/>
    <w:pPr>
      <w:ind w:left="720"/>
      <w:contextualSpacing/>
    </w:pPr>
  </w:style>
  <w:style w:type="character" w:styleId="Hyperlink">
    <w:name w:val="Hyperlink"/>
    <w:basedOn w:val="DefaultParagraphFont"/>
    <w:uiPriority w:val="99"/>
    <w:unhideWhenUsed/>
    <w:rsid w:val="003361C4"/>
    <w:rPr>
      <w:color w:val="0000FF" w:themeColor="hyperlink"/>
      <w:u w:val="single"/>
    </w:rPr>
  </w:style>
  <w:style w:type="paragraph" w:styleId="FootnoteText">
    <w:name w:val="footnote text"/>
    <w:basedOn w:val="Normal"/>
    <w:link w:val="FootnoteTextChar"/>
    <w:uiPriority w:val="99"/>
    <w:semiHidden/>
    <w:unhideWhenUsed/>
    <w:rsid w:val="00CA40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40BA"/>
    <w:rPr>
      <w:sz w:val="20"/>
      <w:szCs w:val="20"/>
    </w:rPr>
  </w:style>
  <w:style w:type="character" w:styleId="FootnoteReference">
    <w:name w:val="footnote reference"/>
    <w:basedOn w:val="DefaultParagraphFont"/>
    <w:uiPriority w:val="99"/>
    <w:semiHidden/>
    <w:unhideWhenUsed/>
    <w:rsid w:val="00CA40BA"/>
    <w:rPr>
      <w:vertAlign w:val="superscript"/>
    </w:rPr>
  </w:style>
  <w:style w:type="paragraph" w:styleId="Header">
    <w:name w:val="header"/>
    <w:basedOn w:val="Normal"/>
    <w:link w:val="HeaderChar"/>
    <w:uiPriority w:val="99"/>
    <w:unhideWhenUsed/>
    <w:rsid w:val="005B0C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C21"/>
  </w:style>
  <w:style w:type="paragraph" w:styleId="Footer">
    <w:name w:val="footer"/>
    <w:basedOn w:val="Normal"/>
    <w:link w:val="FooterChar"/>
    <w:uiPriority w:val="99"/>
    <w:unhideWhenUsed/>
    <w:rsid w:val="005B0C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C21"/>
  </w:style>
  <w:style w:type="paragraph" w:styleId="BalloonText">
    <w:name w:val="Balloon Text"/>
    <w:basedOn w:val="Normal"/>
    <w:link w:val="BalloonTextChar"/>
    <w:uiPriority w:val="99"/>
    <w:semiHidden/>
    <w:unhideWhenUsed/>
    <w:rsid w:val="00252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5B6"/>
    <w:rPr>
      <w:rFonts w:ascii="Tahoma" w:hAnsi="Tahoma" w:cs="Tahoma"/>
      <w:sz w:val="16"/>
      <w:szCs w:val="16"/>
    </w:rPr>
  </w:style>
  <w:style w:type="paragraph" w:styleId="BlockText">
    <w:name w:val="Block Text"/>
    <w:basedOn w:val="Normal"/>
    <w:rsid w:val="00D67CB4"/>
    <w:pPr>
      <w:spacing w:after="0" w:line="240" w:lineRule="auto"/>
      <w:ind w:left="1440" w:right="1440"/>
    </w:pPr>
    <w:rPr>
      <w:rFonts w:ascii="Times New Roman" w:eastAsia="Times New Roman" w:hAnsi="Times New Roman" w:cs="Times New Roman"/>
      <w:sz w:val="24"/>
      <w:szCs w:val="20"/>
    </w:rPr>
  </w:style>
  <w:style w:type="paragraph" w:customStyle="1" w:styleId="casepara">
    <w:name w:val="casepara"/>
    <w:basedOn w:val="Normal"/>
    <w:rsid w:val="00A337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DefaultParagraphFont"/>
    <w:rsid w:val="001B4C09"/>
  </w:style>
  <w:style w:type="character" w:customStyle="1" w:styleId="s3">
    <w:name w:val="s3"/>
    <w:basedOn w:val="DefaultParagraphFont"/>
    <w:rsid w:val="001B4C09"/>
  </w:style>
  <w:style w:type="character" w:customStyle="1" w:styleId="s4">
    <w:name w:val="s4"/>
    <w:basedOn w:val="DefaultParagraphFont"/>
    <w:rsid w:val="001B4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725318">
      <w:bodyDiv w:val="1"/>
      <w:marLeft w:val="0"/>
      <w:marRight w:val="0"/>
      <w:marTop w:val="100"/>
      <w:marBottom w:val="100"/>
      <w:divBdr>
        <w:top w:val="none" w:sz="0" w:space="0" w:color="auto"/>
        <w:left w:val="none" w:sz="0" w:space="0" w:color="auto"/>
        <w:bottom w:val="none" w:sz="0" w:space="0" w:color="auto"/>
        <w:right w:val="none" w:sz="0" w:space="0" w:color="auto"/>
      </w:divBdr>
      <w:divsChild>
        <w:div w:id="956252879">
          <w:marLeft w:val="0"/>
          <w:marRight w:val="0"/>
          <w:marTop w:val="450"/>
          <w:marBottom w:val="0"/>
          <w:divBdr>
            <w:top w:val="none" w:sz="0" w:space="0" w:color="auto"/>
            <w:left w:val="none" w:sz="0" w:space="0" w:color="auto"/>
            <w:bottom w:val="none" w:sz="0" w:space="0" w:color="auto"/>
            <w:right w:val="none" w:sz="0" w:space="0" w:color="auto"/>
          </w:divBdr>
          <w:divsChild>
            <w:div w:id="17319879">
              <w:marLeft w:val="0"/>
              <w:marRight w:val="0"/>
              <w:marTop w:val="100"/>
              <w:marBottom w:val="100"/>
              <w:divBdr>
                <w:top w:val="none" w:sz="0" w:space="0" w:color="auto"/>
                <w:left w:val="none" w:sz="0" w:space="0" w:color="auto"/>
                <w:bottom w:val="none" w:sz="0" w:space="0" w:color="auto"/>
                <w:right w:val="none" w:sz="0" w:space="0" w:color="auto"/>
              </w:divBdr>
              <w:divsChild>
                <w:div w:id="1222836891">
                  <w:marLeft w:val="0"/>
                  <w:marRight w:val="0"/>
                  <w:marTop w:val="0"/>
                  <w:marBottom w:val="0"/>
                  <w:divBdr>
                    <w:top w:val="none" w:sz="0" w:space="11" w:color="auto"/>
                    <w:left w:val="none" w:sz="0" w:space="0" w:color="auto"/>
                    <w:bottom w:val="none" w:sz="0" w:space="11" w:color="auto"/>
                    <w:right w:val="none" w:sz="0" w:space="0" w:color="auto"/>
                  </w:divBdr>
                </w:div>
              </w:divsChild>
            </w:div>
          </w:divsChild>
        </w:div>
      </w:divsChild>
    </w:div>
    <w:div w:id="712313773">
      <w:bodyDiv w:val="1"/>
      <w:marLeft w:val="0"/>
      <w:marRight w:val="0"/>
      <w:marTop w:val="0"/>
      <w:marBottom w:val="0"/>
      <w:divBdr>
        <w:top w:val="none" w:sz="0" w:space="0" w:color="auto"/>
        <w:left w:val="none" w:sz="0" w:space="0" w:color="auto"/>
        <w:bottom w:val="none" w:sz="0" w:space="0" w:color="auto"/>
        <w:right w:val="none" w:sz="0" w:space="0" w:color="auto"/>
      </w:divBdr>
      <w:divsChild>
        <w:div w:id="1386685227">
          <w:marLeft w:val="0"/>
          <w:marRight w:val="0"/>
          <w:marTop w:val="0"/>
          <w:marBottom w:val="0"/>
          <w:divBdr>
            <w:top w:val="none" w:sz="0" w:space="0" w:color="auto"/>
            <w:left w:val="none" w:sz="0" w:space="0" w:color="auto"/>
            <w:bottom w:val="none" w:sz="0" w:space="0" w:color="auto"/>
            <w:right w:val="none" w:sz="0" w:space="0" w:color="auto"/>
          </w:divBdr>
          <w:divsChild>
            <w:div w:id="1350788636">
              <w:marLeft w:val="0"/>
              <w:marRight w:val="0"/>
              <w:marTop w:val="0"/>
              <w:marBottom w:val="0"/>
              <w:divBdr>
                <w:top w:val="none" w:sz="0" w:space="0" w:color="auto"/>
                <w:left w:val="none" w:sz="0" w:space="0" w:color="auto"/>
                <w:bottom w:val="none" w:sz="0" w:space="0" w:color="auto"/>
                <w:right w:val="none" w:sz="0" w:space="0" w:color="auto"/>
              </w:divBdr>
              <w:divsChild>
                <w:div w:id="1540169405">
                  <w:marLeft w:val="0"/>
                  <w:marRight w:val="0"/>
                  <w:marTop w:val="0"/>
                  <w:marBottom w:val="0"/>
                  <w:divBdr>
                    <w:top w:val="none" w:sz="0" w:space="0" w:color="auto"/>
                    <w:left w:val="none" w:sz="0" w:space="0" w:color="auto"/>
                    <w:bottom w:val="none" w:sz="0" w:space="0" w:color="auto"/>
                    <w:right w:val="none" w:sz="0" w:space="0" w:color="auto"/>
                  </w:divBdr>
                </w:div>
              </w:divsChild>
            </w:div>
            <w:div w:id="839930519">
              <w:marLeft w:val="0"/>
              <w:marRight w:val="0"/>
              <w:marTop w:val="0"/>
              <w:marBottom w:val="0"/>
              <w:divBdr>
                <w:top w:val="none" w:sz="0" w:space="0" w:color="auto"/>
                <w:left w:val="none" w:sz="0" w:space="0" w:color="auto"/>
                <w:bottom w:val="none" w:sz="0" w:space="0" w:color="auto"/>
                <w:right w:val="none" w:sz="0" w:space="0" w:color="auto"/>
              </w:divBdr>
              <w:divsChild>
                <w:div w:id="1728069217">
                  <w:marLeft w:val="0"/>
                  <w:marRight w:val="0"/>
                  <w:marTop w:val="0"/>
                  <w:marBottom w:val="0"/>
                  <w:divBdr>
                    <w:top w:val="none" w:sz="0" w:space="0" w:color="auto"/>
                    <w:left w:val="none" w:sz="0" w:space="0" w:color="auto"/>
                    <w:bottom w:val="none" w:sz="0" w:space="0" w:color="auto"/>
                    <w:right w:val="none" w:sz="0" w:space="0" w:color="auto"/>
                  </w:divBdr>
                </w:div>
              </w:divsChild>
            </w:div>
            <w:div w:id="21466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528237">
      <w:bodyDiv w:val="1"/>
      <w:marLeft w:val="0"/>
      <w:marRight w:val="0"/>
      <w:marTop w:val="0"/>
      <w:marBottom w:val="0"/>
      <w:divBdr>
        <w:top w:val="none" w:sz="0" w:space="0" w:color="auto"/>
        <w:left w:val="none" w:sz="0" w:space="0" w:color="auto"/>
        <w:bottom w:val="none" w:sz="0" w:space="0" w:color="auto"/>
        <w:right w:val="none" w:sz="0" w:space="0" w:color="auto"/>
      </w:divBdr>
    </w:div>
    <w:div w:id="1540044275">
      <w:bodyDiv w:val="1"/>
      <w:marLeft w:val="0"/>
      <w:marRight w:val="0"/>
      <w:marTop w:val="0"/>
      <w:marBottom w:val="0"/>
      <w:divBdr>
        <w:top w:val="none" w:sz="0" w:space="0" w:color="auto"/>
        <w:left w:val="none" w:sz="0" w:space="0" w:color="auto"/>
        <w:bottom w:val="none" w:sz="0" w:space="0" w:color="auto"/>
        <w:right w:val="none" w:sz="0" w:space="0" w:color="auto"/>
      </w:divBdr>
    </w:div>
    <w:div w:id="1586302075">
      <w:bodyDiv w:val="1"/>
      <w:marLeft w:val="0"/>
      <w:marRight w:val="0"/>
      <w:marTop w:val="0"/>
      <w:marBottom w:val="0"/>
      <w:divBdr>
        <w:top w:val="none" w:sz="0" w:space="0" w:color="auto"/>
        <w:left w:val="none" w:sz="0" w:space="0" w:color="auto"/>
        <w:bottom w:val="none" w:sz="0" w:space="0" w:color="auto"/>
        <w:right w:val="none" w:sz="0" w:space="0" w:color="auto"/>
      </w:divBdr>
      <w:divsChild>
        <w:div w:id="281112046">
          <w:marLeft w:val="0"/>
          <w:marRight w:val="0"/>
          <w:marTop w:val="0"/>
          <w:marBottom w:val="0"/>
          <w:divBdr>
            <w:top w:val="none" w:sz="0" w:space="0" w:color="auto"/>
            <w:left w:val="none" w:sz="0" w:space="0" w:color="auto"/>
            <w:bottom w:val="none" w:sz="0" w:space="0" w:color="auto"/>
            <w:right w:val="none" w:sz="0" w:space="0" w:color="auto"/>
          </w:divBdr>
          <w:divsChild>
            <w:div w:id="1179655906">
              <w:marLeft w:val="0"/>
              <w:marRight w:val="0"/>
              <w:marTop w:val="0"/>
              <w:marBottom w:val="0"/>
              <w:divBdr>
                <w:top w:val="none" w:sz="0" w:space="0" w:color="auto"/>
                <w:left w:val="none" w:sz="0" w:space="0" w:color="auto"/>
                <w:bottom w:val="none" w:sz="0" w:space="0" w:color="auto"/>
                <w:right w:val="none" w:sz="0" w:space="0" w:color="auto"/>
              </w:divBdr>
              <w:divsChild>
                <w:div w:id="1267154780">
                  <w:marLeft w:val="0"/>
                  <w:marRight w:val="0"/>
                  <w:marTop w:val="0"/>
                  <w:marBottom w:val="0"/>
                  <w:divBdr>
                    <w:top w:val="none" w:sz="0" w:space="0" w:color="auto"/>
                    <w:left w:val="none" w:sz="0" w:space="0" w:color="auto"/>
                    <w:bottom w:val="none" w:sz="0" w:space="0" w:color="auto"/>
                    <w:right w:val="none" w:sz="0" w:space="0" w:color="auto"/>
                  </w:divBdr>
                </w:div>
              </w:divsChild>
            </w:div>
            <w:div w:id="316806514">
              <w:marLeft w:val="0"/>
              <w:marRight w:val="0"/>
              <w:marTop w:val="0"/>
              <w:marBottom w:val="0"/>
              <w:divBdr>
                <w:top w:val="none" w:sz="0" w:space="0" w:color="auto"/>
                <w:left w:val="none" w:sz="0" w:space="0" w:color="auto"/>
                <w:bottom w:val="none" w:sz="0" w:space="0" w:color="auto"/>
                <w:right w:val="none" w:sz="0" w:space="0" w:color="auto"/>
              </w:divBdr>
              <w:divsChild>
                <w:div w:id="1592543354">
                  <w:marLeft w:val="0"/>
                  <w:marRight w:val="0"/>
                  <w:marTop w:val="0"/>
                  <w:marBottom w:val="0"/>
                  <w:divBdr>
                    <w:top w:val="none" w:sz="0" w:space="0" w:color="auto"/>
                    <w:left w:val="none" w:sz="0" w:space="0" w:color="auto"/>
                    <w:bottom w:val="none" w:sz="0" w:space="0" w:color="auto"/>
                    <w:right w:val="none" w:sz="0" w:space="0" w:color="auto"/>
                  </w:divBdr>
                </w:div>
              </w:divsChild>
            </w:div>
            <w:div w:id="740449335">
              <w:marLeft w:val="0"/>
              <w:marRight w:val="0"/>
              <w:marTop w:val="0"/>
              <w:marBottom w:val="0"/>
              <w:divBdr>
                <w:top w:val="none" w:sz="0" w:space="0" w:color="auto"/>
                <w:left w:val="none" w:sz="0" w:space="0" w:color="auto"/>
                <w:bottom w:val="none" w:sz="0" w:space="0" w:color="auto"/>
                <w:right w:val="none" w:sz="0" w:space="0" w:color="auto"/>
              </w:divBdr>
              <w:divsChild>
                <w:div w:id="1415513990">
                  <w:marLeft w:val="0"/>
                  <w:marRight w:val="0"/>
                  <w:marTop w:val="0"/>
                  <w:marBottom w:val="0"/>
                  <w:divBdr>
                    <w:top w:val="none" w:sz="0" w:space="0" w:color="auto"/>
                    <w:left w:val="none" w:sz="0" w:space="0" w:color="auto"/>
                    <w:bottom w:val="none" w:sz="0" w:space="0" w:color="auto"/>
                    <w:right w:val="none" w:sz="0" w:space="0" w:color="auto"/>
                  </w:divBdr>
                </w:div>
              </w:divsChild>
            </w:div>
            <w:div w:id="149028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2C360-769D-42CB-94E2-02BD15C25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2723</Words>
  <Characters>15525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Shea, Colleen (ALA)</dc:creator>
  <cp:lastModifiedBy>ANF</cp:lastModifiedBy>
  <cp:revision>2</cp:revision>
  <cp:lastPrinted>2017-07-27T17:29:00Z</cp:lastPrinted>
  <dcterms:created xsi:type="dcterms:W3CDTF">2017-10-30T14:27:00Z</dcterms:created>
  <dcterms:modified xsi:type="dcterms:W3CDTF">2017-10-30T14:27:00Z</dcterms:modified>
</cp:coreProperties>
</file>