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4A" w:rsidRPr="00796251" w:rsidRDefault="00717AE0" w:rsidP="0026045B">
      <w:pPr>
        <w:jc w:val="center"/>
        <w:rPr>
          <w:rFonts w:cs="Times New Roman"/>
          <w:b/>
          <w:sz w:val="25"/>
          <w:szCs w:val="25"/>
        </w:rPr>
      </w:pPr>
      <w:bookmarkStart w:id="0" w:name="_GoBack"/>
      <w:bookmarkEnd w:id="0"/>
      <w:r w:rsidRPr="00796251">
        <w:rPr>
          <w:rFonts w:cs="Times New Roman"/>
          <w:b/>
          <w:sz w:val="25"/>
          <w:szCs w:val="25"/>
        </w:rPr>
        <w:t>COMMONWEALTH OF MASSACHUSETTS</w:t>
      </w:r>
    </w:p>
    <w:p w:rsidR="00717AE0" w:rsidRPr="00796251" w:rsidRDefault="00717AE0" w:rsidP="0026045B">
      <w:pPr>
        <w:jc w:val="center"/>
        <w:rPr>
          <w:rFonts w:cs="Times New Roman"/>
          <w:b/>
          <w:sz w:val="25"/>
          <w:szCs w:val="25"/>
        </w:rPr>
      </w:pPr>
      <w:r w:rsidRPr="00796251">
        <w:rPr>
          <w:rFonts w:cs="Times New Roman"/>
          <w:b/>
          <w:sz w:val="25"/>
          <w:szCs w:val="25"/>
        </w:rPr>
        <w:t>DIVISION OF ADMINISTRATIVE LAW APPEALS</w:t>
      </w:r>
    </w:p>
    <w:p w:rsidR="00717AE0" w:rsidRPr="00796251" w:rsidRDefault="00717AE0" w:rsidP="0026045B">
      <w:pPr>
        <w:jc w:val="center"/>
        <w:rPr>
          <w:rFonts w:cs="Times New Roman"/>
          <w:b/>
          <w:sz w:val="25"/>
          <w:szCs w:val="25"/>
        </w:rPr>
      </w:pPr>
      <w:r w:rsidRPr="00796251">
        <w:rPr>
          <w:rFonts w:cs="Times New Roman"/>
          <w:b/>
          <w:sz w:val="25"/>
          <w:szCs w:val="25"/>
        </w:rPr>
        <w:t>SPECIAL EDUCATION APPEALS</w:t>
      </w:r>
    </w:p>
    <w:p w:rsidR="00717AE0" w:rsidRPr="00796251" w:rsidRDefault="00717AE0">
      <w:pPr>
        <w:rPr>
          <w:rFonts w:cs="Times New Roman"/>
          <w:sz w:val="25"/>
          <w:szCs w:val="25"/>
        </w:rPr>
      </w:pPr>
    </w:p>
    <w:p w:rsidR="00A06E5D" w:rsidRPr="00796251" w:rsidRDefault="00A06E5D">
      <w:pPr>
        <w:rPr>
          <w:rFonts w:cs="Times New Roman"/>
          <w:sz w:val="25"/>
          <w:szCs w:val="25"/>
        </w:rPr>
      </w:pPr>
    </w:p>
    <w:p w:rsidR="0026045B" w:rsidRPr="00796251" w:rsidRDefault="0026045B">
      <w:pPr>
        <w:rPr>
          <w:rFonts w:cs="Times New Roman"/>
          <w:sz w:val="25"/>
          <w:szCs w:val="25"/>
        </w:rPr>
      </w:pPr>
      <w:r w:rsidRPr="00796251">
        <w:rPr>
          <w:rFonts w:cs="Times New Roman"/>
          <w:b/>
          <w:sz w:val="25"/>
          <w:szCs w:val="25"/>
        </w:rPr>
        <w:t>In RE:</w:t>
      </w:r>
      <w:r w:rsidRPr="00796251">
        <w:rPr>
          <w:rFonts w:cs="Times New Roman"/>
          <w:sz w:val="25"/>
          <w:szCs w:val="25"/>
        </w:rPr>
        <w:t xml:space="preserve"> </w:t>
      </w:r>
      <w:r w:rsidR="00A06E5D" w:rsidRPr="00796251">
        <w:rPr>
          <w:rFonts w:cs="Times New Roman"/>
          <w:sz w:val="25"/>
          <w:szCs w:val="25"/>
        </w:rPr>
        <w:t>Student</w:t>
      </w:r>
      <w:r w:rsidRPr="00796251">
        <w:rPr>
          <w:rFonts w:cs="Times New Roman"/>
          <w:sz w:val="25"/>
          <w:szCs w:val="25"/>
        </w:rPr>
        <w:t xml:space="preserve"> v. </w:t>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sz w:val="25"/>
          <w:szCs w:val="25"/>
        </w:rPr>
        <w:tab/>
      </w:r>
      <w:r w:rsidRPr="00796251">
        <w:rPr>
          <w:rFonts w:cs="Times New Roman"/>
          <w:b/>
          <w:sz w:val="25"/>
          <w:szCs w:val="25"/>
        </w:rPr>
        <w:t>BSEA #</w:t>
      </w:r>
      <w:r w:rsidRPr="00796251">
        <w:rPr>
          <w:rFonts w:cs="Times New Roman"/>
          <w:sz w:val="25"/>
          <w:szCs w:val="25"/>
        </w:rPr>
        <w:t xml:space="preserve"> 1</w:t>
      </w:r>
      <w:r w:rsidR="0088725B" w:rsidRPr="00796251">
        <w:rPr>
          <w:rFonts w:cs="Times New Roman"/>
          <w:sz w:val="25"/>
          <w:szCs w:val="25"/>
        </w:rPr>
        <w:t>907993</w:t>
      </w:r>
    </w:p>
    <w:p w:rsidR="0026045B" w:rsidRPr="00796251" w:rsidRDefault="00A06E5D" w:rsidP="00A06E5D">
      <w:pPr>
        <w:ind w:firstLine="720"/>
        <w:rPr>
          <w:rFonts w:cs="Times New Roman"/>
          <w:sz w:val="25"/>
          <w:szCs w:val="25"/>
        </w:rPr>
      </w:pPr>
      <w:r w:rsidRPr="00796251">
        <w:rPr>
          <w:rFonts w:cs="Times New Roman"/>
          <w:sz w:val="25"/>
          <w:szCs w:val="25"/>
        </w:rPr>
        <w:t xml:space="preserve"> </w:t>
      </w:r>
      <w:proofErr w:type="spellStart"/>
      <w:r w:rsidR="0088725B" w:rsidRPr="00796251">
        <w:rPr>
          <w:rFonts w:cs="Times New Roman"/>
          <w:sz w:val="25"/>
          <w:szCs w:val="25"/>
        </w:rPr>
        <w:t>Montachusett</w:t>
      </w:r>
      <w:proofErr w:type="spellEnd"/>
      <w:r w:rsidR="0088725B" w:rsidRPr="00796251">
        <w:rPr>
          <w:rFonts w:cs="Times New Roman"/>
          <w:sz w:val="25"/>
          <w:szCs w:val="25"/>
        </w:rPr>
        <w:t xml:space="preserve"> Regional Vocational Technical School</w:t>
      </w:r>
      <w:r w:rsidR="0026045B" w:rsidRPr="00796251">
        <w:rPr>
          <w:rFonts w:cs="Times New Roman"/>
          <w:sz w:val="25"/>
          <w:szCs w:val="25"/>
        </w:rPr>
        <w:t xml:space="preserve"> </w:t>
      </w:r>
    </w:p>
    <w:p w:rsidR="0026045B" w:rsidRPr="00796251" w:rsidRDefault="0026045B">
      <w:pPr>
        <w:rPr>
          <w:rFonts w:cs="Times New Roman"/>
          <w:sz w:val="25"/>
          <w:szCs w:val="25"/>
        </w:rPr>
      </w:pPr>
    </w:p>
    <w:p w:rsidR="0026045B" w:rsidRPr="00796251" w:rsidRDefault="0026045B" w:rsidP="0026045B">
      <w:pPr>
        <w:jc w:val="center"/>
        <w:rPr>
          <w:rFonts w:cs="Times New Roman"/>
          <w:b/>
          <w:sz w:val="25"/>
          <w:szCs w:val="25"/>
        </w:rPr>
      </w:pPr>
      <w:r w:rsidRPr="00796251">
        <w:rPr>
          <w:rFonts w:cs="Times New Roman"/>
          <w:b/>
          <w:sz w:val="25"/>
          <w:szCs w:val="25"/>
        </w:rPr>
        <w:t xml:space="preserve">Ruling on </w:t>
      </w:r>
      <w:proofErr w:type="spellStart"/>
      <w:r w:rsidR="0088725B" w:rsidRPr="00796251">
        <w:rPr>
          <w:rFonts w:cs="Times New Roman"/>
          <w:b/>
          <w:sz w:val="25"/>
          <w:szCs w:val="25"/>
        </w:rPr>
        <w:t>Montachusett</w:t>
      </w:r>
      <w:proofErr w:type="spellEnd"/>
      <w:r w:rsidR="0088725B" w:rsidRPr="00796251">
        <w:rPr>
          <w:rFonts w:cs="Times New Roman"/>
          <w:b/>
          <w:sz w:val="25"/>
          <w:szCs w:val="25"/>
        </w:rPr>
        <w:t xml:space="preserve"> Regional Vocational Technical School</w:t>
      </w:r>
      <w:r w:rsidR="0088725B" w:rsidRPr="00796251">
        <w:rPr>
          <w:rFonts w:cs="Times New Roman"/>
          <w:sz w:val="25"/>
          <w:szCs w:val="25"/>
        </w:rPr>
        <w:t xml:space="preserve"> </w:t>
      </w:r>
      <w:r w:rsidRPr="00796251">
        <w:rPr>
          <w:rFonts w:cs="Times New Roman"/>
          <w:b/>
          <w:sz w:val="25"/>
          <w:szCs w:val="25"/>
        </w:rPr>
        <w:t>Motion to Dismiss</w:t>
      </w:r>
    </w:p>
    <w:p w:rsidR="0026045B" w:rsidRPr="00796251" w:rsidRDefault="0026045B" w:rsidP="0026045B">
      <w:pPr>
        <w:jc w:val="center"/>
        <w:rPr>
          <w:rFonts w:cs="Times New Roman"/>
          <w:b/>
          <w:sz w:val="25"/>
          <w:szCs w:val="25"/>
        </w:rPr>
      </w:pPr>
    </w:p>
    <w:p w:rsidR="00950C85" w:rsidRPr="00796251" w:rsidRDefault="00EE14FD" w:rsidP="005F1767">
      <w:pPr>
        <w:rPr>
          <w:rFonts w:cs="Times New Roman"/>
          <w:sz w:val="25"/>
          <w:szCs w:val="25"/>
        </w:rPr>
      </w:pPr>
      <w:r w:rsidRPr="00796251">
        <w:rPr>
          <w:rFonts w:cs="Times New Roman"/>
          <w:sz w:val="25"/>
          <w:szCs w:val="25"/>
        </w:rPr>
        <w:t>On Ma</w:t>
      </w:r>
      <w:r w:rsidR="00950C85" w:rsidRPr="00796251">
        <w:rPr>
          <w:rFonts w:cs="Times New Roman"/>
          <w:sz w:val="25"/>
          <w:szCs w:val="25"/>
        </w:rPr>
        <w:t>rch 6, 2019</w:t>
      </w:r>
      <w:r w:rsidRPr="00796251">
        <w:rPr>
          <w:rFonts w:cs="Times New Roman"/>
          <w:sz w:val="25"/>
          <w:szCs w:val="25"/>
        </w:rPr>
        <w:t>, Parent requested a Hearing in the above-referenced matter</w:t>
      </w:r>
      <w:r w:rsidR="006325D7" w:rsidRPr="00796251">
        <w:rPr>
          <w:rFonts w:cs="Times New Roman"/>
          <w:sz w:val="25"/>
          <w:szCs w:val="25"/>
        </w:rPr>
        <w:t xml:space="preserve"> raising essentially the same issues and claims previously raised in BSEA #1904777</w:t>
      </w:r>
      <w:r w:rsidR="00674AAB" w:rsidRPr="00796251">
        <w:rPr>
          <w:rFonts w:cs="Times New Roman"/>
          <w:sz w:val="25"/>
          <w:szCs w:val="25"/>
        </w:rPr>
        <w:t>, to wit: seeking access to Student’s records, alleging pro</w:t>
      </w:r>
      <w:r w:rsidR="003E7DD8" w:rsidRPr="00796251">
        <w:rPr>
          <w:rFonts w:cs="Times New Roman"/>
          <w:sz w:val="25"/>
          <w:szCs w:val="25"/>
        </w:rPr>
        <w:t>cedural violations pursuant to the Individuals with Disabilities Education Act (“IDEA”).</w:t>
      </w:r>
      <w:r w:rsidR="006325D7" w:rsidRPr="00796251">
        <w:rPr>
          <w:rStyle w:val="FootnoteReference"/>
          <w:rFonts w:cs="Times New Roman"/>
          <w:sz w:val="25"/>
          <w:szCs w:val="25"/>
        </w:rPr>
        <w:footnoteReference w:id="1"/>
      </w:r>
      <w:r w:rsidR="003E7DD8" w:rsidRPr="00796251">
        <w:rPr>
          <w:rFonts w:cs="Times New Roman"/>
          <w:sz w:val="25"/>
          <w:szCs w:val="25"/>
        </w:rPr>
        <w:t xml:space="preserve">  </w:t>
      </w:r>
      <w:r w:rsidR="00497505" w:rsidRPr="00796251">
        <w:rPr>
          <w:rFonts w:cs="Times New Roman"/>
          <w:sz w:val="25"/>
          <w:szCs w:val="25"/>
        </w:rPr>
        <w:t>Specifically, Parent requests that Student’s “IEP records, school records, report cards, etc.” be provided to her immediately, to “allow an amended IEP meeting for this year</w:t>
      </w:r>
      <w:r w:rsidR="00C12E90" w:rsidRPr="00796251">
        <w:rPr>
          <w:rFonts w:cs="Times New Roman"/>
          <w:sz w:val="25"/>
          <w:szCs w:val="25"/>
        </w:rPr>
        <w:t>,</w:t>
      </w:r>
      <w:r w:rsidR="00497505" w:rsidRPr="00796251">
        <w:rPr>
          <w:rFonts w:cs="Times New Roman"/>
          <w:sz w:val="25"/>
          <w:szCs w:val="25"/>
        </w:rPr>
        <w:t>”</w:t>
      </w:r>
      <w:r w:rsidR="004C6B35" w:rsidRPr="00796251">
        <w:rPr>
          <w:rFonts w:cs="Times New Roman"/>
          <w:sz w:val="25"/>
          <w:szCs w:val="25"/>
        </w:rPr>
        <w:t xml:space="preserve"> </w:t>
      </w:r>
      <w:r w:rsidR="00497505" w:rsidRPr="00796251">
        <w:rPr>
          <w:rFonts w:cs="Times New Roman"/>
          <w:sz w:val="25"/>
          <w:szCs w:val="25"/>
        </w:rPr>
        <w:t>that she be included in the Team meeting and</w:t>
      </w:r>
      <w:r w:rsidR="00C12E90" w:rsidRPr="00796251">
        <w:rPr>
          <w:rFonts w:cs="Times New Roman"/>
          <w:sz w:val="25"/>
          <w:szCs w:val="25"/>
        </w:rPr>
        <w:t xml:space="preserve"> that she be awarded</w:t>
      </w:r>
      <w:r w:rsidR="00497505" w:rsidRPr="00796251">
        <w:rPr>
          <w:rFonts w:cs="Times New Roman"/>
          <w:sz w:val="25"/>
          <w:szCs w:val="25"/>
        </w:rPr>
        <w:t xml:space="preserve"> any financial or other recourse for </w:t>
      </w:r>
      <w:r w:rsidR="00B801D6" w:rsidRPr="00796251">
        <w:rPr>
          <w:rFonts w:cs="Times New Roman"/>
          <w:sz w:val="25"/>
          <w:szCs w:val="25"/>
        </w:rPr>
        <w:t xml:space="preserve">denial of </w:t>
      </w:r>
      <w:r w:rsidR="00C12E90" w:rsidRPr="00796251">
        <w:rPr>
          <w:rFonts w:cs="Times New Roman"/>
          <w:sz w:val="25"/>
          <w:szCs w:val="25"/>
        </w:rPr>
        <w:t>her</w:t>
      </w:r>
      <w:r w:rsidR="00497505" w:rsidRPr="00796251">
        <w:rPr>
          <w:rFonts w:cs="Times New Roman"/>
          <w:sz w:val="25"/>
          <w:szCs w:val="25"/>
        </w:rPr>
        <w:t xml:space="preserve"> participation in Student’s education.  </w:t>
      </w:r>
      <w:r w:rsidR="00306223" w:rsidRPr="00796251">
        <w:rPr>
          <w:rFonts w:cs="Times New Roman"/>
          <w:sz w:val="25"/>
          <w:szCs w:val="25"/>
        </w:rPr>
        <w:t xml:space="preserve">In asserting her rights to access Student’s records under </w:t>
      </w:r>
      <w:r w:rsidR="0020052B" w:rsidRPr="00796251">
        <w:rPr>
          <w:rFonts w:cs="Times New Roman"/>
          <w:sz w:val="25"/>
          <w:szCs w:val="25"/>
        </w:rPr>
        <w:t>the Family Educational Rights and Privacy Act (</w:t>
      </w:r>
      <w:r w:rsidR="00306223" w:rsidRPr="00796251">
        <w:rPr>
          <w:rFonts w:cs="Times New Roman"/>
          <w:sz w:val="25"/>
          <w:szCs w:val="25"/>
        </w:rPr>
        <w:t>FERPA</w:t>
      </w:r>
      <w:r w:rsidR="0020052B" w:rsidRPr="00796251">
        <w:rPr>
          <w:rFonts w:cs="Times New Roman"/>
          <w:sz w:val="25"/>
          <w:szCs w:val="25"/>
        </w:rPr>
        <w:t>)</w:t>
      </w:r>
      <w:r w:rsidR="00306223" w:rsidRPr="00796251">
        <w:rPr>
          <w:rFonts w:cs="Times New Roman"/>
          <w:sz w:val="25"/>
          <w:szCs w:val="25"/>
        </w:rPr>
        <w:t xml:space="preserve">, Parent </w:t>
      </w:r>
      <w:r w:rsidR="00F360C6" w:rsidRPr="00796251">
        <w:rPr>
          <w:rFonts w:cs="Times New Roman"/>
          <w:sz w:val="25"/>
          <w:szCs w:val="25"/>
        </w:rPr>
        <w:t>place</w:t>
      </w:r>
      <w:r w:rsidR="00306223" w:rsidRPr="00796251">
        <w:rPr>
          <w:rFonts w:cs="Times New Roman"/>
          <w:sz w:val="25"/>
          <w:szCs w:val="25"/>
        </w:rPr>
        <w:t xml:space="preserve">s her reliance on </w:t>
      </w:r>
      <w:r w:rsidR="00B801D6" w:rsidRPr="00796251">
        <w:rPr>
          <w:rFonts w:cs="Times New Roman"/>
          <w:sz w:val="25"/>
          <w:szCs w:val="25"/>
        </w:rPr>
        <w:t xml:space="preserve">her </w:t>
      </w:r>
      <w:r w:rsidR="00306223" w:rsidRPr="00796251">
        <w:rPr>
          <w:rFonts w:cs="Times New Roman"/>
          <w:sz w:val="25"/>
          <w:szCs w:val="25"/>
        </w:rPr>
        <w:t>su</w:t>
      </w:r>
      <w:r w:rsidR="00C12E90" w:rsidRPr="00796251">
        <w:rPr>
          <w:rFonts w:cs="Times New Roman"/>
          <w:sz w:val="25"/>
          <w:szCs w:val="25"/>
        </w:rPr>
        <w:t>bmissions in BSEA #</w:t>
      </w:r>
      <w:r w:rsidR="00306223" w:rsidRPr="00796251">
        <w:rPr>
          <w:rFonts w:cs="Times New Roman"/>
          <w:sz w:val="25"/>
          <w:szCs w:val="25"/>
        </w:rPr>
        <w:t>1904777 (including her exhibit binder).  Lastly, Parent</w:t>
      </w:r>
      <w:r w:rsidR="003E7DD8" w:rsidRPr="00796251">
        <w:rPr>
          <w:rFonts w:cs="Times New Roman"/>
          <w:sz w:val="25"/>
          <w:szCs w:val="25"/>
        </w:rPr>
        <w:t xml:space="preserve"> asserts that the previous Hearing Officer “did not make proper rulings and did not address this matter</w:t>
      </w:r>
      <w:r w:rsidR="00C12E90" w:rsidRPr="00796251">
        <w:rPr>
          <w:rFonts w:cs="Times New Roman"/>
          <w:sz w:val="25"/>
          <w:szCs w:val="25"/>
        </w:rPr>
        <w:t>”.</w:t>
      </w:r>
      <w:r w:rsidR="00B44930" w:rsidRPr="00796251">
        <w:rPr>
          <w:rStyle w:val="FootnoteReference"/>
          <w:rFonts w:cs="Times New Roman"/>
          <w:sz w:val="25"/>
          <w:szCs w:val="25"/>
        </w:rPr>
        <w:footnoteReference w:id="2"/>
      </w:r>
      <w:r w:rsidR="00950C85" w:rsidRPr="00796251">
        <w:rPr>
          <w:rFonts w:cs="Times New Roman"/>
          <w:sz w:val="25"/>
          <w:szCs w:val="25"/>
        </w:rPr>
        <w:t xml:space="preserve"> </w:t>
      </w:r>
    </w:p>
    <w:p w:rsidR="00A06E5D" w:rsidRPr="00796251" w:rsidRDefault="00A06E5D" w:rsidP="005F1767">
      <w:pPr>
        <w:rPr>
          <w:rFonts w:cs="Times New Roman"/>
          <w:sz w:val="25"/>
          <w:szCs w:val="25"/>
        </w:rPr>
      </w:pPr>
    </w:p>
    <w:p w:rsidR="004A063E" w:rsidRPr="00796251" w:rsidRDefault="00101B63" w:rsidP="005F1767">
      <w:pPr>
        <w:rPr>
          <w:rFonts w:cs="Times New Roman"/>
          <w:sz w:val="25"/>
          <w:szCs w:val="25"/>
        </w:rPr>
      </w:pPr>
      <w:r w:rsidRPr="00796251">
        <w:rPr>
          <w:rFonts w:cs="Times New Roman"/>
          <w:sz w:val="25"/>
          <w:szCs w:val="25"/>
        </w:rPr>
        <w:t xml:space="preserve">On </w:t>
      </w:r>
      <w:r w:rsidR="00187C80" w:rsidRPr="00796251">
        <w:rPr>
          <w:rFonts w:cs="Times New Roman"/>
          <w:sz w:val="25"/>
          <w:szCs w:val="25"/>
        </w:rPr>
        <w:t>March 12,</w:t>
      </w:r>
      <w:r w:rsidR="0026045B" w:rsidRPr="00796251">
        <w:rPr>
          <w:rFonts w:cs="Times New Roman"/>
          <w:sz w:val="25"/>
          <w:szCs w:val="25"/>
        </w:rPr>
        <w:t xml:space="preserve"> 201</w:t>
      </w:r>
      <w:r w:rsidR="00187C80" w:rsidRPr="00796251">
        <w:rPr>
          <w:rFonts w:cs="Times New Roman"/>
          <w:sz w:val="25"/>
          <w:szCs w:val="25"/>
        </w:rPr>
        <w:t>9</w:t>
      </w:r>
      <w:r w:rsidR="0026045B" w:rsidRPr="00796251">
        <w:rPr>
          <w:rFonts w:cs="Times New Roman"/>
          <w:sz w:val="25"/>
          <w:szCs w:val="25"/>
        </w:rPr>
        <w:t xml:space="preserve">, </w:t>
      </w:r>
      <w:proofErr w:type="spellStart"/>
      <w:r w:rsidRPr="00796251">
        <w:rPr>
          <w:rFonts w:cs="Times New Roman"/>
          <w:sz w:val="25"/>
          <w:szCs w:val="25"/>
        </w:rPr>
        <w:t>Montachusett</w:t>
      </w:r>
      <w:proofErr w:type="spellEnd"/>
      <w:r w:rsidRPr="00796251">
        <w:rPr>
          <w:rFonts w:cs="Times New Roman"/>
          <w:sz w:val="25"/>
          <w:szCs w:val="25"/>
        </w:rPr>
        <w:t xml:space="preserve"> Regional Vocational Technical School</w:t>
      </w:r>
      <w:r w:rsidR="0026045B" w:rsidRPr="00796251">
        <w:rPr>
          <w:rFonts w:cs="Times New Roman"/>
          <w:sz w:val="25"/>
          <w:szCs w:val="25"/>
        </w:rPr>
        <w:t xml:space="preserve"> (</w:t>
      </w:r>
      <w:r w:rsidR="00A83E36" w:rsidRPr="00796251">
        <w:rPr>
          <w:rFonts w:cs="Times New Roman"/>
          <w:sz w:val="25"/>
          <w:szCs w:val="25"/>
        </w:rPr>
        <w:t>“</w:t>
      </w:r>
      <w:proofErr w:type="spellStart"/>
      <w:r w:rsidRPr="00796251">
        <w:rPr>
          <w:rFonts w:cs="Times New Roman"/>
          <w:sz w:val="25"/>
          <w:szCs w:val="25"/>
        </w:rPr>
        <w:t>Montachusett</w:t>
      </w:r>
      <w:proofErr w:type="spellEnd"/>
      <w:r w:rsidRPr="00796251">
        <w:rPr>
          <w:rFonts w:cs="Times New Roman"/>
          <w:sz w:val="25"/>
          <w:szCs w:val="25"/>
        </w:rPr>
        <w:t>”)</w:t>
      </w:r>
      <w:r w:rsidR="0026045B" w:rsidRPr="00796251">
        <w:rPr>
          <w:rFonts w:cs="Times New Roman"/>
          <w:sz w:val="25"/>
          <w:szCs w:val="25"/>
        </w:rPr>
        <w:t xml:space="preserve"> filed a </w:t>
      </w:r>
      <w:r w:rsidR="00750DC7" w:rsidRPr="00796251">
        <w:rPr>
          <w:rFonts w:cs="Times New Roman"/>
          <w:sz w:val="25"/>
          <w:szCs w:val="25"/>
        </w:rPr>
        <w:t>Motion t</w:t>
      </w:r>
      <w:r w:rsidRPr="00796251">
        <w:rPr>
          <w:rFonts w:cs="Times New Roman"/>
          <w:sz w:val="25"/>
          <w:szCs w:val="25"/>
        </w:rPr>
        <w:t xml:space="preserve">o Dismiss, stating that </w:t>
      </w:r>
      <w:r w:rsidR="00187C80" w:rsidRPr="00796251">
        <w:rPr>
          <w:rFonts w:cs="Times New Roman"/>
          <w:sz w:val="25"/>
          <w:szCs w:val="25"/>
        </w:rPr>
        <w:t xml:space="preserve">the instant Hearing Request did not “raise any new allegations or any change in circumstances” warranting a new Hearing.  In its Motion, </w:t>
      </w:r>
      <w:proofErr w:type="spellStart"/>
      <w:r w:rsidR="00187C80" w:rsidRPr="00796251">
        <w:rPr>
          <w:rFonts w:cs="Times New Roman"/>
          <w:sz w:val="25"/>
          <w:szCs w:val="25"/>
        </w:rPr>
        <w:t>Montachusett</w:t>
      </w:r>
      <w:proofErr w:type="spellEnd"/>
      <w:r w:rsidR="00187C80" w:rsidRPr="00796251">
        <w:rPr>
          <w:rFonts w:cs="Times New Roman"/>
          <w:sz w:val="25"/>
          <w:szCs w:val="25"/>
        </w:rPr>
        <w:t xml:space="preserve"> further notes that Student turned 18 years of age in early January 2019 and opted to retain decision-making authority when reaching the legal age of consent pursuant to the IDEA</w:t>
      </w:r>
      <w:r w:rsidR="00497505" w:rsidRPr="00796251">
        <w:rPr>
          <w:rFonts w:cs="Times New Roman"/>
          <w:sz w:val="25"/>
          <w:szCs w:val="25"/>
        </w:rPr>
        <w:t xml:space="preserve">, </w:t>
      </w:r>
      <w:r w:rsidR="00B801D6" w:rsidRPr="00796251">
        <w:rPr>
          <w:rFonts w:cs="Times New Roman"/>
          <w:sz w:val="25"/>
          <w:szCs w:val="25"/>
        </w:rPr>
        <w:t xml:space="preserve">and </w:t>
      </w:r>
      <w:r w:rsidR="00497505" w:rsidRPr="00796251">
        <w:rPr>
          <w:rFonts w:cs="Times New Roman"/>
          <w:sz w:val="25"/>
          <w:szCs w:val="25"/>
        </w:rPr>
        <w:t xml:space="preserve">that a Protective Order </w:t>
      </w:r>
      <w:r w:rsidR="00B801D6" w:rsidRPr="00796251">
        <w:rPr>
          <w:rFonts w:cs="Times New Roman"/>
          <w:sz w:val="25"/>
          <w:szCs w:val="25"/>
        </w:rPr>
        <w:t xml:space="preserve">has been issued </w:t>
      </w:r>
      <w:r w:rsidR="00497505" w:rsidRPr="00796251">
        <w:rPr>
          <w:rFonts w:cs="Times New Roman"/>
          <w:sz w:val="25"/>
          <w:szCs w:val="25"/>
        </w:rPr>
        <w:t>prohibit</w:t>
      </w:r>
      <w:r w:rsidR="00B801D6" w:rsidRPr="00796251">
        <w:rPr>
          <w:rFonts w:cs="Times New Roman"/>
          <w:sz w:val="25"/>
          <w:szCs w:val="25"/>
        </w:rPr>
        <w:t>ing</w:t>
      </w:r>
      <w:r w:rsidR="00497505" w:rsidRPr="00796251">
        <w:rPr>
          <w:rFonts w:cs="Times New Roman"/>
          <w:sz w:val="25"/>
          <w:szCs w:val="25"/>
        </w:rPr>
        <w:t xml:space="preserve"> contact between Parent and Student unless Student initiates said contact</w:t>
      </w:r>
      <w:r w:rsidR="005F1767" w:rsidRPr="00796251">
        <w:rPr>
          <w:rFonts w:cs="Times New Roman"/>
          <w:sz w:val="25"/>
          <w:szCs w:val="25"/>
        </w:rPr>
        <w:t>.</w:t>
      </w:r>
      <w:r w:rsidR="00187C80" w:rsidRPr="00796251">
        <w:rPr>
          <w:rFonts w:cs="Times New Roman"/>
          <w:sz w:val="25"/>
          <w:szCs w:val="25"/>
        </w:rPr>
        <w:t xml:space="preserve">  </w:t>
      </w:r>
      <w:r w:rsidR="005F1767" w:rsidRPr="00796251">
        <w:rPr>
          <w:rFonts w:cs="Times New Roman"/>
          <w:sz w:val="25"/>
          <w:szCs w:val="25"/>
        </w:rPr>
        <w:t xml:space="preserve"> </w:t>
      </w:r>
    </w:p>
    <w:p w:rsidR="004A063E" w:rsidRPr="00796251" w:rsidRDefault="004A063E" w:rsidP="005F1767">
      <w:pPr>
        <w:rPr>
          <w:rFonts w:cs="Times New Roman"/>
          <w:sz w:val="25"/>
          <w:szCs w:val="25"/>
        </w:rPr>
      </w:pPr>
    </w:p>
    <w:p w:rsidR="00101B63" w:rsidRPr="00796251" w:rsidRDefault="00101B63" w:rsidP="005F1767">
      <w:pPr>
        <w:rPr>
          <w:rFonts w:cs="Times New Roman"/>
          <w:sz w:val="25"/>
          <w:szCs w:val="25"/>
        </w:rPr>
      </w:pPr>
      <w:r w:rsidRPr="00796251">
        <w:rPr>
          <w:rFonts w:cs="Times New Roman"/>
          <w:sz w:val="25"/>
          <w:szCs w:val="25"/>
        </w:rPr>
        <w:t>During a telephone conference call o</w:t>
      </w:r>
      <w:r w:rsidR="0072235E" w:rsidRPr="00796251">
        <w:rPr>
          <w:rFonts w:cs="Times New Roman"/>
          <w:sz w:val="25"/>
          <w:szCs w:val="25"/>
        </w:rPr>
        <w:t>n</w:t>
      </w:r>
      <w:r w:rsidRPr="00796251">
        <w:rPr>
          <w:rFonts w:cs="Times New Roman"/>
          <w:sz w:val="25"/>
          <w:szCs w:val="25"/>
        </w:rPr>
        <w:t xml:space="preserve"> </w:t>
      </w:r>
      <w:r w:rsidR="00187C80" w:rsidRPr="00796251">
        <w:rPr>
          <w:rFonts w:cs="Times New Roman"/>
          <w:sz w:val="25"/>
          <w:szCs w:val="25"/>
        </w:rPr>
        <w:t>March 25</w:t>
      </w:r>
      <w:r w:rsidR="0072235E" w:rsidRPr="00796251">
        <w:rPr>
          <w:rFonts w:cs="Times New Roman"/>
          <w:sz w:val="25"/>
          <w:szCs w:val="25"/>
        </w:rPr>
        <w:t>, 201</w:t>
      </w:r>
      <w:r w:rsidR="00187C80" w:rsidRPr="00796251">
        <w:rPr>
          <w:rFonts w:cs="Times New Roman"/>
          <w:sz w:val="25"/>
          <w:szCs w:val="25"/>
        </w:rPr>
        <w:t>9</w:t>
      </w:r>
      <w:r w:rsidR="0072235E" w:rsidRPr="00796251">
        <w:rPr>
          <w:rFonts w:cs="Times New Roman"/>
          <w:sz w:val="25"/>
          <w:szCs w:val="25"/>
        </w:rPr>
        <w:t xml:space="preserve">, </w:t>
      </w:r>
      <w:r w:rsidRPr="00796251">
        <w:rPr>
          <w:rFonts w:cs="Times New Roman"/>
          <w:sz w:val="25"/>
          <w:szCs w:val="25"/>
        </w:rPr>
        <w:t>Parent was grant</w:t>
      </w:r>
      <w:r w:rsidR="00750DC7" w:rsidRPr="00796251">
        <w:rPr>
          <w:rFonts w:cs="Times New Roman"/>
          <w:sz w:val="25"/>
          <w:szCs w:val="25"/>
        </w:rPr>
        <w:t>ed an extension of time to file her response to</w:t>
      </w:r>
      <w:r w:rsidRPr="00796251">
        <w:rPr>
          <w:rFonts w:cs="Times New Roman"/>
          <w:sz w:val="25"/>
          <w:szCs w:val="25"/>
        </w:rPr>
        <w:t xml:space="preserve"> </w:t>
      </w:r>
      <w:proofErr w:type="spellStart"/>
      <w:r w:rsidR="00E665C8" w:rsidRPr="00796251">
        <w:rPr>
          <w:rFonts w:cs="Times New Roman"/>
          <w:sz w:val="25"/>
          <w:szCs w:val="25"/>
        </w:rPr>
        <w:t>Montachusett</w:t>
      </w:r>
      <w:r w:rsidR="00750DC7" w:rsidRPr="00796251">
        <w:rPr>
          <w:rFonts w:cs="Times New Roman"/>
          <w:sz w:val="25"/>
          <w:szCs w:val="25"/>
        </w:rPr>
        <w:t>’s</w:t>
      </w:r>
      <w:proofErr w:type="spellEnd"/>
      <w:r w:rsidR="00750DC7" w:rsidRPr="00796251">
        <w:rPr>
          <w:rFonts w:cs="Times New Roman"/>
          <w:sz w:val="25"/>
          <w:szCs w:val="25"/>
        </w:rPr>
        <w:t xml:space="preserve"> Motion to Dismiss</w:t>
      </w:r>
      <w:r w:rsidRPr="00796251">
        <w:rPr>
          <w:rFonts w:cs="Times New Roman"/>
          <w:sz w:val="25"/>
          <w:szCs w:val="25"/>
        </w:rPr>
        <w:t xml:space="preserve">.  </w:t>
      </w:r>
      <w:r w:rsidR="00750DC7" w:rsidRPr="00796251">
        <w:rPr>
          <w:rFonts w:cs="Times New Roman"/>
          <w:sz w:val="25"/>
          <w:szCs w:val="25"/>
        </w:rPr>
        <w:t>Parent’s</w:t>
      </w:r>
      <w:r w:rsidR="008451AA" w:rsidRPr="00796251">
        <w:rPr>
          <w:rFonts w:cs="Times New Roman"/>
          <w:sz w:val="25"/>
          <w:szCs w:val="25"/>
        </w:rPr>
        <w:t xml:space="preserve"> </w:t>
      </w:r>
      <w:r w:rsidR="00E665C8" w:rsidRPr="00796251">
        <w:rPr>
          <w:rFonts w:cs="Times New Roman"/>
          <w:sz w:val="25"/>
          <w:szCs w:val="25"/>
        </w:rPr>
        <w:t>Motion in Objection to Dismissal (Parent’s Objection)</w:t>
      </w:r>
      <w:r w:rsidR="00750DC7" w:rsidRPr="00796251">
        <w:rPr>
          <w:rFonts w:cs="Times New Roman"/>
          <w:sz w:val="25"/>
          <w:szCs w:val="25"/>
        </w:rPr>
        <w:t xml:space="preserve"> </w:t>
      </w:r>
      <w:r w:rsidRPr="00796251">
        <w:rPr>
          <w:rFonts w:cs="Times New Roman"/>
          <w:sz w:val="25"/>
          <w:szCs w:val="25"/>
        </w:rPr>
        <w:t xml:space="preserve">was received on </w:t>
      </w:r>
      <w:r w:rsidR="00E665C8" w:rsidRPr="00796251">
        <w:rPr>
          <w:rFonts w:cs="Times New Roman"/>
          <w:sz w:val="25"/>
          <w:szCs w:val="25"/>
        </w:rPr>
        <w:t>March 28, 2019.</w:t>
      </w:r>
      <w:r w:rsidRPr="00796251">
        <w:rPr>
          <w:rFonts w:cs="Times New Roman"/>
          <w:sz w:val="25"/>
          <w:szCs w:val="25"/>
        </w:rPr>
        <w:t xml:space="preserve">  </w:t>
      </w:r>
      <w:r w:rsidR="00E665C8" w:rsidRPr="00796251">
        <w:rPr>
          <w:rFonts w:cs="Times New Roman"/>
          <w:sz w:val="25"/>
          <w:szCs w:val="25"/>
        </w:rPr>
        <w:t>In her response</w:t>
      </w:r>
      <w:r w:rsidR="005B64AA" w:rsidRPr="00796251">
        <w:rPr>
          <w:rFonts w:cs="Times New Roman"/>
          <w:sz w:val="25"/>
          <w:szCs w:val="25"/>
        </w:rPr>
        <w:t>,</w:t>
      </w:r>
      <w:r w:rsidR="00E665C8" w:rsidRPr="00796251">
        <w:rPr>
          <w:rFonts w:cs="Times New Roman"/>
          <w:sz w:val="25"/>
          <w:szCs w:val="25"/>
        </w:rPr>
        <w:t xml:space="preserve"> Parent </w:t>
      </w:r>
      <w:r w:rsidR="009B1D5A" w:rsidRPr="00796251">
        <w:rPr>
          <w:rFonts w:cs="Times New Roman"/>
          <w:sz w:val="25"/>
          <w:szCs w:val="25"/>
        </w:rPr>
        <w:t xml:space="preserve">states that Student’s age of majority is irrelevant for purposes of FERPA because she still claims Student as a dependent for tax purposes, </w:t>
      </w:r>
      <w:r w:rsidR="00B801D6" w:rsidRPr="00796251">
        <w:rPr>
          <w:rFonts w:cs="Times New Roman"/>
          <w:sz w:val="25"/>
          <w:szCs w:val="25"/>
        </w:rPr>
        <w:t xml:space="preserve">and </w:t>
      </w:r>
      <w:r w:rsidR="009B1D5A" w:rsidRPr="00796251">
        <w:rPr>
          <w:rFonts w:cs="Times New Roman"/>
          <w:sz w:val="25"/>
          <w:szCs w:val="25"/>
        </w:rPr>
        <w:t>asserts that the previous Hearing Officer erred in her rulings and should have offered Parent an opportunity to proceed to Hearing</w:t>
      </w:r>
      <w:r w:rsidR="005B64AA" w:rsidRPr="00796251">
        <w:rPr>
          <w:rFonts w:cs="Times New Roman"/>
          <w:sz w:val="25"/>
          <w:szCs w:val="25"/>
        </w:rPr>
        <w:t>.  Parent also argued</w:t>
      </w:r>
      <w:r w:rsidR="009B1D5A" w:rsidRPr="00796251">
        <w:rPr>
          <w:rFonts w:cs="Times New Roman"/>
          <w:sz w:val="25"/>
          <w:szCs w:val="25"/>
        </w:rPr>
        <w:t xml:space="preserve"> that the BSEA lack</w:t>
      </w:r>
      <w:r w:rsidR="005B64AA" w:rsidRPr="00796251">
        <w:rPr>
          <w:rFonts w:cs="Times New Roman"/>
          <w:sz w:val="25"/>
          <w:szCs w:val="25"/>
        </w:rPr>
        <w:t>ed</w:t>
      </w:r>
      <w:r w:rsidR="009B1D5A" w:rsidRPr="00796251">
        <w:rPr>
          <w:rFonts w:cs="Times New Roman"/>
          <w:sz w:val="25"/>
          <w:szCs w:val="25"/>
        </w:rPr>
        <w:t xml:space="preserve"> authority to enforce parental rights to records and </w:t>
      </w:r>
      <w:r w:rsidR="00B801D6" w:rsidRPr="00796251">
        <w:rPr>
          <w:rFonts w:cs="Times New Roman"/>
          <w:sz w:val="25"/>
          <w:szCs w:val="25"/>
        </w:rPr>
        <w:t xml:space="preserve">further </w:t>
      </w:r>
      <w:r w:rsidR="005B64AA" w:rsidRPr="00796251">
        <w:rPr>
          <w:rFonts w:cs="Times New Roman"/>
          <w:sz w:val="25"/>
          <w:szCs w:val="25"/>
        </w:rPr>
        <w:t>noted th</w:t>
      </w:r>
      <w:r w:rsidR="009B1D5A" w:rsidRPr="00796251">
        <w:rPr>
          <w:rFonts w:cs="Times New Roman"/>
          <w:sz w:val="25"/>
          <w:szCs w:val="25"/>
        </w:rPr>
        <w:t xml:space="preserve">at she </w:t>
      </w:r>
      <w:r w:rsidR="005B64AA" w:rsidRPr="00796251">
        <w:rPr>
          <w:rFonts w:cs="Times New Roman"/>
          <w:sz w:val="25"/>
          <w:szCs w:val="25"/>
        </w:rPr>
        <w:t xml:space="preserve">was </w:t>
      </w:r>
      <w:r w:rsidR="009B1D5A" w:rsidRPr="00796251">
        <w:rPr>
          <w:rFonts w:cs="Times New Roman"/>
          <w:sz w:val="25"/>
          <w:szCs w:val="25"/>
        </w:rPr>
        <w:t xml:space="preserve">not requesting “award of financial damages” through the BSEA but rather “that a potential lawsuit to be filed to claim money damages due to continued </w:t>
      </w:r>
      <w:r w:rsidR="009B1D5A" w:rsidRPr="00796251">
        <w:rPr>
          <w:rFonts w:cs="Times New Roman"/>
          <w:sz w:val="25"/>
          <w:szCs w:val="25"/>
        </w:rPr>
        <w:lastRenderedPageBreak/>
        <w:t>violations of parental rights is being considered</w:t>
      </w:r>
      <w:r w:rsidR="005B64AA" w:rsidRPr="00796251">
        <w:rPr>
          <w:rFonts w:cs="Times New Roman"/>
          <w:sz w:val="25"/>
          <w:szCs w:val="25"/>
        </w:rPr>
        <w:t>.</w:t>
      </w:r>
      <w:r w:rsidR="009B1D5A" w:rsidRPr="00796251">
        <w:rPr>
          <w:rFonts w:cs="Times New Roman"/>
          <w:sz w:val="25"/>
          <w:szCs w:val="25"/>
        </w:rPr>
        <w:t>” As such</w:t>
      </w:r>
      <w:r w:rsidR="00750DC7" w:rsidRPr="00796251">
        <w:rPr>
          <w:rFonts w:cs="Times New Roman"/>
          <w:sz w:val="25"/>
          <w:szCs w:val="25"/>
        </w:rPr>
        <w:t xml:space="preserve">, </w:t>
      </w:r>
      <w:r w:rsidR="009B1D5A" w:rsidRPr="00796251">
        <w:rPr>
          <w:rFonts w:cs="Times New Roman"/>
          <w:sz w:val="25"/>
          <w:szCs w:val="25"/>
        </w:rPr>
        <w:t xml:space="preserve">Parent asserts that </w:t>
      </w:r>
      <w:r w:rsidRPr="00796251">
        <w:rPr>
          <w:rFonts w:cs="Times New Roman"/>
          <w:sz w:val="25"/>
          <w:szCs w:val="25"/>
        </w:rPr>
        <w:t xml:space="preserve">her Hearing Request </w:t>
      </w:r>
      <w:r w:rsidR="00750DC7" w:rsidRPr="00796251">
        <w:rPr>
          <w:rFonts w:cs="Times New Roman"/>
          <w:sz w:val="25"/>
          <w:szCs w:val="25"/>
        </w:rPr>
        <w:t xml:space="preserve">should not be dismissed. </w:t>
      </w:r>
      <w:r w:rsidR="00934F9F" w:rsidRPr="00796251">
        <w:rPr>
          <w:rFonts w:cs="Times New Roman"/>
          <w:sz w:val="25"/>
          <w:szCs w:val="25"/>
        </w:rPr>
        <w:t xml:space="preserve"> </w:t>
      </w:r>
    </w:p>
    <w:p w:rsidR="000170A1" w:rsidRPr="00796251" w:rsidRDefault="000170A1" w:rsidP="005F1767">
      <w:pPr>
        <w:rPr>
          <w:rFonts w:cs="Times New Roman"/>
          <w:sz w:val="25"/>
          <w:szCs w:val="25"/>
        </w:rPr>
      </w:pPr>
    </w:p>
    <w:p w:rsidR="005F1767" w:rsidRPr="00796251" w:rsidRDefault="00C12E90" w:rsidP="005F1767">
      <w:pPr>
        <w:rPr>
          <w:rFonts w:cs="Times New Roman"/>
          <w:sz w:val="25"/>
          <w:szCs w:val="25"/>
        </w:rPr>
      </w:pPr>
      <w:r w:rsidRPr="00796251">
        <w:rPr>
          <w:rFonts w:cs="Times New Roman"/>
          <w:sz w:val="25"/>
          <w:szCs w:val="25"/>
        </w:rPr>
        <w:t xml:space="preserve">After </w:t>
      </w:r>
      <w:r w:rsidR="003E178F" w:rsidRPr="00796251">
        <w:rPr>
          <w:rFonts w:cs="Times New Roman"/>
          <w:sz w:val="25"/>
          <w:szCs w:val="25"/>
        </w:rPr>
        <w:t>consideration of the Parties</w:t>
      </w:r>
      <w:r w:rsidR="00171E61" w:rsidRPr="00796251">
        <w:rPr>
          <w:rFonts w:cs="Times New Roman"/>
          <w:sz w:val="25"/>
          <w:szCs w:val="25"/>
        </w:rPr>
        <w:t>’</w:t>
      </w:r>
      <w:r w:rsidR="00EB03A3" w:rsidRPr="00796251">
        <w:rPr>
          <w:rFonts w:cs="Times New Roman"/>
          <w:sz w:val="25"/>
          <w:szCs w:val="25"/>
        </w:rPr>
        <w:t xml:space="preserve"> arguments,</w:t>
      </w:r>
      <w:r w:rsidR="003E178F" w:rsidRPr="00796251">
        <w:rPr>
          <w:rFonts w:cs="Times New Roman"/>
          <w:sz w:val="25"/>
          <w:szCs w:val="25"/>
        </w:rPr>
        <w:t xml:space="preserve"> </w:t>
      </w:r>
      <w:r w:rsidR="0072235E" w:rsidRPr="00796251">
        <w:rPr>
          <w:rFonts w:cs="Times New Roman"/>
          <w:sz w:val="25"/>
          <w:szCs w:val="25"/>
        </w:rPr>
        <w:t>the Hearing Request</w:t>
      </w:r>
      <w:r w:rsidR="00EB03A3" w:rsidRPr="00796251">
        <w:rPr>
          <w:rFonts w:cs="Times New Roman"/>
          <w:sz w:val="25"/>
          <w:szCs w:val="25"/>
        </w:rPr>
        <w:t xml:space="preserve"> </w:t>
      </w:r>
      <w:r w:rsidR="00340D7B" w:rsidRPr="00796251">
        <w:rPr>
          <w:rFonts w:cs="Times New Roman"/>
          <w:sz w:val="25"/>
          <w:szCs w:val="25"/>
        </w:rPr>
        <w:t>in the instant case</w:t>
      </w:r>
      <w:r w:rsidR="000170A1" w:rsidRPr="00796251">
        <w:rPr>
          <w:rFonts w:cs="Times New Roman"/>
          <w:sz w:val="25"/>
          <w:szCs w:val="25"/>
        </w:rPr>
        <w:t>,</w:t>
      </w:r>
      <w:r w:rsidR="00340D7B" w:rsidRPr="00796251">
        <w:rPr>
          <w:rFonts w:cs="Times New Roman"/>
          <w:sz w:val="25"/>
          <w:szCs w:val="25"/>
        </w:rPr>
        <w:t xml:space="preserve"> and </w:t>
      </w:r>
      <w:r w:rsidRPr="00796251">
        <w:rPr>
          <w:rFonts w:cs="Times New Roman"/>
          <w:sz w:val="25"/>
          <w:szCs w:val="25"/>
        </w:rPr>
        <w:t xml:space="preserve">taking </w:t>
      </w:r>
      <w:r w:rsidR="00340D7B" w:rsidRPr="00796251">
        <w:rPr>
          <w:rFonts w:cs="Times New Roman"/>
          <w:sz w:val="25"/>
          <w:szCs w:val="25"/>
        </w:rPr>
        <w:t>administrative notice of BSEA #1904777</w:t>
      </w:r>
      <w:r w:rsidR="0072235E" w:rsidRPr="00796251">
        <w:rPr>
          <w:rFonts w:cs="Times New Roman"/>
          <w:sz w:val="25"/>
          <w:szCs w:val="25"/>
        </w:rPr>
        <w:t xml:space="preserve">, </w:t>
      </w:r>
      <w:proofErr w:type="spellStart"/>
      <w:r w:rsidR="009B1D5A" w:rsidRPr="00796251">
        <w:rPr>
          <w:rFonts w:cs="Times New Roman"/>
          <w:sz w:val="25"/>
          <w:szCs w:val="25"/>
        </w:rPr>
        <w:t>Montachusett’</w:t>
      </w:r>
      <w:r w:rsidR="003E178F" w:rsidRPr="00796251">
        <w:rPr>
          <w:rFonts w:cs="Times New Roman"/>
          <w:sz w:val="25"/>
          <w:szCs w:val="25"/>
        </w:rPr>
        <w:t>s</w:t>
      </w:r>
      <w:proofErr w:type="spellEnd"/>
      <w:r w:rsidR="003E178F" w:rsidRPr="00796251">
        <w:rPr>
          <w:rFonts w:cs="Times New Roman"/>
          <w:sz w:val="25"/>
          <w:szCs w:val="25"/>
        </w:rPr>
        <w:t xml:space="preserve"> Motion to Dismiss is </w:t>
      </w:r>
      <w:r w:rsidR="009B1D5A" w:rsidRPr="00796251">
        <w:rPr>
          <w:rFonts w:cs="Times New Roman"/>
          <w:b/>
          <w:sz w:val="25"/>
          <w:szCs w:val="25"/>
        </w:rPr>
        <w:t>GRANTED</w:t>
      </w:r>
      <w:r w:rsidR="003E178F" w:rsidRPr="00796251">
        <w:rPr>
          <w:rFonts w:cs="Times New Roman"/>
          <w:sz w:val="25"/>
          <w:szCs w:val="25"/>
        </w:rPr>
        <w:t xml:space="preserve"> as explained below.</w:t>
      </w:r>
    </w:p>
    <w:p w:rsidR="003E178F" w:rsidRPr="00796251" w:rsidRDefault="003E178F" w:rsidP="005F1767">
      <w:pPr>
        <w:rPr>
          <w:rFonts w:cs="Times New Roman"/>
          <w:sz w:val="25"/>
          <w:szCs w:val="25"/>
        </w:rPr>
      </w:pPr>
    </w:p>
    <w:p w:rsidR="003E178F" w:rsidRPr="00796251" w:rsidRDefault="003E178F" w:rsidP="005F1767">
      <w:pPr>
        <w:rPr>
          <w:rFonts w:cs="Times New Roman"/>
          <w:b/>
          <w:sz w:val="25"/>
          <w:szCs w:val="25"/>
        </w:rPr>
      </w:pPr>
      <w:r w:rsidRPr="00796251">
        <w:rPr>
          <w:rFonts w:cs="Times New Roman"/>
          <w:b/>
          <w:sz w:val="25"/>
          <w:szCs w:val="25"/>
        </w:rPr>
        <w:t>Facts:</w:t>
      </w:r>
    </w:p>
    <w:p w:rsidR="003E178F" w:rsidRPr="00796251" w:rsidRDefault="003E178F" w:rsidP="005F1767">
      <w:pPr>
        <w:rPr>
          <w:rFonts w:cs="Times New Roman"/>
          <w:sz w:val="25"/>
          <w:szCs w:val="25"/>
        </w:rPr>
      </w:pPr>
    </w:p>
    <w:p w:rsidR="003E178F" w:rsidRPr="00796251" w:rsidRDefault="003E178F" w:rsidP="005F1767">
      <w:pPr>
        <w:rPr>
          <w:rFonts w:cs="Times New Roman"/>
          <w:sz w:val="25"/>
          <w:szCs w:val="25"/>
        </w:rPr>
      </w:pPr>
      <w:r w:rsidRPr="00796251">
        <w:rPr>
          <w:rFonts w:cs="Times New Roman"/>
          <w:sz w:val="25"/>
          <w:szCs w:val="25"/>
        </w:rPr>
        <w:t xml:space="preserve">The facts </w:t>
      </w:r>
      <w:r w:rsidR="001D5734" w:rsidRPr="00796251">
        <w:rPr>
          <w:rFonts w:cs="Times New Roman"/>
          <w:sz w:val="25"/>
          <w:szCs w:val="25"/>
        </w:rPr>
        <w:t xml:space="preserve">delineated below </w:t>
      </w:r>
      <w:r w:rsidRPr="00796251">
        <w:rPr>
          <w:rFonts w:cs="Times New Roman"/>
          <w:sz w:val="25"/>
          <w:szCs w:val="25"/>
        </w:rPr>
        <w:t>are presumed to be true for the purposes of this Ruling only:</w:t>
      </w:r>
    </w:p>
    <w:p w:rsidR="003E178F" w:rsidRPr="00796251" w:rsidRDefault="003E178F" w:rsidP="005F1767">
      <w:pPr>
        <w:rPr>
          <w:rFonts w:cs="Times New Roman"/>
          <w:sz w:val="25"/>
          <w:szCs w:val="25"/>
        </w:rPr>
      </w:pPr>
    </w:p>
    <w:p w:rsidR="009E1F8F" w:rsidRPr="00796251" w:rsidRDefault="00AE1621" w:rsidP="00AE1621">
      <w:pPr>
        <w:pStyle w:val="ListParagraph"/>
        <w:numPr>
          <w:ilvl w:val="0"/>
          <w:numId w:val="3"/>
        </w:numPr>
        <w:rPr>
          <w:rFonts w:cs="Times New Roman"/>
          <w:sz w:val="25"/>
          <w:szCs w:val="25"/>
        </w:rPr>
      </w:pPr>
      <w:r w:rsidRPr="00796251">
        <w:rPr>
          <w:rFonts w:cs="Times New Roman"/>
          <w:sz w:val="25"/>
          <w:szCs w:val="25"/>
        </w:rPr>
        <w:t>Student</w:t>
      </w:r>
      <w:r w:rsidR="0067127B" w:rsidRPr="00796251">
        <w:rPr>
          <w:rFonts w:cs="Times New Roman"/>
          <w:sz w:val="25"/>
          <w:szCs w:val="25"/>
        </w:rPr>
        <w:t xml:space="preserve"> is a</w:t>
      </w:r>
      <w:r w:rsidR="00101B63" w:rsidRPr="00796251">
        <w:rPr>
          <w:rFonts w:cs="Times New Roman"/>
          <w:sz w:val="25"/>
          <w:szCs w:val="25"/>
        </w:rPr>
        <w:t>n</w:t>
      </w:r>
      <w:r w:rsidR="0067127B" w:rsidRPr="00796251">
        <w:rPr>
          <w:rFonts w:cs="Times New Roman"/>
          <w:sz w:val="25"/>
          <w:szCs w:val="25"/>
        </w:rPr>
        <w:t xml:space="preserve"> </w:t>
      </w:r>
      <w:r w:rsidR="009B1D5A" w:rsidRPr="00796251">
        <w:rPr>
          <w:rFonts w:cs="Times New Roman"/>
          <w:sz w:val="25"/>
          <w:szCs w:val="25"/>
        </w:rPr>
        <w:t>eighteen year</w:t>
      </w:r>
      <w:r w:rsidR="00A06E5D" w:rsidRPr="00796251">
        <w:rPr>
          <w:rFonts w:cs="Times New Roman"/>
          <w:sz w:val="25"/>
          <w:szCs w:val="25"/>
        </w:rPr>
        <w:t>-</w:t>
      </w:r>
      <w:r w:rsidR="0067127B" w:rsidRPr="00796251">
        <w:rPr>
          <w:rFonts w:cs="Times New Roman"/>
          <w:sz w:val="25"/>
          <w:szCs w:val="25"/>
        </w:rPr>
        <w:t>old</w:t>
      </w:r>
      <w:r w:rsidR="009B1D5A" w:rsidRPr="00796251">
        <w:rPr>
          <w:rFonts w:cs="Times New Roman"/>
          <w:sz w:val="25"/>
          <w:szCs w:val="25"/>
        </w:rPr>
        <w:t xml:space="preserve"> </w:t>
      </w:r>
      <w:r w:rsidR="009E1F8F" w:rsidRPr="00796251">
        <w:rPr>
          <w:rFonts w:cs="Times New Roman"/>
          <w:sz w:val="25"/>
          <w:szCs w:val="25"/>
        </w:rPr>
        <w:t>who attends</w:t>
      </w:r>
      <w:r w:rsidR="009B1D5A" w:rsidRPr="00796251">
        <w:rPr>
          <w:rFonts w:cs="Times New Roman"/>
          <w:sz w:val="25"/>
          <w:szCs w:val="25"/>
        </w:rPr>
        <w:t xml:space="preserve"> </w:t>
      </w:r>
      <w:proofErr w:type="spellStart"/>
      <w:r w:rsidR="009B1D5A" w:rsidRPr="00796251">
        <w:rPr>
          <w:rFonts w:cs="Times New Roman"/>
          <w:sz w:val="25"/>
          <w:szCs w:val="25"/>
        </w:rPr>
        <w:t>Montachusett</w:t>
      </w:r>
      <w:proofErr w:type="spellEnd"/>
      <w:r w:rsidR="00E2494C" w:rsidRPr="00796251">
        <w:rPr>
          <w:rFonts w:cs="Times New Roman"/>
          <w:sz w:val="25"/>
          <w:szCs w:val="25"/>
        </w:rPr>
        <w:t>.</w:t>
      </w:r>
      <w:r w:rsidR="009B1D5A" w:rsidRPr="00796251">
        <w:rPr>
          <w:rFonts w:cs="Times New Roman"/>
          <w:sz w:val="25"/>
          <w:szCs w:val="25"/>
        </w:rPr>
        <w:t xml:space="preserve"> </w:t>
      </w:r>
      <w:r w:rsidR="009E1F8F" w:rsidRPr="00796251">
        <w:rPr>
          <w:rFonts w:cs="Times New Roman"/>
          <w:sz w:val="25"/>
          <w:szCs w:val="25"/>
        </w:rPr>
        <w:t xml:space="preserve">Student is an IDEA eligible student receiving special education services pursuant to an IEP.  His eligibility </w:t>
      </w:r>
      <w:r w:rsidR="00C12E90" w:rsidRPr="00796251">
        <w:rPr>
          <w:rFonts w:cs="Times New Roman"/>
          <w:sz w:val="25"/>
          <w:szCs w:val="25"/>
        </w:rPr>
        <w:t xml:space="preserve">and </w:t>
      </w:r>
      <w:r w:rsidR="009E1F8F" w:rsidRPr="00796251">
        <w:rPr>
          <w:rFonts w:cs="Times New Roman"/>
          <w:sz w:val="25"/>
          <w:szCs w:val="25"/>
        </w:rPr>
        <w:t xml:space="preserve">IEP are not in dispute for purposes of this </w:t>
      </w:r>
      <w:r w:rsidR="000170A1" w:rsidRPr="00796251">
        <w:rPr>
          <w:rFonts w:cs="Times New Roman"/>
          <w:sz w:val="25"/>
          <w:szCs w:val="25"/>
        </w:rPr>
        <w:t>Rul</w:t>
      </w:r>
      <w:r w:rsidR="009E1F8F" w:rsidRPr="00796251">
        <w:rPr>
          <w:rFonts w:cs="Times New Roman"/>
          <w:sz w:val="25"/>
          <w:szCs w:val="25"/>
        </w:rPr>
        <w:t>ing.</w:t>
      </w:r>
    </w:p>
    <w:p w:rsidR="009E1F8F" w:rsidRPr="00796251" w:rsidRDefault="009E1F8F" w:rsidP="009E1F8F">
      <w:pPr>
        <w:pStyle w:val="ListParagraph"/>
        <w:rPr>
          <w:rFonts w:cs="Times New Roman"/>
          <w:sz w:val="25"/>
          <w:szCs w:val="25"/>
        </w:rPr>
      </w:pPr>
    </w:p>
    <w:p w:rsidR="009E1F8F" w:rsidRPr="00796251" w:rsidRDefault="009E1F8F" w:rsidP="00AE1621">
      <w:pPr>
        <w:pStyle w:val="ListParagraph"/>
        <w:numPr>
          <w:ilvl w:val="0"/>
          <w:numId w:val="3"/>
        </w:numPr>
        <w:rPr>
          <w:rFonts w:cs="Times New Roman"/>
          <w:sz w:val="25"/>
          <w:szCs w:val="25"/>
        </w:rPr>
      </w:pPr>
      <w:r w:rsidRPr="00796251">
        <w:rPr>
          <w:rFonts w:cs="Times New Roman"/>
          <w:sz w:val="25"/>
          <w:szCs w:val="25"/>
        </w:rPr>
        <w:t>Pursuant to the IDEA and Mass</w:t>
      </w:r>
      <w:r w:rsidR="00C12E90" w:rsidRPr="00796251">
        <w:rPr>
          <w:rFonts w:cs="Times New Roman"/>
          <w:sz w:val="25"/>
          <w:szCs w:val="25"/>
        </w:rPr>
        <w:t>achusetts special e</w:t>
      </w:r>
      <w:r w:rsidRPr="00796251">
        <w:rPr>
          <w:rFonts w:cs="Times New Roman"/>
          <w:sz w:val="25"/>
          <w:szCs w:val="25"/>
        </w:rPr>
        <w:t xml:space="preserve">ducation law and regulations, parental rights transfer to students when they reach the age of majority (18 years) and the student then becomes responsible to make all decisions regarding educational services unless a legal guardian or conservator is appointed, or the student chooses to share or relinquish educational decision-making </w:t>
      </w:r>
      <w:r w:rsidR="00C12E90" w:rsidRPr="00796251">
        <w:rPr>
          <w:rFonts w:cs="Times New Roman"/>
          <w:sz w:val="25"/>
          <w:szCs w:val="25"/>
        </w:rPr>
        <w:t xml:space="preserve">authority </w:t>
      </w:r>
      <w:r w:rsidRPr="00796251">
        <w:rPr>
          <w:rFonts w:cs="Times New Roman"/>
          <w:sz w:val="25"/>
          <w:szCs w:val="25"/>
        </w:rPr>
        <w:t xml:space="preserve">to a parent. </w:t>
      </w:r>
    </w:p>
    <w:p w:rsidR="009E1F8F" w:rsidRPr="00796251" w:rsidRDefault="009E1F8F" w:rsidP="009E1F8F">
      <w:pPr>
        <w:pStyle w:val="ListParagraph"/>
        <w:rPr>
          <w:rFonts w:cs="Times New Roman"/>
          <w:sz w:val="25"/>
          <w:szCs w:val="25"/>
        </w:rPr>
      </w:pPr>
      <w:r w:rsidRPr="00796251">
        <w:rPr>
          <w:rFonts w:cs="Times New Roman"/>
          <w:sz w:val="25"/>
          <w:szCs w:val="25"/>
        </w:rPr>
        <w:t xml:space="preserve"> </w:t>
      </w:r>
    </w:p>
    <w:p w:rsidR="00A06E5D" w:rsidRPr="00796251" w:rsidRDefault="009E1F8F" w:rsidP="00AE1621">
      <w:pPr>
        <w:pStyle w:val="ListParagraph"/>
        <w:numPr>
          <w:ilvl w:val="0"/>
          <w:numId w:val="3"/>
        </w:numPr>
        <w:rPr>
          <w:rFonts w:cs="Times New Roman"/>
          <w:sz w:val="25"/>
          <w:szCs w:val="25"/>
        </w:rPr>
      </w:pPr>
      <w:r w:rsidRPr="00796251">
        <w:rPr>
          <w:rFonts w:cs="Times New Roman"/>
          <w:sz w:val="25"/>
          <w:szCs w:val="25"/>
        </w:rPr>
        <w:t xml:space="preserve">Upon </w:t>
      </w:r>
      <w:r w:rsidR="001D1393" w:rsidRPr="00796251">
        <w:rPr>
          <w:rFonts w:cs="Times New Roman"/>
          <w:sz w:val="25"/>
          <w:szCs w:val="25"/>
        </w:rPr>
        <w:t xml:space="preserve">reaching the age of </w:t>
      </w:r>
      <w:r w:rsidR="00C12E90" w:rsidRPr="00796251">
        <w:rPr>
          <w:rFonts w:cs="Times New Roman"/>
          <w:sz w:val="25"/>
          <w:szCs w:val="25"/>
        </w:rPr>
        <w:t>majority</w:t>
      </w:r>
      <w:r w:rsidR="001D1393" w:rsidRPr="00796251">
        <w:rPr>
          <w:rFonts w:cs="Times New Roman"/>
          <w:sz w:val="25"/>
          <w:szCs w:val="25"/>
        </w:rPr>
        <w:t xml:space="preserve"> </w:t>
      </w:r>
      <w:r w:rsidR="000170A1" w:rsidRPr="00796251">
        <w:rPr>
          <w:rFonts w:cs="Times New Roman"/>
          <w:sz w:val="25"/>
          <w:szCs w:val="25"/>
        </w:rPr>
        <w:t xml:space="preserve">in January 2019, </w:t>
      </w:r>
      <w:r w:rsidR="001D1393" w:rsidRPr="00796251">
        <w:rPr>
          <w:rFonts w:cs="Times New Roman"/>
          <w:sz w:val="25"/>
          <w:szCs w:val="25"/>
        </w:rPr>
        <w:t>for purposes of the IDEA</w:t>
      </w:r>
      <w:r w:rsidRPr="00796251">
        <w:rPr>
          <w:rFonts w:cs="Times New Roman"/>
          <w:sz w:val="25"/>
          <w:szCs w:val="25"/>
        </w:rPr>
        <w:t xml:space="preserve">, Student chose to retain educational decision-making authority for himself. </w:t>
      </w:r>
    </w:p>
    <w:p w:rsidR="00A06E5D" w:rsidRPr="00796251" w:rsidRDefault="00A06E5D" w:rsidP="00A06E5D">
      <w:pPr>
        <w:pStyle w:val="ListParagraph"/>
        <w:rPr>
          <w:rFonts w:cs="Times New Roman"/>
          <w:sz w:val="25"/>
          <w:szCs w:val="25"/>
        </w:rPr>
      </w:pPr>
    </w:p>
    <w:p w:rsidR="00A06E5D" w:rsidRPr="00796251" w:rsidRDefault="001D1393" w:rsidP="00AE1621">
      <w:pPr>
        <w:pStyle w:val="ListParagraph"/>
        <w:numPr>
          <w:ilvl w:val="0"/>
          <w:numId w:val="3"/>
        </w:numPr>
        <w:rPr>
          <w:rFonts w:cs="Times New Roman"/>
          <w:sz w:val="25"/>
          <w:szCs w:val="25"/>
        </w:rPr>
      </w:pPr>
      <w:r w:rsidRPr="00796251">
        <w:rPr>
          <w:rFonts w:cs="Times New Roman"/>
          <w:sz w:val="25"/>
          <w:szCs w:val="25"/>
        </w:rPr>
        <w:t xml:space="preserve">Student’s parents are divorced and </w:t>
      </w:r>
      <w:r w:rsidR="00C12E90" w:rsidRPr="00796251">
        <w:rPr>
          <w:rFonts w:cs="Times New Roman"/>
          <w:sz w:val="25"/>
          <w:szCs w:val="25"/>
        </w:rPr>
        <w:t xml:space="preserve">the divorce decree granted </w:t>
      </w:r>
      <w:r w:rsidRPr="00796251">
        <w:rPr>
          <w:rFonts w:cs="Times New Roman"/>
          <w:sz w:val="25"/>
          <w:szCs w:val="25"/>
        </w:rPr>
        <w:t>sole legal and physical custody of Student</w:t>
      </w:r>
      <w:r w:rsidR="00C12E90" w:rsidRPr="00796251">
        <w:rPr>
          <w:rFonts w:cs="Times New Roman"/>
          <w:sz w:val="25"/>
          <w:szCs w:val="25"/>
        </w:rPr>
        <w:t xml:space="preserve"> to Father</w:t>
      </w:r>
      <w:r w:rsidR="00E05928" w:rsidRPr="00796251">
        <w:rPr>
          <w:rFonts w:cs="Times New Roman"/>
          <w:sz w:val="25"/>
          <w:szCs w:val="25"/>
        </w:rPr>
        <w:t>.</w:t>
      </w:r>
      <w:r w:rsidRPr="00796251">
        <w:rPr>
          <w:rFonts w:cs="Times New Roman"/>
          <w:sz w:val="25"/>
          <w:szCs w:val="25"/>
        </w:rPr>
        <w:t xml:space="preserve">  At the time of the divorce, and pursuant to a decree dated August 16, 2016, which became absolute on November 15, 2016, Mother (the moving party in the instant case) was granted the right to “con</w:t>
      </w:r>
      <w:r w:rsidR="00C12E90" w:rsidRPr="00796251">
        <w:rPr>
          <w:rFonts w:cs="Times New Roman"/>
          <w:sz w:val="25"/>
          <w:szCs w:val="25"/>
        </w:rPr>
        <w:t>fer” with educational providers and</w:t>
      </w:r>
      <w:r w:rsidRPr="00796251">
        <w:rPr>
          <w:rFonts w:cs="Times New Roman"/>
          <w:sz w:val="25"/>
          <w:szCs w:val="25"/>
        </w:rPr>
        <w:t xml:space="preserve"> receive documentation from such providers</w:t>
      </w:r>
      <w:r w:rsidR="00C12E90" w:rsidRPr="00796251">
        <w:rPr>
          <w:rFonts w:cs="Times New Roman"/>
          <w:sz w:val="25"/>
          <w:szCs w:val="25"/>
        </w:rPr>
        <w:t>,</w:t>
      </w:r>
      <w:r w:rsidRPr="00796251">
        <w:rPr>
          <w:rFonts w:cs="Times New Roman"/>
          <w:sz w:val="25"/>
          <w:szCs w:val="25"/>
        </w:rPr>
        <w:t xml:space="preserve"> and Father was ordered to keep Mother informed of educational issues.</w:t>
      </w:r>
      <w:r w:rsidR="00E05928" w:rsidRPr="00796251">
        <w:rPr>
          <w:rFonts w:cs="Times New Roman"/>
          <w:sz w:val="25"/>
          <w:szCs w:val="25"/>
        </w:rPr>
        <w:t xml:space="preserve"> </w:t>
      </w:r>
      <w:r w:rsidRPr="00796251">
        <w:rPr>
          <w:rFonts w:cs="Times New Roman"/>
          <w:sz w:val="25"/>
          <w:szCs w:val="25"/>
        </w:rPr>
        <w:t>(Administ</w:t>
      </w:r>
      <w:r w:rsidR="000170A1" w:rsidRPr="00796251">
        <w:rPr>
          <w:rFonts w:cs="Times New Roman"/>
          <w:sz w:val="25"/>
          <w:szCs w:val="25"/>
        </w:rPr>
        <w:t>rative notice of BSEA #1904777)</w:t>
      </w:r>
      <w:r w:rsidR="005C6EA3" w:rsidRPr="00796251">
        <w:rPr>
          <w:rFonts w:cs="Times New Roman"/>
          <w:sz w:val="25"/>
          <w:szCs w:val="25"/>
        </w:rPr>
        <w:t xml:space="preserve">  </w:t>
      </w:r>
    </w:p>
    <w:p w:rsidR="00A06E5D" w:rsidRPr="00796251" w:rsidRDefault="00A06E5D" w:rsidP="00A06E5D">
      <w:pPr>
        <w:pStyle w:val="ListParagraph"/>
        <w:rPr>
          <w:rFonts w:cs="Times New Roman"/>
          <w:sz w:val="25"/>
          <w:szCs w:val="25"/>
        </w:rPr>
      </w:pPr>
    </w:p>
    <w:p w:rsidR="00E05928" w:rsidRPr="00796251" w:rsidRDefault="00F84D8B" w:rsidP="00AE1621">
      <w:pPr>
        <w:pStyle w:val="ListParagraph"/>
        <w:numPr>
          <w:ilvl w:val="0"/>
          <w:numId w:val="3"/>
        </w:numPr>
        <w:rPr>
          <w:rFonts w:cs="Times New Roman"/>
          <w:sz w:val="25"/>
          <w:szCs w:val="25"/>
        </w:rPr>
      </w:pPr>
      <w:r w:rsidRPr="00796251">
        <w:rPr>
          <w:rFonts w:cs="Times New Roman"/>
          <w:sz w:val="25"/>
          <w:szCs w:val="25"/>
        </w:rPr>
        <w:t xml:space="preserve">Following issuance of the divorce decree, </w:t>
      </w:r>
      <w:r w:rsidR="00EA41A5" w:rsidRPr="00796251">
        <w:rPr>
          <w:rFonts w:cs="Times New Roman"/>
          <w:sz w:val="25"/>
          <w:szCs w:val="25"/>
        </w:rPr>
        <w:t xml:space="preserve">on September 12, 2017, </w:t>
      </w:r>
      <w:r w:rsidRPr="00796251">
        <w:rPr>
          <w:rFonts w:cs="Times New Roman"/>
          <w:sz w:val="25"/>
          <w:szCs w:val="25"/>
        </w:rPr>
        <w:t xml:space="preserve">Father sought and was granted </w:t>
      </w:r>
      <w:r w:rsidR="00EA41A5" w:rsidRPr="00796251">
        <w:rPr>
          <w:rFonts w:cs="Times New Roman"/>
          <w:sz w:val="25"/>
          <w:szCs w:val="25"/>
        </w:rPr>
        <w:t xml:space="preserve">by the Gardner District Court </w:t>
      </w:r>
      <w:r w:rsidRPr="00796251">
        <w:rPr>
          <w:rFonts w:cs="Times New Roman"/>
          <w:sz w:val="25"/>
          <w:szCs w:val="25"/>
        </w:rPr>
        <w:t>an “Abuse Prevention Order” against Mother on behalf of Student</w:t>
      </w:r>
      <w:r w:rsidR="00E05928" w:rsidRPr="00796251">
        <w:rPr>
          <w:rFonts w:cs="Times New Roman"/>
          <w:sz w:val="25"/>
          <w:szCs w:val="25"/>
        </w:rPr>
        <w:t>.</w:t>
      </w:r>
      <w:r w:rsidRPr="00796251">
        <w:rPr>
          <w:rFonts w:cs="Times New Roman"/>
          <w:sz w:val="25"/>
          <w:szCs w:val="25"/>
        </w:rPr>
        <w:t xml:space="preserve">  This Order </w:t>
      </w:r>
      <w:r w:rsidR="000A4EB6" w:rsidRPr="00796251">
        <w:rPr>
          <w:rFonts w:cs="Times New Roman"/>
          <w:sz w:val="25"/>
          <w:szCs w:val="25"/>
        </w:rPr>
        <w:t>prohibits Mother from</w:t>
      </w:r>
      <w:r w:rsidRPr="00796251">
        <w:rPr>
          <w:rFonts w:cs="Times New Roman"/>
          <w:sz w:val="25"/>
          <w:szCs w:val="25"/>
        </w:rPr>
        <w:t xml:space="preserve"> contact</w:t>
      </w:r>
      <w:r w:rsidR="000A4EB6" w:rsidRPr="00796251">
        <w:rPr>
          <w:rFonts w:cs="Times New Roman"/>
          <w:sz w:val="25"/>
          <w:szCs w:val="25"/>
        </w:rPr>
        <w:t>ing</w:t>
      </w:r>
      <w:r w:rsidRPr="00796251">
        <w:rPr>
          <w:rFonts w:cs="Times New Roman"/>
          <w:sz w:val="25"/>
          <w:szCs w:val="25"/>
        </w:rPr>
        <w:t xml:space="preserve"> Student </w:t>
      </w:r>
      <w:r w:rsidR="000A4EB6" w:rsidRPr="00796251">
        <w:rPr>
          <w:rFonts w:cs="Times New Roman"/>
          <w:sz w:val="25"/>
          <w:szCs w:val="25"/>
        </w:rPr>
        <w:t>unless he initiates the contact with her.</w:t>
      </w:r>
      <w:r w:rsidR="00340D7B" w:rsidRPr="00796251">
        <w:rPr>
          <w:rStyle w:val="FootnoteReference"/>
          <w:rFonts w:cs="Times New Roman"/>
          <w:sz w:val="25"/>
          <w:szCs w:val="25"/>
        </w:rPr>
        <w:footnoteReference w:id="3"/>
      </w:r>
      <w:r w:rsidR="000A4EB6" w:rsidRPr="00796251">
        <w:rPr>
          <w:rFonts w:cs="Times New Roman"/>
          <w:sz w:val="25"/>
          <w:szCs w:val="25"/>
        </w:rPr>
        <w:t xml:space="preserve">  The Order also requires Mother to </w:t>
      </w:r>
      <w:r w:rsidRPr="00796251">
        <w:rPr>
          <w:rFonts w:cs="Times New Roman"/>
          <w:sz w:val="25"/>
          <w:szCs w:val="25"/>
        </w:rPr>
        <w:t>“stay away” from the school district.  The original Order was dated September 6, 2017, and it has been extended several times thereafter.  The most recent extension was granted on October 29, 2018 and remains in effect through October 24, 2019. (Administ</w:t>
      </w:r>
      <w:r w:rsidR="000170A1" w:rsidRPr="00796251">
        <w:rPr>
          <w:rFonts w:cs="Times New Roman"/>
          <w:sz w:val="25"/>
          <w:szCs w:val="25"/>
        </w:rPr>
        <w:t>rative notice of BSEA #1904777)</w:t>
      </w:r>
      <w:r w:rsidRPr="00796251">
        <w:rPr>
          <w:rFonts w:cs="Times New Roman"/>
          <w:sz w:val="25"/>
          <w:szCs w:val="25"/>
        </w:rPr>
        <w:t xml:space="preserve">   </w:t>
      </w:r>
    </w:p>
    <w:p w:rsidR="00934F9F" w:rsidRPr="00796251" w:rsidRDefault="00934F9F" w:rsidP="00934F9F">
      <w:pPr>
        <w:pStyle w:val="ListParagraph"/>
        <w:rPr>
          <w:rFonts w:cs="Times New Roman"/>
          <w:sz w:val="25"/>
          <w:szCs w:val="25"/>
        </w:rPr>
      </w:pPr>
    </w:p>
    <w:p w:rsidR="005C163E" w:rsidRPr="00796251" w:rsidRDefault="000A4EB6" w:rsidP="005F1767">
      <w:pPr>
        <w:pStyle w:val="ListParagraph"/>
        <w:numPr>
          <w:ilvl w:val="0"/>
          <w:numId w:val="3"/>
        </w:numPr>
        <w:rPr>
          <w:rFonts w:cs="Times New Roman"/>
          <w:sz w:val="25"/>
          <w:szCs w:val="25"/>
        </w:rPr>
      </w:pPr>
      <w:r w:rsidRPr="00796251">
        <w:rPr>
          <w:rFonts w:cs="Times New Roman"/>
          <w:sz w:val="25"/>
          <w:szCs w:val="25"/>
        </w:rPr>
        <w:lastRenderedPageBreak/>
        <w:t>M.G.L. c. 71, sec. 34H addresses the rights of non-custodial parents regarding access to student record information</w:t>
      </w:r>
      <w:r w:rsidR="000170A1" w:rsidRPr="00796251">
        <w:rPr>
          <w:rFonts w:cs="Times New Roman"/>
          <w:sz w:val="25"/>
          <w:szCs w:val="25"/>
        </w:rPr>
        <w:t>,</w:t>
      </w:r>
      <w:r w:rsidRPr="00796251">
        <w:rPr>
          <w:rFonts w:cs="Times New Roman"/>
          <w:sz w:val="25"/>
          <w:szCs w:val="25"/>
        </w:rPr>
        <w:t xml:space="preserve"> generally granting them the ability to access their child’s record</w:t>
      </w:r>
      <w:r w:rsidR="001858D2" w:rsidRPr="00796251">
        <w:rPr>
          <w:rFonts w:cs="Times New Roman"/>
          <w:sz w:val="25"/>
          <w:szCs w:val="25"/>
        </w:rPr>
        <w:t xml:space="preserve"> if they are “eligible”</w:t>
      </w:r>
      <w:r w:rsidRPr="00796251">
        <w:rPr>
          <w:rFonts w:cs="Times New Roman"/>
          <w:sz w:val="25"/>
          <w:szCs w:val="25"/>
        </w:rPr>
        <w:t xml:space="preserve">. </w:t>
      </w:r>
      <w:r w:rsidR="001858D2" w:rsidRPr="00796251">
        <w:rPr>
          <w:rFonts w:cs="Times New Roman"/>
          <w:sz w:val="25"/>
          <w:szCs w:val="25"/>
        </w:rPr>
        <w:t xml:space="preserve">  </w:t>
      </w:r>
      <w:r w:rsidR="005C163E" w:rsidRPr="00796251">
        <w:rPr>
          <w:rFonts w:cs="Times New Roman"/>
          <w:sz w:val="25"/>
          <w:szCs w:val="25"/>
        </w:rPr>
        <w:t>Access to information by an eligible parent is prevented if one of the following occurs:</w:t>
      </w:r>
    </w:p>
    <w:p w:rsidR="005C163E" w:rsidRPr="00796251" w:rsidRDefault="005C163E" w:rsidP="005C163E">
      <w:pPr>
        <w:pStyle w:val="ListParagraph"/>
        <w:rPr>
          <w:rFonts w:cs="Times New Roman"/>
          <w:sz w:val="25"/>
          <w:szCs w:val="25"/>
        </w:rPr>
      </w:pPr>
    </w:p>
    <w:p w:rsidR="005C163E" w:rsidRPr="00796251" w:rsidRDefault="005C163E" w:rsidP="000170A1">
      <w:pPr>
        <w:pStyle w:val="ListParagraph"/>
        <w:ind w:left="2160" w:right="720"/>
        <w:jc w:val="both"/>
        <w:rPr>
          <w:rFonts w:cs="Times New Roman"/>
          <w:sz w:val="25"/>
          <w:szCs w:val="25"/>
        </w:rPr>
      </w:pPr>
      <w:r w:rsidRPr="00796251">
        <w:rPr>
          <w:rFonts w:cs="Times New Roman"/>
          <w:sz w:val="25"/>
          <w:szCs w:val="25"/>
        </w:rPr>
        <w:t>1) the Parent’s access to the child is currently prohibited by a temporary or permanent protective order, except where the protective order, or any subsequent order which modifies the protective order, specifically allows access to the information described in this section; or,</w:t>
      </w:r>
    </w:p>
    <w:p w:rsidR="001858D2" w:rsidRPr="00796251" w:rsidRDefault="005C163E" w:rsidP="000170A1">
      <w:pPr>
        <w:pStyle w:val="ListParagraph"/>
        <w:ind w:left="2160" w:right="720"/>
        <w:jc w:val="both"/>
        <w:rPr>
          <w:rFonts w:cs="Times New Roman"/>
          <w:sz w:val="25"/>
          <w:szCs w:val="25"/>
        </w:rPr>
      </w:pPr>
      <w:r w:rsidRPr="00796251">
        <w:rPr>
          <w:rFonts w:cs="Times New Roman"/>
          <w:sz w:val="25"/>
          <w:szCs w:val="25"/>
        </w:rPr>
        <w:t xml:space="preserve">2) </w:t>
      </w:r>
      <w:proofErr w:type="gramStart"/>
      <w:r w:rsidRPr="00796251">
        <w:rPr>
          <w:rFonts w:cs="Times New Roman"/>
          <w:sz w:val="25"/>
          <w:szCs w:val="25"/>
        </w:rPr>
        <w:t>the</w:t>
      </w:r>
      <w:proofErr w:type="gramEnd"/>
      <w:r w:rsidRPr="00796251">
        <w:rPr>
          <w:rFonts w:cs="Times New Roman"/>
          <w:sz w:val="25"/>
          <w:szCs w:val="25"/>
        </w:rPr>
        <w:t xml:space="preserve"> parent is denied visitation or, based on a threat to the safety of the child, is currently denied legal custody of the child or is currently ordered to supervised visitation, and the threat is specifically no</w:t>
      </w:r>
      <w:r w:rsidR="000170A1" w:rsidRPr="00796251">
        <w:rPr>
          <w:rFonts w:cs="Times New Roman"/>
          <w:sz w:val="25"/>
          <w:szCs w:val="25"/>
        </w:rPr>
        <w:t xml:space="preserve">ted in the order pertaining to </w:t>
      </w:r>
      <w:r w:rsidRPr="00796251">
        <w:rPr>
          <w:rFonts w:cs="Times New Roman"/>
          <w:sz w:val="25"/>
          <w:szCs w:val="25"/>
        </w:rPr>
        <w:t>custody or supervised visitation.</w:t>
      </w:r>
      <w:r w:rsidR="001858D2" w:rsidRPr="00796251">
        <w:rPr>
          <w:rFonts w:cs="Times New Roman"/>
          <w:sz w:val="25"/>
          <w:szCs w:val="25"/>
        </w:rPr>
        <w:t xml:space="preserve"> </w:t>
      </w:r>
    </w:p>
    <w:p w:rsidR="001858D2" w:rsidRPr="00796251" w:rsidRDefault="001858D2" w:rsidP="001858D2">
      <w:pPr>
        <w:pStyle w:val="ListParagraph"/>
        <w:rPr>
          <w:rFonts w:cs="Times New Roman"/>
          <w:sz w:val="25"/>
          <w:szCs w:val="25"/>
        </w:rPr>
      </w:pPr>
      <w:r w:rsidRPr="00796251">
        <w:rPr>
          <w:rFonts w:cs="Times New Roman"/>
          <w:sz w:val="25"/>
          <w:szCs w:val="25"/>
        </w:rPr>
        <w:t xml:space="preserve"> </w:t>
      </w:r>
    </w:p>
    <w:p w:rsidR="005C163E" w:rsidRPr="00796251" w:rsidRDefault="005C163E" w:rsidP="005F1767">
      <w:pPr>
        <w:pStyle w:val="ListParagraph"/>
        <w:numPr>
          <w:ilvl w:val="0"/>
          <w:numId w:val="3"/>
        </w:numPr>
        <w:rPr>
          <w:rFonts w:cs="Times New Roman"/>
          <w:sz w:val="25"/>
          <w:szCs w:val="25"/>
        </w:rPr>
      </w:pPr>
      <w:r w:rsidRPr="00796251">
        <w:rPr>
          <w:rFonts w:cs="Times New Roman"/>
          <w:sz w:val="25"/>
          <w:szCs w:val="25"/>
        </w:rPr>
        <w:t xml:space="preserve">FERPA regulations provide that </w:t>
      </w:r>
    </w:p>
    <w:p w:rsidR="005C163E" w:rsidRPr="00796251" w:rsidRDefault="005C163E" w:rsidP="005C163E">
      <w:pPr>
        <w:pStyle w:val="ListParagraph"/>
        <w:rPr>
          <w:rFonts w:cs="Times New Roman"/>
          <w:sz w:val="25"/>
          <w:szCs w:val="25"/>
        </w:rPr>
      </w:pPr>
    </w:p>
    <w:p w:rsidR="00A66553" w:rsidRPr="00796251" w:rsidRDefault="005C163E" w:rsidP="000170A1">
      <w:pPr>
        <w:pStyle w:val="ListParagraph"/>
        <w:ind w:left="2160" w:right="720"/>
        <w:jc w:val="both"/>
        <w:rPr>
          <w:rFonts w:cs="Times New Roman"/>
          <w:sz w:val="25"/>
          <w:szCs w:val="25"/>
        </w:rPr>
      </w:pPr>
      <w:r w:rsidRPr="00796251">
        <w:rPr>
          <w:rFonts w:cs="Times New Roman"/>
          <w:sz w:val="25"/>
          <w:szCs w:val="25"/>
        </w:rPr>
        <w:t>An educational agency or institution shall give full rights under the Act to either parent, unless the agency or institution has been provided with evidence that there is a court order, State statute, or legally binding document relating to such matters as divorce, separation, or custody that specifically revokes there rights.</w:t>
      </w:r>
      <w:r w:rsidR="000A4EB6" w:rsidRPr="00796251">
        <w:rPr>
          <w:rFonts w:cs="Times New Roman"/>
          <w:sz w:val="25"/>
          <w:szCs w:val="25"/>
        </w:rPr>
        <w:t xml:space="preserve"> </w:t>
      </w:r>
      <w:r w:rsidR="00624F62" w:rsidRPr="00796251">
        <w:rPr>
          <w:rFonts w:cs="Times New Roman"/>
          <w:sz w:val="25"/>
          <w:szCs w:val="25"/>
        </w:rPr>
        <w:t xml:space="preserve"> </w:t>
      </w:r>
      <w:r w:rsidRPr="00796251">
        <w:rPr>
          <w:rFonts w:cs="Times New Roman"/>
          <w:sz w:val="25"/>
          <w:szCs w:val="25"/>
        </w:rPr>
        <w:t xml:space="preserve"> 34 CFR </w:t>
      </w:r>
      <w:proofErr w:type="gramStart"/>
      <w:r w:rsidRPr="00796251">
        <w:rPr>
          <w:rFonts w:cs="Times New Roman"/>
          <w:sz w:val="25"/>
          <w:szCs w:val="25"/>
        </w:rPr>
        <w:t>Part</w:t>
      </w:r>
      <w:proofErr w:type="gramEnd"/>
      <w:r w:rsidRPr="00796251">
        <w:rPr>
          <w:rFonts w:cs="Times New Roman"/>
          <w:sz w:val="25"/>
          <w:szCs w:val="25"/>
        </w:rPr>
        <w:t xml:space="preserve"> 99.4.</w:t>
      </w:r>
    </w:p>
    <w:p w:rsidR="00A66553" w:rsidRPr="00796251" w:rsidRDefault="00A66553" w:rsidP="00A66553">
      <w:pPr>
        <w:pStyle w:val="ListParagraph"/>
        <w:rPr>
          <w:rFonts w:cs="Times New Roman"/>
          <w:sz w:val="25"/>
          <w:szCs w:val="25"/>
        </w:rPr>
      </w:pPr>
    </w:p>
    <w:p w:rsidR="009874E3" w:rsidRPr="00796251" w:rsidRDefault="009874E3" w:rsidP="005F1767">
      <w:pPr>
        <w:pStyle w:val="ListParagraph"/>
        <w:numPr>
          <w:ilvl w:val="0"/>
          <w:numId w:val="3"/>
        </w:numPr>
        <w:rPr>
          <w:rFonts w:cs="Times New Roman"/>
          <w:sz w:val="25"/>
          <w:szCs w:val="25"/>
        </w:rPr>
      </w:pPr>
      <w:r w:rsidRPr="00796251">
        <w:rPr>
          <w:rFonts w:cs="Times New Roman"/>
          <w:sz w:val="25"/>
          <w:szCs w:val="25"/>
        </w:rPr>
        <w:t>The IDEA incorporates elements of FERPA, including transfer of rights at the age of majority (18)</w:t>
      </w:r>
      <w:r w:rsidR="00A66553" w:rsidRPr="00796251">
        <w:rPr>
          <w:rFonts w:cs="Times New Roman"/>
          <w:sz w:val="25"/>
          <w:szCs w:val="25"/>
        </w:rPr>
        <w:t>.</w:t>
      </w:r>
      <w:r w:rsidRPr="00796251">
        <w:rPr>
          <w:rFonts w:cs="Times New Roman"/>
          <w:sz w:val="25"/>
          <w:szCs w:val="25"/>
        </w:rPr>
        <w:t xml:space="preserve">  34 CFR 300.625(c) provides that </w:t>
      </w:r>
    </w:p>
    <w:p w:rsidR="009874E3" w:rsidRPr="00796251" w:rsidRDefault="009874E3" w:rsidP="009874E3">
      <w:pPr>
        <w:pStyle w:val="ListParagraph"/>
        <w:rPr>
          <w:rFonts w:cs="Times New Roman"/>
          <w:sz w:val="25"/>
          <w:szCs w:val="25"/>
        </w:rPr>
      </w:pPr>
    </w:p>
    <w:p w:rsidR="00A66553" w:rsidRPr="00796251" w:rsidRDefault="009874E3" w:rsidP="000170A1">
      <w:pPr>
        <w:pStyle w:val="ListParagraph"/>
        <w:ind w:left="2160" w:right="720"/>
        <w:jc w:val="both"/>
        <w:rPr>
          <w:rFonts w:cs="Times New Roman"/>
          <w:sz w:val="25"/>
          <w:szCs w:val="25"/>
        </w:rPr>
      </w:pPr>
      <w:r w:rsidRPr="00796251">
        <w:rPr>
          <w:rFonts w:cs="Times New Roman"/>
          <w:sz w:val="25"/>
          <w:szCs w:val="25"/>
        </w:rPr>
        <w:t xml:space="preserve">An agency may presume that the parent has authority to inspect and review records relating to his or her child unless the agency has been advised that the parent does not have the authority under applicable State law governing such matters as guardianship, separation and divorce.  </w:t>
      </w:r>
      <w:proofErr w:type="gramStart"/>
      <w:r w:rsidRPr="00796251">
        <w:rPr>
          <w:rFonts w:cs="Times New Roman"/>
          <w:sz w:val="25"/>
          <w:szCs w:val="25"/>
        </w:rPr>
        <w:t>34 CFR 300.613(c).</w:t>
      </w:r>
      <w:proofErr w:type="gramEnd"/>
      <w:r w:rsidR="00A66553" w:rsidRPr="00796251">
        <w:rPr>
          <w:rFonts w:cs="Times New Roman"/>
          <w:sz w:val="25"/>
          <w:szCs w:val="25"/>
        </w:rPr>
        <w:t xml:space="preserve"> </w:t>
      </w:r>
    </w:p>
    <w:p w:rsidR="00A66553" w:rsidRPr="00796251" w:rsidRDefault="00A66553" w:rsidP="00A66553">
      <w:pPr>
        <w:pStyle w:val="ListParagraph"/>
        <w:rPr>
          <w:rFonts w:cs="Times New Roman"/>
          <w:sz w:val="25"/>
          <w:szCs w:val="25"/>
        </w:rPr>
      </w:pPr>
    </w:p>
    <w:p w:rsidR="005C6EA3" w:rsidRPr="00796251" w:rsidRDefault="009874E3" w:rsidP="005F1767">
      <w:pPr>
        <w:pStyle w:val="ListParagraph"/>
        <w:numPr>
          <w:ilvl w:val="0"/>
          <w:numId w:val="3"/>
        </w:numPr>
        <w:rPr>
          <w:rFonts w:cs="Times New Roman"/>
          <w:sz w:val="25"/>
          <w:szCs w:val="25"/>
        </w:rPr>
      </w:pPr>
      <w:r w:rsidRPr="00796251">
        <w:rPr>
          <w:rFonts w:cs="Times New Roman"/>
          <w:sz w:val="25"/>
          <w:szCs w:val="25"/>
        </w:rPr>
        <w:t xml:space="preserve">Prior to filing the instant Hearing Request, Parent filed a complaint with the Massachusetts Department of Elementary and Secondary Education (DESE) </w:t>
      </w:r>
      <w:r w:rsidR="007D7FB9" w:rsidRPr="00796251">
        <w:rPr>
          <w:rFonts w:cs="Times New Roman"/>
          <w:sz w:val="25"/>
          <w:szCs w:val="25"/>
        </w:rPr>
        <w:t xml:space="preserve">Problem Resolution Office (PRS) </w:t>
      </w:r>
      <w:r w:rsidRPr="00796251">
        <w:rPr>
          <w:rFonts w:cs="Times New Roman"/>
          <w:sz w:val="25"/>
          <w:szCs w:val="25"/>
        </w:rPr>
        <w:t xml:space="preserve">because of her inability to access Student’s records.  DESE upheld the </w:t>
      </w:r>
      <w:r w:rsidR="007D7FB9" w:rsidRPr="00796251">
        <w:rPr>
          <w:rFonts w:cs="Times New Roman"/>
          <w:sz w:val="25"/>
          <w:szCs w:val="25"/>
        </w:rPr>
        <w:t xml:space="preserve">school’s </w:t>
      </w:r>
      <w:r w:rsidRPr="00796251">
        <w:rPr>
          <w:rFonts w:cs="Times New Roman"/>
          <w:sz w:val="25"/>
          <w:szCs w:val="25"/>
        </w:rPr>
        <w:t>decision t</w:t>
      </w:r>
      <w:r w:rsidR="007D7FB9" w:rsidRPr="00796251">
        <w:rPr>
          <w:rFonts w:cs="Times New Roman"/>
          <w:sz w:val="25"/>
          <w:szCs w:val="25"/>
        </w:rPr>
        <w:t>o</w:t>
      </w:r>
      <w:r w:rsidRPr="00796251">
        <w:rPr>
          <w:rFonts w:cs="Times New Roman"/>
          <w:sz w:val="25"/>
          <w:szCs w:val="25"/>
        </w:rPr>
        <w:t xml:space="preserve"> withhold Student’s records based on state law</w:t>
      </w:r>
      <w:r w:rsidR="00381448" w:rsidRPr="00796251">
        <w:rPr>
          <w:rFonts w:cs="Times New Roman"/>
          <w:sz w:val="25"/>
          <w:szCs w:val="25"/>
        </w:rPr>
        <w:t xml:space="preserve">, </w:t>
      </w:r>
      <w:r w:rsidR="007D7FB9" w:rsidRPr="00796251">
        <w:rPr>
          <w:rFonts w:cs="Times New Roman"/>
          <w:sz w:val="25"/>
          <w:szCs w:val="25"/>
        </w:rPr>
        <w:t xml:space="preserve">and found </w:t>
      </w:r>
      <w:r w:rsidR="00381448" w:rsidRPr="00796251">
        <w:rPr>
          <w:rFonts w:cs="Times New Roman"/>
          <w:sz w:val="25"/>
          <w:szCs w:val="25"/>
        </w:rPr>
        <w:t>that the</w:t>
      </w:r>
      <w:r w:rsidR="007D7FB9" w:rsidRPr="00796251">
        <w:rPr>
          <w:rFonts w:cs="Times New Roman"/>
          <w:sz w:val="25"/>
          <w:szCs w:val="25"/>
        </w:rPr>
        <w:t xml:space="preserve"> District</w:t>
      </w:r>
      <w:r w:rsidR="00381448" w:rsidRPr="00796251">
        <w:rPr>
          <w:rFonts w:cs="Times New Roman"/>
          <w:sz w:val="25"/>
          <w:szCs w:val="25"/>
        </w:rPr>
        <w:t>’</w:t>
      </w:r>
      <w:r w:rsidR="007D7FB9" w:rsidRPr="00796251">
        <w:rPr>
          <w:rFonts w:cs="Times New Roman"/>
          <w:sz w:val="25"/>
          <w:szCs w:val="25"/>
        </w:rPr>
        <w:t xml:space="preserve">s decision not to allow Parent’s attendance </w:t>
      </w:r>
      <w:r w:rsidR="000170A1" w:rsidRPr="00796251">
        <w:rPr>
          <w:rFonts w:cs="Times New Roman"/>
          <w:sz w:val="25"/>
          <w:szCs w:val="25"/>
        </w:rPr>
        <w:t>at</w:t>
      </w:r>
      <w:r w:rsidR="007D7FB9" w:rsidRPr="00796251">
        <w:rPr>
          <w:rFonts w:cs="Times New Roman"/>
          <w:sz w:val="25"/>
          <w:szCs w:val="25"/>
        </w:rPr>
        <w:t xml:space="preserve"> the Team meeting</w:t>
      </w:r>
      <w:r w:rsidR="00381448" w:rsidRPr="00796251">
        <w:rPr>
          <w:rFonts w:cs="Times New Roman"/>
          <w:sz w:val="25"/>
          <w:szCs w:val="25"/>
        </w:rPr>
        <w:t xml:space="preserve"> did not violate the law</w:t>
      </w:r>
      <w:r w:rsidRPr="00796251">
        <w:rPr>
          <w:rFonts w:cs="Times New Roman"/>
          <w:sz w:val="25"/>
          <w:szCs w:val="25"/>
        </w:rPr>
        <w:t>. (Administrative notice of BSEA #1904777)</w:t>
      </w:r>
    </w:p>
    <w:p w:rsidR="00A66553" w:rsidRPr="00796251" w:rsidRDefault="00A66553" w:rsidP="00A66553">
      <w:pPr>
        <w:pStyle w:val="ListParagraph"/>
        <w:rPr>
          <w:rFonts w:cs="Times New Roman"/>
          <w:sz w:val="25"/>
          <w:szCs w:val="25"/>
        </w:rPr>
      </w:pPr>
    </w:p>
    <w:p w:rsidR="00A66553" w:rsidRPr="00796251" w:rsidRDefault="00A66553" w:rsidP="005F1767">
      <w:pPr>
        <w:pStyle w:val="ListParagraph"/>
        <w:numPr>
          <w:ilvl w:val="0"/>
          <w:numId w:val="3"/>
        </w:numPr>
        <w:rPr>
          <w:rFonts w:cs="Times New Roman"/>
          <w:sz w:val="25"/>
          <w:szCs w:val="25"/>
        </w:rPr>
      </w:pPr>
      <w:r w:rsidRPr="00796251">
        <w:rPr>
          <w:rFonts w:cs="Times New Roman"/>
          <w:sz w:val="25"/>
          <w:szCs w:val="25"/>
        </w:rPr>
        <w:t>On</w:t>
      </w:r>
      <w:r w:rsidR="00757B43" w:rsidRPr="00796251">
        <w:rPr>
          <w:rFonts w:cs="Times New Roman"/>
          <w:sz w:val="25"/>
          <w:szCs w:val="25"/>
        </w:rPr>
        <w:t xml:space="preserve"> December 4, 2018, Parent re</w:t>
      </w:r>
      <w:r w:rsidR="00D5770C" w:rsidRPr="00796251">
        <w:rPr>
          <w:rFonts w:cs="Times New Roman"/>
          <w:sz w:val="25"/>
          <w:szCs w:val="25"/>
        </w:rPr>
        <w:t xml:space="preserve">quested a hearing with the BSEA.  See BSEA #1904777.  In BSEA #1904777 Parent sought </w:t>
      </w:r>
      <w:r w:rsidR="00381448" w:rsidRPr="00796251">
        <w:rPr>
          <w:rFonts w:cs="Times New Roman"/>
          <w:sz w:val="25"/>
          <w:szCs w:val="25"/>
        </w:rPr>
        <w:t>an order directing the school</w:t>
      </w:r>
      <w:r w:rsidR="00D5770C" w:rsidRPr="00796251">
        <w:rPr>
          <w:rFonts w:cs="Times New Roman"/>
          <w:sz w:val="25"/>
          <w:szCs w:val="25"/>
        </w:rPr>
        <w:t xml:space="preserve"> </w:t>
      </w:r>
    </w:p>
    <w:p w:rsidR="00D5770C" w:rsidRPr="00796251" w:rsidRDefault="00D5770C" w:rsidP="00D5770C">
      <w:pPr>
        <w:pStyle w:val="ListParagraph"/>
        <w:rPr>
          <w:rFonts w:cs="Times New Roman"/>
          <w:sz w:val="25"/>
          <w:szCs w:val="25"/>
        </w:rPr>
      </w:pPr>
    </w:p>
    <w:p w:rsidR="00D5770C" w:rsidRPr="00796251" w:rsidRDefault="00D5770C" w:rsidP="000170A1">
      <w:pPr>
        <w:pStyle w:val="ListParagraph"/>
        <w:ind w:left="2160" w:right="720"/>
        <w:jc w:val="both"/>
        <w:rPr>
          <w:rFonts w:cs="Times New Roman"/>
          <w:sz w:val="25"/>
          <w:szCs w:val="25"/>
        </w:rPr>
      </w:pPr>
      <w:r w:rsidRPr="00796251">
        <w:rPr>
          <w:rFonts w:cs="Times New Roman"/>
          <w:sz w:val="25"/>
          <w:szCs w:val="25"/>
        </w:rPr>
        <w:lastRenderedPageBreak/>
        <w:t>…to comply with [the] divorce judgment and forward immediately [Student’s] IEP records, school records, report cards, etc. and allow an amended IEP meeting for this year for failure to notify me and include me in the IEP meeting because they retaliated against me for filing a complaint with the Department of Education and any recourse financial and otherwise for not allowing my participation in [Student’s] education.</w:t>
      </w:r>
    </w:p>
    <w:p w:rsidR="005C6EA3" w:rsidRPr="00796251" w:rsidRDefault="005C6EA3" w:rsidP="005C6EA3">
      <w:pPr>
        <w:pStyle w:val="ListParagraph"/>
        <w:rPr>
          <w:rFonts w:cs="Times New Roman"/>
          <w:sz w:val="25"/>
          <w:szCs w:val="25"/>
        </w:rPr>
      </w:pPr>
    </w:p>
    <w:p w:rsidR="007D7FB9" w:rsidRPr="00796251" w:rsidRDefault="007D7FB9" w:rsidP="005F1767">
      <w:pPr>
        <w:pStyle w:val="ListParagraph"/>
        <w:numPr>
          <w:ilvl w:val="0"/>
          <w:numId w:val="3"/>
        </w:numPr>
        <w:rPr>
          <w:rFonts w:cs="Times New Roman"/>
          <w:sz w:val="25"/>
          <w:szCs w:val="25"/>
        </w:rPr>
      </w:pPr>
      <w:r w:rsidRPr="00796251">
        <w:rPr>
          <w:rFonts w:cs="Times New Roman"/>
          <w:sz w:val="25"/>
          <w:szCs w:val="25"/>
        </w:rPr>
        <w:t xml:space="preserve">In BSEA #1904777, </w:t>
      </w:r>
      <w:proofErr w:type="spellStart"/>
      <w:r w:rsidRPr="00796251">
        <w:rPr>
          <w:rFonts w:cs="Times New Roman"/>
          <w:sz w:val="25"/>
          <w:szCs w:val="25"/>
        </w:rPr>
        <w:t>Montachusett</w:t>
      </w:r>
      <w:proofErr w:type="spellEnd"/>
      <w:r w:rsidRPr="00796251">
        <w:rPr>
          <w:rFonts w:cs="Times New Roman"/>
          <w:sz w:val="25"/>
          <w:szCs w:val="25"/>
        </w:rPr>
        <w:t xml:space="preserve"> denied any wrongdoing</w:t>
      </w:r>
      <w:r w:rsidR="00381448" w:rsidRPr="00796251">
        <w:rPr>
          <w:rFonts w:cs="Times New Roman"/>
          <w:sz w:val="25"/>
          <w:szCs w:val="25"/>
        </w:rPr>
        <w:t>,</w:t>
      </w:r>
      <w:r w:rsidRPr="00796251">
        <w:rPr>
          <w:rFonts w:cs="Times New Roman"/>
          <w:sz w:val="25"/>
          <w:szCs w:val="25"/>
        </w:rPr>
        <w:t xml:space="preserve"> asserting that</w:t>
      </w:r>
      <w:r w:rsidR="00381448" w:rsidRPr="00796251">
        <w:rPr>
          <w:rFonts w:cs="Times New Roman"/>
          <w:sz w:val="25"/>
          <w:szCs w:val="25"/>
        </w:rPr>
        <w:t>,</w:t>
      </w:r>
      <w:r w:rsidRPr="00796251">
        <w:rPr>
          <w:rFonts w:cs="Times New Roman"/>
          <w:sz w:val="25"/>
          <w:szCs w:val="25"/>
        </w:rPr>
        <w:t xml:space="preserve"> by law</w:t>
      </w:r>
    </w:p>
    <w:p w:rsidR="007D7FB9" w:rsidRPr="00796251" w:rsidRDefault="007D7FB9" w:rsidP="007D7FB9">
      <w:pPr>
        <w:pStyle w:val="ListParagraph"/>
        <w:rPr>
          <w:rFonts w:cs="Times New Roman"/>
          <w:sz w:val="25"/>
          <w:szCs w:val="25"/>
        </w:rPr>
      </w:pPr>
    </w:p>
    <w:p w:rsidR="007D7FB9" w:rsidRPr="00796251" w:rsidRDefault="007D7FB9" w:rsidP="000170A1">
      <w:pPr>
        <w:pStyle w:val="ListParagraph"/>
        <w:ind w:left="2160" w:right="720"/>
        <w:jc w:val="both"/>
        <w:rPr>
          <w:rFonts w:cs="Times New Roman"/>
          <w:sz w:val="25"/>
          <w:szCs w:val="25"/>
        </w:rPr>
      </w:pPr>
      <w:r w:rsidRPr="00796251">
        <w:rPr>
          <w:rFonts w:cs="Times New Roman"/>
          <w:sz w:val="25"/>
          <w:szCs w:val="25"/>
        </w:rPr>
        <w:t>[Mother] was not entitled to the records</w:t>
      </w:r>
      <w:r w:rsidR="009D504C" w:rsidRPr="00796251">
        <w:rPr>
          <w:rFonts w:cs="Times New Roman"/>
          <w:sz w:val="25"/>
          <w:szCs w:val="25"/>
        </w:rPr>
        <w:t xml:space="preserve"> and not entitled to participate in the Team meeting.  Further, as a non-custodial parent whose legal rights regarding any decision making with [Student’s] education are limited by the divorce judgment of the probate and family court, [Mother] lacks standing to bring forth this complaint to the BSEA.  As such, [</w:t>
      </w:r>
      <w:proofErr w:type="spellStart"/>
      <w:r w:rsidR="009D504C" w:rsidRPr="00796251">
        <w:rPr>
          <w:rFonts w:cs="Times New Roman"/>
          <w:sz w:val="25"/>
          <w:szCs w:val="25"/>
        </w:rPr>
        <w:t>Montachusett</w:t>
      </w:r>
      <w:proofErr w:type="spellEnd"/>
      <w:r w:rsidR="009D504C" w:rsidRPr="00796251">
        <w:rPr>
          <w:rFonts w:cs="Times New Roman"/>
          <w:sz w:val="25"/>
          <w:szCs w:val="25"/>
        </w:rPr>
        <w:t>] is requesting that the BSEA dismiss this matter as there is no jurisdiction</w:t>
      </w:r>
      <w:r w:rsidR="00A35F75" w:rsidRPr="00796251">
        <w:rPr>
          <w:rFonts w:cs="Times New Roman"/>
          <w:sz w:val="25"/>
          <w:szCs w:val="25"/>
        </w:rPr>
        <w:t xml:space="preserve"> o</w:t>
      </w:r>
      <w:r w:rsidR="009D504C" w:rsidRPr="00796251">
        <w:rPr>
          <w:rFonts w:cs="Times New Roman"/>
          <w:sz w:val="25"/>
          <w:szCs w:val="25"/>
        </w:rPr>
        <w:t>ver the claims made by [Mother]</w:t>
      </w:r>
      <w:r w:rsidRPr="00796251">
        <w:rPr>
          <w:rFonts w:cs="Times New Roman"/>
          <w:sz w:val="25"/>
          <w:szCs w:val="25"/>
        </w:rPr>
        <w:t xml:space="preserve"> </w:t>
      </w:r>
      <w:r w:rsidR="009D504C" w:rsidRPr="00796251">
        <w:rPr>
          <w:rFonts w:cs="Times New Roman"/>
          <w:sz w:val="25"/>
          <w:szCs w:val="25"/>
        </w:rPr>
        <w:t>and the DESE PRS office</w:t>
      </w:r>
      <w:r w:rsidR="00A35F75" w:rsidRPr="00796251">
        <w:rPr>
          <w:rFonts w:cs="Times New Roman"/>
          <w:sz w:val="25"/>
          <w:szCs w:val="25"/>
        </w:rPr>
        <w:t xml:space="preserve"> has already investigated and closed this matter.</w:t>
      </w:r>
    </w:p>
    <w:p w:rsidR="007D7FB9" w:rsidRPr="00796251" w:rsidRDefault="007D7FB9" w:rsidP="007D7FB9">
      <w:pPr>
        <w:pStyle w:val="ListParagraph"/>
        <w:rPr>
          <w:rFonts w:cs="Times New Roman"/>
          <w:sz w:val="25"/>
          <w:szCs w:val="25"/>
        </w:rPr>
      </w:pPr>
      <w:r w:rsidRPr="00796251">
        <w:rPr>
          <w:rFonts w:cs="Times New Roman"/>
          <w:sz w:val="25"/>
          <w:szCs w:val="25"/>
        </w:rPr>
        <w:t xml:space="preserve"> </w:t>
      </w:r>
    </w:p>
    <w:p w:rsidR="005F1767" w:rsidRPr="00796251" w:rsidRDefault="007D7FB9" w:rsidP="005F1767">
      <w:pPr>
        <w:pStyle w:val="ListParagraph"/>
        <w:numPr>
          <w:ilvl w:val="0"/>
          <w:numId w:val="3"/>
        </w:numPr>
        <w:rPr>
          <w:rFonts w:cs="Times New Roman"/>
          <w:sz w:val="25"/>
          <w:szCs w:val="25"/>
        </w:rPr>
      </w:pPr>
      <w:r w:rsidRPr="00796251">
        <w:rPr>
          <w:rFonts w:cs="Times New Roman"/>
          <w:sz w:val="25"/>
          <w:szCs w:val="25"/>
        </w:rPr>
        <w:t xml:space="preserve">A dispositive </w:t>
      </w:r>
      <w:r w:rsidRPr="00796251">
        <w:rPr>
          <w:rFonts w:cs="Times New Roman"/>
          <w:i/>
          <w:sz w:val="25"/>
          <w:szCs w:val="25"/>
        </w:rPr>
        <w:t xml:space="preserve">Ruling </w:t>
      </w:r>
      <w:r w:rsidR="001E44F5" w:rsidRPr="00796251">
        <w:rPr>
          <w:rFonts w:cs="Times New Roman"/>
          <w:i/>
          <w:sz w:val="25"/>
          <w:szCs w:val="25"/>
        </w:rPr>
        <w:t>on the School</w:t>
      </w:r>
      <w:r w:rsidR="00381448" w:rsidRPr="00796251">
        <w:rPr>
          <w:rFonts w:cs="Times New Roman"/>
          <w:i/>
          <w:sz w:val="25"/>
          <w:szCs w:val="25"/>
        </w:rPr>
        <w:t>’</w:t>
      </w:r>
      <w:r w:rsidR="001E44F5" w:rsidRPr="00796251">
        <w:rPr>
          <w:rFonts w:cs="Times New Roman"/>
          <w:i/>
          <w:sz w:val="25"/>
          <w:szCs w:val="25"/>
        </w:rPr>
        <w:t xml:space="preserve">s Amended Motion to Dismiss, Construed </w:t>
      </w:r>
      <w:proofErr w:type="gramStart"/>
      <w:r w:rsidR="001E44F5" w:rsidRPr="00796251">
        <w:rPr>
          <w:rFonts w:cs="Times New Roman"/>
          <w:i/>
          <w:sz w:val="25"/>
          <w:szCs w:val="25"/>
        </w:rPr>
        <w:t>As An</w:t>
      </w:r>
      <w:proofErr w:type="gramEnd"/>
      <w:r w:rsidR="001E44F5" w:rsidRPr="00796251">
        <w:rPr>
          <w:rFonts w:cs="Times New Roman"/>
          <w:i/>
          <w:sz w:val="25"/>
          <w:szCs w:val="25"/>
        </w:rPr>
        <w:t xml:space="preserve"> Amended Motion for Summary Judgment</w:t>
      </w:r>
      <w:r w:rsidR="001E44F5" w:rsidRPr="00796251">
        <w:rPr>
          <w:rFonts w:cs="Times New Roman"/>
          <w:sz w:val="25"/>
          <w:szCs w:val="25"/>
        </w:rPr>
        <w:t xml:space="preserve"> </w:t>
      </w:r>
      <w:r w:rsidRPr="00796251">
        <w:rPr>
          <w:rFonts w:cs="Times New Roman"/>
          <w:sz w:val="25"/>
          <w:szCs w:val="25"/>
        </w:rPr>
        <w:t>was issued on January 28, 2019</w:t>
      </w:r>
      <w:r w:rsidR="001E44F5" w:rsidRPr="00796251">
        <w:rPr>
          <w:rFonts w:cs="Times New Roman"/>
          <w:sz w:val="25"/>
          <w:szCs w:val="25"/>
        </w:rPr>
        <w:t xml:space="preserve"> granting summary judgment in favor of Montachusett</w:t>
      </w:r>
      <w:r w:rsidR="00EF6F72" w:rsidRPr="00796251">
        <w:rPr>
          <w:rFonts w:cs="Times New Roman"/>
          <w:sz w:val="25"/>
          <w:szCs w:val="25"/>
        </w:rPr>
        <w:t>.</w:t>
      </w:r>
      <w:r w:rsidRPr="00796251">
        <w:rPr>
          <w:rFonts w:cs="Times New Roman"/>
          <w:sz w:val="25"/>
          <w:szCs w:val="25"/>
        </w:rPr>
        <w:t xml:space="preserve">  Thereafter, the Hearing Officer Denied Parent’s request for reconsideration on January 30, 2019.</w:t>
      </w:r>
      <w:r w:rsidR="005F02A0" w:rsidRPr="00796251">
        <w:rPr>
          <w:rStyle w:val="FootnoteReference"/>
          <w:rFonts w:cs="Times New Roman"/>
          <w:sz w:val="25"/>
          <w:szCs w:val="25"/>
        </w:rPr>
        <w:footnoteReference w:id="4"/>
      </w:r>
      <w:r w:rsidR="00EF6F72" w:rsidRPr="00796251">
        <w:rPr>
          <w:rFonts w:cs="Times New Roman"/>
          <w:sz w:val="25"/>
          <w:szCs w:val="25"/>
        </w:rPr>
        <w:t xml:space="preserve">  </w:t>
      </w:r>
    </w:p>
    <w:p w:rsidR="0027051F" w:rsidRPr="00796251" w:rsidRDefault="0027051F" w:rsidP="0027051F">
      <w:pPr>
        <w:pStyle w:val="ListParagraph"/>
        <w:rPr>
          <w:rFonts w:cs="Times New Roman"/>
          <w:sz w:val="25"/>
          <w:szCs w:val="25"/>
        </w:rPr>
      </w:pPr>
    </w:p>
    <w:p w:rsidR="00097F0F" w:rsidRPr="00796251" w:rsidRDefault="006E21C1" w:rsidP="00795101">
      <w:pPr>
        <w:pStyle w:val="ListParagraph"/>
        <w:numPr>
          <w:ilvl w:val="0"/>
          <w:numId w:val="3"/>
        </w:numPr>
        <w:rPr>
          <w:rFonts w:cs="Times New Roman"/>
          <w:sz w:val="25"/>
          <w:szCs w:val="25"/>
        </w:rPr>
      </w:pPr>
      <w:r w:rsidRPr="00796251">
        <w:rPr>
          <w:rFonts w:cs="Times New Roman"/>
          <w:sz w:val="25"/>
          <w:szCs w:val="25"/>
        </w:rPr>
        <w:t>I</w:t>
      </w:r>
      <w:r w:rsidR="00381448" w:rsidRPr="00796251">
        <w:rPr>
          <w:rFonts w:cs="Times New Roman"/>
          <w:sz w:val="25"/>
          <w:szCs w:val="25"/>
        </w:rPr>
        <w:t>n her Hearing Request in BSEA #</w:t>
      </w:r>
      <w:r w:rsidRPr="00796251">
        <w:rPr>
          <w:rFonts w:cs="Times New Roman"/>
          <w:sz w:val="25"/>
          <w:szCs w:val="25"/>
        </w:rPr>
        <w:t xml:space="preserve">1907993, </w:t>
      </w:r>
      <w:r w:rsidR="00D5770C" w:rsidRPr="00796251">
        <w:rPr>
          <w:rFonts w:cs="Times New Roman"/>
          <w:sz w:val="25"/>
          <w:szCs w:val="25"/>
        </w:rPr>
        <w:t xml:space="preserve">Parent requests </w:t>
      </w:r>
      <w:r w:rsidRPr="00796251">
        <w:rPr>
          <w:rFonts w:cs="Times New Roman"/>
          <w:sz w:val="25"/>
          <w:szCs w:val="25"/>
        </w:rPr>
        <w:t>immediate release to her of</w:t>
      </w:r>
      <w:r w:rsidR="00D5770C" w:rsidRPr="00796251">
        <w:rPr>
          <w:rFonts w:cs="Times New Roman"/>
          <w:sz w:val="25"/>
          <w:szCs w:val="25"/>
        </w:rPr>
        <w:t xml:space="preserve"> Student’s “IEP records, school records, report cards, etc.</w:t>
      </w:r>
      <w:r w:rsidRPr="00796251">
        <w:rPr>
          <w:rFonts w:cs="Times New Roman"/>
          <w:sz w:val="25"/>
          <w:szCs w:val="25"/>
        </w:rPr>
        <w:t xml:space="preserve">  She also requests </w:t>
      </w:r>
      <w:r w:rsidR="00D5770C" w:rsidRPr="00796251">
        <w:rPr>
          <w:rFonts w:cs="Times New Roman"/>
          <w:sz w:val="25"/>
          <w:szCs w:val="25"/>
        </w:rPr>
        <w:t>to</w:t>
      </w:r>
      <w:r w:rsidRPr="00796251">
        <w:rPr>
          <w:rFonts w:cs="Times New Roman"/>
          <w:sz w:val="25"/>
          <w:szCs w:val="25"/>
        </w:rPr>
        <w:t xml:space="preserve"> be</w:t>
      </w:r>
      <w:r w:rsidR="00D5770C" w:rsidRPr="00796251">
        <w:rPr>
          <w:rFonts w:cs="Times New Roman"/>
          <w:sz w:val="25"/>
          <w:szCs w:val="25"/>
        </w:rPr>
        <w:t xml:space="preserve"> “allow</w:t>
      </w:r>
      <w:r w:rsidRPr="00796251">
        <w:rPr>
          <w:rFonts w:cs="Times New Roman"/>
          <w:sz w:val="25"/>
          <w:szCs w:val="25"/>
        </w:rPr>
        <w:t>[</w:t>
      </w:r>
      <w:proofErr w:type="spellStart"/>
      <w:r w:rsidRPr="00796251">
        <w:rPr>
          <w:rFonts w:cs="Times New Roman"/>
          <w:sz w:val="25"/>
          <w:szCs w:val="25"/>
        </w:rPr>
        <w:t>ed</w:t>
      </w:r>
      <w:proofErr w:type="spellEnd"/>
      <w:r w:rsidRPr="00796251">
        <w:rPr>
          <w:rFonts w:cs="Times New Roman"/>
          <w:sz w:val="25"/>
          <w:szCs w:val="25"/>
        </w:rPr>
        <w:t>]</w:t>
      </w:r>
      <w:r w:rsidR="00D5770C" w:rsidRPr="00796251">
        <w:rPr>
          <w:rFonts w:cs="Times New Roman"/>
          <w:sz w:val="25"/>
          <w:szCs w:val="25"/>
        </w:rPr>
        <w:t xml:space="preserve"> an amended IEP meeting for this year”,</w:t>
      </w:r>
      <w:r w:rsidRPr="00796251">
        <w:rPr>
          <w:rFonts w:cs="Times New Roman"/>
          <w:sz w:val="25"/>
          <w:szCs w:val="25"/>
        </w:rPr>
        <w:t xml:space="preserve"> and </w:t>
      </w:r>
      <w:r w:rsidR="00D5770C" w:rsidRPr="00796251">
        <w:rPr>
          <w:rFonts w:cs="Times New Roman"/>
          <w:sz w:val="25"/>
          <w:szCs w:val="25"/>
        </w:rPr>
        <w:t xml:space="preserve">that she be included in the Team meeting and </w:t>
      </w:r>
      <w:r w:rsidRPr="00796251">
        <w:rPr>
          <w:rFonts w:cs="Times New Roman"/>
          <w:sz w:val="25"/>
          <w:szCs w:val="25"/>
        </w:rPr>
        <w:t xml:space="preserve">be </w:t>
      </w:r>
      <w:r w:rsidR="00D5770C" w:rsidRPr="00796251">
        <w:rPr>
          <w:rFonts w:cs="Times New Roman"/>
          <w:sz w:val="25"/>
          <w:szCs w:val="25"/>
        </w:rPr>
        <w:t>provide</w:t>
      </w:r>
      <w:r w:rsidRPr="00796251">
        <w:rPr>
          <w:rFonts w:cs="Times New Roman"/>
          <w:sz w:val="25"/>
          <w:szCs w:val="25"/>
        </w:rPr>
        <w:t>d</w:t>
      </w:r>
      <w:r w:rsidR="00D5770C" w:rsidRPr="00796251">
        <w:rPr>
          <w:rFonts w:cs="Times New Roman"/>
          <w:sz w:val="25"/>
          <w:szCs w:val="25"/>
        </w:rPr>
        <w:t xml:space="preserve"> any financial or other recourse for </w:t>
      </w:r>
      <w:r w:rsidRPr="00796251">
        <w:rPr>
          <w:rFonts w:cs="Times New Roman"/>
          <w:sz w:val="25"/>
          <w:szCs w:val="25"/>
        </w:rPr>
        <w:t xml:space="preserve">having been </w:t>
      </w:r>
      <w:r w:rsidR="00D5770C" w:rsidRPr="00796251">
        <w:rPr>
          <w:rFonts w:cs="Times New Roman"/>
          <w:sz w:val="25"/>
          <w:szCs w:val="25"/>
        </w:rPr>
        <w:t>den</w:t>
      </w:r>
      <w:r w:rsidR="00A84B66" w:rsidRPr="00796251">
        <w:rPr>
          <w:rFonts w:cs="Times New Roman"/>
          <w:sz w:val="25"/>
          <w:szCs w:val="25"/>
        </w:rPr>
        <w:t>i</w:t>
      </w:r>
      <w:r w:rsidRPr="00796251">
        <w:rPr>
          <w:rFonts w:cs="Times New Roman"/>
          <w:sz w:val="25"/>
          <w:szCs w:val="25"/>
        </w:rPr>
        <w:t>ed</w:t>
      </w:r>
      <w:r w:rsidR="00D5770C" w:rsidRPr="00796251">
        <w:rPr>
          <w:rFonts w:cs="Times New Roman"/>
          <w:sz w:val="25"/>
          <w:szCs w:val="25"/>
        </w:rPr>
        <w:t xml:space="preserve"> participation in Student’s education.  In asserting her rights to access Student’s records under FERPA, Parent </w:t>
      </w:r>
      <w:r w:rsidRPr="00796251">
        <w:rPr>
          <w:rFonts w:cs="Times New Roman"/>
          <w:sz w:val="25"/>
          <w:szCs w:val="25"/>
        </w:rPr>
        <w:t>places</w:t>
      </w:r>
      <w:r w:rsidR="00D5770C" w:rsidRPr="00796251">
        <w:rPr>
          <w:rFonts w:cs="Times New Roman"/>
          <w:sz w:val="25"/>
          <w:szCs w:val="25"/>
        </w:rPr>
        <w:t xml:space="preserve"> her reliance on </w:t>
      </w:r>
      <w:r w:rsidR="000170A1" w:rsidRPr="00796251">
        <w:rPr>
          <w:rFonts w:cs="Times New Roman"/>
          <w:sz w:val="25"/>
          <w:szCs w:val="25"/>
        </w:rPr>
        <w:t xml:space="preserve">her </w:t>
      </w:r>
      <w:r w:rsidR="00D5770C" w:rsidRPr="00796251">
        <w:rPr>
          <w:rFonts w:cs="Times New Roman"/>
          <w:sz w:val="25"/>
          <w:szCs w:val="25"/>
        </w:rPr>
        <w:t>submissions</w:t>
      </w:r>
      <w:r w:rsidR="000170A1" w:rsidRPr="00796251">
        <w:rPr>
          <w:rFonts w:cs="Times New Roman"/>
          <w:sz w:val="25"/>
          <w:szCs w:val="25"/>
        </w:rPr>
        <w:t xml:space="preserve"> </w:t>
      </w:r>
      <w:r w:rsidR="00D5770C" w:rsidRPr="00796251">
        <w:rPr>
          <w:rFonts w:cs="Times New Roman"/>
          <w:sz w:val="25"/>
          <w:szCs w:val="25"/>
        </w:rPr>
        <w:t>in BSEA # 1904777 (including her exhibits binder).  Lastly, Parent asserts that the previous Hearing Officer “did not make proper rulings and did not address this matter</w:t>
      </w:r>
      <w:r w:rsidR="00D5770C" w:rsidRPr="00796251">
        <w:rPr>
          <w:rStyle w:val="FootnoteReference"/>
          <w:rFonts w:cs="Times New Roman"/>
          <w:sz w:val="25"/>
          <w:szCs w:val="25"/>
        </w:rPr>
        <w:footnoteReference w:id="5"/>
      </w:r>
      <w:r w:rsidR="00D5770C" w:rsidRPr="00796251">
        <w:rPr>
          <w:rFonts w:cs="Times New Roman"/>
          <w:sz w:val="25"/>
          <w:szCs w:val="25"/>
        </w:rPr>
        <w:t>.”</w:t>
      </w:r>
    </w:p>
    <w:p w:rsidR="00781746" w:rsidRPr="00796251" w:rsidRDefault="00781746" w:rsidP="00D52CA8">
      <w:pPr>
        <w:rPr>
          <w:rFonts w:cs="Times New Roman"/>
          <w:sz w:val="25"/>
          <w:szCs w:val="25"/>
        </w:rPr>
      </w:pPr>
    </w:p>
    <w:p w:rsidR="00781746" w:rsidRPr="00796251" w:rsidRDefault="00781746" w:rsidP="00781746">
      <w:pPr>
        <w:rPr>
          <w:rFonts w:cs="Times New Roman"/>
          <w:b/>
          <w:sz w:val="25"/>
          <w:szCs w:val="25"/>
        </w:rPr>
      </w:pPr>
      <w:r w:rsidRPr="00796251">
        <w:rPr>
          <w:rFonts w:cs="Times New Roman"/>
          <w:b/>
          <w:sz w:val="25"/>
          <w:szCs w:val="25"/>
        </w:rPr>
        <w:t>Legal Framework</w:t>
      </w:r>
      <w:r w:rsidR="0019677C" w:rsidRPr="00796251">
        <w:rPr>
          <w:rFonts w:cs="Times New Roman"/>
          <w:b/>
          <w:sz w:val="25"/>
          <w:szCs w:val="25"/>
        </w:rPr>
        <w:t xml:space="preserve"> and Discussion</w:t>
      </w:r>
      <w:r w:rsidRPr="00796251">
        <w:rPr>
          <w:rFonts w:cs="Times New Roman"/>
          <w:b/>
          <w:sz w:val="25"/>
          <w:szCs w:val="25"/>
        </w:rPr>
        <w:t xml:space="preserve">: </w:t>
      </w:r>
    </w:p>
    <w:p w:rsidR="00A8469F" w:rsidRPr="00796251" w:rsidRDefault="00A8469F" w:rsidP="00781746">
      <w:pPr>
        <w:rPr>
          <w:rFonts w:cs="Times New Roman"/>
          <w:b/>
          <w:sz w:val="25"/>
          <w:szCs w:val="25"/>
        </w:rPr>
      </w:pPr>
    </w:p>
    <w:p w:rsidR="00A8469F" w:rsidRPr="00796251" w:rsidRDefault="00A96F8A" w:rsidP="00781746">
      <w:pPr>
        <w:rPr>
          <w:rFonts w:cs="Times New Roman"/>
          <w:sz w:val="25"/>
          <w:szCs w:val="25"/>
        </w:rPr>
      </w:pPr>
      <w:r w:rsidRPr="00796251">
        <w:rPr>
          <w:rFonts w:cs="Times New Roman"/>
          <w:sz w:val="25"/>
          <w:szCs w:val="25"/>
        </w:rPr>
        <w:t>C</w:t>
      </w:r>
      <w:r w:rsidR="008D0BFD" w:rsidRPr="00796251">
        <w:rPr>
          <w:rFonts w:cs="Times New Roman"/>
          <w:sz w:val="25"/>
          <w:szCs w:val="25"/>
        </w:rPr>
        <w:t xml:space="preserve">onsistent with </w:t>
      </w:r>
      <w:r w:rsidR="00A8469F" w:rsidRPr="00796251">
        <w:rPr>
          <w:rFonts w:cs="Times New Roman"/>
          <w:sz w:val="25"/>
          <w:szCs w:val="25"/>
        </w:rPr>
        <w:t xml:space="preserve">the </w:t>
      </w:r>
      <w:r w:rsidR="00A8469F" w:rsidRPr="00796251">
        <w:rPr>
          <w:rFonts w:cs="Times New Roman"/>
          <w:i/>
          <w:sz w:val="25"/>
          <w:szCs w:val="25"/>
        </w:rPr>
        <w:t>Standard Adjudicatory Rules of Practice and Procedure</w:t>
      </w:r>
      <w:r w:rsidR="00A8469F" w:rsidRPr="00796251">
        <w:rPr>
          <w:rFonts w:cs="Times New Roman"/>
          <w:sz w:val="25"/>
          <w:szCs w:val="25"/>
        </w:rPr>
        <w:t xml:space="preserve">, </w:t>
      </w:r>
      <w:r w:rsidR="001D5734" w:rsidRPr="00796251">
        <w:rPr>
          <w:rFonts w:cs="Times New Roman"/>
          <w:sz w:val="25"/>
          <w:szCs w:val="25"/>
        </w:rPr>
        <w:t>801 CMR 1.01(7)(g)</w:t>
      </w:r>
      <w:r w:rsidR="00A8469F" w:rsidRPr="00796251">
        <w:rPr>
          <w:rFonts w:cs="Times New Roman"/>
          <w:sz w:val="25"/>
          <w:szCs w:val="25"/>
        </w:rPr>
        <w:t>(3), and</w:t>
      </w:r>
      <w:r w:rsidR="001D5734" w:rsidRPr="00796251">
        <w:rPr>
          <w:rFonts w:cs="Times New Roman"/>
          <w:sz w:val="25"/>
          <w:szCs w:val="25"/>
        </w:rPr>
        <w:t xml:space="preserve"> Rule 17B of the </w:t>
      </w:r>
      <w:r w:rsidR="00A8469F" w:rsidRPr="00796251">
        <w:rPr>
          <w:rFonts w:cs="Times New Roman"/>
          <w:sz w:val="25"/>
          <w:szCs w:val="25"/>
        </w:rPr>
        <w:t xml:space="preserve">BSEA </w:t>
      </w:r>
      <w:r w:rsidR="001D5734" w:rsidRPr="00796251">
        <w:rPr>
          <w:rFonts w:cs="Times New Roman"/>
          <w:i/>
          <w:sz w:val="25"/>
          <w:szCs w:val="25"/>
        </w:rPr>
        <w:t>Hearing Rules for Special Education Appeals</w:t>
      </w:r>
      <w:r w:rsidRPr="00796251">
        <w:rPr>
          <w:rFonts w:cs="Times New Roman"/>
          <w:sz w:val="25"/>
          <w:szCs w:val="25"/>
        </w:rPr>
        <w:t xml:space="preserve"> the BSEA has jurisdiction to allow a motion to dismiss </w:t>
      </w:r>
      <w:r w:rsidR="00EF26D4" w:rsidRPr="00796251">
        <w:rPr>
          <w:rFonts w:cs="Times New Roman"/>
          <w:sz w:val="25"/>
          <w:szCs w:val="25"/>
        </w:rPr>
        <w:t>for failure</w:t>
      </w:r>
      <w:r w:rsidRPr="00796251">
        <w:rPr>
          <w:rFonts w:cs="Times New Roman"/>
          <w:sz w:val="25"/>
          <w:szCs w:val="25"/>
        </w:rPr>
        <w:t xml:space="preserve"> to state a claim upon which </w:t>
      </w:r>
      <w:r w:rsidRPr="00796251">
        <w:rPr>
          <w:rFonts w:cs="Times New Roman"/>
          <w:sz w:val="25"/>
          <w:szCs w:val="25"/>
        </w:rPr>
        <w:lastRenderedPageBreak/>
        <w:t>relief may be granted</w:t>
      </w:r>
      <w:r w:rsidR="001D5734" w:rsidRPr="00796251">
        <w:rPr>
          <w:rFonts w:cs="Times New Roman"/>
          <w:sz w:val="25"/>
          <w:szCs w:val="25"/>
        </w:rPr>
        <w:t xml:space="preserve">. </w:t>
      </w:r>
      <w:r w:rsidR="008950E1" w:rsidRPr="00796251">
        <w:rPr>
          <w:rFonts w:cs="Times New Roman"/>
          <w:sz w:val="25"/>
          <w:szCs w:val="25"/>
        </w:rPr>
        <w:t xml:space="preserve"> </w:t>
      </w:r>
      <w:r w:rsidR="00335B9A" w:rsidRPr="00796251">
        <w:rPr>
          <w:rFonts w:cs="Times New Roman"/>
          <w:sz w:val="25"/>
          <w:szCs w:val="25"/>
        </w:rPr>
        <w:t>These provisions are</w:t>
      </w:r>
      <w:r w:rsidR="00A8469F" w:rsidRPr="00796251">
        <w:rPr>
          <w:rFonts w:cs="Times New Roman"/>
          <w:sz w:val="25"/>
          <w:szCs w:val="25"/>
        </w:rPr>
        <w:t xml:space="preserve"> analogous to Rule 12(b</w:t>
      </w:r>
      <w:proofErr w:type="gramStart"/>
      <w:r w:rsidR="00A8469F" w:rsidRPr="00796251">
        <w:rPr>
          <w:rFonts w:cs="Times New Roman"/>
          <w:sz w:val="25"/>
          <w:szCs w:val="25"/>
        </w:rPr>
        <w:t>)(</w:t>
      </w:r>
      <w:proofErr w:type="gramEnd"/>
      <w:r w:rsidR="00A8469F" w:rsidRPr="00796251">
        <w:rPr>
          <w:rFonts w:cs="Times New Roman"/>
          <w:sz w:val="25"/>
          <w:szCs w:val="25"/>
        </w:rPr>
        <w:t>6) of the Federal Rules of Civil Procedure</w:t>
      </w:r>
      <w:r w:rsidR="00335B9A" w:rsidRPr="00796251">
        <w:rPr>
          <w:rFonts w:cs="Times New Roman"/>
          <w:sz w:val="25"/>
          <w:szCs w:val="25"/>
        </w:rPr>
        <w:t>.</w:t>
      </w:r>
    </w:p>
    <w:p w:rsidR="00335B9A" w:rsidRPr="00796251" w:rsidRDefault="00335B9A" w:rsidP="00781746">
      <w:pPr>
        <w:rPr>
          <w:rFonts w:cs="Times New Roman"/>
          <w:sz w:val="25"/>
          <w:szCs w:val="25"/>
        </w:rPr>
      </w:pPr>
    </w:p>
    <w:p w:rsidR="008D0BFD" w:rsidRPr="00796251" w:rsidRDefault="008D0BFD" w:rsidP="008D0BFD">
      <w:pPr>
        <w:rPr>
          <w:rFonts w:cs="Times New Roman"/>
          <w:b/>
          <w:sz w:val="25"/>
          <w:szCs w:val="25"/>
        </w:rPr>
      </w:pPr>
      <w:r w:rsidRPr="00796251">
        <w:rPr>
          <w:rFonts w:cs="Times New Roman"/>
          <w:sz w:val="25"/>
          <w:szCs w:val="25"/>
        </w:rPr>
        <w:t xml:space="preserve">As previously discussed in a </w:t>
      </w:r>
      <w:r w:rsidRPr="00796251">
        <w:rPr>
          <w:rFonts w:cs="Times New Roman"/>
          <w:i/>
          <w:sz w:val="25"/>
          <w:szCs w:val="25"/>
        </w:rPr>
        <w:t xml:space="preserve">Ruling on Ludlow Public Schools’ Partial Motion to Dismiss </w:t>
      </w:r>
      <w:r w:rsidRPr="00796251">
        <w:rPr>
          <w:rFonts w:cs="Times New Roman"/>
          <w:sz w:val="25"/>
          <w:szCs w:val="25"/>
        </w:rPr>
        <w:t xml:space="preserve">issued in </w:t>
      </w:r>
      <w:r w:rsidRPr="00796251">
        <w:rPr>
          <w:rFonts w:cs="Times New Roman"/>
          <w:i/>
          <w:sz w:val="25"/>
          <w:szCs w:val="25"/>
        </w:rPr>
        <w:t>In Re: Student v. Ludlow Public Schools</w:t>
      </w:r>
      <w:r w:rsidRPr="00796251">
        <w:rPr>
          <w:rFonts w:cs="Times New Roman"/>
          <w:sz w:val="25"/>
          <w:szCs w:val="25"/>
        </w:rPr>
        <w:t xml:space="preserve">, BSEA # 15-09319 (9/08/2015), </w:t>
      </w:r>
    </w:p>
    <w:p w:rsidR="008D0BFD" w:rsidRPr="00796251" w:rsidRDefault="008D0BFD" w:rsidP="00781746">
      <w:pPr>
        <w:rPr>
          <w:rFonts w:cs="Times New Roman"/>
          <w:sz w:val="25"/>
          <w:szCs w:val="25"/>
        </w:rPr>
      </w:pPr>
    </w:p>
    <w:p w:rsidR="008718C8" w:rsidRPr="00796251" w:rsidRDefault="00707CCD" w:rsidP="000170A1">
      <w:pPr>
        <w:ind w:left="1440" w:right="720"/>
        <w:jc w:val="both"/>
        <w:rPr>
          <w:rFonts w:cs="Times New Roman"/>
          <w:sz w:val="25"/>
          <w:szCs w:val="25"/>
        </w:rPr>
      </w:pPr>
      <w:r w:rsidRPr="00796251">
        <w:rPr>
          <w:rFonts w:cs="Times New Roman"/>
          <w:sz w:val="25"/>
          <w:szCs w:val="25"/>
        </w:rPr>
        <w:t xml:space="preserve">For a claim to survive a motion to dismiss, the factual allegations must plausibly suggest an entitlement to relief. </w:t>
      </w:r>
      <w:r w:rsidRPr="00796251">
        <w:rPr>
          <w:rFonts w:cs="Times New Roman"/>
          <w:i/>
          <w:sz w:val="25"/>
          <w:szCs w:val="25"/>
        </w:rPr>
        <w:t>Iannocchino v. Ford Motor Co.</w:t>
      </w:r>
      <w:r w:rsidRPr="00796251">
        <w:rPr>
          <w:rFonts w:cs="Times New Roman"/>
          <w:sz w:val="25"/>
          <w:szCs w:val="25"/>
        </w:rPr>
        <w:t xml:space="preserve">, 451 Mass. 623, 636 (2008) (quoting </w:t>
      </w:r>
      <w:r w:rsidRPr="00796251">
        <w:rPr>
          <w:rFonts w:cs="Times New Roman"/>
          <w:i/>
          <w:sz w:val="25"/>
          <w:szCs w:val="25"/>
        </w:rPr>
        <w:t>Bell Atl. Corp. v Twombly</w:t>
      </w:r>
      <w:r w:rsidRPr="00796251">
        <w:rPr>
          <w:rFonts w:cs="Times New Roman"/>
          <w:sz w:val="25"/>
          <w:szCs w:val="25"/>
        </w:rPr>
        <w:t xml:space="preserve">, 550 U.S. 544, 557 (2007)). </w:t>
      </w:r>
      <w:r w:rsidR="00EB03A3" w:rsidRPr="00796251">
        <w:rPr>
          <w:rFonts w:cs="Times New Roman"/>
          <w:sz w:val="25"/>
          <w:szCs w:val="25"/>
        </w:rPr>
        <w:t xml:space="preserve"> </w:t>
      </w:r>
      <w:r w:rsidRPr="00796251">
        <w:rPr>
          <w:rFonts w:cs="Times New Roman"/>
          <w:sz w:val="25"/>
          <w:szCs w:val="25"/>
        </w:rPr>
        <w:t>In</w:t>
      </w:r>
      <w:r w:rsidR="00335B9A" w:rsidRPr="00796251">
        <w:rPr>
          <w:rFonts w:cs="Times New Roman"/>
          <w:sz w:val="25"/>
          <w:szCs w:val="25"/>
        </w:rPr>
        <w:t xml:space="preserve"> evaluating the complaint, the Hearing O</w:t>
      </w:r>
      <w:r w:rsidRPr="00796251">
        <w:rPr>
          <w:rFonts w:cs="Times New Roman"/>
          <w:sz w:val="25"/>
          <w:szCs w:val="25"/>
        </w:rPr>
        <w:t xml:space="preserve">fficer must take as true “the allegations of the complaint, as well as such inferences as may be drawn therefrom in the plaintiff’s favor.” </w:t>
      </w:r>
      <w:proofErr w:type="gramStart"/>
      <w:r w:rsidRPr="00796251">
        <w:rPr>
          <w:rFonts w:cs="Times New Roman"/>
          <w:i/>
          <w:sz w:val="25"/>
          <w:szCs w:val="25"/>
        </w:rPr>
        <w:t>Blank v. Chelmsford Ob/GYN, P.C.</w:t>
      </w:r>
      <w:r w:rsidRPr="00796251">
        <w:rPr>
          <w:rFonts w:cs="Times New Roman"/>
          <w:sz w:val="25"/>
          <w:szCs w:val="25"/>
        </w:rPr>
        <w:t>, 420 Mass. 404, 407 (1995).</w:t>
      </w:r>
      <w:proofErr w:type="gramEnd"/>
      <w:r w:rsidRPr="00796251">
        <w:rPr>
          <w:rFonts w:cs="Times New Roman"/>
          <w:sz w:val="25"/>
          <w:szCs w:val="25"/>
        </w:rPr>
        <w:t xml:space="preserve">  </w:t>
      </w:r>
      <w:r w:rsidR="00335B9A" w:rsidRPr="00796251">
        <w:rPr>
          <w:rFonts w:cs="Times New Roman"/>
          <w:sz w:val="25"/>
          <w:szCs w:val="25"/>
        </w:rPr>
        <w:t>These “[f]actual allegations must be enough to raise a right to relief above the speculative level</w:t>
      </w:r>
      <w:proofErr w:type="gramStart"/>
      <w:r w:rsidR="00335B9A" w:rsidRPr="00796251">
        <w:rPr>
          <w:rFonts w:cs="Times New Roman"/>
          <w:sz w:val="25"/>
          <w:szCs w:val="25"/>
        </w:rPr>
        <w:t>…[</w:t>
      </w:r>
      <w:proofErr w:type="gramEnd"/>
      <w:r w:rsidR="00335B9A" w:rsidRPr="00796251">
        <w:rPr>
          <w:rFonts w:cs="Times New Roman"/>
          <w:sz w:val="25"/>
          <w:szCs w:val="25"/>
        </w:rPr>
        <w:t xml:space="preserve">based] on the assumption that all the allegations in the complaint are true (even if doubtful in fact)…” </w:t>
      </w:r>
      <w:proofErr w:type="gramStart"/>
      <w:r w:rsidR="00335B9A" w:rsidRPr="00796251">
        <w:rPr>
          <w:rFonts w:cs="Times New Roman"/>
          <w:i/>
          <w:sz w:val="25"/>
          <w:szCs w:val="25"/>
        </w:rPr>
        <w:t>Golchin v. Liberty Mut.</w:t>
      </w:r>
      <w:proofErr w:type="gramEnd"/>
      <w:r w:rsidR="00335B9A" w:rsidRPr="00796251">
        <w:rPr>
          <w:rFonts w:cs="Times New Roman"/>
          <w:i/>
          <w:sz w:val="25"/>
          <w:szCs w:val="25"/>
        </w:rPr>
        <w:t xml:space="preserve"> </w:t>
      </w:r>
      <w:proofErr w:type="gramStart"/>
      <w:r w:rsidR="00335B9A" w:rsidRPr="00796251">
        <w:rPr>
          <w:rFonts w:cs="Times New Roman"/>
          <w:i/>
          <w:sz w:val="25"/>
          <w:szCs w:val="25"/>
        </w:rPr>
        <w:t>Ins. Co.</w:t>
      </w:r>
      <w:r w:rsidR="00335B9A" w:rsidRPr="00796251">
        <w:rPr>
          <w:rFonts w:cs="Times New Roman"/>
          <w:sz w:val="25"/>
          <w:szCs w:val="25"/>
        </w:rPr>
        <w:t>, 460 Mass. 222, 223 (2011) (internal quotation marks and citations omitted).</w:t>
      </w:r>
      <w:proofErr w:type="gramEnd"/>
      <w:r w:rsidR="00335B9A" w:rsidRPr="00796251">
        <w:rPr>
          <w:rFonts w:cs="Times New Roman"/>
          <w:sz w:val="25"/>
          <w:szCs w:val="25"/>
        </w:rPr>
        <w:t xml:space="preserve"> </w:t>
      </w:r>
      <w:r w:rsidR="008950E1" w:rsidRPr="00796251">
        <w:rPr>
          <w:rFonts w:cs="Times New Roman"/>
          <w:sz w:val="25"/>
          <w:szCs w:val="25"/>
        </w:rPr>
        <w:t xml:space="preserve"> </w:t>
      </w:r>
      <w:r w:rsidR="008718C8" w:rsidRPr="00796251">
        <w:rPr>
          <w:rFonts w:cs="Times New Roman"/>
          <w:sz w:val="25"/>
          <w:szCs w:val="25"/>
        </w:rPr>
        <w:t xml:space="preserve">The Hearing Officer will consider the facts alleged in the pleadings and documents attached or incorporated by reference. </w:t>
      </w:r>
      <w:r w:rsidR="008718C8" w:rsidRPr="00796251">
        <w:rPr>
          <w:rFonts w:cs="Times New Roman"/>
          <w:i/>
          <w:sz w:val="25"/>
          <w:szCs w:val="25"/>
        </w:rPr>
        <w:t>Nollet v. Justices of the Trial Court of Mass.</w:t>
      </w:r>
      <w:r w:rsidR="008718C8" w:rsidRPr="00796251">
        <w:rPr>
          <w:rFonts w:cs="Times New Roman"/>
          <w:sz w:val="25"/>
          <w:szCs w:val="25"/>
        </w:rPr>
        <w:t>, 83 F.</w:t>
      </w:r>
      <w:r w:rsidR="001749CC" w:rsidRPr="00796251">
        <w:rPr>
          <w:rFonts w:cs="Times New Roman"/>
          <w:sz w:val="25"/>
          <w:szCs w:val="25"/>
        </w:rPr>
        <w:t xml:space="preserve"> Supp. 2d 204, 208 (D.Mass. 2000), </w:t>
      </w:r>
      <w:r w:rsidR="001749CC" w:rsidRPr="00796251">
        <w:rPr>
          <w:rFonts w:cs="Times New Roman"/>
          <w:i/>
          <w:sz w:val="25"/>
          <w:szCs w:val="25"/>
        </w:rPr>
        <w:t>aff’d</w:t>
      </w:r>
      <w:r w:rsidR="001749CC" w:rsidRPr="00796251">
        <w:rPr>
          <w:rFonts w:cs="Times New Roman"/>
          <w:sz w:val="25"/>
          <w:szCs w:val="25"/>
        </w:rPr>
        <w:t>, 248 F.3d 1127 (1</w:t>
      </w:r>
      <w:r w:rsidR="001749CC" w:rsidRPr="00796251">
        <w:rPr>
          <w:rFonts w:cs="Times New Roman"/>
          <w:sz w:val="25"/>
          <w:szCs w:val="25"/>
          <w:vertAlign w:val="superscript"/>
        </w:rPr>
        <w:t>st</w:t>
      </w:r>
      <w:r w:rsidR="001749CC" w:rsidRPr="00796251">
        <w:rPr>
          <w:rFonts w:cs="Times New Roman"/>
          <w:sz w:val="25"/>
          <w:szCs w:val="25"/>
        </w:rPr>
        <w:t xml:space="preserve"> Cir. 2000). </w:t>
      </w:r>
    </w:p>
    <w:p w:rsidR="008718C8" w:rsidRPr="00796251" w:rsidRDefault="008718C8" w:rsidP="000170A1">
      <w:pPr>
        <w:ind w:right="720"/>
        <w:jc w:val="both"/>
        <w:rPr>
          <w:rFonts w:cs="Times New Roman"/>
          <w:sz w:val="25"/>
          <w:szCs w:val="25"/>
        </w:rPr>
      </w:pPr>
    </w:p>
    <w:p w:rsidR="00335B9A" w:rsidRPr="00796251" w:rsidRDefault="00335B9A" w:rsidP="000170A1">
      <w:pPr>
        <w:ind w:left="1440" w:right="720"/>
        <w:jc w:val="both"/>
        <w:rPr>
          <w:rStyle w:val="tgc"/>
          <w:rFonts w:cs="Times New Roman"/>
          <w:sz w:val="25"/>
          <w:szCs w:val="25"/>
        </w:rPr>
      </w:pPr>
      <w:r w:rsidRPr="00796251">
        <w:rPr>
          <w:rFonts w:cs="Times New Roman"/>
          <w:sz w:val="25"/>
          <w:szCs w:val="25"/>
        </w:rPr>
        <w:t xml:space="preserve">Only if the Hearing Officer cannot grant relief under federal or state special education law (20 U.S.C. </w:t>
      </w:r>
      <w:r w:rsidRPr="00796251">
        <w:rPr>
          <w:rStyle w:val="tgc"/>
          <w:rFonts w:cs="Times New Roman"/>
          <w:sz w:val="25"/>
          <w:szCs w:val="25"/>
        </w:rPr>
        <w:t xml:space="preserve">§ 1400 </w:t>
      </w:r>
      <w:proofErr w:type="gramStart"/>
      <w:r w:rsidRPr="00796251">
        <w:rPr>
          <w:rStyle w:val="tgc"/>
          <w:rFonts w:cs="Times New Roman"/>
          <w:sz w:val="25"/>
          <w:szCs w:val="25"/>
        </w:rPr>
        <w:t>et</w:t>
      </w:r>
      <w:proofErr w:type="gramEnd"/>
      <w:r w:rsidRPr="00796251">
        <w:rPr>
          <w:rStyle w:val="tgc"/>
          <w:rFonts w:cs="Times New Roman"/>
          <w:sz w:val="25"/>
          <w:szCs w:val="25"/>
        </w:rPr>
        <w:t xml:space="preserve">. Seq. or M.G.L. 71B), or Section 504 (29 U.S.C. § 479), may the case be dismissed. See </w:t>
      </w:r>
      <w:r w:rsidRPr="00796251">
        <w:rPr>
          <w:rStyle w:val="tgc"/>
          <w:rFonts w:cs="Times New Roman"/>
          <w:i/>
          <w:sz w:val="25"/>
          <w:szCs w:val="25"/>
        </w:rPr>
        <w:t>Calderon-Ortiz v. LaBoy Alverado</w:t>
      </w:r>
      <w:r w:rsidRPr="00796251">
        <w:rPr>
          <w:rStyle w:val="tgc"/>
          <w:rFonts w:cs="Times New Roman"/>
          <w:sz w:val="25"/>
          <w:szCs w:val="25"/>
        </w:rPr>
        <w:t>, 300 F.3d 60 (1</w:t>
      </w:r>
      <w:r w:rsidRPr="00796251">
        <w:rPr>
          <w:rStyle w:val="tgc"/>
          <w:rFonts w:cs="Times New Roman"/>
          <w:sz w:val="25"/>
          <w:szCs w:val="25"/>
          <w:vertAlign w:val="superscript"/>
        </w:rPr>
        <w:t>st</w:t>
      </w:r>
      <w:r w:rsidRPr="00796251">
        <w:rPr>
          <w:rStyle w:val="tgc"/>
          <w:rFonts w:cs="Times New Roman"/>
          <w:sz w:val="25"/>
          <w:szCs w:val="25"/>
        </w:rPr>
        <w:t xml:space="preserve"> Cir. 2002); </w:t>
      </w:r>
      <w:r w:rsidRPr="00796251">
        <w:rPr>
          <w:rStyle w:val="tgc"/>
          <w:rFonts w:cs="Times New Roman"/>
          <w:i/>
          <w:sz w:val="25"/>
          <w:szCs w:val="25"/>
        </w:rPr>
        <w:t>W</w:t>
      </w:r>
      <w:r w:rsidR="001B3CF9" w:rsidRPr="00796251">
        <w:rPr>
          <w:rStyle w:val="tgc"/>
          <w:rFonts w:cs="Times New Roman"/>
          <w:i/>
          <w:sz w:val="25"/>
          <w:szCs w:val="25"/>
        </w:rPr>
        <w:t>h</w:t>
      </w:r>
      <w:r w:rsidRPr="00796251">
        <w:rPr>
          <w:rStyle w:val="tgc"/>
          <w:rFonts w:cs="Times New Roman"/>
          <w:i/>
          <w:sz w:val="25"/>
          <w:szCs w:val="25"/>
        </w:rPr>
        <w:t>itinsville Plaza Inc. v. Kotseas</w:t>
      </w:r>
      <w:r w:rsidRPr="00796251">
        <w:rPr>
          <w:rStyle w:val="tgc"/>
          <w:rFonts w:cs="Times New Roman"/>
          <w:sz w:val="25"/>
          <w:szCs w:val="25"/>
        </w:rPr>
        <w:t xml:space="preserve">, 378 Mass. 85, 89 (1979); </w:t>
      </w:r>
      <w:r w:rsidRPr="00796251">
        <w:rPr>
          <w:rStyle w:val="tgc"/>
          <w:rFonts w:cs="Times New Roman"/>
          <w:i/>
          <w:sz w:val="25"/>
          <w:szCs w:val="25"/>
        </w:rPr>
        <w:t>Nader v. Cintron</w:t>
      </w:r>
      <w:r w:rsidRPr="00796251">
        <w:rPr>
          <w:rStyle w:val="tgc"/>
          <w:rFonts w:cs="Times New Roman"/>
          <w:sz w:val="25"/>
          <w:szCs w:val="25"/>
        </w:rPr>
        <w:t xml:space="preserve">, 372 Mass. 96, 98 (1977); </w:t>
      </w:r>
      <w:r w:rsidRPr="00796251">
        <w:rPr>
          <w:rStyle w:val="tgc"/>
          <w:rFonts w:cs="Times New Roman"/>
          <w:i/>
          <w:sz w:val="25"/>
          <w:szCs w:val="25"/>
        </w:rPr>
        <w:t>Norfolk County Agricultural School</w:t>
      </w:r>
      <w:r w:rsidRPr="00796251">
        <w:rPr>
          <w:rStyle w:val="tgc"/>
          <w:rFonts w:cs="Times New Roman"/>
          <w:sz w:val="25"/>
          <w:szCs w:val="25"/>
        </w:rPr>
        <w:t xml:space="preserve">, 45 IDELR, 26 (December 28, 2005). </w:t>
      </w:r>
      <w:r w:rsidR="008950E1" w:rsidRPr="00796251">
        <w:rPr>
          <w:rStyle w:val="tgc"/>
          <w:rFonts w:cs="Times New Roman"/>
          <w:sz w:val="25"/>
          <w:szCs w:val="25"/>
        </w:rPr>
        <w:t xml:space="preserve"> </w:t>
      </w:r>
      <w:r w:rsidRPr="00796251">
        <w:rPr>
          <w:rStyle w:val="tgc"/>
          <w:rFonts w:cs="Times New Roman"/>
          <w:sz w:val="25"/>
          <w:szCs w:val="25"/>
        </w:rPr>
        <w:t xml:space="preserve">Conversely, if the opposing party’s allegations raise the plausibility of a viable claim that may give rise to some form of relief under </w:t>
      </w:r>
      <w:r w:rsidRPr="00796251">
        <w:rPr>
          <w:rFonts w:cs="Times New Roman"/>
          <w:sz w:val="25"/>
          <w:szCs w:val="25"/>
        </w:rPr>
        <w:t xml:space="preserve">special education law (20 U.S.C. </w:t>
      </w:r>
      <w:r w:rsidRPr="00796251">
        <w:rPr>
          <w:rStyle w:val="tgc"/>
          <w:rFonts w:cs="Times New Roman"/>
          <w:sz w:val="25"/>
          <w:szCs w:val="25"/>
        </w:rPr>
        <w:t xml:space="preserve">§ 1400 et. Seq. or M.G.L. 71B), or Section 504 (29 U.S.C. § 479), the matter may not be dismissed. See </w:t>
      </w:r>
      <w:r w:rsidRPr="00796251">
        <w:rPr>
          <w:rStyle w:val="tgc"/>
          <w:rFonts w:cs="Times New Roman"/>
          <w:i/>
          <w:sz w:val="25"/>
          <w:szCs w:val="25"/>
        </w:rPr>
        <w:t>Ashcorft v. Iqubal</w:t>
      </w:r>
      <w:r w:rsidRPr="00796251">
        <w:rPr>
          <w:rStyle w:val="tgc"/>
          <w:rFonts w:cs="Times New Roman"/>
          <w:sz w:val="25"/>
          <w:szCs w:val="25"/>
        </w:rPr>
        <w:t xml:space="preserve">, 129 S. Ct. 1937, 1948 (2009). </w:t>
      </w:r>
    </w:p>
    <w:p w:rsidR="00E2494C" w:rsidRPr="00796251" w:rsidRDefault="00E2494C" w:rsidP="00781746">
      <w:pPr>
        <w:rPr>
          <w:rStyle w:val="tgc"/>
          <w:rFonts w:cs="Times New Roman"/>
          <w:sz w:val="25"/>
          <w:szCs w:val="25"/>
        </w:rPr>
      </w:pPr>
    </w:p>
    <w:p w:rsidR="00D53F9A" w:rsidRPr="00796251" w:rsidRDefault="00D52CA8" w:rsidP="00707CCD">
      <w:pPr>
        <w:rPr>
          <w:rStyle w:val="tgc"/>
          <w:rFonts w:cs="Times New Roman"/>
          <w:sz w:val="25"/>
          <w:szCs w:val="25"/>
        </w:rPr>
      </w:pPr>
      <w:r w:rsidRPr="00796251">
        <w:rPr>
          <w:rStyle w:val="tgc"/>
          <w:rFonts w:cs="Times New Roman"/>
          <w:sz w:val="25"/>
          <w:szCs w:val="25"/>
        </w:rPr>
        <w:t>In the</w:t>
      </w:r>
      <w:r w:rsidR="00EB03A3" w:rsidRPr="00796251">
        <w:rPr>
          <w:rStyle w:val="tgc"/>
          <w:rFonts w:cs="Times New Roman"/>
          <w:sz w:val="25"/>
          <w:szCs w:val="25"/>
        </w:rPr>
        <w:t xml:space="preserve"> instant case Parent seeks a </w:t>
      </w:r>
      <w:r w:rsidR="00EB03A3" w:rsidRPr="00796251">
        <w:rPr>
          <w:rStyle w:val="tgc"/>
          <w:rFonts w:cs="Times New Roman"/>
          <w:i/>
          <w:sz w:val="25"/>
          <w:szCs w:val="25"/>
        </w:rPr>
        <w:t>de novo</w:t>
      </w:r>
      <w:r w:rsidR="00EB03A3" w:rsidRPr="00796251">
        <w:rPr>
          <w:rStyle w:val="tgc"/>
          <w:rFonts w:cs="Times New Roman"/>
          <w:sz w:val="25"/>
          <w:szCs w:val="25"/>
        </w:rPr>
        <w:t xml:space="preserve"> opportunity to be heard due to dissatisfaction with the Hearing Officer’s rulings and determinations in BSEA #1904777, including issues involving participation in</w:t>
      </w:r>
      <w:r w:rsidRPr="00796251">
        <w:rPr>
          <w:rStyle w:val="tgc"/>
          <w:rFonts w:cs="Times New Roman"/>
          <w:sz w:val="25"/>
          <w:szCs w:val="25"/>
        </w:rPr>
        <w:t xml:space="preserve"> IEP meeting</w:t>
      </w:r>
      <w:r w:rsidR="00EB03A3" w:rsidRPr="00796251">
        <w:rPr>
          <w:rStyle w:val="tgc"/>
          <w:rFonts w:cs="Times New Roman"/>
          <w:sz w:val="25"/>
          <w:szCs w:val="25"/>
        </w:rPr>
        <w:t>s, Student’s education and</w:t>
      </w:r>
      <w:r w:rsidRPr="00796251">
        <w:rPr>
          <w:rStyle w:val="tgc"/>
          <w:rFonts w:cs="Times New Roman"/>
          <w:sz w:val="25"/>
          <w:szCs w:val="25"/>
        </w:rPr>
        <w:t xml:space="preserve"> access to Student’s records</w:t>
      </w:r>
      <w:r w:rsidR="00EF26D4" w:rsidRPr="00796251">
        <w:rPr>
          <w:rStyle w:val="tgc"/>
          <w:rFonts w:cs="Times New Roman"/>
          <w:sz w:val="25"/>
          <w:szCs w:val="25"/>
        </w:rPr>
        <w:t>.</w:t>
      </w:r>
      <w:r w:rsidR="00F365A7" w:rsidRPr="00796251">
        <w:rPr>
          <w:rStyle w:val="FootnoteReference"/>
          <w:rFonts w:cs="Times New Roman"/>
          <w:sz w:val="25"/>
          <w:szCs w:val="25"/>
        </w:rPr>
        <w:footnoteReference w:id="6"/>
      </w:r>
      <w:r w:rsidR="00F365A7" w:rsidRPr="00796251">
        <w:rPr>
          <w:rStyle w:val="tgc"/>
          <w:rFonts w:cs="Times New Roman"/>
          <w:sz w:val="25"/>
          <w:szCs w:val="25"/>
        </w:rPr>
        <w:t xml:space="preserve"> </w:t>
      </w:r>
    </w:p>
    <w:p w:rsidR="00D52CA8" w:rsidRPr="00796251" w:rsidRDefault="00D52CA8" w:rsidP="00707CCD">
      <w:pPr>
        <w:rPr>
          <w:rStyle w:val="tgc"/>
          <w:rFonts w:cs="Times New Roman"/>
          <w:sz w:val="25"/>
          <w:szCs w:val="25"/>
        </w:rPr>
      </w:pPr>
    </w:p>
    <w:p w:rsidR="0099666B" w:rsidRPr="00796251" w:rsidRDefault="0099666B" w:rsidP="0099666B">
      <w:pPr>
        <w:rPr>
          <w:rStyle w:val="tgc"/>
          <w:rFonts w:cs="Times New Roman"/>
          <w:sz w:val="25"/>
          <w:szCs w:val="25"/>
        </w:rPr>
      </w:pPr>
      <w:r w:rsidRPr="00796251">
        <w:rPr>
          <w:rStyle w:val="tgc"/>
          <w:rFonts w:cs="Times New Roman"/>
          <w:sz w:val="25"/>
          <w:szCs w:val="25"/>
        </w:rPr>
        <w:t>To the extent that Parent seeks review and</w:t>
      </w:r>
      <w:r w:rsidR="00EF26D4" w:rsidRPr="00796251">
        <w:rPr>
          <w:rStyle w:val="tgc"/>
          <w:rFonts w:cs="Times New Roman"/>
          <w:sz w:val="25"/>
          <w:szCs w:val="25"/>
        </w:rPr>
        <w:t>/</w:t>
      </w:r>
      <w:r w:rsidRPr="00796251">
        <w:rPr>
          <w:rStyle w:val="tgc"/>
          <w:rFonts w:cs="Times New Roman"/>
          <w:sz w:val="25"/>
          <w:szCs w:val="25"/>
        </w:rPr>
        <w:t xml:space="preserve"> or an opportunity to be heard on essentially the same issues and claims brought under BSEA #1904777, Parent’s request must be denied under principles of </w:t>
      </w:r>
      <w:r w:rsidRPr="00796251">
        <w:rPr>
          <w:rStyle w:val="tgc"/>
          <w:rFonts w:cs="Times New Roman"/>
          <w:i/>
          <w:sz w:val="25"/>
          <w:szCs w:val="25"/>
        </w:rPr>
        <w:t>res judicata</w:t>
      </w:r>
      <w:r w:rsidRPr="00796251">
        <w:rPr>
          <w:rStyle w:val="FootnoteReference"/>
          <w:rFonts w:cs="Times New Roman"/>
          <w:i/>
          <w:sz w:val="25"/>
          <w:szCs w:val="25"/>
        </w:rPr>
        <w:footnoteReference w:id="7"/>
      </w:r>
      <w:r w:rsidRPr="00796251">
        <w:rPr>
          <w:rStyle w:val="tgc"/>
          <w:rFonts w:cs="Times New Roman"/>
          <w:sz w:val="25"/>
          <w:szCs w:val="25"/>
        </w:rPr>
        <w:t xml:space="preserve"> and collateral estoppel</w:t>
      </w:r>
      <w:r w:rsidR="00FA29E4" w:rsidRPr="00796251">
        <w:rPr>
          <w:rStyle w:val="tgc"/>
          <w:rFonts w:cs="Times New Roman"/>
          <w:sz w:val="25"/>
          <w:szCs w:val="25"/>
        </w:rPr>
        <w:t>.</w:t>
      </w:r>
      <w:r w:rsidRPr="00796251">
        <w:rPr>
          <w:rStyle w:val="FootnoteReference"/>
          <w:rFonts w:cs="Times New Roman"/>
          <w:sz w:val="25"/>
          <w:szCs w:val="25"/>
        </w:rPr>
        <w:footnoteReference w:id="8"/>
      </w:r>
      <w:r w:rsidRPr="00796251">
        <w:rPr>
          <w:rStyle w:val="tgc"/>
          <w:rFonts w:cs="Times New Roman"/>
          <w:sz w:val="25"/>
          <w:szCs w:val="25"/>
        </w:rPr>
        <w:t xml:space="preserve">  See </w:t>
      </w:r>
      <w:r w:rsidRPr="00796251">
        <w:rPr>
          <w:rStyle w:val="tgc"/>
          <w:rFonts w:cs="Times New Roman"/>
          <w:i/>
          <w:sz w:val="25"/>
          <w:szCs w:val="25"/>
        </w:rPr>
        <w:t>Allen v. McCurry</w:t>
      </w:r>
      <w:r w:rsidRPr="00796251">
        <w:rPr>
          <w:rStyle w:val="tgc"/>
          <w:rFonts w:cs="Times New Roman"/>
          <w:sz w:val="25"/>
          <w:szCs w:val="25"/>
        </w:rPr>
        <w:t xml:space="preserve">, 449 US 90 at 94 (1980); </w:t>
      </w:r>
      <w:r w:rsidRPr="00796251">
        <w:rPr>
          <w:rStyle w:val="tgc"/>
          <w:rFonts w:cs="Times New Roman"/>
          <w:i/>
          <w:sz w:val="25"/>
          <w:szCs w:val="25"/>
        </w:rPr>
        <w:t>Carpenter v. Carpenter</w:t>
      </w:r>
      <w:r w:rsidRPr="00796251">
        <w:rPr>
          <w:rStyle w:val="tgc"/>
          <w:rFonts w:cs="Times New Roman"/>
          <w:sz w:val="25"/>
          <w:szCs w:val="25"/>
        </w:rPr>
        <w:t>, 73 Mass</w:t>
      </w:r>
      <w:r w:rsidR="00EF26D4" w:rsidRPr="00796251">
        <w:rPr>
          <w:rStyle w:val="tgc"/>
          <w:rFonts w:cs="Times New Roman"/>
          <w:sz w:val="25"/>
          <w:szCs w:val="25"/>
        </w:rPr>
        <w:t xml:space="preserve">. </w:t>
      </w:r>
      <w:r w:rsidRPr="00796251">
        <w:rPr>
          <w:rStyle w:val="tgc"/>
          <w:rFonts w:cs="Times New Roman"/>
          <w:sz w:val="25"/>
          <w:szCs w:val="25"/>
        </w:rPr>
        <w:t>App.</w:t>
      </w:r>
      <w:r w:rsidR="00EF26D4" w:rsidRPr="00796251">
        <w:rPr>
          <w:rStyle w:val="tgc"/>
          <w:rFonts w:cs="Times New Roman"/>
          <w:sz w:val="25"/>
          <w:szCs w:val="25"/>
        </w:rPr>
        <w:t xml:space="preserve"> </w:t>
      </w:r>
      <w:r w:rsidRPr="00796251">
        <w:rPr>
          <w:rStyle w:val="tgc"/>
          <w:rFonts w:cs="Times New Roman"/>
          <w:sz w:val="25"/>
          <w:szCs w:val="25"/>
        </w:rPr>
        <w:t xml:space="preserve">Ct 732 at 738 (2009); </w:t>
      </w:r>
      <w:r w:rsidRPr="00796251">
        <w:rPr>
          <w:rStyle w:val="tgc"/>
          <w:rFonts w:cs="Times New Roman"/>
          <w:i/>
          <w:sz w:val="25"/>
          <w:szCs w:val="25"/>
        </w:rPr>
        <w:t>In Re: Harwich Public Schools and Marshall</w:t>
      </w:r>
      <w:r w:rsidRPr="00796251">
        <w:rPr>
          <w:rStyle w:val="tgc"/>
          <w:rFonts w:cs="Times New Roman"/>
          <w:sz w:val="25"/>
          <w:szCs w:val="25"/>
        </w:rPr>
        <w:t xml:space="preserve">, 14 MSER 23 (2008); </w:t>
      </w:r>
      <w:r w:rsidRPr="00796251">
        <w:rPr>
          <w:rStyle w:val="tgc"/>
          <w:rFonts w:cs="Times New Roman"/>
          <w:i/>
          <w:sz w:val="25"/>
          <w:szCs w:val="25"/>
        </w:rPr>
        <w:t>In Re: Sutton Public Schools and Neville</w:t>
      </w:r>
      <w:r w:rsidRPr="00796251">
        <w:rPr>
          <w:rStyle w:val="tgc"/>
          <w:rFonts w:cs="Times New Roman"/>
          <w:sz w:val="25"/>
          <w:szCs w:val="25"/>
        </w:rPr>
        <w:t xml:space="preserve">, 13 MSER 352 (2007). </w:t>
      </w:r>
    </w:p>
    <w:p w:rsidR="0099666B" w:rsidRPr="00796251" w:rsidRDefault="0099666B" w:rsidP="0099666B">
      <w:pPr>
        <w:rPr>
          <w:rStyle w:val="tgc"/>
          <w:rFonts w:cs="Times New Roman"/>
          <w:sz w:val="25"/>
          <w:szCs w:val="25"/>
        </w:rPr>
      </w:pPr>
    </w:p>
    <w:p w:rsidR="0099666B" w:rsidRPr="00796251" w:rsidRDefault="0099666B" w:rsidP="0099666B">
      <w:pPr>
        <w:rPr>
          <w:rStyle w:val="tgc"/>
          <w:rFonts w:cs="Times New Roman"/>
          <w:sz w:val="25"/>
          <w:szCs w:val="25"/>
        </w:rPr>
      </w:pPr>
      <w:r w:rsidRPr="00796251">
        <w:rPr>
          <w:rStyle w:val="tgc"/>
          <w:rFonts w:cs="Times New Roman"/>
          <w:sz w:val="25"/>
          <w:szCs w:val="25"/>
        </w:rPr>
        <w:t xml:space="preserve">As explained in the </w:t>
      </w:r>
      <w:r w:rsidRPr="00796251">
        <w:rPr>
          <w:rStyle w:val="tgc"/>
          <w:rFonts w:cs="Times New Roman"/>
          <w:i/>
          <w:sz w:val="25"/>
          <w:szCs w:val="25"/>
        </w:rPr>
        <w:t>Ruling on Taunton Public Schools’ Motion to Dismiss, Student v. Taunton Public Schools</w:t>
      </w:r>
      <w:r w:rsidR="00EF26D4" w:rsidRPr="00796251">
        <w:rPr>
          <w:rStyle w:val="tgc"/>
          <w:rFonts w:cs="Times New Roman"/>
          <w:sz w:val="25"/>
          <w:szCs w:val="25"/>
        </w:rPr>
        <w:t>, BSEA #</w:t>
      </w:r>
      <w:r w:rsidRPr="00796251">
        <w:rPr>
          <w:rStyle w:val="tgc"/>
          <w:rFonts w:cs="Times New Roman"/>
          <w:sz w:val="25"/>
          <w:szCs w:val="25"/>
        </w:rPr>
        <w:t>1601127 (10/27/2015),</w:t>
      </w:r>
    </w:p>
    <w:p w:rsidR="0099666B" w:rsidRPr="00796251" w:rsidRDefault="0099666B" w:rsidP="0099666B">
      <w:pPr>
        <w:rPr>
          <w:rStyle w:val="tgc"/>
          <w:rFonts w:cs="Times New Roman"/>
          <w:sz w:val="25"/>
          <w:szCs w:val="25"/>
        </w:rPr>
      </w:pPr>
      <w:r w:rsidRPr="00796251">
        <w:rPr>
          <w:rStyle w:val="tgc"/>
          <w:rFonts w:cs="Times New Roman"/>
          <w:sz w:val="25"/>
          <w:szCs w:val="25"/>
        </w:rPr>
        <w:t xml:space="preserve"> </w:t>
      </w:r>
    </w:p>
    <w:p w:rsidR="0099666B" w:rsidRPr="00796251" w:rsidRDefault="0099666B" w:rsidP="00025FC1">
      <w:pPr>
        <w:ind w:left="1440" w:right="720"/>
        <w:jc w:val="both"/>
        <w:rPr>
          <w:rStyle w:val="tgc"/>
          <w:rFonts w:cs="Times New Roman"/>
          <w:sz w:val="25"/>
          <w:szCs w:val="25"/>
        </w:rPr>
      </w:pPr>
      <w:r w:rsidRPr="00796251">
        <w:rPr>
          <w:rStyle w:val="tgc"/>
          <w:rFonts w:cs="Times New Roman"/>
          <w:sz w:val="25"/>
          <w:szCs w:val="25"/>
        </w:rPr>
        <w:t xml:space="preserve">The doctrine of </w:t>
      </w:r>
      <w:r w:rsidRPr="00796251">
        <w:rPr>
          <w:rStyle w:val="tgc"/>
          <w:rFonts w:cs="Times New Roman"/>
          <w:i/>
          <w:sz w:val="25"/>
          <w:szCs w:val="25"/>
        </w:rPr>
        <w:t>res judicata</w:t>
      </w:r>
      <w:r w:rsidRPr="00796251">
        <w:rPr>
          <w:rStyle w:val="tgc"/>
          <w:rFonts w:cs="Times New Roman"/>
          <w:sz w:val="25"/>
          <w:szCs w:val="25"/>
        </w:rPr>
        <w:t xml:space="preserve"> bars </w:t>
      </w:r>
      <w:proofErr w:type="spellStart"/>
      <w:r w:rsidRPr="00796251">
        <w:rPr>
          <w:rStyle w:val="tgc"/>
          <w:rFonts w:cs="Times New Roman"/>
          <w:sz w:val="25"/>
          <w:szCs w:val="25"/>
        </w:rPr>
        <w:t>relitigation</w:t>
      </w:r>
      <w:proofErr w:type="spellEnd"/>
      <w:r w:rsidRPr="00796251">
        <w:rPr>
          <w:rStyle w:val="tgc"/>
          <w:rFonts w:cs="Times New Roman"/>
          <w:sz w:val="25"/>
          <w:szCs w:val="25"/>
        </w:rPr>
        <w:t xml:space="preserve"> of issues that were or reasonably could or should have been litigated in prior actions between the same parties and were the subject of a final, conclusive decision.  If the issue a party seeks to resolve in one formal adjudicatory process arises out of a “common nucleus of operative facts” considered and decided in a prior action, that issue is </w:t>
      </w:r>
      <w:r w:rsidR="00EF26D4" w:rsidRPr="00796251">
        <w:rPr>
          <w:rStyle w:val="tgc"/>
          <w:rFonts w:cs="Times New Roman"/>
          <w:sz w:val="25"/>
          <w:szCs w:val="25"/>
        </w:rPr>
        <w:t>barred</w:t>
      </w:r>
      <w:r w:rsidRPr="00796251">
        <w:rPr>
          <w:rStyle w:val="tgc"/>
          <w:rFonts w:cs="Times New Roman"/>
          <w:sz w:val="25"/>
          <w:szCs w:val="25"/>
        </w:rPr>
        <w:t xml:space="preserve"> even if it were not formally presented in the prior action.  </w:t>
      </w:r>
      <w:r w:rsidRPr="00796251">
        <w:rPr>
          <w:rStyle w:val="tgc"/>
          <w:rFonts w:cs="Times New Roman"/>
          <w:i/>
          <w:sz w:val="25"/>
          <w:szCs w:val="25"/>
        </w:rPr>
        <w:t>Sutton</w:t>
      </w:r>
      <w:r w:rsidRPr="00796251">
        <w:rPr>
          <w:rStyle w:val="tgc"/>
          <w:rFonts w:cs="Times New Roman"/>
          <w:sz w:val="25"/>
          <w:szCs w:val="25"/>
        </w:rPr>
        <w:t xml:space="preserve"> citing </w:t>
      </w:r>
      <w:r w:rsidRPr="00796251">
        <w:rPr>
          <w:rStyle w:val="tgc"/>
          <w:rFonts w:cs="Times New Roman"/>
          <w:i/>
          <w:sz w:val="25"/>
          <w:szCs w:val="25"/>
        </w:rPr>
        <w:t xml:space="preserve">Apparel </w:t>
      </w:r>
      <w:r w:rsidR="00EF26D4" w:rsidRPr="00796251">
        <w:rPr>
          <w:rStyle w:val="tgc"/>
          <w:rFonts w:cs="Times New Roman"/>
          <w:i/>
          <w:sz w:val="25"/>
          <w:szCs w:val="25"/>
        </w:rPr>
        <w:t>Ar</w:t>
      </w:r>
      <w:r w:rsidRPr="00796251">
        <w:rPr>
          <w:rStyle w:val="tgc"/>
          <w:rFonts w:cs="Times New Roman"/>
          <w:i/>
          <w:sz w:val="25"/>
          <w:szCs w:val="25"/>
        </w:rPr>
        <w:t xml:space="preserve">t Int’l., Inc. v. </w:t>
      </w:r>
      <w:proofErr w:type="spellStart"/>
      <w:r w:rsidRPr="00796251">
        <w:rPr>
          <w:rStyle w:val="tgc"/>
          <w:rFonts w:cs="Times New Roman"/>
          <w:i/>
          <w:sz w:val="25"/>
          <w:szCs w:val="25"/>
        </w:rPr>
        <w:t>Amertex</w:t>
      </w:r>
      <w:proofErr w:type="spellEnd"/>
      <w:r w:rsidRPr="00796251">
        <w:rPr>
          <w:rStyle w:val="tgc"/>
          <w:rFonts w:cs="Times New Roman"/>
          <w:i/>
          <w:sz w:val="25"/>
          <w:szCs w:val="25"/>
        </w:rPr>
        <w:t xml:space="preserve"> Enterprises, LTD</w:t>
      </w:r>
      <w:r w:rsidRPr="00796251">
        <w:rPr>
          <w:rStyle w:val="tgc"/>
          <w:rFonts w:cs="Times New Roman"/>
          <w:sz w:val="25"/>
          <w:szCs w:val="25"/>
        </w:rPr>
        <w:t>., 48 F3d 576 (1</w:t>
      </w:r>
      <w:r w:rsidRPr="00796251">
        <w:rPr>
          <w:rStyle w:val="tgc"/>
          <w:rFonts w:cs="Times New Roman"/>
          <w:sz w:val="25"/>
          <w:szCs w:val="25"/>
          <w:vertAlign w:val="superscript"/>
        </w:rPr>
        <w:t>st</w:t>
      </w:r>
      <w:r w:rsidRPr="00796251">
        <w:rPr>
          <w:rStyle w:val="tgc"/>
          <w:rFonts w:cs="Times New Roman"/>
          <w:sz w:val="25"/>
          <w:szCs w:val="25"/>
        </w:rPr>
        <w:t xml:space="preserve"> Cir. 1995); </w:t>
      </w:r>
      <w:proofErr w:type="spellStart"/>
      <w:r w:rsidRPr="00796251">
        <w:rPr>
          <w:rStyle w:val="tgc"/>
          <w:rFonts w:cs="Times New Roman"/>
          <w:i/>
          <w:sz w:val="25"/>
          <w:szCs w:val="25"/>
        </w:rPr>
        <w:t>Carlette</w:t>
      </w:r>
      <w:proofErr w:type="spellEnd"/>
      <w:r w:rsidRPr="00796251">
        <w:rPr>
          <w:rStyle w:val="tgc"/>
          <w:rFonts w:cs="Times New Roman"/>
          <w:i/>
          <w:sz w:val="25"/>
          <w:szCs w:val="25"/>
        </w:rPr>
        <w:t xml:space="preserve"> v. </w:t>
      </w:r>
      <w:proofErr w:type="spellStart"/>
      <w:r w:rsidRPr="00796251">
        <w:rPr>
          <w:rStyle w:val="tgc"/>
          <w:rFonts w:cs="Times New Roman"/>
          <w:i/>
          <w:sz w:val="25"/>
          <w:szCs w:val="25"/>
        </w:rPr>
        <w:t>Carlette</w:t>
      </w:r>
      <w:proofErr w:type="spellEnd"/>
      <w:r w:rsidRPr="00796251">
        <w:rPr>
          <w:rStyle w:val="tgc"/>
          <w:rFonts w:cs="Times New Roman"/>
          <w:i/>
          <w:sz w:val="25"/>
          <w:szCs w:val="25"/>
        </w:rPr>
        <w:t xml:space="preserve"> Bros. Foundry </w:t>
      </w:r>
      <w:proofErr w:type="spellStart"/>
      <w:r w:rsidRPr="00796251">
        <w:rPr>
          <w:rStyle w:val="tgc"/>
          <w:rFonts w:cs="Times New Roman"/>
          <w:i/>
          <w:sz w:val="25"/>
          <w:szCs w:val="25"/>
        </w:rPr>
        <w:t>Inc</w:t>
      </w:r>
      <w:proofErr w:type="spellEnd"/>
      <w:proofErr w:type="gramStart"/>
      <w:r w:rsidRPr="00796251">
        <w:rPr>
          <w:rStyle w:val="tgc"/>
          <w:rFonts w:cs="Times New Roman"/>
          <w:i/>
          <w:sz w:val="25"/>
          <w:szCs w:val="25"/>
        </w:rPr>
        <w:t>,.</w:t>
      </w:r>
      <w:proofErr w:type="gramEnd"/>
      <w:r w:rsidRPr="00796251">
        <w:rPr>
          <w:rStyle w:val="tgc"/>
          <w:rFonts w:cs="Times New Roman"/>
          <w:sz w:val="25"/>
          <w:szCs w:val="25"/>
        </w:rPr>
        <w:t xml:space="preserve"> </w:t>
      </w:r>
      <w:proofErr w:type="gramStart"/>
      <w:r w:rsidRPr="00796251">
        <w:rPr>
          <w:rStyle w:val="tgc"/>
          <w:rFonts w:cs="Times New Roman"/>
          <w:sz w:val="25"/>
          <w:szCs w:val="25"/>
        </w:rPr>
        <w:t>793 N.E. 2d 1268 (</w:t>
      </w:r>
      <w:proofErr w:type="spellStart"/>
      <w:r w:rsidRPr="00796251">
        <w:rPr>
          <w:rStyle w:val="tgc"/>
          <w:rFonts w:cs="Times New Roman"/>
          <w:sz w:val="25"/>
          <w:szCs w:val="25"/>
        </w:rPr>
        <w:t>Mass.App.Ct</w:t>
      </w:r>
      <w:proofErr w:type="spellEnd"/>
      <w:r w:rsidRPr="00796251">
        <w:rPr>
          <w:rStyle w:val="tgc"/>
          <w:rFonts w:cs="Times New Roman"/>
          <w:sz w:val="25"/>
          <w:szCs w:val="25"/>
        </w:rPr>
        <w:t>. 2003).</w:t>
      </w:r>
      <w:proofErr w:type="gramEnd"/>
      <w:r w:rsidRPr="00796251">
        <w:rPr>
          <w:rStyle w:val="tgc"/>
          <w:rFonts w:cs="Times New Roman"/>
          <w:sz w:val="25"/>
          <w:szCs w:val="25"/>
        </w:rPr>
        <w:t xml:space="preserve">  For the purpose of application of issue preclusion doctrines, consideration and resolution by an administrative adjudicatory agency is equivalent to a court judgment.  “[A] final order of an administrative agency in an adjudicatory proceeding…precludes </w:t>
      </w:r>
      <w:proofErr w:type="spellStart"/>
      <w:r w:rsidRPr="00796251">
        <w:rPr>
          <w:rStyle w:val="tgc"/>
          <w:rFonts w:cs="Times New Roman"/>
          <w:sz w:val="25"/>
          <w:szCs w:val="25"/>
        </w:rPr>
        <w:t>relitigation</w:t>
      </w:r>
      <w:proofErr w:type="spellEnd"/>
      <w:r w:rsidRPr="00796251">
        <w:rPr>
          <w:rStyle w:val="tgc"/>
          <w:rFonts w:cs="Times New Roman"/>
          <w:sz w:val="25"/>
          <w:szCs w:val="25"/>
        </w:rPr>
        <w:t xml:space="preserve"> of the same issues between the same parties, just as would a final judgment of a court of competent jurisdiction.”  </w:t>
      </w:r>
      <w:proofErr w:type="gramStart"/>
      <w:r w:rsidRPr="00796251">
        <w:rPr>
          <w:rStyle w:val="tgc"/>
          <w:rFonts w:cs="Times New Roman"/>
          <w:i/>
          <w:sz w:val="25"/>
          <w:szCs w:val="25"/>
        </w:rPr>
        <w:t>Sutton</w:t>
      </w:r>
      <w:r w:rsidRPr="00796251">
        <w:rPr>
          <w:rStyle w:val="tgc"/>
          <w:rFonts w:cs="Times New Roman"/>
          <w:sz w:val="25"/>
          <w:szCs w:val="25"/>
        </w:rPr>
        <w:t xml:space="preserve"> citing </w:t>
      </w:r>
      <w:r w:rsidRPr="00796251">
        <w:rPr>
          <w:rStyle w:val="tgc"/>
          <w:rFonts w:cs="Times New Roman"/>
          <w:i/>
          <w:sz w:val="25"/>
          <w:szCs w:val="25"/>
        </w:rPr>
        <w:t>Korbin v. Bd.</w:t>
      </w:r>
      <w:proofErr w:type="gramEnd"/>
      <w:r w:rsidRPr="00796251">
        <w:rPr>
          <w:rStyle w:val="tgc"/>
          <w:rFonts w:cs="Times New Roman"/>
          <w:i/>
          <w:sz w:val="25"/>
          <w:szCs w:val="25"/>
        </w:rPr>
        <w:t xml:space="preserve"> </w:t>
      </w:r>
      <w:proofErr w:type="gramStart"/>
      <w:r w:rsidRPr="00796251">
        <w:rPr>
          <w:rStyle w:val="tgc"/>
          <w:rFonts w:cs="Times New Roman"/>
          <w:i/>
          <w:sz w:val="25"/>
          <w:szCs w:val="25"/>
        </w:rPr>
        <w:t>Of Registration in Medicine</w:t>
      </w:r>
      <w:r w:rsidRPr="00796251">
        <w:rPr>
          <w:rStyle w:val="tgc"/>
          <w:rFonts w:cs="Times New Roman"/>
          <w:sz w:val="25"/>
          <w:szCs w:val="25"/>
        </w:rPr>
        <w:t>, 444 Mass. 837, 844 (2005).</w:t>
      </w:r>
      <w:proofErr w:type="gramEnd"/>
    </w:p>
    <w:p w:rsidR="0099666B" w:rsidRPr="00796251" w:rsidRDefault="0099666B" w:rsidP="0099666B">
      <w:pPr>
        <w:rPr>
          <w:rStyle w:val="tgc"/>
          <w:rFonts w:cs="Times New Roman"/>
          <w:sz w:val="25"/>
          <w:szCs w:val="25"/>
        </w:rPr>
      </w:pPr>
    </w:p>
    <w:p w:rsidR="0099666B" w:rsidRPr="00796251" w:rsidRDefault="00C3518A" w:rsidP="0099666B">
      <w:pPr>
        <w:rPr>
          <w:rStyle w:val="tgc"/>
          <w:rFonts w:cs="Times New Roman"/>
          <w:sz w:val="25"/>
          <w:szCs w:val="25"/>
        </w:rPr>
      </w:pPr>
      <w:r w:rsidRPr="00796251">
        <w:rPr>
          <w:rStyle w:val="tgc"/>
          <w:rFonts w:cs="Times New Roman"/>
          <w:sz w:val="25"/>
          <w:szCs w:val="25"/>
        </w:rPr>
        <w:t xml:space="preserve">In essence, </w:t>
      </w:r>
      <w:r w:rsidRPr="00796251">
        <w:rPr>
          <w:rStyle w:val="tgc"/>
          <w:rFonts w:cs="Times New Roman"/>
          <w:i/>
          <w:sz w:val="25"/>
          <w:szCs w:val="25"/>
        </w:rPr>
        <w:t>r</w:t>
      </w:r>
      <w:r w:rsidR="0099666B" w:rsidRPr="00796251">
        <w:rPr>
          <w:rStyle w:val="tgc"/>
          <w:rFonts w:cs="Times New Roman"/>
          <w:i/>
          <w:sz w:val="25"/>
          <w:szCs w:val="25"/>
        </w:rPr>
        <w:t>es judicata</w:t>
      </w:r>
      <w:r w:rsidR="0099666B" w:rsidRPr="00796251">
        <w:rPr>
          <w:rStyle w:val="tgc"/>
          <w:rFonts w:cs="Times New Roman"/>
          <w:sz w:val="25"/>
          <w:szCs w:val="25"/>
        </w:rPr>
        <w:t xml:space="preserve"> bars actions where the following three elements are present:</w:t>
      </w:r>
    </w:p>
    <w:p w:rsidR="0099666B" w:rsidRPr="00796251" w:rsidRDefault="0099666B" w:rsidP="0099666B">
      <w:pPr>
        <w:rPr>
          <w:rStyle w:val="tgc"/>
          <w:rFonts w:cs="Times New Roman"/>
          <w:sz w:val="25"/>
          <w:szCs w:val="25"/>
        </w:rPr>
      </w:pPr>
    </w:p>
    <w:p w:rsidR="0099666B" w:rsidRPr="00796251" w:rsidRDefault="0099666B" w:rsidP="00025FC1">
      <w:pPr>
        <w:ind w:right="720"/>
        <w:rPr>
          <w:rStyle w:val="tgc"/>
          <w:rFonts w:cs="Times New Roman"/>
          <w:sz w:val="25"/>
          <w:szCs w:val="25"/>
        </w:rPr>
      </w:pPr>
      <w:r w:rsidRPr="00796251">
        <w:rPr>
          <w:rStyle w:val="tgc"/>
          <w:rFonts w:cs="Times New Roman"/>
          <w:sz w:val="25"/>
          <w:szCs w:val="25"/>
        </w:rPr>
        <w:tab/>
      </w:r>
      <w:r w:rsidRPr="00796251">
        <w:rPr>
          <w:rStyle w:val="tgc"/>
          <w:rFonts w:cs="Times New Roman"/>
          <w:sz w:val="25"/>
          <w:szCs w:val="25"/>
        </w:rPr>
        <w:tab/>
        <w:t xml:space="preserve">1) </w:t>
      </w:r>
      <w:proofErr w:type="gramStart"/>
      <w:r w:rsidRPr="00796251">
        <w:rPr>
          <w:rStyle w:val="tgc"/>
          <w:rFonts w:cs="Times New Roman"/>
          <w:sz w:val="25"/>
          <w:szCs w:val="25"/>
        </w:rPr>
        <w:t>a</w:t>
      </w:r>
      <w:proofErr w:type="gramEnd"/>
      <w:r w:rsidRPr="00796251">
        <w:rPr>
          <w:rStyle w:val="tgc"/>
          <w:rFonts w:cs="Times New Roman"/>
          <w:sz w:val="25"/>
          <w:szCs w:val="25"/>
        </w:rPr>
        <w:t xml:space="preserve"> final judgment on the merits in an earlier case</w:t>
      </w:r>
      <w:r w:rsidR="00C3518A" w:rsidRPr="00796251">
        <w:rPr>
          <w:rStyle w:val="tgc"/>
          <w:rFonts w:cs="Times New Roman"/>
          <w:sz w:val="25"/>
          <w:szCs w:val="25"/>
        </w:rPr>
        <w:t>;</w:t>
      </w:r>
    </w:p>
    <w:p w:rsidR="0099666B" w:rsidRPr="00796251" w:rsidRDefault="0099666B" w:rsidP="00025FC1">
      <w:pPr>
        <w:ind w:left="1440" w:right="720"/>
        <w:rPr>
          <w:rStyle w:val="tgc"/>
          <w:rFonts w:cs="Times New Roman"/>
          <w:sz w:val="25"/>
          <w:szCs w:val="25"/>
        </w:rPr>
      </w:pPr>
      <w:r w:rsidRPr="00796251">
        <w:rPr>
          <w:rStyle w:val="tgc"/>
          <w:rFonts w:cs="Times New Roman"/>
          <w:sz w:val="25"/>
          <w:szCs w:val="25"/>
        </w:rPr>
        <w:t>2) “</w:t>
      </w:r>
      <w:proofErr w:type="gramStart"/>
      <w:r w:rsidRPr="00796251">
        <w:rPr>
          <w:rStyle w:val="tgc"/>
          <w:rFonts w:cs="Times New Roman"/>
          <w:sz w:val="25"/>
          <w:szCs w:val="25"/>
        </w:rPr>
        <w:t>sufficient</w:t>
      </w:r>
      <w:proofErr w:type="gramEnd"/>
      <w:r w:rsidRPr="00796251">
        <w:rPr>
          <w:rStyle w:val="tgc"/>
          <w:rFonts w:cs="Times New Roman"/>
          <w:sz w:val="25"/>
          <w:szCs w:val="25"/>
        </w:rPr>
        <w:t xml:space="preserve"> </w:t>
      </w:r>
      <w:proofErr w:type="spellStart"/>
      <w:r w:rsidRPr="00796251">
        <w:rPr>
          <w:rStyle w:val="tgc"/>
          <w:rFonts w:cs="Times New Roman"/>
          <w:sz w:val="25"/>
          <w:szCs w:val="25"/>
        </w:rPr>
        <w:t>identicality</w:t>
      </w:r>
      <w:proofErr w:type="spellEnd"/>
      <w:r w:rsidRPr="00796251">
        <w:rPr>
          <w:rStyle w:val="tgc"/>
          <w:rFonts w:cs="Times New Roman"/>
          <w:sz w:val="25"/>
          <w:szCs w:val="25"/>
        </w:rPr>
        <w:t>” between the causes of action asserted in the earlier and later cases; and,</w:t>
      </w:r>
    </w:p>
    <w:p w:rsidR="0099666B" w:rsidRPr="00796251" w:rsidRDefault="0099666B" w:rsidP="00025FC1">
      <w:pPr>
        <w:ind w:left="1440" w:right="720"/>
        <w:rPr>
          <w:rStyle w:val="tgc"/>
          <w:rFonts w:cs="Times New Roman"/>
          <w:sz w:val="25"/>
          <w:szCs w:val="25"/>
        </w:rPr>
      </w:pPr>
      <w:r w:rsidRPr="00796251">
        <w:rPr>
          <w:rStyle w:val="tgc"/>
          <w:rFonts w:cs="Times New Roman"/>
          <w:sz w:val="25"/>
          <w:szCs w:val="25"/>
        </w:rPr>
        <w:t>2) “</w:t>
      </w:r>
      <w:proofErr w:type="gramStart"/>
      <w:r w:rsidRPr="00796251">
        <w:rPr>
          <w:rStyle w:val="tgc"/>
          <w:rFonts w:cs="Times New Roman"/>
          <w:sz w:val="25"/>
          <w:szCs w:val="25"/>
        </w:rPr>
        <w:t>sufficient</w:t>
      </w:r>
      <w:proofErr w:type="gramEnd"/>
      <w:r w:rsidRPr="00796251">
        <w:rPr>
          <w:rStyle w:val="tgc"/>
          <w:rFonts w:cs="Times New Roman"/>
          <w:sz w:val="25"/>
          <w:szCs w:val="25"/>
        </w:rPr>
        <w:t xml:space="preserve"> </w:t>
      </w:r>
      <w:proofErr w:type="spellStart"/>
      <w:r w:rsidRPr="00796251">
        <w:rPr>
          <w:rStyle w:val="tgc"/>
          <w:rFonts w:cs="Times New Roman"/>
          <w:sz w:val="25"/>
          <w:szCs w:val="25"/>
        </w:rPr>
        <w:t>identicality</w:t>
      </w:r>
      <w:proofErr w:type="spellEnd"/>
      <w:r w:rsidRPr="00796251">
        <w:rPr>
          <w:rStyle w:val="tgc"/>
          <w:rFonts w:cs="Times New Roman"/>
          <w:sz w:val="25"/>
          <w:szCs w:val="25"/>
        </w:rPr>
        <w:t xml:space="preserve">” between the parties in the two suits. </w:t>
      </w:r>
      <w:proofErr w:type="gramStart"/>
      <w:r w:rsidRPr="00796251">
        <w:rPr>
          <w:rStyle w:val="tgc"/>
          <w:rFonts w:cs="Times New Roman"/>
          <w:i/>
          <w:sz w:val="25"/>
          <w:szCs w:val="25"/>
        </w:rPr>
        <w:t>Harwich</w:t>
      </w:r>
      <w:r w:rsidRPr="00796251">
        <w:rPr>
          <w:rStyle w:val="tgc"/>
          <w:rFonts w:cs="Times New Roman"/>
          <w:sz w:val="25"/>
          <w:szCs w:val="25"/>
        </w:rPr>
        <w:t xml:space="preserve"> citing </w:t>
      </w:r>
      <w:r w:rsidRPr="00796251">
        <w:rPr>
          <w:rStyle w:val="tgc"/>
          <w:rFonts w:cs="Times New Roman"/>
          <w:i/>
          <w:sz w:val="25"/>
          <w:szCs w:val="25"/>
        </w:rPr>
        <w:t>Gonzalez-Pina v. Rodriguez</w:t>
      </w:r>
      <w:r w:rsidRPr="00796251">
        <w:rPr>
          <w:rStyle w:val="tgc"/>
          <w:rFonts w:cs="Times New Roman"/>
          <w:sz w:val="25"/>
          <w:szCs w:val="25"/>
        </w:rPr>
        <w:t>, 407 F.3d 425, 429 (1</w:t>
      </w:r>
      <w:r w:rsidRPr="00796251">
        <w:rPr>
          <w:rStyle w:val="tgc"/>
          <w:rFonts w:cs="Times New Roman"/>
          <w:sz w:val="25"/>
          <w:szCs w:val="25"/>
          <w:vertAlign w:val="superscript"/>
        </w:rPr>
        <w:t>st</w:t>
      </w:r>
      <w:r w:rsidRPr="00796251">
        <w:rPr>
          <w:rStyle w:val="tgc"/>
          <w:rFonts w:cs="Times New Roman"/>
          <w:sz w:val="25"/>
          <w:szCs w:val="25"/>
        </w:rPr>
        <w:t xml:space="preserve"> Cir. 2005).</w:t>
      </w:r>
      <w:proofErr w:type="gramEnd"/>
    </w:p>
    <w:p w:rsidR="0099666B" w:rsidRPr="00796251" w:rsidRDefault="0099666B" w:rsidP="0099666B">
      <w:pPr>
        <w:rPr>
          <w:rStyle w:val="tgc"/>
          <w:rFonts w:cs="Times New Roman"/>
          <w:sz w:val="25"/>
          <w:szCs w:val="25"/>
        </w:rPr>
      </w:pPr>
    </w:p>
    <w:p w:rsidR="0099666B" w:rsidRPr="00796251" w:rsidRDefault="0099666B" w:rsidP="0099666B">
      <w:pPr>
        <w:rPr>
          <w:rStyle w:val="tgc"/>
          <w:rFonts w:cs="Times New Roman"/>
          <w:sz w:val="25"/>
          <w:szCs w:val="25"/>
        </w:rPr>
      </w:pPr>
      <w:r w:rsidRPr="00796251">
        <w:rPr>
          <w:rStyle w:val="tgc"/>
          <w:rFonts w:cs="Times New Roman"/>
          <w:sz w:val="25"/>
          <w:szCs w:val="25"/>
        </w:rPr>
        <w:t xml:space="preserve">It is clear that BSEA #1904777 and BSEA </w:t>
      </w:r>
      <w:r w:rsidR="00FA29E4" w:rsidRPr="00796251">
        <w:rPr>
          <w:rStyle w:val="tgc"/>
          <w:rFonts w:cs="Times New Roman"/>
          <w:sz w:val="25"/>
          <w:szCs w:val="25"/>
        </w:rPr>
        <w:t>#</w:t>
      </w:r>
      <w:r w:rsidRPr="00796251">
        <w:rPr>
          <w:rStyle w:val="tgc"/>
          <w:rFonts w:cs="Times New Roman"/>
          <w:sz w:val="25"/>
          <w:szCs w:val="25"/>
        </w:rPr>
        <w:t>1907993 involve the same parties</w:t>
      </w:r>
      <w:r w:rsidR="00C3518A" w:rsidRPr="00796251">
        <w:rPr>
          <w:rStyle w:val="tgc"/>
          <w:rFonts w:cs="Times New Roman"/>
          <w:sz w:val="25"/>
          <w:szCs w:val="25"/>
        </w:rPr>
        <w:t xml:space="preserve">.  BSEA #1907993 raises the </w:t>
      </w:r>
      <w:r w:rsidRPr="00796251">
        <w:rPr>
          <w:rStyle w:val="tgc"/>
          <w:rFonts w:cs="Times New Roman"/>
          <w:sz w:val="25"/>
          <w:szCs w:val="25"/>
        </w:rPr>
        <w:t>same causes of action previously raised in BSEA #1904777</w:t>
      </w:r>
      <w:r w:rsidR="00C3518A" w:rsidRPr="00796251">
        <w:rPr>
          <w:rStyle w:val="tgc"/>
          <w:rFonts w:cs="Times New Roman"/>
          <w:sz w:val="25"/>
          <w:szCs w:val="25"/>
        </w:rPr>
        <w:t>.  The earlier case, BSEA #1904777</w:t>
      </w:r>
      <w:r w:rsidR="00FA29E4" w:rsidRPr="00796251">
        <w:rPr>
          <w:rStyle w:val="tgc"/>
          <w:rFonts w:cs="Times New Roman"/>
          <w:sz w:val="25"/>
          <w:szCs w:val="25"/>
        </w:rPr>
        <w:t>,</w:t>
      </w:r>
      <w:r w:rsidRPr="00796251">
        <w:rPr>
          <w:rStyle w:val="tgc"/>
          <w:rFonts w:cs="Times New Roman"/>
          <w:sz w:val="25"/>
          <w:szCs w:val="25"/>
        </w:rPr>
        <w:t xml:space="preserve"> was disposed of via a final Ruling</w:t>
      </w:r>
      <w:r w:rsidR="00C3518A" w:rsidRPr="00796251">
        <w:rPr>
          <w:rStyle w:val="tgc"/>
          <w:rFonts w:cs="Times New Roman"/>
          <w:sz w:val="25"/>
          <w:szCs w:val="25"/>
        </w:rPr>
        <w:t xml:space="preserve"> issued on January 28, 2019.  </w:t>
      </w:r>
      <w:r w:rsidR="00C3518A" w:rsidRPr="00796251">
        <w:rPr>
          <w:rStyle w:val="tgc"/>
          <w:rFonts w:cs="Times New Roman"/>
          <w:sz w:val="25"/>
          <w:szCs w:val="25"/>
        </w:rPr>
        <w:lastRenderedPageBreak/>
        <w:t>Attached to this Ruling was a Notice that this was a final agency determination and information regarding Parent’s rights of appeal</w:t>
      </w:r>
      <w:r w:rsidRPr="00796251">
        <w:rPr>
          <w:rStyle w:val="tgc"/>
          <w:rFonts w:cs="Times New Roman"/>
          <w:sz w:val="25"/>
          <w:szCs w:val="25"/>
        </w:rPr>
        <w:t xml:space="preserve">.   </w:t>
      </w:r>
    </w:p>
    <w:p w:rsidR="0099666B" w:rsidRPr="00796251" w:rsidRDefault="0099666B" w:rsidP="0099666B">
      <w:pPr>
        <w:rPr>
          <w:rStyle w:val="tgc"/>
          <w:rFonts w:cs="Times New Roman"/>
          <w:sz w:val="25"/>
          <w:szCs w:val="25"/>
        </w:rPr>
      </w:pPr>
    </w:p>
    <w:p w:rsidR="0099666B" w:rsidRPr="00796251" w:rsidRDefault="0099666B" w:rsidP="0099666B">
      <w:pPr>
        <w:rPr>
          <w:rStyle w:val="tgc"/>
          <w:rFonts w:cs="Times New Roman"/>
          <w:sz w:val="25"/>
          <w:szCs w:val="25"/>
        </w:rPr>
      </w:pPr>
      <w:r w:rsidRPr="00796251">
        <w:rPr>
          <w:rStyle w:val="tgc"/>
          <w:rFonts w:cs="Times New Roman"/>
          <w:sz w:val="25"/>
          <w:szCs w:val="25"/>
        </w:rPr>
        <w:t xml:space="preserve">Similarly, collateral estoppel precludes </w:t>
      </w:r>
      <w:proofErr w:type="spellStart"/>
      <w:r w:rsidRPr="00796251">
        <w:rPr>
          <w:rStyle w:val="tgc"/>
          <w:rFonts w:cs="Times New Roman"/>
          <w:sz w:val="25"/>
          <w:szCs w:val="25"/>
        </w:rPr>
        <w:t>relitigation</w:t>
      </w:r>
      <w:proofErr w:type="spellEnd"/>
      <w:r w:rsidRPr="00796251">
        <w:rPr>
          <w:rStyle w:val="tgc"/>
          <w:rFonts w:cs="Times New Roman"/>
          <w:sz w:val="25"/>
          <w:szCs w:val="25"/>
        </w:rPr>
        <w:t xml:space="preserve"> between the same parties of issues of fact or law necessary to a judgment which </w:t>
      </w:r>
      <w:r w:rsidR="00C3518A" w:rsidRPr="00796251">
        <w:rPr>
          <w:rStyle w:val="tgc"/>
          <w:rFonts w:cs="Times New Roman"/>
          <w:sz w:val="25"/>
          <w:szCs w:val="25"/>
        </w:rPr>
        <w:t xml:space="preserve">issues and claims </w:t>
      </w:r>
      <w:r w:rsidRPr="00796251">
        <w:rPr>
          <w:rStyle w:val="tgc"/>
          <w:rFonts w:cs="Times New Roman"/>
          <w:sz w:val="25"/>
          <w:szCs w:val="25"/>
        </w:rPr>
        <w:t xml:space="preserve">have already been subject to a determination. </w:t>
      </w:r>
      <w:proofErr w:type="gramStart"/>
      <w:r w:rsidRPr="00796251">
        <w:rPr>
          <w:rStyle w:val="tgc"/>
          <w:rFonts w:cs="Times New Roman"/>
          <w:i/>
          <w:sz w:val="25"/>
          <w:szCs w:val="25"/>
        </w:rPr>
        <w:t>Allen v. McCurry</w:t>
      </w:r>
      <w:r w:rsidRPr="00796251">
        <w:rPr>
          <w:rStyle w:val="tgc"/>
          <w:rFonts w:cs="Times New Roman"/>
          <w:sz w:val="25"/>
          <w:szCs w:val="25"/>
        </w:rPr>
        <w:t>, 449 US at 94 (1980).</w:t>
      </w:r>
      <w:proofErr w:type="gramEnd"/>
    </w:p>
    <w:p w:rsidR="0099666B" w:rsidRPr="00796251" w:rsidRDefault="0099666B" w:rsidP="0099666B">
      <w:pPr>
        <w:rPr>
          <w:rStyle w:val="tgc"/>
          <w:rFonts w:cs="Times New Roman"/>
          <w:sz w:val="25"/>
          <w:szCs w:val="25"/>
        </w:rPr>
      </w:pPr>
    </w:p>
    <w:p w:rsidR="0099666B" w:rsidRPr="00796251" w:rsidRDefault="00C3518A" w:rsidP="0099666B">
      <w:pPr>
        <w:rPr>
          <w:rStyle w:val="tgc"/>
          <w:rFonts w:cs="Times New Roman"/>
          <w:sz w:val="25"/>
          <w:szCs w:val="25"/>
        </w:rPr>
      </w:pPr>
      <w:r w:rsidRPr="00796251">
        <w:rPr>
          <w:rStyle w:val="tgc"/>
          <w:rFonts w:cs="Times New Roman"/>
          <w:sz w:val="25"/>
          <w:szCs w:val="25"/>
        </w:rPr>
        <w:t xml:space="preserve">As noted earlier, it is clear that in the instant case Parent seeks a </w:t>
      </w:r>
      <w:r w:rsidR="000C210B" w:rsidRPr="00796251">
        <w:rPr>
          <w:rStyle w:val="tgc"/>
          <w:rFonts w:cs="Times New Roman"/>
          <w:sz w:val="25"/>
          <w:szCs w:val="25"/>
        </w:rPr>
        <w:t>“</w:t>
      </w:r>
      <w:r w:rsidRPr="00796251">
        <w:rPr>
          <w:rStyle w:val="tgc"/>
          <w:rFonts w:cs="Times New Roman"/>
          <w:sz w:val="25"/>
          <w:szCs w:val="25"/>
        </w:rPr>
        <w:t>re-do</w:t>
      </w:r>
      <w:r w:rsidR="000C210B" w:rsidRPr="00796251">
        <w:rPr>
          <w:rStyle w:val="tgc"/>
          <w:rFonts w:cs="Times New Roman"/>
          <w:sz w:val="25"/>
          <w:szCs w:val="25"/>
        </w:rPr>
        <w:t>”</w:t>
      </w:r>
      <w:r w:rsidRPr="00796251">
        <w:rPr>
          <w:rStyle w:val="tgc"/>
          <w:rFonts w:cs="Times New Roman"/>
          <w:sz w:val="25"/>
          <w:szCs w:val="25"/>
        </w:rPr>
        <w:t xml:space="preserve"> of her previous case.  </w:t>
      </w:r>
      <w:r w:rsidR="0099666B" w:rsidRPr="00796251">
        <w:rPr>
          <w:rStyle w:val="tgc"/>
          <w:rFonts w:cs="Times New Roman"/>
          <w:sz w:val="25"/>
          <w:szCs w:val="25"/>
        </w:rPr>
        <w:t xml:space="preserve">Principles of </w:t>
      </w:r>
      <w:r w:rsidR="0099666B" w:rsidRPr="00796251">
        <w:rPr>
          <w:rStyle w:val="tgc"/>
          <w:rFonts w:cs="Times New Roman"/>
          <w:i/>
          <w:sz w:val="25"/>
          <w:szCs w:val="25"/>
        </w:rPr>
        <w:t>res judicata</w:t>
      </w:r>
      <w:r w:rsidR="0099666B" w:rsidRPr="00796251">
        <w:rPr>
          <w:rStyle w:val="tgc"/>
          <w:rFonts w:cs="Times New Roman"/>
          <w:sz w:val="25"/>
          <w:szCs w:val="25"/>
        </w:rPr>
        <w:t xml:space="preserve"> and collateral estoppel prevent this Hearing Officer from </w:t>
      </w:r>
      <w:r w:rsidR="000C210B" w:rsidRPr="00796251">
        <w:rPr>
          <w:rStyle w:val="tgc"/>
          <w:rFonts w:cs="Times New Roman"/>
          <w:sz w:val="25"/>
          <w:szCs w:val="25"/>
        </w:rPr>
        <w:t xml:space="preserve">essentially </w:t>
      </w:r>
      <w:r w:rsidR="0099666B" w:rsidRPr="00796251">
        <w:rPr>
          <w:rStyle w:val="tgc"/>
          <w:rFonts w:cs="Times New Roman"/>
          <w:sz w:val="25"/>
          <w:szCs w:val="25"/>
        </w:rPr>
        <w:t>re-opening a case already dis</w:t>
      </w:r>
      <w:r w:rsidR="000C210B" w:rsidRPr="00796251">
        <w:rPr>
          <w:rStyle w:val="tgc"/>
          <w:rFonts w:cs="Times New Roman"/>
          <w:sz w:val="25"/>
          <w:szCs w:val="25"/>
        </w:rPr>
        <w:t xml:space="preserve">missed </w:t>
      </w:r>
      <w:r w:rsidR="0099666B" w:rsidRPr="00796251">
        <w:rPr>
          <w:rStyle w:val="tgc"/>
          <w:rFonts w:cs="Times New Roman"/>
          <w:sz w:val="25"/>
          <w:szCs w:val="25"/>
        </w:rPr>
        <w:t xml:space="preserve">by another Hearing Officer.  </w:t>
      </w:r>
      <w:r w:rsidR="000C210B" w:rsidRPr="00796251">
        <w:rPr>
          <w:rStyle w:val="tgc"/>
          <w:rFonts w:cs="Times New Roman"/>
          <w:sz w:val="25"/>
          <w:szCs w:val="25"/>
        </w:rPr>
        <w:t>H</w:t>
      </w:r>
      <w:r w:rsidR="0099666B" w:rsidRPr="00796251">
        <w:rPr>
          <w:rStyle w:val="tgc"/>
          <w:rFonts w:cs="Times New Roman"/>
          <w:sz w:val="25"/>
          <w:szCs w:val="25"/>
        </w:rPr>
        <w:t>aving exhausted administrative relief on the issues and claims raised, Parent’s remaining recourse is to appeal to federal district or state court within 90 days of the da</w:t>
      </w:r>
      <w:r w:rsidR="000C210B" w:rsidRPr="00796251">
        <w:rPr>
          <w:rStyle w:val="tgc"/>
          <w:rFonts w:cs="Times New Roman"/>
          <w:sz w:val="25"/>
          <w:szCs w:val="25"/>
        </w:rPr>
        <w:t>te</w:t>
      </w:r>
      <w:r w:rsidR="0099666B" w:rsidRPr="00796251">
        <w:rPr>
          <w:rStyle w:val="tgc"/>
          <w:rFonts w:cs="Times New Roman"/>
          <w:sz w:val="25"/>
          <w:szCs w:val="25"/>
        </w:rPr>
        <w:t xml:space="preserve"> of the previous Hearing Officer’s determination (that is, 90 days from January 28, 2019).</w:t>
      </w:r>
    </w:p>
    <w:p w:rsidR="0099666B" w:rsidRPr="00796251" w:rsidRDefault="0099666B" w:rsidP="00707CCD">
      <w:pPr>
        <w:rPr>
          <w:rStyle w:val="tgc"/>
          <w:rFonts w:cs="Times New Roman"/>
          <w:sz w:val="25"/>
          <w:szCs w:val="25"/>
        </w:rPr>
      </w:pPr>
    </w:p>
    <w:p w:rsidR="00122101" w:rsidRPr="00796251" w:rsidRDefault="00E40B32" w:rsidP="00122101">
      <w:pPr>
        <w:rPr>
          <w:rFonts w:cs="Times New Roman"/>
          <w:sz w:val="25"/>
          <w:szCs w:val="25"/>
        </w:rPr>
      </w:pPr>
      <w:r w:rsidRPr="00796251">
        <w:rPr>
          <w:rFonts w:cs="Times New Roman"/>
          <w:sz w:val="25"/>
          <w:szCs w:val="25"/>
        </w:rPr>
        <w:t>Next</w:t>
      </w:r>
      <w:r w:rsidR="00C3518A" w:rsidRPr="00796251">
        <w:rPr>
          <w:rFonts w:cs="Times New Roman"/>
          <w:sz w:val="25"/>
          <w:szCs w:val="25"/>
        </w:rPr>
        <w:t>,</w:t>
      </w:r>
      <w:r w:rsidRPr="00796251">
        <w:rPr>
          <w:rFonts w:cs="Times New Roman"/>
          <w:sz w:val="25"/>
          <w:szCs w:val="25"/>
        </w:rPr>
        <w:t xml:space="preserve"> </w:t>
      </w:r>
      <w:r w:rsidR="00122101" w:rsidRPr="00796251">
        <w:rPr>
          <w:rFonts w:cs="Times New Roman"/>
          <w:sz w:val="25"/>
          <w:szCs w:val="25"/>
        </w:rPr>
        <w:t xml:space="preserve">I address </w:t>
      </w:r>
      <w:proofErr w:type="spellStart"/>
      <w:r w:rsidR="00122101" w:rsidRPr="00796251">
        <w:rPr>
          <w:rFonts w:cs="Times New Roman"/>
          <w:sz w:val="25"/>
          <w:szCs w:val="25"/>
        </w:rPr>
        <w:t>Montachusett’s</w:t>
      </w:r>
      <w:proofErr w:type="spellEnd"/>
      <w:r w:rsidR="00122101" w:rsidRPr="00796251">
        <w:rPr>
          <w:rFonts w:cs="Times New Roman"/>
          <w:sz w:val="25"/>
          <w:szCs w:val="25"/>
        </w:rPr>
        <w:t xml:space="preserve"> claim of transfer of rights at the age of majority. </w:t>
      </w:r>
    </w:p>
    <w:p w:rsidR="00122101" w:rsidRPr="00796251" w:rsidRDefault="00122101" w:rsidP="00122101">
      <w:pPr>
        <w:rPr>
          <w:rFonts w:cs="Times New Roman"/>
          <w:sz w:val="25"/>
          <w:szCs w:val="25"/>
        </w:rPr>
      </w:pPr>
    </w:p>
    <w:p w:rsidR="0020052B" w:rsidRPr="00796251" w:rsidRDefault="00FA29E4" w:rsidP="00707CCD">
      <w:pPr>
        <w:rPr>
          <w:rStyle w:val="tgc"/>
          <w:rFonts w:cs="Times New Roman"/>
          <w:sz w:val="25"/>
          <w:szCs w:val="25"/>
        </w:rPr>
      </w:pPr>
      <w:r w:rsidRPr="00796251">
        <w:rPr>
          <w:rFonts w:cs="Times New Roman"/>
          <w:sz w:val="25"/>
          <w:szCs w:val="25"/>
        </w:rPr>
        <w:t>The IDEA and Massachusetts special e</w:t>
      </w:r>
      <w:r w:rsidR="00122101" w:rsidRPr="00796251">
        <w:rPr>
          <w:rFonts w:cs="Times New Roman"/>
          <w:sz w:val="25"/>
          <w:szCs w:val="25"/>
        </w:rPr>
        <w:t>ducation law and regulations, transfer parental rights of eligible students to the student when the student reaches the age of majority</w:t>
      </w:r>
      <w:r w:rsidRPr="00796251">
        <w:rPr>
          <w:rFonts w:cs="Times New Roman"/>
          <w:sz w:val="25"/>
          <w:szCs w:val="25"/>
        </w:rPr>
        <w:t>,</w:t>
      </w:r>
      <w:r w:rsidR="00122101" w:rsidRPr="00796251">
        <w:rPr>
          <w:rFonts w:cs="Times New Roman"/>
          <w:sz w:val="25"/>
          <w:szCs w:val="25"/>
        </w:rPr>
        <w:t xml:space="preserve"> which in Massachusetts is age 18.</w:t>
      </w:r>
      <w:r w:rsidR="00B331D2" w:rsidRPr="00796251">
        <w:rPr>
          <w:rFonts w:cs="Times New Roman"/>
          <w:sz w:val="25"/>
          <w:szCs w:val="25"/>
        </w:rPr>
        <w:t xml:space="preserve"> </w:t>
      </w:r>
      <w:r w:rsidR="00E40B32" w:rsidRPr="00796251">
        <w:rPr>
          <w:rFonts w:cs="Times New Roman"/>
          <w:sz w:val="25"/>
          <w:szCs w:val="25"/>
        </w:rPr>
        <w:t xml:space="preserve"> </w:t>
      </w:r>
      <w:r w:rsidRPr="00796251">
        <w:rPr>
          <w:rStyle w:val="tgc"/>
          <w:rFonts w:cs="Times New Roman"/>
          <w:sz w:val="25"/>
          <w:szCs w:val="25"/>
        </w:rPr>
        <w:t>Massachusett</w:t>
      </w:r>
      <w:r w:rsidR="000C210B" w:rsidRPr="00796251">
        <w:rPr>
          <w:rStyle w:val="tgc"/>
          <w:rFonts w:cs="Times New Roman"/>
          <w:sz w:val="25"/>
          <w:szCs w:val="25"/>
        </w:rPr>
        <w:t>s’ s</w:t>
      </w:r>
      <w:r w:rsidR="0020052B" w:rsidRPr="00796251">
        <w:rPr>
          <w:rStyle w:val="tgc"/>
          <w:rFonts w:cs="Times New Roman"/>
          <w:sz w:val="25"/>
          <w:szCs w:val="25"/>
        </w:rPr>
        <w:t>pecial</w:t>
      </w:r>
      <w:r w:rsidR="000C210B" w:rsidRPr="00796251">
        <w:rPr>
          <w:rStyle w:val="tgc"/>
          <w:rFonts w:cs="Times New Roman"/>
          <w:sz w:val="25"/>
          <w:szCs w:val="25"/>
        </w:rPr>
        <w:t xml:space="preserve"> education r</w:t>
      </w:r>
      <w:r w:rsidR="0020052B" w:rsidRPr="00796251">
        <w:rPr>
          <w:rStyle w:val="tgc"/>
          <w:rFonts w:cs="Times New Roman"/>
          <w:sz w:val="25"/>
          <w:szCs w:val="25"/>
        </w:rPr>
        <w:t xml:space="preserve">egulations specifically state that </w:t>
      </w:r>
    </w:p>
    <w:p w:rsidR="0020052B" w:rsidRPr="00796251" w:rsidRDefault="0020052B" w:rsidP="00707CCD">
      <w:pPr>
        <w:rPr>
          <w:rStyle w:val="tgc"/>
          <w:rFonts w:cs="Times New Roman"/>
          <w:sz w:val="25"/>
          <w:szCs w:val="25"/>
        </w:rPr>
      </w:pPr>
    </w:p>
    <w:p w:rsidR="0020052B" w:rsidRPr="00796251" w:rsidRDefault="0020052B" w:rsidP="000C210B">
      <w:pPr>
        <w:ind w:left="1440" w:right="720"/>
        <w:jc w:val="both"/>
        <w:rPr>
          <w:rFonts w:cs="Times New Roman"/>
          <w:sz w:val="25"/>
          <w:szCs w:val="25"/>
        </w:rPr>
      </w:pPr>
      <w:r w:rsidRPr="00796251">
        <w:rPr>
          <w:rStyle w:val="tgc"/>
          <w:rFonts w:cs="Times New Roman"/>
          <w:sz w:val="25"/>
          <w:szCs w:val="25"/>
        </w:rPr>
        <w:t>When a student reaches 18 years of age, he or she shall have the right to make all decisions in relation to special education programs</w:t>
      </w:r>
      <w:r w:rsidR="00E40B32" w:rsidRPr="00796251">
        <w:rPr>
          <w:rStyle w:val="tgc"/>
          <w:rFonts w:cs="Times New Roman"/>
          <w:sz w:val="25"/>
          <w:szCs w:val="25"/>
        </w:rPr>
        <w:t xml:space="preserve"> and services. 603 CMR 28.07(5)</w:t>
      </w:r>
      <w:r w:rsidR="00B826C9" w:rsidRPr="00796251">
        <w:rPr>
          <w:rStyle w:val="FootnoteReference"/>
          <w:rFonts w:cs="Times New Roman"/>
          <w:sz w:val="25"/>
          <w:szCs w:val="25"/>
        </w:rPr>
        <w:footnoteReference w:id="9"/>
      </w:r>
      <w:r w:rsidR="00E40B32" w:rsidRPr="00796251">
        <w:rPr>
          <w:rStyle w:val="tgc"/>
          <w:rFonts w:cs="Times New Roman"/>
          <w:sz w:val="25"/>
          <w:szCs w:val="25"/>
        </w:rPr>
        <w:t>; see also</w:t>
      </w:r>
      <w:r w:rsidR="00E40B32" w:rsidRPr="00796251">
        <w:rPr>
          <w:rFonts w:cs="Times New Roman"/>
          <w:sz w:val="25"/>
          <w:szCs w:val="25"/>
        </w:rPr>
        <w:t xml:space="preserve"> 34 CFR 300.520.</w:t>
      </w:r>
    </w:p>
    <w:p w:rsidR="00E40B32" w:rsidRPr="00796251" w:rsidRDefault="00E40B32" w:rsidP="00E40B32">
      <w:pPr>
        <w:rPr>
          <w:rFonts w:cs="Times New Roman"/>
          <w:sz w:val="25"/>
          <w:szCs w:val="25"/>
        </w:rPr>
      </w:pPr>
    </w:p>
    <w:p w:rsidR="00E40B32" w:rsidRPr="00796251" w:rsidRDefault="00E40B32" w:rsidP="00E40B32">
      <w:pPr>
        <w:rPr>
          <w:rStyle w:val="tgc"/>
          <w:rFonts w:cs="Times New Roman"/>
          <w:sz w:val="25"/>
          <w:szCs w:val="25"/>
        </w:rPr>
      </w:pPr>
      <w:proofErr w:type="spellStart"/>
      <w:r w:rsidRPr="00796251">
        <w:rPr>
          <w:rStyle w:val="tgc"/>
          <w:rFonts w:cs="Times New Roman"/>
          <w:sz w:val="25"/>
          <w:szCs w:val="25"/>
        </w:rPr>
        <w:t>Montachusett</w:t>
      </w:r>
      <w:proofErr w:type="spellEnd"/>
      <w:r w:rsidRPr="00796251">
        <w:rPr>
          <w:rStyle w:val="tgc"/>
          <w:rFonts w:cs="Times New Roman"/>
          <w:sz w:val="25"/>
          <w:szCs w:val="25"/>
        </w:rPr>
        <w:t xml:space="preserve"> is correct that since his birthday in January 2019, Student prospectively controls who may or not attend Team meetings on his behalf</w:t>
      </w:r>
      <w:r w:rsidR="00FA29E4" w:rsidRPr="00796251">
        <w:rPr>
          <w:rStyle w:val="tgc"/>
          <w:rFonts w:cs="Times New Roman"/>
          <w:sz w:val="25"/>
          <w:szCs w:val="25"/>
        </w:rPr>
        <w:t>,</w:t>
      </w:r>
      <w:r w:rsidRPr="00796251">
        <w:rPr>
          <w:rStyle w:val="tgc"/>
          <w:rFonts w:cs="Times New Roman"/>
          <w:sz w:val="25"/>
          <w:szCs w:val="25"/>
        </w:rPr>
        <w:t xml:space="preserve"> as he retained decision-making power upon turning 18 years old, has not been found to be incompetent</w:t>
      </w:r>
      <w:r w:rsidR="00FA29E4" w:rsidRPr="00796251">
        <w:rPr>
          <w:rStyle w:val="tgc"/>
          <w:rFonts w:cs="Times New Roman"/>
          <w:sz w:val="25"/>
          <w:szCs w:val="25"/>
        </w:rPr>
        <w:t>,</w:t>
      </w:r>
      <w:r w:rsidRPr="00796251">
        <w:rPr>
          <w:rStyle w:val="tgc"/>
          <w:rFonts w:cs="Times New Roman"/>
          <w:sz w:val="25"/>
          <w:szCs w:val="25"/>
        </w:rPr>
        <w:t xml:space="preserve"> and </w:t>
      </w:r>
      <w:r w:rsidR="00796251" w:rsidRPr="00796251">
        <w:rPr>
          <w:rStyle w:val="tgc"/>
          <w:rFonts w:cs="Times New Roman"/>
          <w:sz w:val="25"/>
          <w:szCs w:val="25"/>
        </w:rPr>
        <w:t>is</w:t>
      </w:r>
      <w:r w:rsidRPr="00796251">
        <w:rPr>
          <w:rStyle w:val="tgc"/>
          <w:rFonts w:cs="Times New Roman"/>
          <w:sz w:val="25"/>
          <w:szCs w:val="25"/>
        </w:rPr>
        <w:t xml:space="preserve"> not </w:t>
      </w:r>
      <w:r w:rsidR="00796251" w:rsidRPr="00796251">
        <w:rPr>
          <w:rStyle w:val="tgc"/>
          <w:rFonts w:cs="Times New Roman"/>
          <w:sz w:val="25"/>
          <w:szCs w:val="25"/>
        </w:rPr>
        <w:t>under</w:t>
      </w:r>
      <w:r w:rsidRPr="00796251">
        <w:rPr>
          <w:rStyle w:val="tgc"/>
          <w:rFonts w:cs="Times New Roman"/>
          <w:sz w:val="25"/>
          <w:szCs w:val="25"/>
        </w:rPr>
        <w:t xml:space="preserve"> guardian</w:t>
      </w:r>
      <w:r w:rsidR="00796251" w:rsidRPr="00796251">
        <w:rPr>
          <w:rStyle w:val="tgc"/>
          <w:rFonts w:cs="Times New Roman"/>
          <w:sz w:val="25"/>
          <w:szCs w:val="25"/>
        </w:rPr>
        <w:t>ship</w:t>
      </w:r>
      <w:r w:rsidRPr="00796251">
        <w:rPr>
          <w:rStyle w:val="tgc"/>
          <w:rFonts w:cs="Times New Roman"/>
          <w:sz w:val="25"/>
          <w:szCs w:val="25"/>
        </w:rPr>
        <w:t>.  Student has neither agreed to share decision-making power with Parent nor voluntarily delegated said responsibility to Parent</w:t>
      </w:r>
      <w:r w:rsidR="00796251" w:rsidRPr="00796251">
        <w:rPr>
          <w:rStyle w:val="tgc"/>
          <w:rFonts w:cs="Times New Roman"/>
          <w:sz w:val="25"/>
          <w:szCs w:val="25"/>
        </w:rPr>
        <w:t>,</w:t>
      </w:r>
      <w:r w:rsidRPr="00796251">
        <w:rPr>
          <w:rStyle w:val="tgc"/>
          <w:rFonts w:cs="Times New Roman"/>
          <w:sz w:val="25"/>
          <w:szCs w:val="25"/>
        </w:rPr>
        <w:t xml:space="preserve"> as he chose to retain all decision-making power upon turning 18 years old. 603 CMR 29.07(5</w:t>
      </w:r>
      <w:proofErr w:type="gramStart"/>
      <w:r w:rsidRPr="00796251">
        <w:rPr>
          <w:rStyle w:val="tgc"/>
          <w:rFonts w:cs="Times New Roman"/>
          <w:sz w:val="25"/>
          <w:szCs w:val="25"/>
        </w:rPr>
        <w:t>)(</w:t>
      </w:r>
      <w:proofErr w:type="gramEnd"/>
      <w:r w:rsidRPr="00796251">
        <w:rPr>
          <w:rStyle w:val="tgc"/>
          <w:rFonts w:cs="Times New Roman"/>
          <w:sz w:val="25"/>
          <w:szCs w:val="25"/>
        </w:rPr>
        <w:t xml:space="preserve">b) and (c).  </w:t>
      </w:r>
      <w:r w:rsidR="00B331D2" w:rsidRPr="00796251">
        <w:rPr>
          <w:rStyle w:val="tgc"/>
          <w:rFonts w:cs="Times New Roman"/>
          <w:sz w:val="25"/>
          <w:szCs w:val="25"/>
        </w:rPr>
        <w:t xml:space="preserve">Therefore, determinations </w:t>
      </w:r>
      <w:r w:rsidR="00796251" w:rsidRPr="00796251">
        <w:rPr>
          <w:rStyle w:val="tgc"/>
          <w:rFonts w:cs="Times New Roman"/>
          <w:sz w:val="25"/>
          <w:szCs w:val="25"/>
        </w:rPr>
        <w:t>as to</w:t>
      </w:r>
      <w:r w:rsidR="00B331D2" w:rsidRPr="00796251">
        <w:rPr>
          <w:rStyle w:val="tgc"/>
          <w:rFonts w:cs="Times New Roman"/>
          <w:sz w:val="25"/>
          <w:szCs w:val="25"/>
        </w:rPr>
        <w:t xml:space="preserve"> who may attend Team meetings (among all other rights) rest with Student.</w:t>
      </w:r>
      <w:r w:rsidRPr="00796251">
        <w:rPr>
          <w:rStyle w:val="tgc"/>
          <w:rFonts w:cs="Times New Roman"/>
          <w:sz w:val="25"/>
          <w:szCs w:val="25"/>
        </w:rPr>
        <w:t xml:space="preserve"> </w:t>
      </w:r>
    </w:p>
    <w:p w:rsidR="00E40B32" w:rsidRPr="00796251" w:rsidRDefault="00E40B32" w:rsidP="00E40B32">
      <w:pPr>
        <w:rPr>
          <w:rFonts w:cs="Times New Roman"/>
          <w:sz w:val="25"/>
          <w:szCs w:val="25"/>
        </w:rPr>
      </w:pPr>
    </w:p>
    <w:p w:rsidR="00250DA0" w:rsidRPr="00796251" w:rsidRDefault="00E40B32" w:rsidP="00707CCD">
      <w:pPr>
        <w:rPr>
          <w:rStyle w:val="tgc"/>
          <w:rFonts w:cs="Times New Roman"/>
          <w:sz w:val="25"/>
          <w:szCs w:val="25"/>
        </w:rPr>
      </w:pPr>
      <w:r w:rsidRPr="00796251">
        <w:rPr>
          <w:rFonts w:cs="Times New Roman"/>
          <w:sz w:val="25"/>
          <w:szCs w:val="25"/>
        </w:rPr>
        <w:t xml:space="preserve">Furthermore, consistent with the </w:t>
      </w:r>
      <w:r w:rsidR="00B331D2" w:rsidRPr="00796251">
        <w:rPr>
          <w:rStyle w:val="tgc"/>
          <w:rFonts w:cs="Times New Roman"/>
          <w:sz w:val="25"/>
          <w:szCs w:val="25"/>
        </w:rPr>
        <w:t>603 CMR 29.07(5)</w:t>
      </w:r>
      <w:r w:rsidRPr="00796251">
        <w:rPr>
          <w:rFonts w:cs="Times New Roman"/>
          <w:sz w:val="25"/>
          <w:szCs w:val="25"/>
        </w:rPr>
        <w:t xml:space="preserve"> and Rule I(A) of the </w:t>
      </w:r>
      <w:r w:rsidRPr="00796251">
        <w:rPr>
          <w:rFonts w:cs="Times New Roman"/>
          <w:i/>
          <w:sz w:val="25"/>
          <w:szCs w:val="25"/>
        </w:rPr>
        <w:t>Hearing Rules for Special Education Appeals</w:t>
      </w:r>
      <w:r w:rsidR="00796251" w:rsidRPr="00796251">
        <w:rPr>
          <w:rFonts w:cs="Times New Roman"/>
          <w:sz w:val="25"/>
          <w:szCs w:val="25"/>
        </w:rPr>
        <w:t>,</w:t>
      </w:r>
      <w:r w:rsidRPr="00796251">
        <w:rPr>
          <w:rFonts w:cs="Times New Roman"/>
          <w:i/>
          <w:sz w:val="25"/>
          <w:szCs w:val="25"/>
        </w:rPr>
        <w:t xml:space="preserve"> </w:t>
      </w:r>
      <w:r w:rsidRPr="00796251">
        <w:rPr>
          <w:rFonts w:cs="Times New Roman"/>
          <w:sz w:val="25"/>
          <w:szCs w:val="25"/>
        </w:rPr>
        <w:t xml:space="preserve">only Student has standing to request a hearing before the BSEA on prospective issues.  Rule </w:t>
      </w:r>
      <w:proofErr w:type="gramStart"/>
      <w:r w:rsidRPr="00796251">
        <w:rPr>
          <w:rFonts w:cs="Times New Roman"/>
          <w:sz w:val="25"/>
          <w:szCs w:val="25"/>
        </w:rPr>
        <w:t>I(</w:t>
      </w:r>
      <w:proofErr w:type="gramEnd"/>
      <w:r w:rsidRPr="00796251">
        <w:rPr>
          <w:rFonts w:cs="Times New Roman"/>
          <w:sz w:val="25"/>
          <w:szCs w:val="25"/>
        </w:rPr>
        <w:t xml:space="preserve">A) of the </w:t>
      </w:r>
      <w:r w:rsidRPr="00796251">
        <w:rPr>
          <w:rFonts w:cs="Times New Roman"/>
          <w:i/>
          <w:sz w:val="25"/>
          <w:szCs w:val="25"/>
        </w:rPr>
        <w:t>Hearing Rules for Special Education Appeals</w:t>
      </w:r>
      <w:r w:rsidRPr="00796251">
        <w:rPr>
          <w:rFonts w:cs="Times New Roman"/>
          <w:sz w:val="25"/>
          <w:szCs w:val="25"/>
        </w:rPr>
        <w:t xml:space="preserve"> </w:t>
      </w:r>
      <w:r w:rsidR="00796251" w:rsidRPr="00796251">
        <w:rPr>
          <w:rFonts w:cs="Times New Roman"/>
          <w:sz w:val="25"/>
          <w:szCs w:val="25"/>
        </w:rPr>
        <w:t xml:space="preserve">which </w:t>
      </w:r>
      <w:r w:rsidRPr="00796251">
        <w:rPr>
          <w:rFonts w:cs="Times New Roman"/>
          <w:sz w:val="25"/>
          <w:szCs w:val="25"/>
        </w:rPr>
        <w:t>delineates who may request a Hearing before the BSEA</w:t>
      </w:r>
      <w:r w:rsidR="00796251" w:rsidRPr="00796251">
        <w:rPr>
          <w:rFonts w:cs="Times New Roman"/>
          <w:sz w:val="25"/>
          <w:szCs w:val="25"/>
        </w:rPr>
        <w:t>,</w:t>
      </w:r>
      <w:r w:rsidRPr="00796251">
        <w:rPr>
          <w:rFonts w:cs="Times New Roman"/>
          <w:sz w:val="25"/>
          <w:szCs w:val="25"/>
        </w:rPr>
        <w:t xml:space="preserve"> mak</w:t>
      </w:r>
      <w:r w:rsidR="00796251" w:rsidRPr="00796251">
        <w:rPr>
          <w:rFonts w:cs="Times New Roman"/>
          <w:sz w:val="25"/>
          <w:szCs w:val="25"/>
        </w:rPr>
        <w:t>es</w:t>
      </w:r>
      <w:r w:rsidRPr="00796251">
        <w:rPr>
          <w:rFonts w:cs="Times New Roman"/>
          <w:sz w:val="25"/>
          <w:szCs w:val="25"/>
        </w:rPr>
        <w:t xml:space="preserve"> it </w:t>
      </w:r>
      <w:r w:rsidR="00796251" w:rsidRPr="00796251">
        <w:rPr>
          <w:rFonts w:cs="Times New Roman"/>
          <w:sz w:val="25"/>
          <w:szCs w:val="25"/>
        </w:rPr>
        <w:t>clear</w:t>
      </w:r>
      <w:r w:rsidRPr="00796251">
        <w:rPr>
          <w:rFonts w:cs="Times New Roman"/>
          <w:sz w:val="25"/>
          <w:szCs w:val="25"/>
        </w:rPr>
        <w:t xml:space="preserve"> that standing on any issue arising post reaching the age of majority </w:t>
      </w:r>
      <w:r w:rsidR="00B331D2" w:rsidRPr="00796251">
        <w:rPr>
          <w:rFonts w:cs="Times New Roman"/>
          <w:sz w:val="25"/>
          <w:szCs w:val="25"/>
        </w:rPr>
        <w:t>rests</w:t>
      </w:r>
      <w:r w:rsidRPr="00796251">
        <w:rPr>
          <w:rFonts w:cs="Times New Roman"/>
          <w:sz w:val="25"/>
          <w:szCs w:val="25"/>
        </w:rPr>
        <w:t xml:space="preserve"> solely with Student</w:t>
      </w:r>
      <w:r w:rsidR="00B331D2" w:rsidRPr="00796251">
        <w:rPr>
          <w:rFonts w:cs="Times New Roman"/>
          <w:sz w:val="25"/>
          <w:szCs w:val="25"/>
        </w:rPr>
        <w:t xml:space="preserve"> </w:t>
      </w:r>
      <w:r w:rsidR="00796251" w:rsidRPr="00796251">
        <w:rPr>
          <w:rFonts w:cs="Times New Roman"/>
          <w:sz w:val="25"/>
          <w:szCs w:val="25"/>
        </w:rPr>
        <w:t>(</w:t>
      </w:r>
      <w:r w:rsidR="00273EBA" w:rsidRPr="00796251">
        <w:rPr>
          <w:rStyle w:val="tgc"/>
          <w:rFonts w:cs="Times New Roman"/>
          <w:sz w:val="25"/>
          <w:szCs w:val="25"/>
        </w:rPr>
        <w:t>including issues regarding FERPA</w:t>
      </w:r>
      <w:r w:rsidR="00796251" w:rsidRPr="00796251">
        <w:rPr>
          <w:rStyle w:val="tgc"/>
          <w:rFonts w:cs="Times New Roman"/>
          <w:sz w:val="25"/>
          <w:szCs w:val="25"/>
        </w:rPr>
        <w:t>)</w:t>
      </w:r>
      <w:r w:rsidR="00B331D2" w:rsidRPr="00796251">
        <w:rPr>
          <w:rStyle w:val="tgc"/>
          <w:rFonts w:cs="Times New Roman"/>
          <w:sz w:val="25"/>
          <w:szCs w:val="25"/>
        </w:rPr>
        <w:t>,</w:t>
      </w:r>
      <w:r w:rsidR="00273EBA" w:rsidRPr="00796251">
        <w:rPr>
          <w:rStyle w:val="tgc"/>
          <w:rFonts w:cs="Times New Roman"/>
          <w:sz w:val="25"/>
          <w:szCs w:val="25"/>
        </w:rPr>
        <w:t xml:space="preserve"> unless</w:t>
      </w:r>
      <w:r w:rsidR="0099666B" w:rsidRPr="00796251">
        <w:rPr>
          <w:rStyle w:val="tgc"/>
          <w:rFonts w:cs="Times New Roman"/>
          <w:sz w:val="25"/>
          <w:szCs w:val="25"/>
        </w:rPr>
        <w:t xml:space="preserve"> </w:t>
      </w:r>
      <w:r w:rsidR="00273EBA" w:rsidRPr="00796251">
        <w:rPr>
          <w:rStyle w:val="tgc"/>
          <w:rFonts w:cs="Times New Roman"/>
          <w:sz w:val="25"/>
          <w:szCs w:val="25"/>
        </w:rPr>
        <w:t>Student</w:t>
      </w:r>
      <w:r w:rsidR="0099666B" w:rsidRPr="00796251">
        <w:rPr>
          <w:rStyle w:val="tgc"/>
          <w:rFonts w:cs="Times New Roman"/>
          <w:sz w:val="25"/>
          <w:szCs w:val="25"/>
        </w:rPr>
        <w:t xml:space="preserve"> </w:t>
      </w:r>
      <w:r w:rsidR="00250DA0" w:rsidRPr="00796251">
        <w:rPr>
          <w:rStyle w:val="tgc"/>
          <w:rFonts w:cs="Times New Roman"/>
          <w:sz w:val="25"/>
          <w:szCs w:val="25"/>
        </w:rPr>
        <w:t xml:space="preserve">specifically </w:t>
      </w:r>
      <w:r w:rsidR="0099666B" w:rsidRPr="00796251">
        <w:rPr>
          <w:rStyle w:val="tgc"/>
          <w:rFonts w:cs="Times New Roman"/>
          <w:sz w:val="25"/>
          <w:szCs w:val="25"/>
        </w:rPr>
        <w:t>chooses to share or delegate said power</w:t>
      </w:r>
      <w:r w:rsidR="00FA29E4" w:rsidRPr="00796251">
        <w:rPr>
          <w:rStyle w:val="tgc"/>
          <w:rFonts w:cs="Times New Roman"/>
          <w:sz w:val="25"/>
          <w:szCs w:val="25"/>
        </w:rPr>
        <w:t>,</w:t>
      </w:r>
      <w:r w:rsidR="00B331D2" w:rsidRPr="00796251">
        <w:rPr>
          <w:rStyle w:val="tgc"/>
          <w:rFonts w:cs="Times New Roman"/>
          <w:sz w:val="25"/>
          <w:szCs w:val="25"/>
        </w:rPr>
        <w:t xml:space="preserve"> which he has not done</w:t>
      </w:r>
      <w:r w:rsidR="00796251" w:rsidRPr="00796251">
        <w:rPr>
          <w:rStyle w:val="tgc"/>
          <w:rFonts w:cs="Times New Roman"/>
          <w:sz w:val="25"/>
          <w:szCs w:val="25"/>
        </w:rPr>
        <w:t xml:space="preserve"> in the instant case</w:t>
      </w:r>
      <w:r w:rsidR="0099666B" w:rsidRPr="00796251">
        <w:rPr>
          <w:rStyle w:val="tgc"/>
          <w:rFonts w:cs="Times New Roman"/>
          <w:sz w:val="25"/>
          <w:szCs w:val="25"/>
        </w:rPr>
        <w:t>.</w:t>
      </w:r>
      <w:r w:rsidR="0099666B" w:rsidRPr="00796251">
        <w:rPr>
          <w:rStyle w:val="FootnoteReference"/>
          <w:rFonts w:cs="Times New Roman"/>
          <w:sz w:val="25"/>
          <w:szCs w:val="25"/>
        </w:rPr>
        <w:footnoteReference w:id="10"/>
      </w:r>
    </w:p>
    <w:p w:rsidR="006866A4" w:rsidRPr="00796251" w:rsidRDefault="00796251" w:rsidP="00707CCD">
      <w:pPr>
        <w:rPr>
          <w:rFonts w:cs="Times New Roman"/>
          <w:sz w:val="25"/>
          <w:szCs w:val="25"/>
        </w:rPr>
      </w:pPr>
      <w:r w:rsidRPr="00796251">
        <w:rPr>
          <w:rStyle w:val="tgc"/>
          <w:rFonts w:cs="Times New Roman"/>
          <w:sz w:val="25"/>
          <w:szCs w:val="25"/>
        </w:rPr>
        <w:lastRenderedPageBreak/>
        <w:t xml:space="preserve">Having </w:t>
      </w:r>
      <w:r w:rsidR="00B41A7B" w:rsidRPr="00796251">
        <w:rPr>
          <w:rStyle w:val="tgc"/>
          <w:rFonts w:cs="Times New Roman"/>
          <w:sz w:val="25"/>
          <w:szCs w:val="25"/>
        </w:rPr>
        <w:t>e</w:t>
      </w:r>
      <w:r w:rsidR="00B41A7B" w:rsidRPr="00796251">
        <w:rPr>
          <w:rFonts w:cs="Times New Roman"/>
          <w:sz w:val="25"/>
          <w:szCs w:val="25"/>
        </w:rPr>
        <w:t>valuat</w:t>
      </w:r>
      <w:r w:rsidRPr="00796251">
        <w:rPr>
          <w:rFonts w:cs="Times New Roman"/>
          <w:sz w:val="25"/>
          <w:szCs w:val="25"/>
        </w:rPr>
        <w:t>ed</w:t>
      </w:r>
      <w:r w:rsidR="00B41A7B" w:rsidRPr="00796251">
        <w:rPr>
          <w:rFonts w:cs="Times New Roman"/>
          <w:sz w:val="25"/>
          <w:szCs w:val="25"/>
        </w:rPr>
        <w:t xml:space="preserve"> Parent’s Hearing Request</w:t>
      </w:r>
      <w:r w:rsidR="00FA29E4" w:rsidRPr="00796251">
        <w:rPr>
          <w:rFonts w:cs="Times New Roman"/>
          <w:sz w:val="25"/>
          <w:szCs w:val="25"/>
        </w:rPr>
        <w:t>,</w:t>
      </w:r>
      <w:r w:rsidR="00B41A7B" w:rsidRPr="00796251">
        <w:rPr>
          <w:rFonts w:cs="Times New Roman"/>
          <w:sz w:val="25"/>
          <w:szCs w:val="25"/>
        </w:rPr>
        <w:t xml:space="preserve"> </w:t>
      </w:r>
      <w:r w:rsidRPr="00796251">
        <w:rPr>
          <w:rFonts w:cs="Times New Roman"/>
          <w:sz w:val="25"/>
          <w:szCs w:val="25"/>
        </w:rPr>
        <w:t xml:space="preserve">and </w:t>
      </w:r>
      <w:r w:rsidR="00B41A7B" w:rsidRPr="00796251">
        <w:rPr>
          <w:rFonts w:cs="Times New Roman"/>
          <w:sz w:val="25"/>
          <w:szCs w:val="25"/>
        </w:rPr>
        <w:t>taking as true the allegations therein</w:t>
      </w:r>
      <w:r w:rsidR="00FA29E4" w:rsidRPr="00796251">
        <w:rPr>
          <w:rFonts w:cs="Times New Roman"/>
          <w:sz w:val="25"/>
          <w:szCs w:val="25"/>
        </w:rPr>
        <w:t>,</w:t>
      </w:r>
      <w:r w:rsidR="00B41A7B" w:rsidRPr="00796251">
        <w:rPr>
          <w:rFonts w:cs="Times New Roman"/>
          <w:sz w:val="25"/>
          <w:szCs w:val="25"/>
        </w:rPr>
        <w:t xml:space="preserve"> and drawing all inferences in Parent’s favor</w:t>
      </w:r>
      <w:r w:rsidR="00FA29E4" w:rsidRPr="00796251">
        <w:rPr>
          <w:rFonts w:cs="Times New Roman"/>
          <w:sz w:val="25"/>
          <w:szCs w:val="25"/>
        </w:rPr>
        <w:t>,</w:t>
      </w:r>
      <w:r w:rsidR="00B41A7B" w:rsidRPr="00796251">
        <w:rPr>
          <w:rFonts w:cs="Times New Roman"/>
          <w:sz w:val="25"/>
          <w:szCs w:val="25"/>
        </w:rPr>
        <w:t xml:space="preserve"> it </w:t>
      </w:r>
      <w:r w:rsidRPr="00796251">
        <w:rPr>
          <w:rFonts w:cs="Times New Roman"/>
          <w:sz w:val="25"/>
          <w:szCs w:val="25"/>
        </w:rPr>
        <w:t xml:space="preserve">is </w:t>
      </w:r>
      <w:r w:rsidR="00B41A7B" w:rsidRPr="00796251">
        <w:rPr>
          <w:rFonts w:cs="Times New Roman"/>
          <w:sz w:val="25"/>
          <w:szCs w:val="25"/>
        </w:rPr>
        <w:t xml:space="preserve">clear that Parent has no right to relief </w:t>
      </w:r>
      <w:r w:rsidRPr="00796251">
        <w:rPr>
          <w:rFonts w:cs="Times New Roman"/>
          <w:sz w:val="25"/>
          <w:szCs w:val="25"/>
        </w:rPr>
        <w:t>based on</w:t>
      </w:r>
      <w:r w:rsidR="00B41A7B" w:rsidRPr="00796251">
        <w:rPr>
          <w:rFonts w:cs="Times New Roman"/>
          <w:sz w:val="25"/>
          <w:szCs w:val="25"/>
        </w:rPr>
        <w:t xml:space="preserve"> principles of </w:t>
      </w:r>
      <w:r w:rsidR="00B41A7B" w:rsidRPr="00796251">
        <w:rPr>
          <w:rFonts w:cs="Times New Roman"/>
          <w:i/>
          <w:sz w:val="25"/>
          <w:szCs w:val="25"/>
        </w:rPr>
        <w:t>res judicata</w:t>
      </w:r>
      <w:r w:rsidR="00B41A7B" w:rsidRPr="00796251">
        <w:rPr>
          <w:rFonts w:cs="Times New Roman"/>
          <w:sz w:val="25"/>
          <w:szCs w:val="25"/>
        </w:rPr>
        <w:t xml:space="preserve"> and collateral estoppel</w:t>
      </w:r>
      <w:r w:rsidR="00201713" w:rsidRPr="00796251">
        <w:rPr>
          <w:rFonts w:cs="Times New Roman"/>
          <w:sz w:val="25"/>
          <w:szCs w:val="25"/>
        </w:rPr>
        <w:t xml:space="preserve">, and </w:t>
      </w:r>
      <w:r w:rsidRPr="00796251">
        <w:rPr>
          <w:rFonts w:cs="Times New Roman"/>
          <w:sz w:val="25"/>
          <w:szCs w:val="25"/>
        </w:rPr>
        <w:t xml:space="preserve">further </w:t>
      </w:r>
      <w:r w:rsidR="00201713" w:rsidRPr="00796251">
        <w:rPr>
          <w:rFonts w:cs="Times New Roman"/>
          <w:sz w:val="25"/>
          <w:szCs w:val="25"/>
        </w:rPr>
        <w:t xml:space="preserve">because by operation of law all future determinations </w:t>
      </w:r>
      <w:r w:rsidRPr="00796251">
        <w:rPr>
          <w:rFonts w:cs="Times New Roman"/>
          <w:sz w:val="25"/>
          <w:szCs w:val="25"/>
        </w:rPr>
        <w:t>(</w:t>
      </w:r>
      <w:r w:rsidR="00201713" w:rsidRPr="00796251">
        <w:rPr>
          <w:rFonts w:cs="Times New Roman"/>
          <w:sz w:val="25"/>
          <w:szCs w:val="25"/>
        </w:rPr>
        <w:t xml:space="preserve">regarding </w:t>
      </w:r>
      <w:r w:rsidRPr="00796251">
        <w:rPr>
          <w:rFonts w:cs="Times New Roman"/>
          <w:sz w:val="25"/>
          <w:szCs w:val="25"/>
        </w:rPr>
        <w:t xml:space="preserve">e.g., </w:t>
      </w:r>
      <w:r w:rsidR="00201713" w:rsidRPr="00796251">
        <w:rPr>
          <w:rFonts w:cs="Times New Roman"/>
          <w:sz w:val="25"/>
          <w:szCs w:val="25"/>
        </w:rPr>
        <w:t>convening of Team meetings</w:t>
      </w:r>
      <w:r w:rsidRPr="00796251">
        <w:rPr>
          <w:rFonts w:cs="Times New Roman"/>
          <w:sz w:val="25"/>
          <w:szCs w:val="25"/>
        </w:rPr>
        <w:t>,</w:t>
      </w:r>
      <w:r w:rsidR="00201713" w:rsidRPr="00796251">
        <w:rPr>
          <w:rFonts w:cs="Times New Roman"/>
          <w:sz w:val="25"/>
          <w:szCs w:val="25"/>
        </w:rPr>
        <w:t xml:space="preserve"> participation therein</w:t>
      </w:r>
      <w:r w:rsidRPr="00796251">
        <w:rPr>
          <w:rFonts w:cs="Times New Roman"/>
          <w:sz w:val="25"/>
          <w:szCs w:val="25"/>
        </w:rPr>
        <w:t>)</w:t>
      </w:r>
      <w:r w:rsidR="00201713" w:rsidRPr="00796251">
        <w:rPr>
          <w:rFonts w:cs="Times New Roman"/>
          <w:sz w:val="25"/>
          <w:szCs w:val="25"/>
        </w:rPr>
        <w:t xml:space="preserve"> rest solely with Student and </w:t>
      </w:r>
      <w:proofErr w:type="spellStart"/>
      <w:r w:rsidR="00201713" w:rsidRPr="00796251">
        <w:rPr>
          <w:rFonts w:cs="Times New Roman"/>
          <w:sz w:val="25"/>
          <w:szCs w:val="25"/>
        </w:rPr>
        <w:t>Montachusett</w:t>
      </w:r>
      <w:proofErr w:type="spellEnd"/>
      <w:r w:rsidR="00B41A7B" w:rsidRPr="00796251">
        <w:rPr>
          <w:rFonts w:cs="Times New Roman"/>
          <w:sz w:val="25"/>
          <w:szCs w:val="25"/>
        </w:rPr>
        <w:t xml:space="preserve">.  Parent has failed to state a claim upon which relief may be granted and therefore, </w:t>
      </w:r>
      <w:proofErr w:type="spellStart"/>
      <w:r w:rsidR="009332DB" w:rsidRPr="00796251">
        <w:rPr>
          <w:rFonts w:cs="Times New Roman"/>
          <w:sz w:val="25"/>
          <w:szCs w:val="25"/>
        </w:rPr>
        <w:t>Montachusett</w:t>
      </w:r>
      <w:r w:rsidR="009332DB" w:rsidRPr="00796251">
        <w:rPr>
          <w:rStyle w:val="tgc"/>
          <w:rFonts w:cs="Times New Roman"/>
          <w:sz w:val="25"/>
          <w:szCs w:val="25"/>
        </w:rPr>
        <w:t>’s</w:t>
      </w:r>
      <w:proofErr w:type="spellEnd"/>
      <w:r w:rsidR="009332DB" w:rsidRPr="00796251">
        <w:rPr>
          <w:rStyle w:val="tgc"/>
          <w:rFonts w:cs="Times New Roman"/>
          <w:sz w:val="25"/>
          <w:szCs w:val="25"/>
        </w:rPr>
        <w:t xml:space="preserve"> </w:t>
      </w:r>
      <w:r w:rsidR="00F70D7B" w:rsidRPr="00796251">
        <w:rPr>
          <w:rStyle w:val="tgc"/>
          <w:rFonts w:cs="Times New Roman"/>
          <w:sz w:val="25"/>
          <w:szCs w:val="25"/>
        </w:rPr>
        <w:t xml:space="preserve">Motion </w:t>
      </w:r>
      <w:r w:rsidR="009332DB" w:rsidRPr="00796251">
        <w:rPr>
          <w:rStyle w:val="tgc"/>
          <w:rFonts w:cs="Times New Roman"/>
          <w:sz w:val="25"/>
          <w:szCs w:val="25"/>
        </w:rPr>
        <w:t>to Dismiss</w:t>
      </w:r>
      <w:r w:rsidR="00F70D7B" w:rsidRPr="00796251">
        <w:rPr>
          <w:rStyle w:val="tgc"/>
          <w:rFonts w:cs="Times New Roman"/>
          <w:sz w:val="25"/>
          <w:szCs w:val="25"/>
        </w:rPr>
        <w:t xml:space="preserve"> is </w:t>
      </w:r>
      <w:r w:rsidR="009332DB" w:rsidRPr="00796251">
        <w:rPr>
          <w:rStyle w:val="tgc"/>
          <w:rFonts w:cs="Times New Roman"/>
          <w:b/>
          <w:sz w:val="25"/>
          <w:szCs w:val="25"/>
        </w:rPr>
        <w:t>ALLOWED</w:t>
      </w:r>
      <w:r w:rsidR="00F70D7B" w:rsidRPr="00796251">
        <w:rPr>
          <w:rStyle w:val="tgc"/>
          <w:rFonts w:cs="Times New Roman"/>
          <w:sz w:val="25"/>
          <w:szCs w:val="25"/>
        </w:rPr>
        <w:t>.</w:t>
      </w:r>
    </w:p>
    <w:p w:rsidR="007F2745" w:rsidRPr="00796251" w:rsidRDefault="007F2745" w:rsidP="00707CCD">
      <w:pPr>
        <w:rPr>
          <w:rFonts w:cs="Times New Roman"/>
          <w:sz w:val="25"/>
          <w:szCs w:val="25"/>
        </w:rPr>
      </w:pPr>
    </w:p>
    <w:p w:rsidR="006866A4" w:rsidRPr="00796251" w:rsidRDefault="00291176" w:rsidP="00707CCD">
      <w:pPr>
        <w:rPr>
          <w:rFonts w:cs="Times New Roman"/>
          <w:sz w:val="25"/>
          <w:szCs w:val="25"/>
        </w:rPr>
      </w:pPr>
      <w:r w:rsidRPr="00796251">
        <w:rPr>
          <w:rFonts w:cs="Times New Roman"/>
          <w:b/>
          <w:sz w:val="25"/>
          <w:szCs w:val="25"/>
        </w:rPr>
        <w:t>ORDER</w:t>
      </w:r>
      <w:r w:rsidRPr="00796251">
        <w:rPr>
          <w:rFonts w:cs="Times New Roman"/>
          <w:sz w:val="25"/>
          <w:szCs w:val="25"/>
        </w:rPr>
        <w:t>:</w:t>
      </w:r>
    </w:p>
    <w:p w:rsidR="00F70D7B" w:rsidRPr="00796251" w:rsidRDefault="00F70D7B" w:rsidP="00707CCD">
      <w:pPr>
        <w:rPr>
          <w:rFonts w:cs="Times New Roman"/>
          <w:sz w:val="25"/>
          <w:szCs w:val="25"/>
        </w:rPr>
      </w:pPr>
    </w:p>
    <w:p w:rsidR="00291176" w:rsidRPr="00796251" w:rsidRDefault="009332DB" w:rsidP="00291176">
      <w:pPr>
        <w:pStyle w:val="ListParagraph"/>
        <w:numPr>
          <w:ilvl w:val="0"/>
          <w:numId w:val="7"/>
        </w:numPr>
        <w:rPr>
          <w:rFonts w:cs="Times New Roman"/>
          <w:sz w:val="25"/>
          <w:szCs w:val="25"/>
        </w:rPr>
      </w:pPr>
      <w:proofErr w:type="spellStart"/>
      <w:r w:rsidRPr="00796251">
        <w:rPr>
          <w:rFonts w:cs="Times New Roman"/>
          <w:sz w:val="25"/>
          <w:szCs w:val="25"/>
        </w:rPr>
        <w:t>Montachusett</w:t>
      </w:r>
      <w:r w:rsidR="00291176" w:rsidRPr="00796251">
        <w:rPr>
          <w:rFonts w:cs="Times New Roman"/>
          <w:sz w:val="25"/>
          <w:szCs w:val="25"/>
        </w:rPr>
        <w:t>’s</w:t>
      </w:r>
      <w:proofErr w:type="spellEnd"/>
      <w:r w:rsidR="00291176" w:rsidRPr="00796251">
        <w:rPr>
          <w:rFonts w:cs="Times New Roman"/>
          <w:sz w:val="25"/>
          <w:szCs w:val="25"/>
        </w:rPr>
        <w:t xml:space="preserve"> Motion to Dismiss is</w:t>
      </w:r>
      <w:r w:rsidRPr="00796251">
        <w:rPr>
          <w:rFonts w:cs="Times New Roman"/>
          <w:sz w:val="25"/>
          <w:szCs w:val="25"/>
        </w:rPr>
        <w:t xml:space="preserve"> </w:t>
      </w:r>
      <w:r w:rsidRPr="00796251">
        <w:rPr>
          <w:rFonts w:cs="Times New Roman"/>
          <w:b/>
          <w:sz w:val="25"/>
          <w:szCs w:val="25"/>
        </w:rPr>
        <w:t>ALLOWED</w:t>
      </w:r>
      <w:r w:rsidR="00291176" w:rsidRPr="00796251">
        <w:rPr>
          <w:rFonts w:cs="Times New Roman"/>
          <w:sz w:val="25"/>
          <w:szCs w:val="25"/>
        </w:rPr>
        <w:t>.</w:t>
      </w:r>
      <w:r w:rsidRPr="00796251">
        <w:rPr>
          <w:rFonts w:cs="Times New Roman"/>
          <w:sz w:val="25"/>
          <w:szCs w:val="25"/>
        </w:rPr>
        <w:t xml:space="preserve">  Case </w:t>
      </w:r>
      <w:r w:rsidRPr="00796251">
        <w:rPr>
          <w:rFonts w:cs="Times New Roman"/>
          <w:b/>
          <w:sz w:val="25"/>
          <w:szCs w:val="25"/>
        </w:rPr>
        <w:t>DISMISSED</w:t>
      </w:r>
      <w:r w:rsidR="00273EBA" w:rsidRPr="00796251">
        <w:rPr>
          <w:rFonts w:cs="Times New Roman"/>
          <w:b/>
          <w:sz w:val="25"/>
          <w:szCs w:val="25"/>
        </w:rPr>
        <w:t xml:space="preserve"> WITH PREJUDICE</w:t>
      </w:r>
      <w:r w:rsidRPr="00796251">
        <w:rPr>
          <w:rFonts w:cs="Times New Roman"/>
          <w:sz w:val="25"/>
          <w:szCs w:val="25"/>
        </w:rPr>
        <w:t>.</w:t>
      </w:r>
    </w:p>
    <w:p w:rsidR="00291176" w:rsidRPr="00796251" w:rsidRDefault="00291176" w:rsidP="00291176">
      <w:pPr>
        <w:rPr>
          <w:rFonts w:cs="Times New Roman"/>
          <w:sz w:val="25"/>
          <w:szCs w:val="25"/>
        </w:rPr>
      </w:pPr>
    </w:p>
    <w:p w:rsidR="00291176" w:rsidRPr="00796251" w:rsidRDefault="00291176" w:rsidP="00291176">
      <w:pPr>
        <w:rPr>
          <w:rFonts w:cs="Times New Roman"/>
          <w:sz w:val="25"/>
          <w:szCs w:val="25"/>
        </w:rPr>
      </w:pPr>
      <w:r w:rsidRPr="00796251">
        <w:rPr>
          <w:rFonts w:cs="Times New Roman"/>
          <w:sz w:val="25"/>
          <w:szCs w:val="25"/>
        </w:rPr>
        <w:t>By the Hearing Officer,</w:t>
      </w:r>
    </w:p>
    <w:p w:rsidR="00796251" w:rsidRPr="00796251" w:rsidRDefault="00796251" w:rsidP="00291176">
      <w:pPr>
        <w:rPr>
          <w:rFonts w:cs="Times New Roman"/>
          <w:sz w:val="25"/>
          <w:szCs w:val="25"/>
        </w:rPr>
      </w:pPr>
    </w:p>
    <w:p w:rsidR="00291176" w:rsidRPr="00796251" w:rsidRDefault="00291176">
      <w:pPr>
        <w:rPr>
          <w:rFonts w:cs="Times New Roman"/>
          <w:sz w:val="25"/>
          <w:szCs w:val="25"/>
        </w:rPr>
      </w:pPr>
      <w:r w:rsidRPr="00796251">
        <w:rPr>
          <w:rFonts w:cs="Times New Roman"/>
          <w:sz w:val="25"/>
          <w:szCs w:val="25"/>
        </w:rPr>
        <w:t>________________________________________</w:t>
      </w:r>
    </w:p>
    <w:p w:rsidR="00291176" w:rsidRPr="00796251" w:rsidRDefault="00291176" w:rsidP="00291176">
      <w:pPr>
        <w:rPr>
          <w:rFonts w:cs="Times New Roman"/>
          <w:sz w:val="25"/>
          <w:szCs w:val="25"/>
        </w:rPr>
      </w:pPr>
      <w:r w:rsidRPr="00796251">
        <w:rPr>
          <w:rFonts w:cs="Times New Roman"/>
          <w:sz w:val="25"/>
          <w:szCs w:val="25"/>
        </w:rPr>
        <w:t>Rosa I. Figueroa</w:t>
      </w:r>
    </w:p>
    <w:p w:rsidR="007F5DAF" w:rsidRPr="00796251" w:rsidRDefault="00291176">
      <w:pPr>
        <w:rPr>
          <w:rFonts w:cs="Times New Roman"/>
          <w:sz w:val="25"/>
          <w:szCs w:val="25"/>
        </w:rPr>
      </w:pPr>
      <w:r w:rsidRPr="00796251">
        <w:rPr>
          <w:rFonts w:cs="Times New Roman"/>
          <w:sz w:val="25"/>
          <w:szCs w:val="25"/>
        </w:rPr>
        <w:t xml:space="preserve">Dated: </w:t>
      </w:r>
      <w:r w:rsidR="009332DB" w:rsidRPr="00796251">
        <w:rPr>
          <w:rFonts w:cs="Times New Roman"/>
          <w:sz w:val="25"/>
          <w:szCs w:val="25"/>
        </w:rPr>
        <w:t>April 1</w:t>
      </w:r>
      <w:r w:rsidR="00796251">
        <w:rPr>
          <w:rFonts w:cs="Times New Roman"/>
          <w:sz w:val="25"/>
          <w:szCs w:val="25"/>
        </w:rPr>
        <w:t>7</w:t>
      </w:r>
      <w:r w:rsidR="00F70D7B" w:rsidRPr="00796251">
        <w:rPr>
          <w:rFonts w:cs="Times New Roman"/>
          <w:sz w:val="25"/>
          <w:szCs w:val="25"/>
        </w:rPr>
        <w:t>, 201</w:t>
      </w:r>
      <w:r w:rsidR="009332DB" w:rsidRPr="00796251">
        <w:rPr>
          <w:rFonts w:cs="Times New Roman"/>
          <w:sz w:val="25"/>
          <w:szCs w:val="25"/>
        </w:rPr>
        <w:t>9</w:t>
      </w:r>
      <w:r w:rsidR="004773F8" w:rsidRPr="00796251">
        <w:rPr>
          <w:rFonts w:cs="Times New Roman"/>
          <w:sz w:val="25"/>
          <w:szCs w:val="25"/>
        </w:rPr>
        <w:t xml:space="preserve"> </w:t>
      </w:r>
    </w:p>
    <w:sectPr w:rsidR="007F5DAF" w:rsidRPr="0079625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ED" w:rsidRDefault="006B0DED" w:rsidP="00934F9F">
      <w:r>
        <w:separator/>
      </w:r>
    </w:p>
  </w:endnote>
  <w:endnote w:type="continuationSeparator" w:id="0">
    <w:p w:rsidR="006B0DED" w:rsidRDefault="006B0DED" w:rsidP="0093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556409"/>
      <w:docPartObj>
        <w:docPartGallery w:val="Page Numbers (Bottom of Page)"/>
        <w:docPartUnique/>
      </w:docPartObj>
    </w:sdtPr>
    <w:sdtEndPr>
      <w:rPr>
        <w:noProof/>
      </w:rPr>
    </w:sdtEndPr>
    <w:sdtContent>
      <w:p w:rsidR="00EB03A3" w:rsidRDefault="00EB03A3">
        <w:pPr>
          <w:pStyle w:val="Footer"/>
          <w:jc w:val="center"/>
        </w:pPr>
        <w:r>
          <w:fldChar w:fldCharType="begin"/>
        </w:r>
        <w:r>
          <w:instrText xml:space="preserve"> PAGE   \* MERGEFORMAT </w:instrText>
        </w:r>
        <w:r>
          <w:fldChar w:fldCharType="separate"/>
        </w:r>
        <w:r w:rsidR="008769CB">
          <w:rPr>
            <w:noProof/>
          </w:rPr>
          <w:t>1</w:t>
        </w:r>
        <w:r>
          <w:rPr>
            <w:noProof/>
          </w:rPr>
          <w:fldChar w:fldCharType="end"/>
        </w:r>
      </w:p>
    </w:sdtContent>
  </w:sdt>
  <w:p w:rsidR="00EB03A3" w:rsidRDefault="00EB0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ED" w:rsidRDefault="006B0DED" w:rsidP="00934F9F">
      <w:r>
        <w:separator/>
      </w:r>
    </w:p>
  </w:footnote>
  <w:footnote w:type="continuationSeparator" w:id="0">
    <w:p w:rsidR="006B0DED" w:rsidRDefault="006B0DED" w:rsidP="00934F9F">
      <w:r>
        <w:continuationSeparator/>
      </w:r>
    </w:p>
  </w:footnote>
  <w:footnote w:id="1">
    <w:p w:rsidR="00EB03A3" w:rsidRDefault="00EB03A3">
      <w:pPr>
        <w:pStyle w:val="FootnoteText"/>
      </w:pPr>
      <w:r>
        <w:rPr>
          <w:rStyle w:val="FootnoteReference"/>
        </w:rPr>
        <w:footnoteRef/>
      </w:r>
      <w:r>
        <w:t xml:space="preserve">   See </w:t>
      </w:r>
      <w:r w:rsidRPr="0021288B">
        <w:rPr>
          <w:i/>
        </w:rPr>
        <w:t>Ruling on School’s Amended Motion To Dismiss, Construed as an Amended Motion for Summary Judgment</w:t>
      </w:r>
      <w:r>
        <w:t xml:space="preserve">, BSEA #190477 (Berman 1/28/2019) and </w:t>
      </w:r>
      <w:r w:rsidRPr="00C37A33">
        <w:rPr>
          <w:i/>
        </w:rPr>
        <w:t>Ruling On Motion For Reconsideration on Amended Motion To Dismiss, Construed As Amended Motion For Summary Judgment</w:t>
      </w:r>
      <w:r>
        <w:t xml:space="preserve">, BSEA #1904777 (Berman, 1/30/2019)(denying reconsideration of the January 29, 2019 Ruling granting summary judgment to </w:t>
      </w:r>
      <w:proofErr w:type="spellStart"/>
      <w:r>
        <w:t>Montachusett</w:t>
      </w:r>
      <w:proofErr w:type="spellEnd"/>
      <w:r>
        <w:t>).</w:t>
      </w:r>
    </w:p>
  </w:footnote>
  <w:footnote w:id="2">
    <w:p w:rsidR="00EB03A3" w:rsidRDefault="00EB03A3">
      <w:pPr>
        <w:pStyle w:val="FootnoteText"/>
      </w:pPr>
      <w:r>
        <w:rPr>
          <w:rStyle w:val="FootnoteReference"/>
        </w:rPr>
        <w:footnoteRef/>
      </w:r>
      <w:r>
        <w:t xml:space="preserve">   Parent’s statement is presumed to refer to FERPA.</w:t>
      </w:r>
    </w:p>
  </w:footnote>
  <w:footnote w:id="3">
    <w:p w:rsidR="00EB03A3" w:rsidRDefault="00EB03A3">
      <w:pPr>
        <w:pStyle w:val="FootnoteText"/>
      </w:pPr>
      <w:r>
        <w:rPr>
          <w:rStyle w:val="FootnoteReference"/>
        </w:rPr>
        <w:footnoteRef/>
      </w:r>
      <w:r>
        <w:t xml:space="preserve">  </w:t>
      </w:r>
      <w:r w:rsidR="00381448">
        <w:t xml:space="preserve"> Mother</w:t>
      </w:r>
      <w:r>
        <w:t xml:space="preserve"> “may speak with son by phone if contact is initiated by [Student]”.  (Administrative notice of </w:t>
      </w:r>
      <w:r>
        <w:rPr>
          <w:rFonts w:cs="Times New Roman"/>
          <w:szCs w:val="24"/>
        </w:rPr>
        <w:t>BSEA #1904777</w:t>
      </w:r>
      <w:r w:rsidR="000170A1">
        <w:t>)</w:t>
      </w:r>
    </w:p>
  </w:footnote>
  <w:footnote w:id="4">
    <w:p w:rsidR="00EB03A3" w:rsidRDefault="00EB03A3">
      <w:pPr>
        <w:pStyle w:val="FootnoteText"/>
      </w:pPr>
      <w:r>
        <w:rPr>
          <w:rStyle w:val="FootnoteReference"/>
        </w:rPr>
        <w:footnoteRef/>
      </w:r>
      <w:r>
        <w:t xml:space="preserve">   Prior to this dispositive Ruling, on January 11, 2019, t</w:t>
      </w:r>
      <w:r w:rsidR="000170A1">
        <w:t xml:space="preserve">he Hearing Officer had denied </w:t>
      </w:r>
      <w:proofErr w:type="spellStart"/>
      <w:r w:rsidR="000170A1">
        <w:t>Montachusett</w:t>
      </w:r>
      <w:r>
        <w:t>’s</w:t>
      </w:r>
      <w:proofErr w:type="spellEnd"/>
      <w:r>
        <w:t xml:space="preserve"> Motion for Summary Judgment</w:t>
      </w:r>
      <w:r w:rsidR="000170A1">
        <w:t>,</w:t>
      </w:r>
      <w:r>
        <w:t xml:space="preserve"> citing disputes of facts between the Parties.  In the instant case Parent relies on this Ruling to support her position. However, the dispositive Ruling issued by the Hearing Officer on January 28, 2019, supersedes the previous January 2019 Ruling.</w:t>
      </w:r>
    </w:p>
  </w:footnote>
  <w:footnote w:id="5">
    <w:p w:rsidR="00EB03A3" w:rsidRDefault="00EB03A3" w:rsidP="00D5770C">
      <w:pPr>
        <w:pStyle w:val="FootnoteText"/>
      </w:pPr>
      <w:r>
        <w:rPr>
          <w:rStyle w:val="FootnoteReference"/>
        </w:rPr>
        <w:footnoteRef/>
      </w:r>
      <w:r>
        <w:t xml:space="preserve">   Parent’s statement is presumed to refer to FERPA.</w:t>
      </w:r>
    </w:p>
  </w:footnote>
  <w:footnote w:id="6">
    <w:p w:rsidR="00EB03A3" w:rsidRDefault="00EB03A3">
      <w:pPr>
        <w:pStyle w:val="FootnoteText"/>
      </w:pPr>
      <w:r>
        <w:rPr>
          <w:rStyle w:val="FootnoteReference"/>
        </w:rPr>
        <w:footnoteRef/>
      </w:r>
      <w:r>
        <w:t xml:space="preserve">   The issue of access to Student’s records was raised in BSEA #1904777.  </w:t>
      </w:r>
      <w:r w:rsidRPr="00EB03A3">
        <w:rPr>
          <w:rStyle w:val="tgc"/>
          <w:rFonts w:cs="Times New Roman"/>
        </w:rPr>
        <w:t xml:space="preserve">In that case </w:t>
      </w:r>
      <w:proofErr w:type="spellStart"/>
      <w:r w:rsidRPr="00EB03A3">
        <w:rPr>
          <w:rStyle w:val="tgc"/>
          <w:rFonts w:cs="Times New Roman"/>
        </w:rPr>
        <w:t>Montachusett</w:t>
      </w:r>
      <w:proofErr w:type="spellEnd"/>
      <w:r w:rsidRPr="00EB03A3">
        <w:rPr>
          <w:rStyle w:val="tgc"/>
          <w:rFonts w:cs="Times New Roman"/>
        </w:rPr>
        <w:t xml:space="preserve"> argued that Massachusetts and federal law prohibited access to records by a non-eligible, non-custodial parent consistent with M.G.L. c.71 §34H due to the outstanding abuse prevention order, custody orders in Parents’ divorce decree and the determination entered by DESE’s PRS.  </w:t>
      </w:r>
      <w:proofErr w:type="spellStart"/>
      <w:r w:rsidRPr="00EB03A3">
        <w:rPr>
          <w:rStyle w:val="tgc"/>
          <w:rFonts w:cs="Times New Roman"/>
        </w:rPr>
        <w:t>Montachusett</w:t>
      </w:r>
      <w:proofErr w:type="spellEnd"/>
      <w:r w:rsidRPr="00EB03A3">
        <w:rPr>
          <w:rStyle w:val="tgc"/>
          <w:rFonts w:cs="Times New Roman"/>
        </w:rPr>
        <w:t xml:space="preserve"> further argued that IDEA regulations at 34 CFR 300.610 et seq. offered protections similar to FERPA regarding a student’s confidentiality and access to student records.  This issue was addressed by the previous Hearing Officer in BSEA #1904777 and therefore</w:t>
      </w:r>
      <w:r w:rsidR="00C3518A">
        <w:rPr>
          <w:rStyle w:val="tgc"/>
          <w:rFonts w:cs="Times New Roman"/>
        </w:rPr>
        <w:t>,</w:t>
      </w:r>
      <w:r w:rsidRPr="00EB03A3">
        <w:rPr>
          <w:rStyle w:val="tgc"/>
          <w:rFonts w:cs="Times New Roman"/>
        </w:rPr>
        <w:t xml:space="preserve"> </w:t>
      </w:r>
      <w:r w:rsidR="00025FC1">
        <w:rPr>
          <w:rStyle w:val="tgc"/>
          <w:rFonts w:cs="Times New Roman"/>
        </w:rPr>
        <w:t xml:space="preserve">is </w:t>
      </w:r>
      <w:r w:rsidRPr="00EB03A3">
        <w:rPr>
          <w:rStyle w:val="tgc"/>
          <w:rFonts w:cs="Times New Roman"/>
        </w:rPr>
        <w:t xml:space="preserve">subject to </w:t>
      </w:r>
      <w:r w:rsidRPr="00025FC1">
        <w:rPr>
          <w:rStyle w:val="tgc"/>
          <w:rFonts w:cs="Times New Roman"/>
          <w:i/>
        </w:rPr>
        <w:t>res-judicata</w:t>
      </w:r>
      <w:r w:rsidRPr="00EB03A3">
        <w:rPr>
          <w:rStyle w:val="tgc"/>
          <w:rFonts w:cs="Times New Roman"/>
        </w:rPr>
        <w:t xml:space="preserve"> and collateral estoppel principles.</w:t>
      </w:r>
    </w:p>
  </w:footnote>
  <w:footnote w:id="7">
    <w:p w:rsidR="00EB03A3" w:rsidRDefault="00EB03A3" w:rsidP="0099666B">
      <w:pPr>
        <w:pStyle w:val="FootnoteText"/>
      </w:pPr>
      <w:r>
        <w:rPr>
          <w:rStyle w:val="FootnoteReference"/>
        </w:rPr>
        <w:footnoteRef/>
      </w:r>
      <w:r>
        <w:t xml:space="preserve">   </w:t>
      </w:r>
      <w:proofErr w:type="gramStart"/>
      <w:r w:rsidR="00EF26D4">
        <w:t>Also known as c</w:t>
      </w:r>
      <w:r>
        <w:t>laim preclusion.</w:t>
      </w:r>
      <w:proofErr w:type="gramEnd"/>
      <w:r>
        <w:t xml:space="preserve">  </w:t>
      </w:r>
    </w:p>
  </w:footnote>
  <w:footnote w:id="8">
    <w:p w:rsidR="00EB03A3" w:rsidRDefault="00EB03A3" w:rsidP="0099666B">
      <w:pPr>
        <w:pStyle w:val="FootnoteText"/>
      </w:pPr>
      <w:r>
        <w:rPr>
          <w:rStyle w:val="FootnoteReference"/>
        </w:rPr>
        <w:footnoteRef/>
      </w:r>
      <w:r w:rsidR="00EF26D4">
        <w:t xml:space="preserve">   </w:t>
      </w:r>
      <w:proofErr w:type="gramStart"/>
      <w:r w:rsidR="00EF26D4">
        <w:t>Also known as i</w:t>
      </w:r>
      <w:r>
        <w:t>ssue preclusion.</w:t>
      </w:r>
      <w:proofErr w:type="gramEnd"/>
      <w:r>
        <w:t xml:space="preserve">  </w:t>
      </w:r>
    </w:p>
  </w:footnote>
  <w:footnote w:id="9">
    <w:p w:rsidR="00EB03A3" w:rsidRDefault="00EB03A3">
      <w:pPr>
        <w:pStyle w:val="FootnoteText"/>
      </w:pPr>
      <w:r>
        <w:rPr>
          <w:rStyle w:val="FootnoteReference"/>
        </w:rPr>
        <w:footnoteRef/>
      </w:r>
      <w:r>
        <w:t xml:space="preserve">   Except as provided in 603 CMR 28.07(5</w:t>
      </w:r>
      <w:proofErr w:type="gramStart"/>
      <w:r>
        <w:t>)(</w:t>
      </w:r>
      <w:proofErr w:type="gramEnd"/>
      <w:r>
        <w:t>a) through (c) none of which are applicable in the instant case.</w:t>
      </w:r>
    </w:p>
  </w:footnote>
  <w:footnote w:id="10">
    <w:p w:rsidR="00EB03A3" w:rsidRDefault="00EB03A3" w:rsidP="00EB03A3">
      <w:r>
        <w:rPr>
          <w:rStyle w:val="FootnoteReference"/>
        </w:rPr>
        <w:footnoteRef/>
      </w:r>
      <w:r>
        <w:t xml:space="preserve">   </w:t>
      </w:r>
      <w:r w:rsidRPr="0099666B">
        <w:rPr>
          <w:sz w:val="20"/>
          <w:szCs w:val="20"/>
        </w:rPr>
        <w:t xml:space="preserve">In her Hearing Request and Opposition to the Motion to Dismiss Parent </w:t>
      </w:r>
      <w:r>
        <w:rPr>
          <w:sz w:val="20"/>
          <w:szCs w:val="20"/>
        </w:rPr>
        <w:t xml:space="preserve">mentions </w:t>
      </w:r>
      <w:r w:rsidRPr="0099666B">
        <w:rPr>
          <w:rStyle w:val="tgc"/>
          <w:rFonts w:cs="Times New Roman"/>
          <w:sz w:val="20"/>
          <w:szCs w:val="20"/>
        </w:rPr>
        <w:t>her desire to seek damages at a later time and in a different forum</w:t>
      </w:r>
      <w:r>
        <w:rPr>
          <w:rStyle w:val="tgc"/>
          <w:rFonts w:cs="Times New Roman"/>
          <w:sz w:val="20"/>
          <w:szCs w:val="20"/>
        </w:rPr>
        <w:t xml:space="preserve">.  </w:t>
      </w:r>
      <w:r w:rsidRPr="0099666B">
        <w:rPr>
          <w:rStyle w:val="tgc"/>
          <w:rFonts w:cs="Times New Roman"/>
          <w:sz w:val="20"/>
          <w:szCs w:val="20"/>
        </w:rPr>
        <w:t xml:space="preserve">Parent’s position </w:t>
      </w:r>
      <w:r>
        <w:rPr>
          <w:rStyle w:val="tgc"/>
          <w:rFonts w:cs="Times New Roman"/>
          <w:sz w:val="20"/>
          <w:szCs w:val="20"/>
        </w:rPr>
        <w:t xml:space="preserve">in this regard </w:t>
      </w:r>
      <w:r w:rsidRPr="0099666B">
        <w:rPr>
          <w:rStyle w:val="tgc"/>
          <w:rFonts w:cs="Times New Roman"/>
          <w:sz w:val="20"/>
          <w:szCs w:val="20"/>
        </w:rPr>
        <w:t>is unclear</w:t>
      </w:r>
      <w:r>
        <w:rPr>
          <w:rStyle w:val="tgc"/>
          <w:rFonts w:cs="Times New Roman"/>
          <w:sz w:val="20"/>
          <w:szCs w:val="20"/>
        </w:rPr>
        <w:t xml:space="preserve"> but she is clear that she is not asserting this claim as part of the instant Hearing Request</w:t>
      </w:r>
      <w:r w:rsidR="00C3518A">
        <w:rPr>
          <w:rStyle w:val="tgc"/>
          <w:rFonts w:cs="Times New Roman"/>
          <w:sz w:val="20"/>
          <w:szCs w:val="20"/>
        </w:rPr>
        <w:t xml:space="preserve"> and as such, this claim is not before me</w:t>
      </w:r>
      <w:r w:rsidRPr="0099666B">
        <w:rPr>
          <w:rStyle w:val="tgc"/>
          <w:rFonts w:cs="Times New Roman"/>
          <w:sz w:val="20"/>
          <w:szCs w:val="20"/>
        </w:rPr>
        <w:t xml:space="preserve">.  </w:t>
      </w:r>
      <w:r>
        <w:rPr>
          <w:rStyle w:val="tgc"/>
          <w:rFonts w:cs="Times New Roman"/>
          <w:sz w:val="20"/>
          <w:szCs w:val="20"/>
        </w:rPr>
        <w:t xml:space="preserve">Generally, </w:t>
      </w:r>
      <w:proofErr w:type="spellStart"/>
      <w:r>
        <w:rPr>
          <w:rStyle w:val="tgc"/>
          <w:rFonts w:cs="Times New Roman"/>
          <w:sz w:val="20"/>
          <w:szCs w:val="20"/>
        </w:rPr>
        <w:t>Montachusett</w:t>
      </w:r>
      <w:proofErr w:type="spellEnd"/>
      <w:r>
        <w:rPr>
          <w:rStyle w:val="tgc"/>
          <w:rFonts w:cs="Times New Roman"/>
          <w:sz w:val="20"/>
          <w:szCs w:val="20"/>
        </w:rPr>
        <w:t xml:space="preserve"> is correct that m</w:t>
      </w:r>
      <w:r w:rsidRPr="0099666B">
        <w:rPr>
          <w:rStyle w:val="tgc"/>
          <w:rFonts w:cs="Times New Roman"/>
          <w:sz w:val="20"/>
          <w:szCs w:val="20"/>
        </w:rPr>
        <w:t xml:space="preserve">onetary damages are not permitted under the IDEA.  </w:t>
      </w:r>
      <w:proofErr w:type="gramStart"/>
      <w:r w:rsidRPr="0099666B">
        <w:rPr>
          <w:rStyle w:val="tgc"/>
          <w:rFonts w:cs="Times New Roman"/>
          <w:i/>
          <w:sz w:val="20"/>
          <w:szCs w:val="20"/>
        </w:rPr>
        <w:t>Diaz-Fonseca v. Commonwealth of Puerto Rico</w:t>
      </w:r>
      <w:r w:rsidRPr="0099666B">
        <w:rPr>
          <w:rStyle w:val="tgc"/>
          <w:rFonts w:cs="Times New Roman"/>
          <w:sz w:val="20"/>
          <w:szCs w:val="20"/>
        </w:rPr>
        <w:t>, 45 IDELR 268 (1</w:t>
      </w:r>
      <w:r w:rsidRPr="0099666B">
        <w:rPr>
          <w:rStyle w:val="tgc"/>
          <w:rFonts w:cs="Times New Roman"/>
          <w:sz w:val="20"/>
          <w:szCs w:val="20"/>
          <w:vertAlign w:val="superscript"/>
        </w:rPr>
        <w:t>st</w:t>
      </w:r>
      <w:r w:rsidRPr="0099666B">
        <w:rPr>
          <w:rStyle w:val="tgc"/>
          <w:rFonts w:cs="Times New Roman"/>
          <w:sz w:val="20"/>
          <w:szCs w:val="20"/>
        </w:rPr>
        <w:t xml:space="preserve"> Cir.2006).</w:t>
      </w:r>
      <w:proofErr w:type="gramEnd"/>
      <w:r w:rsidRPr="0099666B">
        <w:rPr>
          <w:rStyle w:val="tgc"/>
          <w:rFonts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BC5"/>
    <w:multiLevelType w:val="hybridMultilevel"/>
    <w:tmpl w:val="80B2CC1A"/>
    <w:lvl w:ilvl="0" w:tplc="1FA6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F0876"/>
    <w:multiLevelType w:val="hybridMultilevel"/>
    <w:tmpl w:val="3BFEDAB2"/>
    <w:lvl w:ilvl="0" w:tplc="61C8B2C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63168"/>
    <w:multiLevelType w:val="hybridMultilevel"/>
    <w:tmpl w:val="829C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A0453"/>
    <w:multiLevelType w:val="hybridMultilevel"/>
    <w:tmpl w:val="B1AC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52ABF"/>
    <w:multiLevelType w:val="hybridMultilevel"/>
    <w:tmpl w:val="DEA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0A261F"/>
    <w:multiLevelType w:val="hybridMultilevel"/>
    <w:tmpl w:val="3790FE84"/>
    <w:lvl w:ilvl="0" w:tplc="2FD20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B5484"/>
    <w:multiLevelType w:val="hybridMultilevel"/>
    <w:tmpl w:val="57CE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A5439"/>
    <w:multiLevelType w:val="hybridMultilevel"/>
    <w:tmpl w:val="80B2CC1A"/>
    <w:lvl w:ilvl="0" w:tplc="1FA6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87"/>
    <w:rsid w:val="00015916"/>
    <w:rsid w:val="000170A1"/>
    <w:rsid w:val="00025FC1"/>
    <w:rsid w:val="000508B0"/>
    <w:rsid w:val="00060F4A"/>
    <w:rsid w:val="00097F0F"/>
    <w:rsid w:val="000A4EB6"/>
    <w:rsid w:val="000C210B"/>
    <w:rsid w:val="000F0D1C"/>
    <w:rsid w:val="00101B63"/>
    <w:rsid w:val="001116F0"/>
    <w:rsid w:val="00117058"/>
    <w:rsid w:val="00122101"/>
    <w:rsid w:val="001340DD"/>
    <w:rsid w:val="00151347"/>
    <w:rsid w:val="00171E61"/>
    <w:rsid w:val="001749CC"/>
    <w:rsid w:val="001858D2"/>
    <w:rsid w:val="00187C80"/>
    <w:rsid w:val="0019677C"/>
    <w:rsid w:val="001B1B48"/>
    <w:rsid w:val="001B3CF9"/>
    <w:rsid w:val="001B4986"/>
    <w:rsid w:val="001C034F"/>
    <w:rsid w:val="001D1393"/>
    <w:rsid w:val="001D2EDF"/>
    <w:rsid w:val="001D5734"/>
    <w:rsid w:val="001E44F5"/>
    <w:rsid w:val="0020052B"/>
    <w:rsid w:val="00201713"/>
    <w:rsid w:val="0021288B"/>
    <w:rsid w:val="00224C61"/>
    <w:rsid w:val="00250DA0"/>
    <w:rsid w:val="0026045B"/>
    <w:rsid w:val="0027051F"/>
    <w:rsid w:val="002716BC"/>
    <w:rsid w:val="00273EBA"/>
    <w:rsid w:val="00290FAE"/>
    <w:rsid w:val="00291176"/>
    <w:rsid w:val="002A57A3"/>
    <w:rsid w:val="002B14E7"/>
    <w:rsid w:val="002B6DFD"/>
    <w:rsid w:val="002C3EEE"/>
    <w:rsid w:val="00306223"/>
    <w:rsid w:val="00335B9A"/>
    <w:rsid w:val="00340D7B"/>
    <w:rsid w:val="00364DFE"/>
    <w:rsid w:val="00372AEA"/>
    <w:rsid w:val="00381448"/>
    <w:rsid w:val="003A1116"/>
    <w:rsid w:val="003E178F"/>
    <w:rsid w:val="003E47F7"/>
    <w:rsid w:val="003E7DD8"/>
    <w:rsid w:val="00470815"/>
    <w:rsid w:val="004773F8"/>
    <w:rsid w:val="00497505"/>
    <w:rsid w:val="004A063E"/>
    <w:rsid w:val="004C6B35"/>
    <w:rsid w:val="005564F0"/>
    <w:rsid w:val="005A148E"/>
    <w:rsid w:val="005B64AA"/>
    <w:rsid w:val="005C163E"/>
    <w:rsid w:val="005C6EA3"/>
    <w:rsid w:val="005E7BF9"/>
    <w:rsid w:val="005F02A0"/>
    <w:rsid w:val="005F1767"/>
    <w:rsid w:val="00621266"/>
    <w:rsid w:val="00624F62"/>
    <w:rsid w:val="006325D7"/>
    <w:rsid w:val="0067127B"/>
    <w:rsid w:val="00674AAB"/>
    <w:rsid w:val="00683B9B"/>
    <w:rsid w:val="006866A4"/>
    <w:rsid w:val="006B0DED"/>
    <w:rsid w:val="006D4BB9"/>
    <w:rsid w:val="006E21C1"/>
    <w:rsid w:val="00705425"/>
    <w:rsid w:val="00707CCD"/>
    <w:rsid w:val="00717AE0"/>
    <w:rsid w:val="0072235E"/>
    <w:rsid w:val="00750DC7"/>
    <w:rsid w:val="00757B43"/>
    <w:rsid w:val="00781746"/>
    <w:rsid w:val="007917ED"/>
    <w:rsid w:val="00795101"/>
    <w:rsid w:val="00796251"/>
    <w:rsid w:val="007D69FE"/>
    <w:rsid w:val="007D7FB9"/>
    <w:rsid w:val="007F2745"/>
    <w:rsid w:val="007F5DAF"/>
    <w:rsid w:val="00813B5B"/>
    <w:rsid w:val="008451AA"/>
    <w:rsid w:val="00853B6F"/>
    <w:rsid w:val="008568D6"/>
    <w:rsid w:val="008718C8"/>
    <w:rsid w:val="008769CB"/>
    <w:rsid w:val="0088725B"/>
    <w:rsid w:val="008950E1"/>
    <w:rsid w:val="008A2028"/>
    <w:rsid w:val="008B76D1"/>
    <w:rsid w:val="008D0BFD"/>
    <w:rsid w:val="00904F92"/>
    <w:rsid w:val="00905994"/>
    <w:rsid w:val="00906387"/>
    <w:rsid w:val="00915E5F"/>
    <w:rsid w:val="009332DB"/>
    <w:rsid w:val="00934F9F"/>
    <w:rsid w:val="00950C85"/>
    <w:rsid w:val="00962D2B"/>
    <w:rsid w:val="009874E3"/>
    <w:rsid w:val="0099666B"/>
    <w:rsid w:val="009B1D5A"/>
    <w:rsid w:val="009D504C"/>
    <w:rsid w:val="009E1F8F"/>
    <w:rsid w:val="00A06E5D"/>
    <w:rsid w:val="00A138CF"/>
    <w:rsid w:val="00A15006"/>
    <w:rsid w:val="00A24520"/>
    <w:rsid w:val="00A35F75"/>
    <w:rsid w:val="00A43B97"/>
    <w:rsid w:val="00A4704A"/>
    <w:rsid w:val="00A66553"/>
    <w:rsid w:val="00A83E36"/>
    <w:rsid w:val="00A8469F"/>
    <w:rsid w:val="00A84B66"/>
    <w:rsid w:val="00A96F8A"/>
    <w:rsid w:val="00AE1621"/>
    <w:rsid w:val="00B15C37"/>
    <w:rsid w:val="00B331D2"/>
    <w:rsid w:val="00B41A7B"/>
    <w:rsid w:val="00B44930"/>
    <w:rsid w:val="00B801D6"/>
    <w:rsid w:val="00B826C9"/>
    <w:rsid w:val="00B8328F"/>
    <w:rsid w:val="00BA1479"/>
    <w:rsid w:val="00BC0E7E"/>
    <w:rsid w:val="00C12E90"/>
    <w:rsid w:val="00C133A6"/>
    <w:rsid w:val="00C30C0F"/>
    <w:rsid w:val="00C3518A"/>
    <w:rsid w:val="00C37A33"/>
    <w:rsid w:val="00C50EEF"/>
    <w:rsid w:val="00C62193"/>
    <w:rsid w:val="00C63689"/>
    <w:rsid w:val="00CA35CB"/>
    <w:rsid w:val="00CD6D0C"/>
    <w:rsid w:val="00CE62A8"/>
    <w:rsid w:val="00D32F44"/>
    <w:rsid w:val="00D359B6"/>
    <w:rsid w:val="00D52CA8"/>
    <w:rsid w:val="00D53F9A"/>
    <w:rsid w:val="00D5770C"/>
    <w:rsid w:val="00DB77A4"/>
    <w:rsid w:val="00DF05D3"/>
    <w:rsid w:val="00E05928"/>
    <w:rsid w:val="00E2490B"/>
    <w:rsid w:val="00E2494C"/>
    <w:rsid w:val="00E37290"/>
    <w:rsid w:val="00E40B32"/>
    <w:rsid w:val="00E65425"/>
    <w:rsid w:val="00E665C8"/>
    <w:rsid w:val="00EA41A5"/>
    <w:rsid w:val="00EB03A3"/>
    <w:rsid w:val="00EE14FD"/>
    <w:rsid w:val="00EF26D4"/>
    <w:rsid w:val="00EF6F72"/>
    <w:rsid w:val="00F108C0"/>
    <w:rsid w:val="00F360C6"/>
    <w:rsid w:val="00F365A7"/>
    <w:rsid w:val="00F5737D"/>
    <w:rsid w:val="00F70D7B"/>
    <w:rsid w:val="00F83F1D"/>
    <w:rsid w:val="00F84D8B"/>
    <w:rsid w:val="00FA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4FD"/>
    <w:pPr>
      <w:ind w:left="720"/>
      <w:contextualSpacing/>
    </w:pPr>
  </w:style>
  <w:style w:type="paragraph" w:styleId="FootnoteText">
    <w:name w:val="footnote text"/>
    <w:basedOn w:val="Normal"/>
    <w:link w:val="FootnoteTextChar"/>
    <w:uiPriority w:val="99"/>
    <w:semiHidden/>
    <w:unhideWhenUsed/>
    <w:rsid w:val="00934F9F"/>
    <w:rPr>
      <w:sz w:val="20"/>
      <w:szCs w:val="20"/>
    </w:rPr>
  </w:style>
  <w:style w:type="character" w:customStyle="1" w:styleId="FootnoteTextChar">
    <w:name w:val="Footnote Text Char"/>
    <w:basedOn w:val="DefaultParagraphFont"/>
    <w:link w:val="FootnoteText"/>
    <w:uiPriority w:val="99"/>
    <w:semiHidden/>
    <w:rsid w:val="00934F9F"/>
    <w:rPr>
      <w:sz w:val="20"/>
      <w:szCs w:val="20"/>
    </w:rPr>
  </w:style>
  <w:style w:type="character" w:styleId="FootnoteReference">
    <w:name w:val="footnote reference"/>
    <w:basedOn w:val="DefaultParagraphFont"/>
    <w:uiPriority w:val="99"/>
    <w:semiHidden/>
    <w:unhideWhenUsed/>
    <w:rsid w:val="00934F9F"/>
    <w:rPr>
      <w:vertAlign w:val="superscript"/>
    </w:rPr>
  </w:style>
  <w:style w:type="character" w:customStyle="1" w:styleId="tgc">
    <w:name w:val="_tgc"/>
    <w:basedOn w:val="DefaultParagraphFont"/>
    <w:rsid w:val="00335B9A"/>
  </w:style>
  <w:style w:type="character" w:styleId="Hyperlink">
    <w:name w:val="Hyperlink"/>
    <w:basedOn w:val="DefaultParagraphFont"/>
    <w:uiPriority w:val="99"/>
    <w:unhideWhenUsed/>
    <w:rsid w:val="00A15006"/>
    <w:rPr>
      <w:color w:val="0000FF" w:themeColor="hyperlink"/>
      <w:u w:val="single"/>
    </w:rPr>
  </w:style>
  <w:style w:type="paragraph" w:styleId="Header">
    <w:name w:val="header"/>
    <w:basedOn w:val="Normal"/>
    <w:link w:val="HeaderChar"/>
    <w:uiPriority w:val="99"/>
    <w:unhideWhenUsed/>
    <w:rsid w:val="00291176"/>
    <w:pPr>
      <w:tabs>
        <w:tab w:val="center" w:pos="4680"/>
        <w:tab w:val="right" w:pos="9360"/>
      </w:tabs>
    </w:pPr>
  </w:style>
  <w:style w:type="character" w:customStyle="1" w:styleId="HeaderChar">
    <w:name w:val="Header Char"/>
    <w:basedOn w:val="DefaultParagraphFont"/>
    <w:link w:val="Header"/>
    <w:uiPriority w:val="99"/>
    <w:rsid w:val="00291176"/>
  </w:style>
  <w:style w:type="paragraph" w:styleId="Footer">
    <w:name w:val="footer"/>
    <w:basedOn w:val="Normal"/>
    <w:link w:val="FooterChar"/>
    <w:uiPriority w:val="99"/>
    <w:unhideWhenUsed/>
    <w:rsid w:val="00291176"/>
    <w:pPr>
      <w:tabs>
        <w:tab w:val="center" w:pos="4680"/>
        <w:tab w:val="right" w:pos="9360"/>
      </w:tabs>
    </w:pPr>
  </w:style>
  <w:style w:type="character" w:customStyle="1" w:styleId="FooterChar">
    <w:name w:val="Footer Char"/>
    <w:basedOn w:val="DefaultParagraphFont"/>
    <w:link w:val="Footer"/>
    <w:uiPriority w:val="99"/>
    <w:rsid w:val="00291176"/>
  </w:style>
  <w:style w:type="paragraph" w:styleId="BalloonText">
    <w:name w:val="Balloon Text"/>
    <w:basedOn w:val="Normal"/>
    <w:link w:val="BalloonTextChar"/>
    <w:uiPriority w:val="99"/>
    <w:semiHidden/>
    <w:unhideWhenUsed/>
    <w:rsid w:val="00015916"/>
    <w:rPr>
      <w:rFonts w:ascii="Tahoma" w:hAnsi="Tahoma" w:cs="Tahoma"/>
      <w:sz w:val="16"/>
      <w:szCs w:val="16"/>
    </w:rPr>
  </w:style>
  <w:style w:type="character" w:customStyle="1" w:styleId="BalloonTextChar">
    <w:name w:val="Balloon Text Char"/>
    <w:basedOn w:val="DefaultParagraphFont"/>
    <w:link w:val="BalloonText"/>
    <w:uiPriority w:val="99"/>
    <w:semiHidden/>
    <w:rsid w:val="00015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4FD"/>
    <w:pPr>
      <w:ind w:left="720"/>
      <w:contextualSpacing/>
    </w:pPr>
  </w:style>
  <w:style w:type="paragraph" w:styleId="FootnoteText">
    <w:name w:val="footnote text"/>
    <w:basedOn w:val="Normal"/>
    <w:link w:val="FootnoteTextChar"/>
    <w:uiPriority w:val="99"/>
    <w:semiHidden/>
    <w:unhideWhenUsed/>
    <w:rsid w:val="00934F9F"/>
    <w:rPr>
      <w:sz w:val="20"/>
      <w:szCs w:val="20"/>
    </w:rPr>
  </w:style>
  <w:style w:type="character" w:customStyle="1" w:styleId="FootnoteTextChar">
    <w:name w:val="Footnote Text Char"/>
    <w:basedOn w:val="DefaultParagraphFont"/>
    <w:link w:val="FootnoteText"/>
    <w:uiPriority w:val="99"/>
    <w:semiHidden/>
    <w:rsid w:val="00934F9F"/>
    <w:rPr>
      <w:sz w:val="20"/>
      <w:szCs w:val="20"/>
    </w:rPr>
  </w:style>
  <w:style w:type="character" w:styleId="FootnoteReference">
    <w:name w:val="footnote reference"/>
    <w:basedOn w:val="DefaultParagraphFont"/>
    <w:uiPriority w:val="99"/>
    <w:semiHidden/>
    <w:unhideWhenUsed/>
    <w:rsid w:val="00934F9F"/>
    <w:rPr>
      <w:vertAlign w:val="superscript"/>
    </w:rPr>
  </w:style>
  <w:style w:type="character" w:customStyle="1" w:styleId="tgc">
    <w:name w:val="_tgc"/>
    <w:basedOn w:val="DefaultParagraphFont"/>
    <w:rsid w:val="00335B9A"/>
  </w:style>
  <w:style w:type="character" w:styleId="Hyperlink">
    <w:name w:val="Hyperlink"/>
    <w:basedOn w:val="DefaultParagraphFont"/>
    <w:uiPriority w:val="99"/>
    <w:unhideWhenUsed/>
    <w:rsid w:val="00A15006"/>
    <w:rPr>
      <w:color w:val="0000FF" w:themeColor="hyperlink"/>
      <w:u w:val="single"/>
    </w:rPr>
  </w:style>
  <w:style w:type="paragraph" w:styleId="Header">
    <w:name w:val="header"/>
    <w:basedOn w:val="Normal"/>
    <w:link w:val="HeaderChar"/>
    <w:uiPriority w:val="99"/>
    <w:unhideWhenUsed/>
    <w:rsid w:val="00291176"/>
    <w:pPr>
      <w:tabs>
        <w:tab w:val="center" w:pos="4680"/>
        <w:tab w:val="right" w:pos="9360"/>
      </w:tabs>
    </w:pPr>
  </w:style>
  <w:style w:type="character" w:customStyle="1" w:styleId="HeaderChar">
    <w:name w:val="Header Char"/>
    <w:basedOn w:val="DefaultParagraphFont"/>
    <w:link w:val="Header"/>
    <w:uiPriority w:val="99"/>
    <w:rsid w:val="00291176"/>
  </w:style>
  <w:style w:type="paragraph" w:styleId="Footer">
    <w:name w:val="footer"/>
    <w:basedOn w:val="Normal"/>
    <w:link w:val="FooterChar"/>
    <w:uiPriority w:val="99"/>
    <w:unhideWhenUsed/>
    <w:rsid w:val="00291176"/>
    <w:pPr>
      <w:tabs>
        <w:tab w:val="center" w:pos="4680"/>
        <w:tab w:val="right" w:pos="9360"/>
      </w:tabs>
    </w:pPr>
  </w:style>
  <w:style w:type="character" w:customStyle="1" w:styleId="FooterChar">
    <w:name w:val="Footer Char"/>
    <w:basedOn w:val="DefaultParagraphFont"/>
    <w:link w:val="Footer"/>
    <w:uiPriority w:val="99"/>
    <w:rsid w:val="00291176"/>
  </w:style>
  <w:style w:type="paragraph" w:styleId="BalloonText">
    <w:name w:val="Balloon Text"/>
    <w:basedOn w:val="Normal"/>
    <w:link w:val="BalloonTextChar"/>
    <w:uiPriority w:val="99"/>
    <w:semiHidden/>
    <w:unhideWhenUsed/>
    <w:rsid w:val="00015916"/>
    <w:rPr>
      <w:rFonts w:ascii="Tahoma" w:hAnsi="Tahoma" w:cs="Tahoma"/>
      <w:sz w:val="16"/>
      <w:szCs w:val="16"/>
    </w:rPr>
  </w:style>
  <w:style w:type="character" w:customStyle="1" w:styleId="BalloonTextChar">
    <w:name w:val="Balloon Text Char"/>
    <w:basedOn w:val="DefaultParagraphFont"/>
    <w:link w:val="BalloonText"/>
    <w:uiPriority w:val="99"/>
    <w:semiHidden/>
    <w:rsid w:val="00015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5206">
      <w:bodyDiv w:val="1"/>
      <w:marLeft w:val="0"/>
      <w:marRight w:val="0"/>
      <w:marTop w:val="0"/>
      <w:marBottom w:val="0"/>
      <w:divBdr>
        <w:top w:val="none" w:sz="0" w:space="0" w:color="auto"/>
        <w:left w:val="none" w:sz="0" w:space="0" w:color="auto"/>
        <w:bottom w:val="none" w:sz="0" w:space="0" w:color="auto"/>
        <w:right w:val="none" w:sz="0" w:space="0" w:color="auto"/>
      </w:divBdr>
      <w:divsChild>
        <w:div w:id="827867602">
          <w:marLeft w:val="0"/>
          <w:marRight w:val="0"/>
          <w:marTop w:val="0"/>
          <w:marBottom w:val="0"/>
          <w:divBdr>
            <w:top w:val="none" w:sz="0" w:space="0" w:color="auto"/>
            <w:left w:val="none" w:sz="0" w:space="0" w:color="auto"/>
            <w:bottom w:val="none" w:sz="0" w:space="0" w:color="auto"/>
            <w:right w:val="none" w:sz="0" w:space="0" w:color="auto"/>
          </w:divBdr>
        </w:div>
        <w:div w:id="1026173088">
          <w:marLeft w:val="0"/>
          <w:marRight w:val="0"/>
          <w:marTop w:val="0"/>
          <w:marBottom w:val="0"/>
          <w:divBdr>
            <w:top w:val="none" w:sz="0" w:space="0" w:color="auto"/>
            <w:left w:val="none" w:sz="0" w:space="0" w:color="auto"/>
            <w:bottom w:val="none" w:sz="0" w:space="0" w:color="auto"/>
            <w:right w:val="none" w:sz="0" w:space="0" w:color="auto"/>
          </w:divBdr>
        </w:div>
        <w:div w:id="590042033">
          <w:marLeft w:val="0"/>
          <w:marRight w:val="0"/>
          <w:marTop w:val="0"/>
          <w:marBottom w:val="0"/>
          <w:divBdr>
            <w:top w:val="none" w:sz="0" w:space="0" w:color="auto"/>
            <w:left w:val="none" w:sz="0" w:space="0" w:color="auto"/>
            <w:bottom w:val="none" w:sz="0" w:space="0" w:color="auto"/>
            <w:right w:val="none" w:sz="0" w:space="0" w:color="auto"/>
          </w:divBdr>
        </w:div>
        <w:div w:id="1271935421">
          <w:marLeft w:val="0"/>
          <w:marRight w:val="0"/>
          <w:marTop w:val="0"/>
          <w:marBottom w:val="0"/>
          <w:divBdr>
            <w:top w:val="none" w:sz="0" w:space="0" w:color="auto"/>
            <w:left w:val="none" w:sz="0" w:space="0" w:color="auto"/>
            <w:bottom w:val="none" w:sz="0" w:space="0" w:color="auto"/>
            <w:right w:val="none" w:sz="0" w:space="0" w:color="auto"/>
          </w:divBdr>
        </w:div>
        <w:div w:id="998381527">
          <w:marLeft w:val="0"/>
          <w:marRight w:val="0"/>
          <w:marTop w:val="0"/>
          <w:marBottom w:val="0"/>
          <w:divBdr>
            <w:top w:val="none" w:sz="0" w:space="0" w:color="auto"/>
            <w:left w:val="none" w:sz="0" w:space="0" w:color="auto"/>
            <w:bottom w:val="none" w:sz="0" w:space="0" w:color="auto"/>
            <w:right w:val="none" w:sz="0" w:space="0" w:color="auto"/>
          </w:divBdr>
        </w:div>
        <w:div w:id="806319257">
          <w:marLeft w:val="0"/>
          <w:marRight w:val="0"/>
          <w:marTop w:val="0"/>
          <w:marBottom w:val="0"/>
          <w:divBdr>
            <w:top w:val="none" w:sz="0" w:space="0" w:color="auto"/>
            <w:left w:val="none" w:sz="0" w:space="0" w:color="auto"/>
            <w:bottom w:val="none" w:sz="0" w:space="0" w:color="auto"/>
            <w:right w:val="none" w:sz="0" w:space="0" w:color="auto"/>
          </w:divBdr>
        </w:div>
      </w:divsChild>
    </w:div>
    <w:div w:id="1418212189">
      <w:bodyDiv w:val="1"/>
      <w:marLeft w:val="0"/>
      <w:marRight w:val="0"/>
      <w:marTop w:val="0"/>
      <w:marBottom w:val="0"/>
      <w:divBdr>
        <w:top w:val="none" w:sz="0" w:space="0" w:color="auto"/>
        <w:left w:val="none" w:sz="0" w:space="0" w:color="auto"/>
        <w:bottom w:val="none" w:sz="0" w:space="0" w:color="auto"/>
        <w:right w:val="none" w:sz="0" w:space="0" w:color="auto"/>
      </w:divBdr>
      <w:divsChild>
        <w:div w:id="704909192">
          <w:marLeft w:val="0"/>
          <w:marRight w:val="0"/>
          <w:marTop w:val="0"/>
          <w:marBottom w:val="0"/>
          <w:divBdr>
            <w:top w:val="none" w:sz="0" w:space="0" w:color="auto"/>
            <w:left w:val="none" w:sz="0" w:space="0" w:color="auto"/>
            <w:bottom w:val="none" w:sz="0" w:space="0" w:color="auto"/>
            <w:right w:val="none" w:sz="0" w:space="0" w:color="auto"/>
          </w:divBdr>
        </w:div>
        <w:div w:id="1556816580">
          <w:marLeft w:val="0"/>
          <w:marRight w:val="0"/>
          <w:marTop w:val="0"/>
          <w:marBottom w:val="0"/>
          <w:divBdr>
            <w:top w:val="none" w:sz="0" w:space="0" w:color="auto"/>
            <w:left w:val="none" w:sz="0" w:space="0" w:color="auto"/>
            <w:bottom w:val="none" w:sz="0" w:space="0" w:color="auto"/>
            <w:right w:val="none" w:sz="0" w:space="0" w:color="auto"/>
          </w:divBdr>
        </w:div>
        <w:div w:id="1500580732">
          <w:marLeft w:val="0"/>
          <w:marRight w:val="0"/>
          <w:marTop w:val="0"/>
          <w:marBottom w:val="0"/>
          <w:divBdr>
            <w:top w:val="none" w:sz="0" w:space="0" w:color="auto"/>
            <w:left w:val="none" w:sz="0" w:space="0" w:color="auto"/>
            <w:bottom w:val="none" w:sz="0" w:space="0" w:color="auto"/>
            <w:right w:val="none" w:sz="0" w:space="0" w:color="auto"/>
          </w:divBdr>
        </w:div>
        <w:div w:id="223444027">
          <w:marLeft w:val="0"/>
          <w:marRight w:val="0"/>
          <w:marTop w:val="0"/>
          <w:marBottom w:val="0"/>
          <w:divBdr>
            <w:top w:val="none" w:sz="0" w:space="0" w:color="auto"/>
            <w:left w:val="none" w:sz="0" w:space="0" w:color="auto"/>
            <w:bottom w:val="none" w:sz="0" w:space="0" w:color="auto"/>
            <w:right w:val="none" w:sz="0" w:space="0" w:color="auto"/>
          </w:divBdr>
        </w:div>
        <w:div w:id="91360146">
          <w:marLeft w:val="0"/>
          <w:marRight w:val="0"/>
          <w:marTop w:val="0"/>
          <w:marBottom w:val="0"/>
          <w:divBdr>
            <w:top w:val="none" w:sz="0" w:space="0" w:color="auto"/>
            <w:left w:val="none" w:sz="0" w:space="0" w:color="auto"/>
            <w:bottom w:val="none" w:sz="0" w:space="0" w:color="auto"/>
            <w:right w:val="none" w:sz="0" w:space="0" w:color="auto"/>
          </w:divBdr>
        </w:div>
        <w:div w:id="178160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CE6B-780A-49E0-9107-F37A9381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Erlichman, Reece (ALA)</dc:creator>
  <cp:lastModifiedBy>ANF</cp:lastModifiedBy>
  <cp:revision>2</cp:revision>
  <cp:lastPrinted>2019-04-17T16:08:00Z</cp:lastPrinted>
  <dcterms:created xsi:type="dcterms:W3CDTF">2019-04-18T14:28:00Z</dcterms:created>
  <dcterms:modified xsi:type="dcterms:W3CDTF">2019-04-18T14:28:00Z</dcterms:modified>
</cp:coreProperties>
</file>