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D5" w:rsidRPr="0030549C" w:rsidRDefault="00B135D5" w:rsidP="00D33C5B">
      <w:pPr>
        <w:spacing w:after="0" w:line="240" w:lineRule="auto"/>
        <w:rPr>
          <w:rFonts w:ascii="Arial" w:eastAsia="Times New Roman" w:hAnsi="Arial" w:cs="Arial"/>
          <w:sz w:val="24"/>
          <w:szCs w:val="24"/>
        </w:rPr>
      </w:pPr>
      <w:bookmarkStart w:id="0" w:name="_GoBack"/>
      <w:bookmarkEnd w:id="0"/>
    </w:p>
    <w:p w:rsidR="00B135D5" w:rsidRDefault="00B135D5" w:rsidP="00A12F1F">
      <w:pPr>
        <w:spacing w:after="0" w:line="240" w:lineRule="auto"/>
        <w:jc w:val="center"/>
        <w:rPr>
          <w:rFonts w:ascii="Arial" w:hAnsi="Arial" w:cs="Arial"/>
          <w:b/>
          <w:sz w:val="24"/>
        </w:rPr>
      </w:pPr>
      <w:r w:rsidRPr="00B135D5">
        <w:rPr>
          <w:rFonts w:ascii="Arial" w:hAnsi="Arial" w:cs="Arial"/>
          <w:b/>
          <w:sz w:val="24"/>
        </w:rPr>
        <w:t>COMMONWEALTH OF MASSACHUSETTS</w:t>
      </w:r>
    </w:p>
    <w:p w:rsidR="0030549C" w:rsidRPr="00B135D5" w:rsidRDefault="0030549C" w:rsidP="00B135D5">
      <w:pPr>
        <w:spacing w:after="0" w:line="240" w:lineRule="auto"/>
        <w:jc w:val="center"/>
        <w:rPr>
          <w:rFonts w:ascii="Arial" w:hAnsi="Arial" w:cs="Arial"/>
          <w:b/>
          <w:sz w:val="24"/>
        </w:rPr>
      </w:pPr>
    </w:p>
    <w:p w:rsidR="00B135D5" w:rsidRDefault="00B135D5" w:rsidP="00B135D5">
      <w:pPr>
        <w:spacing w:after="0" w:line="240" w:lineRule="auto"/>
        <w:jc w:val="center"/>
        <w:rPr>
          <w:rFonts w:ascii="Arial" w:hAnsi="Arial" w:cs="Arial"/>
          <w:b/>
          <w:sz w:val="24"/>
        </w:rPr>
      </w:pPr>
      <w:r w:rsidRPr="00B135D5">
        <w:rPr>
          <w:rFonts w:ascii="Arial" w:hAnsi="Arial" w:cs="Arial"/>
          <w:b/>
          <w:sz w:val="24"/>
        </w:rPr>
        <w:t>DIVISION OF ADMINISTRATIVE LAW APPEALS</w:t>
      </w:r>
    </w:p>
    <w:p w:rsidR="0030549C" w:rsidRPr="00B135D5" w:rsidRDefault="0030549C" w:rsidP="00B135D5">
      <w:pPr>
        <w:spacing w:after="0" w:line="240" w:lineRule="auto"/>
        <w:jc w:val="center"/>
        <w:rPr>
          <w:rFonts w:ascii="Arial" w:hAnsi="Arial" w:cs="Arial"/>
          <w:b/>
          <w:sz w:val="24"/>
        </w:rPr>
      </w:pPr>
    </w:p>
    <w:p w:rsidR="00B135D5" w:rsidRPr="00B135D5" w:rsidRDefault="00C3669E" w:rsidP="00B135D5">
      <w:pPr>
        <w:spacing w:after="0" w:line="240" w:lineRule="auto"/>
        <w:jc w:val="center"/>
        <w:rPr>
          <w:rFonts w:ascii="Arial" w:hAnsi="Arial" w:cs="Arial"/>
          <w:b/>
          <w:sz w:val="24"/>
        </w:rPr>
      </w:pPr>
      <w:r>
        <w:rPr>
          <w:rFonts w:ascii="Arial" w:hAnsi="Arial" w:cs="Arial"/>
          <w:b/>
          <w:sz w:val="24"/>
        </w:rPr>
        <w:t xml:space="preserve">BUREAU OF </w:t>
      </w:r>
      <w:r w:rsidR="00B135D5" w:rsidRPr="00B135D5">
        <w:rPr>
          <w:rFonts w:ascii="Arial" w:hAnsi="Arial" w:cs="Arial"/>
          <w:b/>
          <w:sz w:val="24"/>
        </w:rPr>
        <w:t>SPECIAL EDUCATION APPEALS</w:t>
      </w:r>
    </w:p>
    <w:p w:rsidR="00C35643" w:rsidRDefault="00C35643" w:rsidP="0030549C">
      <w:pPr>
        <w:spacing w:after="0" w:line="240" w:lineRule="auto"/>
        <w:rPr>
          <w:rFonts w:ascii="Arial" w:hAnsi="Arial" w:cs="Arial"/>
          <w:sz w:val="24"/>
        </w:rPr>
      </w:pPr>
    </w:p>
    <w:p w:rsidR="00C3669E" w:rsidRDefault="00B135D5" w:rsidP="0030549C">
      <w:pPr>
        <w:spacing w:after="0" w:line="240" w:lineRule="auto"/>
        <w:rPr>
          <w:rFonts w:ascii="Arial" w:hAnsi="Arial" w:cs="Arial"/>
          <w:sz w:val="24"/>
        </w:rPr>
      </w:pPr>
      <w:r w:rsidRPr="00B135D5">
        <w:rPr>
          <w:rFonts w:ascii="Arial" w:hAnsi="Arial" w:cs="Arial"/>
          <w:sz w:val="24"/>
        </w:rPr>
        <w:t xml:space="preserve"> </w:t>
      </w:r>
      <w:r w:rsidR="0030549C">
        <w:rPr>
          <w:rFonts w:ascii="Arial" w:hAnsi="Arial" w:cs="Arial"/>
          <w:sz w:val="24"/>
        </w:rPr>
        <w:tab/>
      </w:r>
      <w:r w:rsidR="0030549C">
        <w:rPr>
          <w:rFonts w:ascii="Arial" w:hAnsi="Arial" w:cs="Arial"/>
          <w:sz w:val="24"/>
        </w:rPr>
        <w:tab/>
        <w:t xml:space="preserve">            </w:t>
      </w:r>
    </w:p>
    <w:p w:rsidR="00C3669E" w:rsidRDefault="00C3669E" w:rsidP="0030549C">
      <w:pPr>
        <w:spacing w:after="0" w:line="240" w:lineRule="auto"/>
        <w:rPr>
          <w:rFonts w:ascii="Arial" w:hAnsi="Arial" w:cs="Arial"/>
          <w:sz w:val="24"/>
        </w:rPr>
      </w:pPr>
    </w:p>
    <w:p w:rsidR="0030549C" w:rsidRPr="00B135D5" w:rsidRDefault="00C3669E" w:rsidP="00C3669E">
      <w:pPr>
        <w:spacing w:after="0" w:line="240" w:lineRule="auto"/>
        <w:rPr>
          <w:rFonts w:ascii="Arial" w:hAnsi="Arial" w:cs="Arial"/>
          <w:sz w:val="24"/>
        </w:rPr>
      </w:pPr>
      <w:r w:rsidRPr="00C3669E">
        <w:rPr>
          <w:rFonts w:ascii="Arial" w:hAnsi="Arial" w:cs="Arial"/>
          <w:b/>
          <w:sz w:val="24"/>
        </w:rPr>
        <w:t>In Re: Neighborhood House Charter School</w:t>
      </w:r>
      <w:r>
        <w:rPr>
          <w:rFonts w:ascii="Arial" w:hAnsi="Arial" w:cs="Arial"/>
          <w:sz w:val="24"/>
        </w:rPr>
        <w:tab/>
      </w:r>
      <w:r>
        <w:rPr>
          <w:rFonts w:ascii="Arial" w:hAnsi="Arial" w:cs="Arial"/>
          <w:sz w:val="24"/>
        </w:rPr>
        <w:tab/>
      </w:r>
      <w:r w:rsidR="0030549C">
        <w:rPr>
          <w:rFonts w:ascii="Arial" w:hAnsi="Arial" w:cs="Arial"/>
          <w:sz w:val="24"/>
        </w:rPr>
        <w:t xml:space="preserve"> </w:t>
      </w:r>
      <w:r w:rsidR="0030549C" w:rsidRPr="00B135D5">
        <w:rPr>
          <w:rFonts w:ascii="Arial" w:hAnsi="Arial" w:cs="Arial"/>
          <w:b/>
          <w:sz w:val="24"/>
        </w:rPr>
        <w:t xml:space="preserve">BSEA </w:t>
      </w:r>
      <w:r>
        <w:rPr>
          <w:rFonts w:ascii="Arial" w:hAnsi="Arial" w:cs="Arial"/>
          <w:b/>
          <w:sz w:val="24"/>
        </w:rPr>
        <w:t>#1909934</w:t>
      </w:r>
    </w:p>
    <w:p w:rsidR="00B135D5" w:rsidRPr="00B135D5" w:rsidRDefault="00B135D5" w:rsidP="00B135D5">
      <w:pPr>
        <w:spacing w:after="0" w:line="240" w:lineRule="auto"/>
        <w:rPr>
          <w:rFonts w:ascii="Arial" w:hAnsi="Arial" w:cs="Arial"/>
          <w:sz w:val="24"/>
        </w:rPr>
      </w:pPr>
    </w:p>
    <w:p w:rsidR="00B135D5" w:rsidRPr="00B135D5" w:rsidRDefault="00B135D5" w:rsidP="00B135D5">
      <w:pPr>
        <w:spacing w:after="0" w:line="240" w:lineRule="auto"/>
        <w:rPr>
          <w:rFonts w:ascii="Arial" w:hAnsi="Arial" w:cs="Arial"/>
          <w:sz w:val="24"/>
        </w:rPr>
      </w:pPr>
    </w:p>
    <w:p w:rsidR="00B135D5" w:rsidRPr="00B135D5" w:rsidRDefault="0030549C" w:rsidP="00B135D5">
      <w:pPr>
        <w:spacing w:after="0" w:line="240" w:lineRule="auto"/>
        <w:jc w:val="center"/>
        <w:rPr>
          <w:rFonts w:ascii="Arial" w:hAnsi="Arial" w:cs="Arial"/>
          <w:b/>
          <w:sz w:val="24"/>
          <w:u w:val="single"/>
        </w:rPr>
      </w:pPr>
      <w:r w:rsidRPr="0030549C">
        <w:rPr>
          <w:rFonts w:ascii="Arial" w:hAnsi="Arial" w:cs="Arial"/>
          <w:b/>
          <w:sz w:val="24"/>
          <w:u w:val="single"/>
        </w:rPr>
        <w:t xml:space="preserve">RULING ON </w:t>
      </w:r>
      <w:r w:rsidR="00C3669E">
        <w:rPr>
          <w:rFonts w:ascii="Arial" w:hAnsi="Arial" w:cs="Arial"/>
          <w:b/>
          <w:sz w:val="24"/>
          <w:u w:val="single"/>
        </w:rPr>
        <w:t>NEIGHBORHOOD HOUSE CHARTER</w:t>
      </w:r>
      <w:r w:rsidRPr="0030549C">
        <w:rPr>
          <w:rFonts w:ascii="Arial" w:hAnsi="Arial" w:cs="Arial"/>
          <w:b/>
          <w:sz w:val="24"/>
          <w:u w:val="single"/>
        </w:rPr>
        <w:t xml:space="preserve"> SCHOOL</w:t>
      </w:r>
      <w:r w:rsidR="00246CF8">
        <w:rPr>
          <w:rFonts w:ascii="Arial" w:hAnsi="Arial" w:cs="Arial"/>
          <w:b/>
          <w:sz w:val="24"/>
          <w:u w:val="single"/>
        </w:rPr>
        <w:t>’</w:t>
      </w:r>
      <w:r w:rsidRPr="0030549C">
        <w:rPr>
          <w:rFonts w:ascii="Arial" w:hAnsi="Arial" w:cs="Arial"/>
          <w:b/>
          <w:sz w:val="24"/>
          <w:u w:val="single"/>
        </w:rPr>
        <w:t>S MOTION TO DISMISS</w:t>
      </w:r>
    </w:p>
    <w:p w:rsidR="00616048" w:rsidRDefault="00616048" w:rsidP="008E71A4">
      <w:pPr>
        <w:spacing w:after="0" w:line="240" w:lineRule="auto"/>
        <w:ind w:firstLine="720"/>
        <w:rPr>
          <w:rFonts w:ascii="Arial" w:hAnsi="Arial" w:cs="Arial"/>
          <w:sz w:val="24"/>
          <w:szCs w:val="24"/>
        </w:rPr>
      </w:pPr>
    </w:p>
    <w:p w:rsidR="00CF675E" w:rsidRDefault="00CF675E" w:rsidP="008E71A4">
      <w:pPr>
        <w:spacing w:after="0" w:line="240" w:lineRule="auto"/>
        <w:ind w:firstLine="720"/>
        <w:rPr>
          <w:rFonts w:ascii="Arial" w:hAnsi="Arial" w:cs="Arial"/>
          <w:sz w:val="24"/>
          <w:szCs w:val="24"/>
        </w:rPr>
      </w:pPr>
      <w:r>
        <w:rPr>
          <w:rFonts w:ascii="Arial" w:hAnsi="Arial" w:cs="Arial"/>
          <w:sz w:val="24"/>
          <w:szCs w:val="24"/>
        </w:rPr>
        <w:t>In the instant case, the Neighborhood House Charter School (NHCS</w:t>
      </w:r>
      <w:r w:rsidR="00A050B6">
        <w:rPr>
          <w:rFonts w:ascii="Arial" w:hAnsi="Arial" w:cs="Arial"/>
          <w:sz w:val="24"/>
          <w:szCs w:val="24"/>
        </w:rPr>
        <w:t xml:space="preserve"> or School</w:t>
      </w:r>
      <w:r w:rsidR="002E66DB">
        <w:rPr>
          <w:rFonts w:ascii="Arial" w:hAnsi="Arial" w:cs="Arial"/>
          <w:sz w:val="24"/>
          <w:szCs w:val="24"/>
        </w:rPr>
        <w:t xml:space="preserve">) proposed </w:t>
      </w:r>
      <w:r>
        <w:rPr>
          <w:rFonts w:ascii="Arial" w:hAnsi="Arial" w:cs="Arial"/>
          <w:sz w:val="24"/>
          <w:szCs w:val="24"/>
        </w:rPr>
        <w:t>IEP</w:t>
      </w:r>
      <w:r w:rsidR="002E66DB">
        <w:rPr>
          <w:rFonts w:ascii="Arial" w:hAnsi="Arial" w:cs="Arial"/>
          <w:sz w:val="24"/>
          <w:szCs w:val="24"/>
        </w:rPr>
        <w:t>s</w:t>
      </w:r>
      <w:r>
        <w:rPr>
          <w:rFonts w:ascii="Arial" w:hAnsi="Arial" w:cs="Arial"/>
          <w:sz w:val="24"/>
          <w:szCs w:val="24"/>
        </w:rPr>
        <w:t xml:space="preserve"> for </w:t>
      </w:r>
      <w:r w:rsidR="002E66DB">
        <w:rPr>
          <w:rFonts w:ascii="Arial" w:hAnsi="Arial" w:cs="Arial"/>
          <w:sz w:val="24"/>
          <w:szCs w:val="24"/>
        </w:rPr>
        <w:t xml:space="preserve">Student for the periods of November 2017-November 2018 </w:t>
      </w:r>
      <w:r w:rsidR="00D047CA">
        <w:rPr>
          <w:rFonts w:ascii="Arial" w:hAnsi="Arial" w:cs="Arial"/>
          <w:sz w:val="24"/>
          <w:szCs w:val="24"/>
        </w:rPr>
        <w:t xml:space="preserve">and </w:t>
      </w:r>
      <w:r>
        <w:rPr>
          <w:rFonts w:ascii="Arial" w:hAnsi="Arial" w:cs="Arial"/>
          <w:sz w:val="24"/>
          <w:szCs w:val="24"/>
        </w:rPr>
        <w:t>June 2018-June 2019 calling for</w:t>
      </w:r>
      <w:r w:rsidR="002E66DB">
        <w:rPr>
          <w:rFonts w:ascii="Arial" w:hAnsi="Arial" w:cs="Arial"/>
          <w:sz w:val="24"/>
          <w:szCs w:val="24"/>
        </w:rPr>
        <w:t xml:space="preserve">, respectively, partial- and </w:t>
      </w:r>
      <w:r>
        <w:rPr>
          <w:rFonts w:ascii="Arial" w:hAnsi="Arial" w:cs="Arial"/>
          <w:sz w:val="24"/>
          <w:szCs w:val="24"/>
        </w:rPr>
        <w:t>full-inclusion placement</w:t>
      </w:r>
      <w:r w:rsidR="002E66DB">
        <w:rPr>
          <w:rFonts w:ascii="Arial" w:hAnsi="Arial" w:cs="Arial"/>
          <w:sz w:val="24"/>
          <w:szCs w:val="24"/>
        </w:rPr>
        <w:t>s</w:t>
      </w:r>
      <w:r>
        <w:rPr>
          <w:rFonts w:ascii="Arial" w:hAnsi="Arial" w:cs="Arial"/>
          <w:sz w:val="24"/>
          <w:szCs w:val="24"/>
        </w:rPr>
        <w:t xml:space="preserve"> at NHCS.  </w:t>
      </w:r>
      <w:r w:rsidR="002E66DB">
        <w:rPr>
          <w:rFonts w:ascii="Arial" w:hAnsi="Arial" w:cs="Arial"/>
          <w:sz w:val="24"/>
          <w:szCs w:val="24"/>
        </w:rPr>
        <w:t xml:space="preserve">During August 2018, Parent rejected both IEPs and placements, </w:t>
      </w:r>
      <w:r>
        <w:rPr>
          <w:rFonts w:ascii="Arial" w:hAnsi="Arial" w:cs="Arial"/>
          <w:sz w:val="24"/>
          <w:szCs w:val="24"/>
        </w:rPr>
        <w:t xml:space="preserve">unilaterally placed Student at Learning Prep School (LPS or Learning Prep), and requested </w:t>
      </w:r>
      <w:r w:rsidR="002E66DB">
        <w:rPr>
          <w:rFonts w:ascii="Arial" w:hAnsi="Arial" w:cs="Arial"/>
          <w:sz w:val="24"/>
          <w:szCs w:val="24"/>
        </w:rPr>
        <w:t xml:space="preserve">both </w:t>
      </w:r>
      <w:r w:rsidR="00C038B8">
        <w:rPr>
          <w:rFonts w:ascii="Arial" w:hAnsi="Arial" w:cs="Arial"/>
          <w:sz w:val="24"/>
          <w:szCs w:val="24"/>
        </w:rPr>
        <w:t xml:space="preserve">reimbursement and prospective </w:t>
      </w:r>
      <w:r>
        <w:rPr>
          <w:rFonts w:ascii="Arial" w:hAnsi="Arial" w:cs="Arial"/>
          <w:sz w:val="24"/>
          <w:szCs w:val="24"/>
        </w:rPr>
        <w:t xml:space="preserve">funding for this placement from NHCS.  NHCS denied Parent’s funding request.    </w:t>
      </w:r>
    </w:p>
    <w:p w:rsidR="00CF675E" w:rsidRDefault="00CF675E" w:rsidP="008E71A4">
      <w:pPr>
        <w:spacing w:after="0" w:line="240" w:lineRule="auto"/>
        <w:ind w:firstLine="720"/>
        <w:rPr>
          <w:rFonts w:ascii="Arial" w:hAnsi="Arial" w:cs="Arial"/>
          <w:sz w:val="24"/>
          <w:szCs w:val="24"/>
        </w:rPr>
      </w:pPr>
    </w:p>
    <w:p w:rsidR="006123D1" w:rsidRPr="002E66DB" w:rsidRDefault="00616048" w:rsidP="002E66DB">
      <w:pPr>
        <w:spacing w:after="0" w:line="240" w:lineRule="auto"/>
        <w:ind w:firstLine="720"/>
        <w:rPr>
          <w:rFonts w:ascii="Arial" w:hAnsi="Arial" w:cs="Arial"/>
          <w:sz w:val="24"/>
          <w:szCs w:val="24"/>
        </w:rPr>
      </w:pPr>
      <w:r w:rsidRPr="00EC083C">
        <w:rPr>
          <w:rFonts w:ascii="Arial" w:hAnsi="Arial" w:cs="Arial"/>
          <w:sz w:val="24"/>
          <w:szCs w:val="24"/>
        </w:rPr>
        <w:t>On April 24, 2019</w:t>
      </w:r>
      <w:r>
        <w:rPr>
          <w:rFonts w:ascii="Arial" w:hAnsi="Arial" w:cs="Arial"/>
          <w:sz w:val="24"/>
          <w:szCs w:val="24"/>
        </w:rPr>
        <w:t xml:space="preserve">, </w:t>
      </w:r>
      <w:r w:rsidRPr="00EC083C">
        <w:rPr>
          <w:rFonts w:ascii="Arial" w:hAnsi="Arial" w:cs="Arial"/>
          <w:sz w:val="24"/>
          <w:szCs w:val="24"/>
        </w:rPr>
        <w:t xml:space="preserve">Parent filed a request for hearing </w:t>
      </w:r>
      <w:r>
        <w:rPr>
          <w:rFonts w:ascii="Arial" w:hAnsi="Arial" w:cs="Arial"/>
          <w:sz w:val="24"/>
          <w:szCs w:val="24"/>
        </w:rPr>
        <w:t xml:space="preserve">with the Bureau of Special Education Appeals (BSEA) </w:t>
      </w:r>
      <w:r w:rsidR="00CF675E">
        <w:rPr>
          <w:rFonts w:ascii="Arial" w:hAnsi="Arial" w:cs="Arial"/>
          <w:sz w:val="24"/>
          <w:szCs w:val="24"/>
        </w:rPr>
        <w:t>seeking the following relief: (1) a determination that the NHCS’ proposed IEP and placement for June 2018-2019 was not calculated</w:t>
      </w:r>
      <w:r>
        <w:rPr>
          <w:rFonts w:ascii="Arial" w:hAnsi="Arial" w:cs="Arial"/>
          <w:sz w:val="24"/>
          <w:szCs w:val="24"/>
        </w:rPr>
        <w:t xml:space="preserve"> to provide Student with a free, approp</w:t>
      </w:r>
      <w:r w:rsidR="00CF675E">
        <w:rPr>
          <w:rFonts w:ascii="Arial" w:hAnsi="Arial" w:cs="Arial"/>
          <w:sz w:val="24"/>
          <w:szCs w:val="24"/>
        </w:rPr>
        <w:t xml:space="preserve">riate public education (FAPE); (2) </w:t>
      </w:r>
      <w:r>
        <w:rPr>
          <w:rFonts w:ascii="Arial" w:hAnsi="Arial" w:cs="Arial"/>
          <w:sz w:val="24"/>
          <w:szCs w:val="24"/>
        </w:rPr>
        <w:t>an order directing NHCS</w:t>
      </w:r>
      <w:r w:rsidR="00CF675E">
        <w:rPr>
          <w:rFonts w:ascii="Arial" w:hAnsi="Arial" w:cs="Arial"/>
          <w:sz w:val="24"/>
          <w:szCs w:val="24"/>
        </w:rPr>
        <w:t xml:space="preserve"> to reimburse Parent</w:t>
      </w:r>
      <w:r w:rsidRPr="00EC083C">
        <w:rPr>
          <w:rFonts w:ascii="Arial" w:hAnsi="Arial" w:cs="Arial"/>
          <w:sz w:val="24"/>
          <w:szCs w:val="24"/>
        </w:rPr>
        <w:t xml:space="preserve"> </w:t>
      </w:r>
      <w:r>
        <w:rPr>
          <w:rFonts w:ascii="Arial" w:hAnsi="Arial" w:cs="Arial"/>
          <w:sz w:val="24"/>
          <w:szCs w:val="24"/>
        </w:rPr>
        <w:t xml:space="preserve">for </w:t>
      </w:r>
      <w:r w:rsidR="00CF675E">
        <w:rPr>
          <w:rFonts w:ascii="Arial" w:hAnsi="Arial" w:cs="Arial"/>
          <w:sz w:val="24"/>
          <w:szCs w:val="24"/>
        </w:rPr>
        <w:t xml:space="preserve">her expenditures for Student’s </w:t>
      </w:r>
      <w:r w:rsidRPr="00EC083C">
        <w:rPr>
          <w:rFonts w:ascii="Arial" w:hAnsi="Arial" w:cs="Arial"/>
          <w:sz w:val="24"/>
          <w:szCs w:val="24"/>
        </w:rPr>
        <w:t xml:space="preserve">Learning Prep </w:t>
      </w:r>
      <w:r>
        <w:rPr>
          <w:rFonts w:ascii="Arial" w:hAnsi="Arial" w:cs="Arial"/>
          <w:sz w:val="24"/>
          <w:szCs w:val="24"/>
        </w:rPr>
        <w:t xml:space="preserve">placement </w:t>
      </w:r>
      <w:r w:rsidRPr="00EC083C">
        <w:rPr>
          <w:rFonts w:ascii="Arial" w:hAnsi="Arial" w:cs="Arial"/>
          <w:sz w:val="24"/>
          <w:szCs w:val="24"/>
        </w:rPr>
        <w:t>for the 2018-2019 s</w:t>
      </w:r>
      <w:r>
        <w:rPr>
          <w:rFonts w:ascii="Arial" w:hAnsi="Arial" w:cs="Arial"/>
          <w:sz w:val="24"/>
          <w:szCs w:val="24"/>
        </w:rPr>
        <w:t>chool year</w:t>
      </w:r>
      <w:r w:rsidR="00CF675E">
        <w:rPr>
          <w:rFonts w:ascii="Arial" w:hAnsi="Arial" w:cs="Arial"/>
          <w:sz w:val="24"/>
          <w:szCs w:val="24"/>
        </w:rPr>
        <w:t>; (3) a determination that NHCS failed to convene Student’s Team meeting within ten days after receipt of the report of an independent evaluation in vio</w:t>
      </w:r>
      <w:r w:rsidR="00F22389">
        <w:rPr>
          <w:rFonts w:ascii="Arial" w:hAnsi="Arial" w:cs="Arial"/>
          <w:sz w:val="24"/>
          <w:szCs w:val="24"/>
        </w:rPr>
        <w:t xml:space="preserve">lation of 603 CMR 28.04(5)(f); </w:t>
      </w:r>
      <w:r w:rsidR="00C038B8">
        <w:rPr>
          <w:rFonts w:ascii="Arial" w:hAnsi="Arial" w:cs="Arial"/>
          <w:sz w:val="24"/>
          <w:szCs w:val="24"/>
        </w:rPr>
        <w:t xml:space="preserve">and, </w:t>
      </w:r>
      <w:r w:rsidR="00F22389">
        <w:rPr>
          <w:rFonts w:ascii="Arial" w:hAnsi="Arial" w:cs="Arial"/>
          <w:sz w:val="24"/>
          <w:szCs w:val="24"/>
        </w:rPr>
        <w:t xml:space="preserve">(4) an order for </w:t>
      </w:r>
      <w:r w:rsidRPr="00EC083C">
        <w:rPr>
          <w:rFonts w:ascii="Arial" w:hAnsi="Arial" w:cs="Arial"/>
          <w:sz w:val="24"/>
          <w:szCs w:val="24"/>
        </w:rPr>
        <w:t>prospective fund</w:t>
      </w:r>
      <w:r w:rsidR="00F22389">
        <w:rPr>
          <w:rFonts w:ascii="Arial" w:hAnsi="Arial" w:cs="Arial"/>
          <w:sz w:val="24"/>
          <w:szCs w:val="24"/>
        </w:rPr>
        <w:t>ing for</w:t>
      </w:r>
      <w:r w:rsidRPr="00EC083C">
        <w:rPr>
          <w:rFonts w:ascii="Arial" w:hAnsi="Arial" w:cs="Arial"/>
          <w:sz w:val="24"/>
          <w:szCs w:val="24"/>
        </w:rPr>
        <w:t xml:space="preserve"> </w:t>
      </w:r>
      <w:r>
        <w:rPr>
          <w:rFonts w:ascii="Arial" w:hAnsi="Arial" w:cs="Arial"/>
          <w:sz w:val="24"/>
          <w:szCs w:val="24"/>
        </w:rPr>
        <w:t xml:space="preserve">Student’s placement at </w:t>
      </w:r>
      <w:r w:rsidRPr="00EC083C">
        <w:rPr>
          <w:rFonts w:ascii="Arial" w:hAnsi="Arial" w:cs="Arial"/>
          <w:sz w:val="24"/>
          <w:szCs w:val="24"/>
        </w:rPr>
        <w:t xml:space="preserve">LPS </w:t>
      </w:r>
      <w:r>
        <w:rPr>
          <w:rFonts w:ascii="Arial" w:hAnsi="Arial" w:cs="Arial"/>
          <w:sz w:val="24"/>
          <w:szCs w:val="24"/>
        </w:rPr>
        <w:t xml:space="preserve">or a similar out-of-district school, </w:t>
      </w:r>
      <w:r w:rsidR="00F22389">
        <w:rPr>
          <w:rFonts w:ascii="Arial" w:hAnsi="Arial" w:cs="Arial"/>
          <w:sz w:val="24"/>
          <w:szCs w:val="24"/>
        </w:rPr>
        <w:t>for the 2019-2020 school year.</w:t>
      </w:r>
      <w:r w:rsidR="00F22389">
        <w:rPr>
          <w:rStyle w:val="FootnoteReference"/>
          <w:rFonts w:ascii="Arial" w:hAnsi="Arial" w:cs="Arial"/>
          <w:sz w:val="24"/>
          <w:szCs w:val="24"/>
        </w:rPr>
        <w:footnoteReference w:id="1"/>
      </w:r>
      <w:r>
        <w:rPr>
          <w:rFonts w:ascii="Arial" w:hAnsi="Arial" w:cs="Arial"/>
          <w:sz w:val="24"/>
          <w:szCs w:val="24"/>
        </w:rPr>
        <w:t xml:space="preserve">  </w:t>
      </w:r>
      <w:r w:rsidR="00004B20">
        <w:rPr>
          <w:rFonts w:ascii="Arial" w:eastAsia="Times New Roman" w:hAnsi="Arial" w:cs="Arial"/>
          <w:sz w:val="24"/>
          <w:szCs w:val="24"/>
        </w:rPr>
        <w:t xml:space="preserve">On </w:t>
      </w:r>
      <w:r w:rsidR="00C3669E">
        <w:rPr>
          <w:rFonts w:ascii="Arial" w:eastAsia="Times New Roman" w:hAnsi="Arial" w:cs="Arial"/>
          <w:sz w:val="24"/>
          <w:szCs w:val="24"/>
        </w:rPr>
        <w:t>May 3</w:t>
      </w:r>
      <w:r w:rsidR="00004B20">
        <w:rPr>
          <w:rFonts w:ascii="Arial" w:eastAsia="Times New Roman" w:hAnsi="Arial" w:cs="Arial"/>
          <w:sz w:val="24"/>
          <w:szCs w:val="24"/>
        </w:rPr>
        <w:t>, 201</w:t>
      </w:r>
      <w:r w:rsidR="008F779C">
        <w:rPr>
          <w:rFonts w:ascii="Arial" w:eastAsia="Times New Roman" w:hAnsi="Arial" w:cs="Arial"/>
          <w:sz w:val="24"/>
          <w:szCs w:val="24"/>
        </w:rPr>
        <w:t>9</w:t>
      </w:r>
      <w:r w:rsidR="00004B20">
        <w:rPr>
          <w:rFonts w:ascii="Arial" w:eastAsia="Times New Roman" w:hAnsi="Arial" w:cs="Arial"/>
          <w:sz w:val="24"/>
          <w:szCs w:val="24"/>
        </w:rPr>
        <w:t>,</w:t>
      </w:r>
      <w:r>
        <w:rPr>
          <w:rStyle w:val="FootnoteReference"/>
          <w:rFonts w:ascii="Arial" w:eastAsia="Times New Roman" w:hAnsi="Arial" w:cs="Arial"/>
          <w:sz w:val="24"/>
          <w:szCs w:val="24"/>
        </w:rPr>
        <w:footnoteReference w:id="2"/>
      </w:r>
      <w:r w:rsidR="00004B20">
        <w:rPr>
          <w:rFonts w:ascii="Arial" w:eastAsia="Times New Roman" w:hAnsi="Arial" w:cs="Arial"/>
          <w:sz w:val="24"/>
          <w:szCs w:val="24"/>
        </w:rPr>
        <w:t xml:space="preserve"> </w:t>
      </w:r>
      <w:r w:rsidR="00C3669E">
        <w:rPr>
          <w:rFonts w:ascii="Arial" w:eastAsia="Times New Roman" w:hAnsi="Arial" w:cs="Arial"/>
          <w:sz w:val="24"/>
          <w:szCs w:val="24"/>
        </w:rPr>
        <w:t>NHCS</w:t>
      </w:r>
      <w:r w:rsidR="00004B20">
        <w:rPr>
          <w:rFonts w:ascii="Arial" w:eastAsia="Times New Roman" w:hAnsi="Arial" w:cs="Arial"/>
          <w:sz w:val="24"/>
          <w:szCs w:val="24"/>
        </w:rPr>
        <w:t xml:space="preserve"> filed </w:t>
      </w:r>
      <w:r w:rsidR="00C3669E">
        <w:rPr>
          <w:rFonts w:ascii="Arial" w:eastAsia="Times New Roman" w:hAnsi="Arial" w:cs="Arial"/>
          <w:sz w:val="24"/>
          <w:szCs w:val="24"/>
        </w:rPr>
        <w:t xml:space="preserve">a </w:t>
      </w:r>
      <w:r w:rsidR="00101D6C" w:rsidRPr="008E71A4">
        <w:rPr>
          <w:rFonts w:ascii="Arial" w:eastAsia="Times New Roman" w:hAnsi="Arial" w:cs="Arial"/>
          <w:i/>
          <w:sz w:val="24"/>
          <w:szCs w:val="24"/>
        </w:rPr>
        <w:t>Motion to Dismiss</w:t>
      </w:r>
      <w:r w:rsidR="00101D6C">
        <w:rPr>
          <w:rFonts w:ascii="Arial" w:eastAsia="Times New Roman" w:hAnsi="Arial" w:cs="Arial"/>
          <w:sz w:val="24"/>
          <w:szCs w:val="24"/>
        </w:rPr>
        <w:t xml:space="preserve"> </w:t>
      </w:r>
      <w:r w:rsidR="00C3669E" w:rsidRPr="00C3669E">
        <w:rPr>
          <w:rFonts w:ascii="Arial" w:eastAsia="Times New Roman" w:hAnsi="Arial" w:cs="Arial"/>
          <w:i/>
          <w:sz w:val="24"/>
          <w:szCs w:val="24"/>
        </w:rPr>
        <w:t>(“Motion”)</w:t>
      </w:r>
      <w:r w:rsidR="00C3669E">
        <w:rPr>
          <w:rFonts w:ascii="Arial" w:eastAsia="Times New Roman" w:hAnsi="Arial" w:cs="Arial"/>
          <w:sz w:val="24"/>
          <w:szCs w:val="24"/>
        </w:rPr>
        <w:t xml:space="preserve"> </w:t>
      </w:r>
      <w:r w:rsidR="00F22389">
        <w:rPr>
          <w:rFonts w:ascii="Arial" w:eastAsia="Times New Roman" w:hAnsi="Arial" w:cs="Arial"/>
          <w:sz w:val="24"/>
          <w:szCs w:val="24"/>
        </w:rPr>
        <w:t>c</w:t>
      </w:r>
      <w:r w:rsidR="00C038B8">
        <w:rPr>
          <w:rFonts w:ascii="Arial" w:eastAsia="Times New Roman" w:hAnsi="Arial" w:cs="Arial"/>
          <w:sz w:val="24"/>
          <w:szCs w:val="24"/>
        </w:rPr>
        <w:t>laims numbered (2), (3), and (4).</w:t>
      </w:r>
      <w:r w:rsidR="00700CAB">
        <w:rPr>
          <w:rStyle w:val="FootnoteReference"/>
          <w:rFonts w:ascii="Arial" w:eastAsia="Times New Roman" w:hAnsi="Arial" w:cs="Arial"/>
          <w:sz w:val="24"/>
          <w:szCs w:val="24"/>
        </w:rPr>
        <w:footnoteReference w:id="3"/>
      </w:r>
      <w:r w:rsidR="00C038B8">
        <w:rPr>
          <w:rFonts w:ascii="Arial" w:eastAsia="Times New Roman" w:hAnsi="Arial" w:cs="Arial"/>
          <w:sz w:val="24"/>
          <w:szCs w:val="24"/>
        </w:rPr>
        <w:t xml:space="preserve">  </w:t>
      </w:r>
      <w:r w:rsidR="00E80350">
        <w:rPr>
          <w:rFonts w:ascii="Arial" w:eastAsia="Times New Roman" w:hAnsi="Arial" w:cs="Arial"/>
          <w:sz w:val="24"/>
          <w:szCs w:val="24"/>
        </w:rPr>
        <w:t xml:space="preserve">On </w:t>
      </w:r>
      <w:r w:rsidR="00C3669E">
        <w:rPr>
          <w:rFonts w:ascii="Arial" w:eastAsia="Times New Roman" w:hAnsi="Arial" w:cs="Arial"/>
          <w:sz w:val="24"/>
          <w:szCs w:val="24"/>
        </w:rPr>
        <w:t>May 10, 2019</w:t>
      </w:r>
      <w:r w:rsidR="00E80350">
        <w:rPr>
          <w:rFonts w:ascii="Arial" w:eastAsia="Times New Roman" w:hAnsi="Arial" w:cs="Arial"/>
          <w:sz w:val="24"/>
          <w:szCs w:val="24"/>
        </w:rPr>
        <w:t>, Parent</w:t>
      </w:r>
      <w:r w:rsidR="00C3669E">
        <w:rPr>
          <w:rFonts w:ascii="Arial" w:eastAsia="Times New Roman" w:hAnsi="Arial" w:cs="Arial"/>
          <w:sz w:val="24"/>
          <w:szCs w:val="24"/>
        </w:rPr>
        <w:t xml:space="preserve"> filed an </w:t>
      </w:r>
      <w:r w:rsidR="00C3669E" w:rsidRPr="00C3669E">
        <w:rPr>
          <w:rFonts w:ascii="Arial" w:eastAsia="Times New Roman" w:hAnsi="Arial" w:cs="Arial"/>
          <w:i/>
          <w:sz w:val="24"/>
          <w:szCs w:val="24"/>
        </w:rPr>
        <w:t>Opposition</w:t>
      </w:r>
      <w:r w:rsidR="00E80350">
        <w:rPr>
          <w:rFonts w:ascii="Arial" w:eastAsia="Times New Roman" w:hAnsi="Arial" w:cs="Arial"/>
          <w:sz w:val="24"/>
          <w:szCs w:val="24"/>
        </w:rPr>
        <w:t xml:space="preserve"> to </w:t>
      </w:r>
      <w:r w:rsidR="00C3669E">
        <w:rPr>
          <w:rFonts w:ascii="Arial" w:eastAsia="Times New Roman" w:hAnsi="Arial" w:cs="Arial"/>
          <w:sz w:val="24"/>
          <w:szCs w:val="24"/>
        </w:rPr>
        <w:t>the School’s</w:t>
      </w:r>
      <w:r w:rsidR="00E80350">
        <w:rPr>
          <w:rFonts w:ascii="Arial" w:eastAsia="Times New Roman" w:hAnsi="Arial" w:cs="Arial"/>
          <w:sz w:val="24"/>
          <w:szCs w:val="24"/>
        </w:rPr>
        <w:t xml:space="preserve"> </w:t>
      </w:r>
      <w:r w:rsidR="00E80350" w:rsidRPr="008E71A4">
        <w:rPr>
          <w:rFonts w:ascii="Arial" w:eastAsia="Times New Roman" w:hAnsi="Arial" w:cs="Arial"/>
          <w:i/>
          <w:sz w:val="24"/>
          <w:szCs w:val="24"/>
        </w:rPr>
        <w:t>Motion</w:t>
      </w:r>
      <w:r>
        <w:rPr>
          <w:rFonts w:ascii="Arial" w:eastAsia="Times New Roman" w:hAnsi="Arial" w:cs="Arial"/>
          <w:i/>
          <w:sz w:val="24"/>
          <w:szCs w:val="24"/>
        </w:rPr>
        <w:t xml:space="preserve">.  </w:t>
      </w:r>
      <w:r w:rsidR="008E71A4">
        <w:rPr>
          <w:rFonts w:ascii="Arial" w:eastAsia="Times New Roman" w:hAnsi="Arial" w:cs="Arial"/>
          <w:sz w:val="24"/>
          <w:szCs w:val="24"/>
        </w:rPr>
        <w:t xml:space="preserve">For the </w:t>
      </w:r>
      <w:r w:rsidR="00A12F1F">
        <w:rPr>
          <w:rFonts w:ascii="Arial" w:eastAsia="Times New Roman" w:hAnsi="Arial" w:cs="Arial"/>
          <w:sz w:val="24"/>
          <w:szCs w:val="24"/>
        </w:rPr>
        <w:t>reasons</w:t>
      </w:r>
      <w:r w:rsidR="008E71A4">
        <w:rPr>
          <w:rFonts w:ascii="Arial" w:eastAsia="Times New Roman" w:hAnsi="Arial" w:cs="Arial"/>
          <w:sz w:val="24"/>
          <w:szCs w:val="24"/>
        </w:rPr>
        <w:t xml:space="preserve"> discussed in this </w:t>
      </w:r>
      <w:r w:rsidR="008E71A4" w:rsidRPr="008E71A4">
        <w:rPr>
          <w:rFonts w:ascii="Arial" w:eastAsia="Times New Roman" w:hAnsi="Arial" w:cs="Arial"/>
          <w:i/>
          <w:sz w:val="24"/>
          <w:szCs w:val="24"/>
        </w:rPr>
        <w:t>Ruling</w:t>
      </w:r>
      <w:r w:rsidR="008E71A4">
        <w:rPr>
          <w:rFonts w:ascii="Arial" w:eastAsia="Times New Roman" w:hAnsi="Arial" w:cs="Arial"/>
          <w:sz w:val="24"/>
          <w:szCs w:val="24"/>
        </w:rPr>
        <w:t xml:space="preserve">, </w:t>
      </w:r>
      <w:r w:rsidR="00C3669E">
        <w:rPr>
          <w:rFonts w:ascii="Arial" w:eastAsia="Times New Roman" w:hAnsi="Arial" w:cs="Arial"/>
          <w:sz w:val="24"/>
          <w:szCs w:val="24"/>
        </w:rPr>
        <w:t>NHCS’</w:t>
      </w:r>
      <w:r w:rsidR="00A12F1F">
        <w:rPr>
          <w:rFonts w:ascii="Arial" w:eastAsia="Times New Roman" w:hAnsi="Arial" w:cs="Arial"/>
          <w:sz w:val="24"/>
          <w:szCs w:val="24"/>
        </w:rPr>
        <w:t xml:space="preserve"> </w:t>
      </w:r>
      <w:r w:rsidR="00A12F1F" w:rsidRPr="008E71A4">
        <w:rPr>
          <w:rFonts w:ascii="Arial" w:eastAsia="Times New Roman" w:hAnsi="Arial" w:cs="Arial"/>
          <w:i/>
          <w:sz w:val="24"/>
          <w:szCs w:val="24"/>
        </w:rPr>
        <w:t>Motion to Dismiss</w:t>
      </w:r>
      <w:r w:rsidR="00A12F1F">
        <w:rPr>
          <w:rFonts w:ascii="Arial" w:eastAsia="Times New Roman" w:hAnsi="Arial" w:cs="Arial"/>
          <w:sz w:val="24"/>
          <w:szCs w:val="24"/>
        </w:rPr>
        <w:t xml:space="preserve"> is </w:t>
      </w:r>
      <w:r w:rsidR="00C3669E">
        <w:rPr>
          <w:rFonts w:ascii="Arial" w:eastAsia="Times New Roman" w:hAnsi="Arial" w:cs="Arial"/>
          <w:b/>
          <w:sz w:val="24"/>
          <w:szCs w:val="24"/>
        </w:rPr>
        <w:t>DENIED</w:t>
      </w:r>
      <w:r w:rsidR="00CA2AC8">
        <w:rPr>
          <w:rFonts w:ascii="Arial" w:eastAsia="Times New Roman" w:hAnsi="Arial" w:cs="Arial"/>
          <w:sz w:val="24"/>
          <w:szCs w:val="24"/>
        </w:rPr>
        <w:t xml:space="preserve">.  </w:t>
      </w:r>
    </w:p>
    <w:p w:rsidR="00E80350" w:rsidRDefault="00E80350" w:rsidP="003F370E">
      <w:pPr>
        <w:spacing w:after="0" w:line="240" w:lineRule="auto"/>
        <w:ind w:firstLine="720"/>
        <w:rPr>
          <w:rFonts w:ascii="Arial" w:eastAsia="Times New Roman" w:hAnsi="Arial" w:cs="Arial"/>
          <w:sz w:val="24"/>
          <w:szCs w:val="24"/>
        </w:rPr>
      </w:pPr>
    </w:p>
    <w:p w:rsidR="00EB0858" w:rsidRPr="00925C70" w:rsidRDefault="00EB0858" w:rsidP="00EB0858">
      <w:pPr>
        <w:pStyle w:val="ListParagraph"/>
        <w:numPr>
          <w:ilvl w:val="0"/>
          <w:numId w:val="3"/>
        </w:numPr>
        <w:spacing w:after="0" w:line="240" w:lineRule="auto"/>
        <w:rPr>
          <w:rFonts w:ascii="Arial" w:eastAsia="Times New Roman" w:hAnsi="Arial" w:cs="Arial"/>
          <w:b/>
          <w:sz w:val="24"/>
          <w:szCs w:val="24"/>
        </w:rPr>
      </w:pPr>
      <w:r>
        <w:rPr>
          <w:rFonts w:ascii="Arial" w:eastAsia="Times New Roman" w:hAnsi="Arial" w:cs="Arial"/>
          <w:b/>
          <w:sz w:val="24"/>
          <w:szCs w:val="24"/>
        </w:rPr>
        <w:t>Standard for Ruling on A Motion to Dismiss</w:t>
      </w:r>
    </w:p>
    <w:p w:rsidR="00EB0858" w:rsidRDefault="00EB0858" w:rsidP="00EB0858">
      <w:pPr>
        <w:spacing w:after="0" w:line="240" w:lineRule="auto"/>
        <w:ind w:firstLine="720"/>
        <w:rPr>
          <w:rFonts w:ascii="Arial" w:eastAsia="Times New Roman" w:hAnsi="Arial" w:cs="Arial"/>
          <w:sz w:val="24"/>
          <w:szCs w:val="24"/>
        </w:rPr>
      </w:pPr>
    </w:p>
    <w:p w:rsidR="00EB0858" w:rsidRDefault="00EB0858" w:rsidP="00EB0858">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According to the </w:t>
      </w:r>
      <w:r w:rsidRPr="009D3DAC">
        <w:rPr>
          <w:rFonts w:ascii="Arial" w:eastAsia="Times New Roman" w:hAnsi="Arial" w:cs="Arial"/>
          <w:sz w:val="24"/>
          <w:szCs w:val="24"/>
        </w:rPr>
        <w:t xml:space="preserve">BSEA </w:t>
      </w:r>
      <w:r w:rsidRPr="005417EB">
        <w:rPr>
          <w:rFonts w:ascii="Arial" w:eastAsia="Times New Roman" w:hAnsi="Arial" w:cs="Arial"/>
          <w:i/>
          <w:sz w:val="24"/>
          <w:szCs w:val="24"/>
        </w:rPr>
        <w:t>H</w:t>
      </w:r>
      <w:r w:rsidRPr="009D3DAC">
        <w:rPr>
          <w:rFonts w:ascii="Arial" w:eastAsia="Times New Roman" w:hAnsi="Arial" w:cs="Arial"/>
          <w:i/>
          <w:sz w:val="24"/>
          <w:szCs w:val="24"/>
        </w:rPr>
        <w:t>earing Rules for Special Education Appeals</w:t>
      </w:r>
      <w:r>
        <w:rPr>
          <w:rFonts w:ascii="Arial" w:eastAsia="Times New Roman" w:hAnsi="Arial" w:cs="Arial"/>
          <w:sz w:val="24"/>
          <w:szCs w:val="24"/>
        </w:rPr>
        <w:t xml:space="preserve">, Rule XVI.B.4., a hearing officer may dismiss all or part of a hearing request for “failure to </w:t>
      </w:r>
      <w:r>
        <w:rPr>
          <w:rFonts w:ascii="Arial" w:eastAsia="Times New Roman" w:hAnsi="Arial" w:cs="Arial"/>
          <w:sz w:val="24"/>
          <w:szCs w:val="24"/>
        </w:rPr>
        <w:lastRenderedPageBreak/>
        <w:t xml:space="preserve">state a claim upon which relief may be granted.” </w:t>
      </w:r>
      <w:r w:rsidRPr="00DD2369">
        <w:rPr>
          <w:rFonts w:ascii="Arial" w:eastAsia="Times New Roman" w:hAnsi="Arial" w:cs="Arial"/>
          <w:i/>
          <w:sz w:val="24"/>
          <w:szCs w:val="24"/>
        </w:rPr>
        <w:t>Id</w:t>
      </w:r>
      <w:r>
        <w:rPr>
          <w:rFonts w:ascii="Arial" w:eastAsia="Times New Roman" w:hAnsi="Arial" w:cs="Arial"/>
          <w:sz w:val="24"/>
          <w:szCs w:val="24"/>
        </w:rPr>
        <w:t>.</w:t>
      </w:r>
      <w:r>
        <w:rPr>
          <w:rStyle w:val="FootnoteReference"/>
          <w:rFonts w:ascii="Arial" w:eastAsia="Times New Roman" w:hAnsi="Arial" w:cs="Arial"/>
          <w:sz w:val="24"/>
          <w:szCs w:val="24"/>
        </w:rPr>
        <w:footnoteReference w:id="4"/>
      </w:r>
      <w:r>
        <w:rPr>
          <w:rFonts w:ascii="Arial" w:eastAsia="Times New Roman" w:hAnsi="Arial" w:cs="Arial"/>
          <w:sz w:val="24"/>
          <w:szCs w:val="24"/>
        </w:rPr>
        <w:t xml:space="preserve">  In determining whether to dismiss a claim, a hearing officer must consider as true all facts alleged by the party opposing dismissal</w:t>
      </w:r>
      <w:r w:rsidR="002100E0">
        <w:rPr>
          <w:rFonts w:ascii="Arial" w:eastAsia="Times New Roman" w:hAnsi="Arial" w:cs="Arial"/>
          <w:sz w:val="24"/>
          <w:szCs w:val="24"/>
        </w:rPr>
        <w:t xml:space="preserve">.  </w:t>
      </w:r>
      <w:r>
        <w:rPr>
          <w:rFonts w:ascii="Arial" w:eastAsia="Times New Roman" w:hAnsi="Arial" w:cs="Arial"/>
          <w:sz w:val="24"/>
          <w:szCs w:val="24"/>
        </w:rPr>
        <w:t xml:space="preserve">The hearing officer should not dismiss the case if the alleged facts, if proven, would entitle the non-moving party </w:t>
      </w:r>
      <w:r w:rsidR="00D047CA">
        <w:rPr>
          <w:rFonts w:ascii="Arial" w:eastAsia="Times New Roman" w:hAnsi="Arial" w:cs="Arial"/>
          <w:sz w:val="24"/>
          <w:szCs w:val="24"/>
        </w:rPr>
        <w:t xml:space="preserve">to </w:t>
      </w:r>
      <w:r>
        <w:rPr>
          <w:rFonts w:ascii="Arial" w:eastAsia="Times New Roman" w:hAnsi="Arial" w:cs="Arial"/>
          <w:sz w:val="24"/>
          <w:szCs w:val="24"/>
        </w:rPr>
        <w:t xml:space="preserve">relief that the BSEA has authority to grant. </w:t>
      </w:r>
      <w:proofErr w:type="spellStart"/>
      <w:proofErr w:type="gramStart"/>
      <w:r w:rsidRPr="00410139">
        <w:rPr>
          <w:rFonts w:ascii="Arial" w:eastAsia="Times New Roman" w:hAnsi="Arial" w:cs="Arial"/>
          <w:i/>
          <w:sz w:val="24"/>
          <w:szCs w:val="24"/>
        </w:rPr>
        <w:t>Caleron</w:t>
      </w:r>
      <w:proofErr w:type="spellEnd"/>
      <w:r w:rsidRPr="00410139">
        <w:rPr>
          <w:rFonts w:ascii="Arial" w:eastAsia="Times New Roman" w:hAnsi="Arial" w:cs="Arial"/>
          <w:i/>
          <w:sz w:val="24"/>
          <w:szCs w:val="24"/>
        </w:rPr>
        <w:t xml:space="preserve">-Ortiz v. </w:t>
      </w:r>
      <w:proofErr w:type="spellStart"/>
      <w:r w:rsidRPr="00410139">
        <w:rPr>
          <w:rFonts w:ascii="Arial" w:eastAsia="Times New Roman" w:hAnsi="Arial" w:cs="Arial"/>
          <w:i/>
          <w:sz w:val="24"/>
          <w:szCs w:val="24"/>
        </w:rPr>
        <w:t>LaBoy</w:t>
      </w:r>
      <w:proofErr w:type="spellEnd"/>
      <w:r w:rsidRPr="00410139">
        <w:rPr>
          <w:rFonts w:ascii="Arial" w:eastAsia="Times New Roman" w:hAnsi="Arial" w:cs="Arial"/>
          <w:i/>
          <w:sz w:val="24"/>
          <w:szCs w:val="24"/>
        </w:rPr>
        <w:t>-Alvarado</w:t>
      </w:r>
      <w:r>
        <w:rPr>
          <w:rFonts w:ascii="Arial" w:eastAsia="Times New Roman" w:hAnsi="Arial" w:cs="Arial"/>
          <w:sz w:val="24"/>
          <w:szCs w:val="24"/>
        </w:rPr>
        <w:t>, 300 F.3d 60 (1</w:t>
      </w:r>
      <w:r w:rsidRPr="00410139">
        <w:rPr>
          <w:rFonts w:ascii="Arial" w:eastAsia="Times New Roman" w:hAnsi="Arial" w:cs="Arial"/>
          <w:sz w:val="24"/>
          <w:szCs w:val="24"/>
          <w:vertAlign w:val="superscript"/>
        </w:rPr>
        <w:t>st</w:t>
      </w:r>
      <w:r>
        <w:rPr>
          <w:rFonts w:ascii="Arial" w:eastAsia="Times New Roman" w:hAnsi="Arial" w:cs="Arial"/>
          <w:sz w:val="24"/>
          <w:szCs w:val="24"/>
        </w:rPr>
        <w:t xml:space="preserve"> Cir. 2002); </w:t>
      </w:r>
      <w:r w:rsidRPr="009D3DAC">
        <w:rPr>
          <w:rFonts w:ascii="Arial" w:eastAsia="Times New Roman" w:hAnsi="Arial" w:cs="Arial"/>
          <w:i/>
          <w:sz w:val="24"/>
          <w:szCs w:val="24"/>
        </w:rPr>
        <w:t>Ocasio-Hernandez v. Fortunato-</w:t>
      </w:r>
      <w:proofErr w:type="spellStart"/>
      <w:r w:rsidRPr="009D3DAC">
        <w:rPr>
          <w:rFonts w:ascii="Arial" w:eastAsia="Times New Roman" w:hAnsi="Arial" w:cs="Arial"/>
          <w:i/>
          <w:sz w:val="24"/>
          <w:szCs w:val="24"/>
        </w:rPr>
        <w:t>Burset</w:t>
      </w:r>
      <w:proofErr w:type="spellEnd"/>
      <w:r>
        <w:rPr>
          <w:rFonts w:ascii="Arial" w:eastAsia="Times New Roman" w:hAnsi="Arial" w:cs="Arial"/>
          <w:sz w:val="24"/>
          <w:szCs w:val="24"/>
        </w:rPr>
        <w:t>, 640 F.3d. 1 (1</w:t>
      </w:r>
      <w:r w:rsidRPr="009D3DAC">
        <w:rPr>
          <w:rFonts w:ascii="Arial" w:eastAsia="Times New Roman" w:hAnsi="Arial" w:cs="Arial"/>
          <w:sz w:val="24"/>
          <w:szCs w:val="24"/>
          <w:vertAlign w:val="superscript"/>
        </w:rPr>
        <w:t>st</w:t>
      </w:r>
      <w:r>
        <w:rPr>
          <w:rFonts w:ascii="Arial" w:eastAsia="Times New Roman" w:hAnsi="Arial" w:cs="Arial"/>
          <w:sz w:val="24"/>
          <w:szCs w:val="24"/>
        </w:rPr>
        <w:t xml:space="preserve"> Cir. 2011).</w:t>
      </w:r>
      <w:proofErr w:type="gramEnd"/>
      <w:r>
        <w:rPr>
          <w:rFonts w:ascii="Arial" w:eastAsia="Times New Roman" w:hAnsi="Arial" w:cs="Arial"/>
          <w:sz w:val="24"/>
          <w:szCs w:val="24"/>
        </w:rPr>
        <w:t xml:space="preserve">  A motion to dismiss will be denied if “accepting as true well-pleaded factual averments and indulging all reasonable inferences in the plaintiff’s favor…recovery can be justified under any applicable legal theory.” </w:t>
      </w:r>
      <w:r w:rsidRPr="00D047CA">
        <w:rPr>
          <w:rFonts w:ascii="Arial" w:eastAsia="Times New Roman" w:hAnsi="Arial" w:cs="Arial"/>
          <w:i/>
          <w:sz w:val="24"/>
          <w:szCs w:val="24"/>
        </w:rPr>
        <w:t>See</w:t>
      </w:r>
      <w:r>
        <w:rPr>
          <w:rFonts w:ascii="Arial" w:eastAsia="Times New Roman" w:hAnsi="Arial" w:cs="Arial"/>
          <w:sz w:val="24"/>
          <w:szCs w:val="24"/>
        </w:rPr>
        <w:t xml:space="preserve"> </w:t>
      </w:r>
      <w:proofErr w:type="spellStart"/>
      <w:r>
        <w:rPr>
          <w:rFonts w:ascii="Arial" w:eastAsia="Times New Roman" w:hAnsi="Arial" w:cs="Arial"/>
          <w:i/>
          <w:sz w:val="24"/>
          <w:szCs w:val="24"/>
        </w:rPr>
        <w:t>Caleron</w:t>
      </w:r>
      <w:proofErr w:type="spellEnd"/>
      <w:r>
        <w:rPr>
          <w:rFonts w:ascii="Arial" w:eastAsia="Times New Roman" w:hAnsi="Arial" w:cs="Arial"/>
          <w:i/>
          <w:sz w:val="24"/>
          <w:szCs w:val="24"/>
        </w:rPr>
        <w:t>-Ortiz, supra</w:t>
      </w:r>
      <w:r>
        <w:rPr>
          <w:rFonts w:ascii="Arial" w:eastAsia="Times New Roman" w:hAnsi="Arial" w:cs="Arial"/>
          <w:sz w:val="24"/>
          <w:szCs w:val="24"/>
        </w:rPr>
        <w:t xml:space="preserve">. </w:t>
      </w:r>
      <w:r w:rsidR="002100E0" w:rsidRPr="00D047CA">
        <w:rPr>
          <w:rFonts w:ascii="Arial" w:eastAsia="Times New Roman" w:hAnsi="Arial" w:cs="Arial"/>
          <w:i/>
          <w:sz w:val="24"/>
          <w:szCs w:val="24"/>
        </w:rPr>
        <w:t>See also</w:t>
      </w:r>
      <w:r w:rsidR="002100E0">
        <w:rPr>
          <w:rFonts w:ascii="Arial" w:eastAsia="Times New Roman" w:hAnsi="Arial" w:cs="Arial"/>
          <w:sz w:val="24"/>
          <w:szCs w:val="24"/>
        </w:rPr>
        <w:t xml:space="preserve"> </w:t>
      </w:r>
      <w:r w:rsidR="002100E0" w:rsidRPr="002100E0">
        <w:rPr>
          <w:rFonts w:ascii="Arial" w:eastAsia="Times New Roman" w:hAnsi="Arial" w:cs="Arial"/>
          <w:i/>
          <w:sz w:val="24"/>
          <w:szCs w:val="24"/>
        </w:rPr>
        <w:t>San Juan Cable LLC v. Puerto Rico Telephone</w:t>
      </w:r>
      <w:r w:rsidR="002100E0">
        <w:rPr>
          <w:rFonts w:ascii="Arial" w:eastAsia="Times New Roman" w:hAnsi="Arial" w:cs="Arial"/>
          <w:sz w:val="24"/>
          <w:szCs w:val="24"/>
        </w:rPr>
        <w:t>, 612 F.3d 25 (</w:t>
      </w:r>
      <w:r w:rsidR="00D047CA">
        <w:rPr>
          <w:rFonts w:ascii="Arial" w:eastAsia="Times New Roman" w:hAnsi="Arial" w:cs="Arial"/>
          <w:sz w:val="24"/>
          <w:szCs w:val="24"/>
        </w:rPr>
        <w:t>1</w:t>
      </w:r>
      <w:r w:rsidR="00D047CA" w:rsidRPr="00D047CA">
        <w:rPr>
          <w:rFonts w:ascii="Arial" w:eastAsia="Times New Roman" w:hAnsi="Arial" w:cs="Arial"/>
          <w:sz w:val="24"/>
          <w:szCs w:val="24"/>
          <w:vertAlign w:val="superscript"/>
        </w:rPr>
        <w:t>st</w:t>
      </w:r>
      <w:r w:rsidR="00D047CA">
        <w:rPr>
          <w:rFonts w:ascii="Arial" w:eastAsia="Times New Roman" w:hAnsi="Arial" w:cs="Arial"/>
          <w:sz w:val="24"/>
          <w:szCs w:val="24"/>
        </w:rPr>
        <w:t xml:space="preserve"> Cir. </w:t>
      </w:r>
      <w:r w:rsidR="002100E0">
        <w:rPr>
          <w:rFonts w:ascii="Arial" w:eastAsia="Times New Roman" w:hAnsi="Arial" w:cs="Arial"/>
          <w:sz w:val="24"/>
          <w:szCs w:val="24"/>
        </w:rPr>
        <w:t xml:space="preserve">2010).  </w:t>
      </w:r>
      <w:r>
        <w:rPr>
          <w:rFonts w:ascii="Arial" w:eastAsia="Times New Roman" w:hAnsi="Arial" w:cs="Arial"/>
          <w:sz w:val="24"/>
          <w:szCs w:val="24"/>
        </w:rPr>
        <w:t xml:space="preserve">The factual allegations must be sufficient to “raise a right to relief above a speculative level on the assumption that the allegations in the complaint are true (even if doubtful in fact.)” </w:t>
      </w:r>
      <w:proofErr w:type="gramStart"/>
      <w:r w:rsidRPr="009D3DAC">
        <w:rPr>
          <w:rFonts w:ascii="Arial" w:eastAsia="Times New Roman" w:hAnsi="Arial" w:cs="Arial"/>
          <w:i/>
          <w:sz w:val="24"/>
          <w:szCs w:val="24"/>
        </w:rPr>
        <w:t xml:space="preserve">Bell Atlantic v. </w:t>
      </w:r>
      <w:proofErr w:type="spellStart"/>
      <w:r w:rsidRPr="009D3DAC">
        <w:rPr>
          <w:rFonts w:ascii="Arial" w:eastAsia="Times New Roman" w:hAnsi="Arial" w:cs="Arial"/>
          <w:i/>
          <w:sz w:val="24"/>
          <w:szCs w:val="24"/>
        </w:rPr>
        <w:t>Twombly</w:t>
      </w:r>
      <w:proofErr w:type="spellEnd"/>
      <w:r>
        <w:rPr>
          <w:rFonts w:ascii="Arial" w:eastAsia="Times New Roman" w:hAnsi="Arial" w:cs="Arial"/>
          <w:sz w:val="24"/>
          <w:szCs w:val="24"/>
        </w:rPr>
        <w:t>, 550 U.S. 554, 555 (2007).</w:t>
      </w:r>
      <w:proofErr w:type="gramEnd"/>
      <w:r>
        <w:rPr>
          <w:rFonts w:ascii="Arial" w:eastAsia="Times New Roman" w:hAnsi="Arial" w:cs="Arial"/>
          <w:sz w:val="24"/>
          <w:szCs w:val="24"/>
        </w:rPr>
        <w:t xml:space="preserve"> </w:t>
      </w:r>
    </w:p>
    <w:p w:rsidR="00EB0858" w:rsidRPr="009D3DAC" w:rsidRDefault="00EB0858" w:rsidP="00EB0858">
      <w:pPr>
        <w:spacing w:after="0" w:line="240" w:lineRule="auto"/>
        <w:rPr>
          <w:rFonts w:ascii="Arial" w:eastAsia="Times New Roman" w:hAnsi="Arial" w:cs="Arial"/>
          <w:sz w:val="24"/>
          <w:szCs w:val="24"/>
        </w:rPr>
      </w:pPr>
    </w:p>
    <w:p w:rsidR="00EB0858" w:rsidRPr="00EB0858" w:rsidRDefault="00EB0858" w:rsidP="00EB0858">
      <w:pPr>
        <w:spacing w:after="0" w:line="240" w:lineRule="auto"/>
        <w:ind w:firstLine="720"/>
        <w:rPr>
          <w:rFonts w:ascii="Arial" w:eastAsia="Times New Roman" w:hAnsi="Arial" w:cs="Arial"/>
          <w:sz w:val="24"/>
          <w:szCs w:val="24"/>
          <w:u w:val="single"/>
        </w:rPr>
      </w:pPr>
      <w:r>
        <w:rPr>
          <w:rFonts w:ascii="Arial" w:eastAsia="Times New Roman" w:hAnsi="Arial" w:cs="Arial"/>
          <w:sz w:val="24"/>
          <w:szCs w:val="24"/>
        </w:rPr>
        <w:t>The case may be dismissed o</w:t>
      </w:r>
      <w:r w:rsidRPr="009D3DAC">
        <w:rPr>
          <w:rFonts w:ascii="Arial" w:eastAsia="Times New Roman" w:hAnsi="Arial" w:cs="Arial"/>
          <w:sz w:val="24"/>
          <w:szCs w:val="24"/>
        </w:rPr>
        <w:t xml:space="preserve">nly if the Hearing Officer cannot grant </w:t>
      </w:r>
      <w:r>
        <w:rPr>
          <w:rFonts w:ascii="Arial" w:eastAsia="Times New Roman" w:hAnsi="Arial" w:cs="Arial"/>
          <w:sz w:val="24"/>
          <w:szCs w:val="24"/>
        </w:rPr>
        <w:t xml:space="preserve">any </w:t>
      </w:r>
      <w:r w:rsidRPr="009D3DAC">
        <w:rPr>
          <w:rFonts w:ascii="Arial" w:eastAsia="Times New Roman" w:hAnsi="Arial" w:cs="Arial"/>
          <w:sz w:val="24"/>
          <w:szCs w:val="24"/>
        </w:rPr>
        <w:t>relief under federal</w:t>
      </w:r>
      <w:r>
        <w:rPr>
          <w:rStyle w:val="FootnoteReference"/>
          <w:rFonts w:ascii="Arial" w:eastAsia="Times New Roman" w:hAnsi="Arial" w:cs="Arial"/>
          <w:sz w:val="24"/>
          <w:szCs w:val="24"/>
        </w:rPr>
        <w:footnoteReference w:id="5"/>
      </w:r>
      <w:r w:rsidRPr="009D3DAC">
        <w:rPr>
          <w:rFonts w:ascii="Arial" w:eastAsia="Times New Roman" w:hAnsi="Arial" w:cs="Arial"/>
          <w:sz w:val="24"/>
          <w:szCs w:val="24"/>
        </w:rPr>
        <w:t xml:space="preserve"> or state</w:t>
      </w:r>
      <w:r>
        <w:rPr>
          <w:rStyle w:val="FootnoteReference"/>
          <w:rFonts w:ascii="Arial" w:eastAsia="Times New Roman" w:hAnsi="Arial" w:cs="Arial"/>
          <w:sz w:val="24"/>
          <w:szCs w:val="24"/>
        </w:rPr>
        <w:footnoteReference w:id="6"/>
      </w:r>
      <w:r>
        <w:rPr>
          <w:rFonts w:ascii="Arial" w:eastAsia="Times New Roman" w:hAnsi="Arial" w:cs="Arial"/>
          <w:sz w:val="24"/>
          <w:szCs w:val="24"/>
        </w:rPr>
        <w:t xml:space="preserve"> special education statutes</w:t>
      </w:r>
      <w:r w:rsidRPr="009D3DAC">
        <w:rPr>
          <w:rFonts w:ascii="Arial" w:eastAsia="Times New Roman" w:hAnsi="Arial" w:cs="Arial"/>
          <w:sz w:val="24"/>
          <w:szCs w:val="24"/>
        </w:rPr>
        <w:t xml:space="preserve">, or Section 504 </w:t>
      </w:r>
      <w:r>
        <w:rPr>
          <w:rFonts w:ascii="Arial" w:eastAsia="Times New Roman" w:hAnsi="Arial" w:cs="Arial"/>
          <w:sz w:val="24"/>
          <w:szCs w:val="24"/>
        </w:rPr>
        <w:t>of the Rehabilitation Act.</w:t>
      </w:r>
      <w:r>
        <w:rPr>
          <w:rStyle w:val="FootnoteReference"/>
          <w:rFonts w:ascii="Arial" w:eastAsia="Times New Roman" w:hAnsi="Arial" w:cs="Arial"/>
          <w:sz w:val="24"/>
          <w:szCs w:val="24"/>
        </w:rPr>
        <w:footnoteReference w:id="7"/>
      </w:r>
      <w:r w:rsidRPr="009D3DAC">
        <w:rPr>
          <w:rFonts w:ascii="Arial" w:eastAsia="Times New Roman" w:hAnsi="Arial" w:cs="Arial"/>
          <w:sz w:val="24"/>
          <w:szCs w:val="24"/>
        </w:rPr>
        <w:t xml:space="preserve"> See </w:t>
      </w:r>
      <w:r>
        <w:rPr>
          <w:rFonts w:ascii="Arial" w:eastAsia="Times New Roman" w:hAnsi="Arial" w:cs="Arial"/>
          <w:i/>
          <w:sz w:val="24"/>
          <w:szCs w:val="24"/>
        </w:rPr>
        <w:t xml:space="preserve">Calderon-Ortiz, supra; </w:t>
      </w:r>
      <w:r w:rsidRPr="005417EB">
        <w:rPr>
          <w:rFonts w:ascii="Arial" w:eastAsia="Times New Roman" w:hAnsi="Arial" w:cs="Arial"/>
          <w:i/>
          <w:sz w:val="24"/>
          <w:szCs w:val="24"/>
        </w:rPr>
        <w:t>W</w:t>
      </w:r>
      <w:r>
        <w:rPr>
          <w:rFonts w:ascii="Arial" w:eastAsia="Times New Roman" w:hAnsi="Arial" w:cs="Arial"/>
          <w:i/>
          <w:sz w:val="24"/>
          <w:szCs w:val="24"/>
        </w:rPr>
        <w:t>h</w:t>
      </w:r>
      <w:r w:rsidRPr="009D3DAC">
        <w:rPr>
          <w:rFonts w:ascii="Arial" w:eastAsia="Times New Roman" w:hAnsi="Arial" w:cs="Arial"/>
          <w:i/>
          <w:sz w:val="24"/>
          <w:szCs w:val="24"/>
        </w:rPr>
        <w:t xml:space="preserve">itinsville Plaza Inc. v. </w:t>
      </w:r>
      <w:proofErr w:type="spellStart"/>
      <w:r w:rsidRPr="009D3DAC">
        <w:rPr>
          <w:rFonts w:ascii="Arial" w:eastAsia="Times New Roman" w:hAnsi="Arial" w:cs="Arial"/>
          <w:i/>
          <w:sz w:val="24"/>
          <w:szCs w:val="24"/>
        </w:rPr>
        <w:t>Kotseas</w:t>
      </w:r>
      <w:proofErr w:type="spellEnd"/>
      <w:r w:rsidRPr="009D3DAC">
        <w:rPr>
          <w:rFonts w:ascii="Arial" w:eastAsia="Times New Roman" w:hAnsi="Arial" w:cs="Arial"/>
          <w:sz w:val="24"/>
          <w:szCs w:val="24"/>
        </w:rPr>
        <w:t xml:space="preserve">, 378 Mass. 85, 89 (1979); </w:t>
      </w:r>
      <w:r w:rsidRPr="009D3DAC">
        <w:rPr>
          <w:rFonts w:ascii="Arial" w:eastAsia="Times New Roman" w:hAnsi="Arial" w:cs="Arial"/>
          <w:i/>
          <w:sz w:val="24"/>
          <w:szCs w:val="24"/>
        </w:rPr>
        <w:t>Nader v. Citron</w:t>
      </w:r>
      <w:r w:rsidRPr="009D3DAC">
        <w:rPr>
          <w:rFonts w:ascii="Arial" w:eastAsia="Times New Roman" w:hAnsi="Arial" w:cs="Arial"/>
          <w:sz w:val="24"/>
          <w:szCs w:val="24"/>
        </w:rPr>
        <w:t xml:space="preserve">, 372 Mass. 96, 98 (1977); </w:t>
      </w:r>
      <w:r w:rsidRPr="009D3DAC">
        <w:rPr>
          <w:rFonts w:ascii="Arial" w:eastAsia="Times New Roman" w:hAnsi="Arial" w:cs="Arial"/>
          <w:i/>
          <w:sz w:val="24"/>
          <w:szCs w:val="24"/>
        </w:rPr>
        <w:t>Norfolk County Agricultural School</w:t>
      </w:r>
      <w:r w:rsidRPr="009D3DAC">
        <w:rPr>
          <w:rFonts w:ascii="Arial" w:eastAsia="Times New Roman" w:hAnsi="Arial" w:cs="Arial"/>
          <w:sz w:val="24"/>
          <w:szCs w:val="24"/>
        </w:rPr>
        <w:t>, 45 IDELR, 26 (</w:t>
      </w:r>
      <w:r>
        <w:rPr>
          <w:rFonts w:ascii="Arial" w:eastAsia="Times New Roman" w:hAnsi="Arial" w:cs="Arial"/>
          <w:sz w:val="24"/>
          <w:szCs w:val="24"/>
        </w:rPr>
        <w:t xml:space="preserve">2005).  </w:t>
      </w:r>
      <w:r w:rsidRPr="009D3DAC">
        <w:rPr>
          <w:rFonts w:ascii="Arial" w:eastAsia="Times New Roman" w:hAnsi="Arial" w:cs="Arial"/>
          <w:sz w:val="24"/>
          <w:szCs w:val="24"/>
        </w:rPr>
        <w:t>Conv</w:t>
      </w:r>
      <w:r>
        <w:rPr>
          <w:rFonts w:ascii="Arial" w:eastAsia="Times New Roman" w:hAnsi="Arial" w:cs="Arial"/>
          <w:sz w:val="24"/>
          <w:szCs w:val="24"/>
        </w:rPr>
        <w:t xml:space="preserve">ersely, if the </w:t>
      </w:r>
      <w:r w:rsidRPr="009D3DAC">
        <w:rPr>
          <w:rFonts w:ascii="Arial" w:eastAsia="Times New Roman" w:hAnsi="Arial" w:cs="Arial"/>
          <w:sz w:val="24"/>
          <w:szCs w:val="24"/>
        </w:rPr>
        <w:t xml:space="preserve">allegations </w:t>
      </w:r>
      <w:r>
        <w:rPr>
          <w:rFonts w:ascii="Arial" w:eastAsia="Times New Roman" w:hAnsi="Arial" w:cs="Arial"/>
          <w:sz w:val="24"/>
          <w:szCs w:val="24"/>
        </w:rPr>
        <w:t xml:space="preserve">of the party opposing dismissal </w:t>
      </w:r>
      <w:r w:rsidR="002E66DB">
        <w:rPr>
          <w:rFonts w:ascii="Arial" w:eastAsia="Times New Roman" w:hAnsi="Arial" w:cs="Arial"/>
          <w:sz w:val="24"/>
          <w:szCs w:val="24"/>
        </w:rPr>
        <w:t>“contain sufficient factual matter…to ‘state a claim to relief that is plausible on its face,’”</w:t>
      </w:r>
      <w:r w:rsidRPr="009D3DAC">
        <w:rPr>
          <w:rFonts w:ascii="Arial" w:eastAsia="Times New Roman" w:hAnsi="Arial" w:cs="Arial"/>
          <w:sz w:val="24"/>
          <w:szCs w:val="24"/>
        </w:rPr>
        <w:t xml:space="preserve"> </w:t>
      </w:r>
      <w:r>
        <w:rPr>
          <w:rFonts w:ascii="Arial" w:eastAsia="Times New Roman" w:hAnsi="Arial" w:cs="Arial"/>
          <w:sz w:val="24"/>
          <w:szCs w:val="24"/>
        </w:rPr>
        <w:t>under any one or more of these statutory provisions,</w:t>
      </w:r>
      <w:r w:rsidRPr="009D3DAC">
        <w:rPr>
          <w:rFonts w:ascii="Arial" w:eastAsia="Times New Roman" w:hAnsi="Arial" w:cs="Arial"/>
          <w:sz w:val="24"/>
          <w:szCs w:val="24"/>
        </w:rPr>
        <w:t xml:space="preserve"> the</w:t>
      </w:r>
      <w:r w:rsidRPr="00EB0858">
        <w:rPr>
          <w:rFonts w:ascii="Arial" w:eastAsia="Times New Roman" w:hAnsi="Arial" w:cs="Arial"/>
          <w:sz w:val="24"/>
          <w:szCs w:val="24"/>
        </w:rPr>
        <w:t xml:space="preserve"> </w:t>
      </w:r>
      <w:r w:rsidRPr="009D3DAC">
        <w:rPr>
          <w:rFonts w:ascii="Arial" w:eastAsia="Times New Roman" w:hAnsi="Arial" w:cs="Arial"/>
          <w:sz w:val="24"/>
          <w:szCs w:val="24"/>
        </w:rPr>
        <w:t xml:space="preserve">matter </w:t>
      </w:r>
      <w:r>
        <w:rPr>
          <w:rFonts w:ascii="Arial" w:eastAsia="Times New Roman" w:hAnsi="Arial" w:cs="Arial"/>
          <w:sz w:val="24"/>
          <w:szCs w:val="24"/>
        </w:rPr>
        <w:t xml:space="preserve">should </w:t>
      </w:r>
      <w:r w:rsidRPr="009D3DAC">
        <w:rPr>
          <w:rFonts w:ascii="Arial" w:eastAsia="Times New Roman" w:hAnsi="Arial" w:cs="Arial"/>
          <w:sz w:val="24"/>
          <w:szCs w:val="24"/>
        </w:rPr>
        <w:t xml:space="preserve">not be dismissed. See </w:t>
      </w:r>
      <w:r w:rsidR="00BA64E2" w:rsidRPr="00BA64E2">
        <w:rPr>
          <w:rFonts w:ascii="Arial" w:eastAsia="Times New Roman" w:hAnsi="Arial" w:cs="Arial"/>
          <w:i/>
          <w:sz w:val="24"/>
          <w:szCs w:val="24"/>
        </w:rPr>
        <w:t>Haley v. City of Boston</w:t>
      </w:r>
      <w:r w:rsidR="00BA64E2">
        <w:rPr>
          <w:rFonts w:ascii="Arial" w:eastAsia="Times New Roman" w:hAnsi="Arial" w:cs="Arial"/>
          <w:sz w:val="24"/>
          <w:szCs w:val="24"/>
        </w:rPr>
        <w:t>, 657 F.3d 39, 46 (1</w:t>
      </w:r>
      <w:r w:rsidR="00BA64E2" w:rsidRPr="00BA64E2">
        <w:rPr>
          <w:rFonts w:ascii="Arial" w:eastAsia="Times New Roman" w:hAnsi="Arial" w:cs="Arial"/>
          <w:sz w:val="24"/>
          <w:szCs w:val="24"/>
          <w:vertAlign w:val="superscript"/>
        </w:rPr>
        <w:t>st</w:t>
      </w:r>
      <w:r w:rsidR="00BA64E2">
        <w:rPr>
          <w:rFonts w:ascii="Arial" w:eastAsia="Times New Roman" w:hAnsi="Arial" w:cs="Arial"/>
          <w:sz w:val="24"/>
          <w:szCs w:val="24"/>
        </w:rPr>
        <w:t xml:space="preserve"> Cir. 2011), quoting </w:t>
      </w:r>
      <w:r w:rsidRPr="009D3DAC">
        <w:rPr>
          <w:rFonts w:ascii="Arial" w:eastAsia="Times New Roman" w:hAnsi="Arial" w:cs="Arial"/>
          <w:i/>
          <w:sz w:val="24"/>
          <w:szCs w:val="24"/>
        </w:rPr>
        <w:t>Ashc</w:t>
      </w:r>
      <w:r>
        <w:rPr>
          <w:rFonts w:ascii="Arial" w:eastAsia="Times New Roman" w:hAnsi="Arial" w:cs="Arial"/>
          <w:i/>
          <w:sz w:val="24"/>
          <w:szCs w:val="24"/>
        </w:rPr>
        <w:t>ro</w:t>
      </w:r>
      <w:r w:rsidRPr="009D3DAC">
        <w:rPr>
          <w:rFonts w:ascii="Arial" w:eastAsia="Times New Roman" w:hAnsi="Arial" w:cs="Arial"/>
          <w:i/>
          <w:sz w:val="24"/>
          <w:szCs w:val="24"/>
        </w:rPr>
        <w:t>ft v. Iqbal</w:t>
      </w:r>
      <w:r w:rsidRPr="009D3DAC">
        <w:rPr>
          <w:rFonts w:ascii="Arial" w:eastAsia="Times New Roman" w:hAnsi="Arial" w:cs="Arial"/>
          <w:sz w:val="24"/>
          <w:szCs w:val="24"/>
        </w:rPr>
        <w:t xml:space="preserve">, </w:t>
      </w:r>
      <w:r w:rsidR="00BA64E2">
        <w:rPr>
          <w:rFonts w:ascii="Arial" w:eastAsia="Times New Roman" w:hAnsi="Arial" w:cs="Arial"/>
          <w:sz w:val="24"/>
          <w:szCs w:val="24"/>
        </w:rPr>
        <w:t>556 U.S. 662, 678 (2009)</w:t>
      </w:r>
      <w:r w:rsidRPr="009D3DAC">
        <w:rPr>
          <w:rFonts w:ascii="Arial" w:eastAsia="Times New Roman" w:hAnsi="Arial" w:cs="Arial"/>
          <w:sz w:val="24"/>
          <w:szCs w:val="24"/>
        </w:rPr>
        <w:t>.</w:t>
      </w:r>
    </w:p>
    <w:p w:rsidR="00EB0858" w:rsidRDefault="00EB0858" w:rsidP="00EB0858">
      <w:pPr>
        <w:spacing w:after="0" w:line="240" w:lineRule="auto"/>
        <w:ind w:firstLine="720"/>
        <w:rPr>
          <w:rFonts w:ascii="Arial" w:eastAsia="Times New Roman" w:hAnsi="Arial" w:cs="Arial"/>
          <w:b/>
          <w:sz w:val="24"/>
          <w:szCs w:val="24"/>
          <w:u w:val="single"/>
        </w:rPr>
      </w:pPr>
    </w:p>
    <w:p w:rsidR="00EB0858" w:rsidRPr="002100E0" w:rsidRDefault="002100E0" w:rsidP="002100E0">
      <w:pPr>
        <w:spacing w:after="0" w:line="240" w:lineRule="auto"/>
        <w:ind w:firstLine="720"/>
        <w:jc w:val="both"/>
        <w:rPr>
          <w:rFonts w:ascii="Arial" w:eastAsia="Times New Roman" w:hAnsi="Arial" w:cs="Arial"/>
          <w:b/>
          <w:sz w:val="24"/>
          <w:szCs w:val="24"/>
        </w:rPr>
      </w:pPr>
      <w:r w:rsidRPr="002100E0">
        <w:rPr>
          <w:rFonts w:ascii="Arial" w:eastAsia="Times New Roman" w:hAnsi="Arial" w:cs="Arial"/>
          <w:b/>
          <w:sz w:val="24"/>
          <w:szCs w:val="24"/>
        </w:rPr>
        <w:t>II</w:t>
      </w:r>
      <w:proofErr w:type="gramStart"/>
      <w:r w:rsidRPr="002100E0">
        <w:rPr>
          <w:rFonts w:ascii="Arial" w:eastAsia="Times New Roman" w:hAnsi="Arial" w:cs="Arial"/>
          <w:b/>
          <w:sz w:val="24"/>
          <w:szCs w:val="24"/>
        </w:rPr>
        <w:t>.  Factual</w:t>
      </w:r>
      <w:proofErr w:type="gramEnd"/>
      <w:r w:rsidRPr="002100E0">
        <w:rPr>
          <w:rFonts w:ascii="Arial" w:eastAsia="Times New Roman" w:hAnsi="Arial" w:cs="Arial"/>
          <w:b/>
          <w:sz w:val="24"/>
          <w:szCs w:val="24"/>
        </w:rPr>
        <w:t xml:space="preserve"> Background</w:t>
      </w:r>
    </w:p>
    <w:p w:rsidR="00E80350" w:rsidRDefault="00E80350" w:rsidP="002100E0">
      <w:pPr>
        <w:spacing w:after="0" w:line="240" w:lineRule="auto"/>
        <w:ind w:firstLine="720"/>
        <w:rPr>
          <w:rFonts w:ascii="Arial" w:eastAsia="Times New Roman" w:hAnsi="Arial" w:cs="Arial"/>
          <w:b/>
          <w:sz w:val="24"/>
          <w:szCs w:val="24"/>
          <w:u w:val="single"/>
        </w:rPr>
      </w:pPr>
    </w:p>
    <w:p w:rsidR="00A8751C" w:rsidRDefault="00A8751C" w:rsidP="00A8751C">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For purposes of </w:t>
      </w:r>
      <w:r w:rsidR="00CA2AC8">
        <w:rPr>
          <w:rFonts w:ascii="Arial" w:eastAsia="Times New Roman" w:hAnsi="Arial" w:cs="Arial"/>
          <w:sz w:val="24"/>
          <w:szCs w:val="24"/>
        </w:rPr>
        <w:t xml:space="preserve">this </w:t>
      </w:r>
      <w:r w:rsidR="00CA2AC8" w:rsidRPr="00CA2AC8">
        <w:rPr>
          <w:rFonts w:ascii="Arial" w:eastAsia="Times New Roman" w:hAnsi="Arial" w:cs="Arial"/>
          <w:i/>
          <w:sz w:val="24"/>
          <w:szCs w:val="24"/>
        </w:rPr>
        <w:t>Ruling</w:t>
      </w:r>
      <w:r>
        <w:rPr>
          <w:rFonts w:ascii="Arial" w:eastAsia="Times New Roman" w:hAnsi="Arial" w:cs="Arial"/>
          <w:sz w:val="24"/>
          <w:szCs w:val="24"/>
        </w:rPr>
        <w:t xml:space="preserve"> the following assertions</w:t>
      </w:r>
      <w:r w:rsidR="00616048">
        <w:rPr>
          <w:rFonts w:ascii="Arial" w:eastAsia="Times New Roman" w:hAnsi="Arial" w:cs="Arial"/>
          <w:sz w:val="24"/>
          <w:szCs w:val="24"/>
        </w:rPr>
        <w:t xml:space="preserve"> set forth in Parent’s hearing request </w:t>
      </w:r>
      <w:r>
        <w:rPr>
          <w:rFonts w:ascii="Arial" w:eastAsia="Times New Roman" w:hAnsi="Arial" w:cs="Arial"/>
          <w:sz w:val="24"/>
          <w:szCs w:val="24"/>
        </w:rPr>
        <w:t xml:space="preserve">are considered to be true and construed in favor of </w:t>
      </w:r>
      <w:r w:rsidR="00C3669E">
        <w:rPr>
          <w:rFonts w:ascii="Arial" w:eastAsia="Times New Roman" w:hAnsi="Arial" w:cs="Arial"/>
          <w:sz w:val="24"/>
          <w:szCs w:val="24"/>
        </w:rPr>
        <w:t xml:space="preserve">Parent </w:t>
      </w:r>
      <w:r w:rsidR="00931125">
        <w:rPr>
          <w:rFonts w:ascii="Arial" w:eastAsia="Times New Roman" w:hAnsi="Arial" w:cs="Arial"/>
          <w:sz w:val="24"/>
          <w:szCs w:val="24"/>
        </w:rPr>
        <w:t>as the party opposing dismissal</w:t>
      </w:r>
      <w:r w:rsidR="00BA64E2">
        <w:rPr>
          <w:rFonts w:ascii="Arial" w:eastAsia="Times New Roman" w:hAnsi="Arial" w:cs="Arial"/>
          <w:sz w:val="24"/>
          <w:szCs w:val="24"/>
        </w:rPr>
        <w:t>,</w:t>
      </w:r>
      <w:r w:rsidR="00931125">
        <w:rPr>
          <w:rFonts w:ascii="Arial" w:eastAsia="Times New Roman" w:hAnsi="Arial" w:cs="Arial"/>
          <w:sz w:val="24"/>
          <w:szCs w:val="24"/>
        </w:rPr>
        <w:t xml:space="preserve"> as required by </w:t>
      </w:r>
      <w:r w:rsidR="002100E0">
        <w:rPr>
          <w:rFonts w:ascii="Arial" w:eastAsia="Times New Roman" w:hAnsi="Arial" w:cs="Arial"/>
          <w:sz w:val="24"/>
          <w:szCs w:val="24"/>
        </w:rPr>
        <w:t xml:space="preserve">the above-cited decisions:  </w:t>
      </w:r>
    </w:p>
    <w:p w:rsidR="00A8751C" w:rsidRDefault="00A8751C" w:rsidP="00A8751C">
      <w:pPr>
        <w:spacing w:after="0" w:line="240" w:lineRule="auto"/>
        <w:ind w:firstLine="720"/>
        <w:rPr>
          <w:rFonts w:ascii="Arial" w:eastAsia="Times New Roman" w:hAnsi="Arial" w:cs="Arial"/>
          <w:sz w:val="24"/>
          <w:szCs w:val="24"/>
        </w:rPr>
      </w:pPr>
    </w:p>
    <w:p w:rsidR="00742BE5" w:rsidRDefault="00A8751C" w:rsidP="00742BE5">
      <w:pPr>
        <w:pStyle w:val="ListParagraph"/>
        <w:numPr>
          <w:ilvl w:val="0"/>
          <w:numId w:val="5"/>
        </w:numPr>
        <w:spacing w:after="0" w:line="240" w:lineRule="auto"/>
        <w:rPr>
          <w:rFonts w:ascii="Arial" w:eastAsia="Times New Roman" w:hAnsi="Arial" w:cs="Arial"/>
          <w:sz w:val="24"/>
          <w:szCs w:val="24"/>
        </w:rPr>
      </w:pPr>
      <w:r w:rsidRPr="00ED26A4">
        <w:rPr>
          <w:rFonts w:ascii="Arial" w:eastAsia="Times New Roman" w:hAnsi="Arial" w:cs="Arial"/>
          <w:sz w:val="24"/>
          <w:szCs w:val="24"/>
        </w:rPr>
        <w:t>Studen</w:t>
      </w:r>
      <w:r w:rsidR="008E71A4" w:rsidRPr="00ED26A4">
        <w:rPr>
          <w:rFonts w:ascii="Arial" w:eastAsia="Times New Roman" w:hAnsi="Arial" w:cs="Arial"/>
          <w:sz w:val="24"/>
          <w:szCs w:val="24"/>
        </w:rPr>
        <w:t>t</w:t>
      </w:r>
      <w:r w:rsidRPr="00ED26A4">
        <w:rPr>
          <w:rFonts w:ascii="Arial" w:eastAsia="Times New Roman" w:hAnsi="Arial" w:cs="Arial"/>
          <w:sz w:val="24"/>
          <w:szCs w:val="24"/>
        </w:rPr>
        <w:t xml:space="preserve"> is a</w:t>
      </w:r>
      <w:r w:rsidR="00ED26A4" w:rsidRPr="00ED26A4">
        <w:rPr>
          <w:rFonts w:ascii="Arial" w:eastAsia="Times New Roman" w:hAnsi="Arial" w:cs="Arial"/>
          <w:sz w:val="24"/>
          <w:szCs w:val="24"/>
        </w:rPr>
        <w:t>n</w:t>
      </w:r>
      <w:r w:rsidRPr="00ED26A4">
        <w:rPr>
          <w:rFonts w:ascii="Arial" w:eastAsia="Times New Roman" w:hAnsi="Arial" w:cs="Arial"/>
          <w:sz w:val="24"/>
          <w:szCs w:val="24"/>
        </w:rPr>
        <w:t xml:space="preserve"> </w:t>
      </w:r>
      <w:r w:rsidR="00ED26A4" w:rsidRPr="00ED26A4">
        <w:rPr>
          <w:rFonts w:ascii="Arial" w:eastAsia="Times New Roman" w:hAnsi="Arial" w:cs="Arial"/>
          <w:sz w:val="24"/>
          <w:szCs w:val="24"/>
        </w:rPr>
        <w:t>11-year-old child who is</w:t>
      </w:r>
      <w:r w:rsidR="00D047CA" w:rsidRPr="00D047CA">
        <w:rPr>
          <w:rFonts w:ascii="Arial" w:eastAsia="Times New Roman" w:hAnsi="Arial" w:cs="Arial"/>
          <w:sz w:val="24"/>
          <w:szCs w:val="24"/>
        </w:rPr>
        <w:t xml:space="preserve"> </w:t>
      </w:r>
      <w:r w:rsidR="00D047CA">
        <w:rPr>
          <w:rFonts w:ascii="Arial" w:eastAsia="Times New Roman" w:hAnsi="Arial" w:cs="Arial"/>
          <w:sz w:val="24"/>
          <w:szCs w:val="24"/>
        </w:rPr>
        <w:t>a resident of Boston.  Student is</w:t>
      </w:r>
      <w:r w:rsidR="00D047CA" w:rsidRPr="00ED26A4">
        <w:rPr>
          <w:rFonts w:ascii="Arial" w:eastAsia="Times New Roman" w:hAnsi="Arial" w:cs="Arial"/>
          <w:sz w:val="24"/>
          <w:szCs w:val="24"/>
        </w:rPr>
        <w:t xml:space="preserve"> </w:t>
      </w:r>
      <w:r w:rsidR="00ED26A4" w:rsidRPr="00ED26A4">
        <w:rPr>
          <w:rFonts w:ascii="Arial" w:eastAsia="Times New Roman" w:hAnsi="Arial" w:cs="Arial"/>
          <w:sz w:val="24"/>
          <w:szCs w:val="24"/>
        </w:rPr>
        <w:t xml:space="preserve">eligible for special education </w:t>
      </w:r>
      <w:r w:rsidR="00D047CA">
        <w:rPr>
          <w:rFonts w:ascii="Arial" w:eastAsia="Times New Roman" w:hAnsi="Arial" w:cs="Arial"/>
          <w:sz w:val="24"/>
          <w:szCs w:val="24"/>
        </w:rPr>
        <w:t>services on the basis of several disabilities, including</w:t>
      </w:r>
      <w:r w:rsidR="00ED26A4" w:rsidRPr="00ED26A4">
        <w:rPr>
          <w:rFonts w:ascii="Arial" w:eastAsia="Times New Roman" w:hAnsi="Arial" w:cs="Arial"/>
          <w:sz w:val="24"/>
          <w:szCs w:val="24"/>
        </w:rPr>
        <w:t xml:space="preserve"> a language-based learning disability (dyslexia), a specific learning disability in mathematics, mixed receptive and expressive language disorder, anxiety disorder, and executive functioning disorder.  </w:t>
      </w:r>
      <w:r w:rsidR="00742BE5" w:rsidRPr="00ED26A4">
        <w:rPr>
          <w:rFonts w:ascii="Arial" w:eastAsia="Times New Roman" w:hAnsi="Arial" w:cs="Arial"/>
          <w:sz w:val="24"/>
          <w:szCs w:val="24"/>
        </w:rPr>
        <w:t xml:space="preserve"> </w:t>
      </w:r>
    </w:p>
    <w:p w:rsidR="00ED26A4" w:rsidRDefault="00ED26A4" w:rsidP="00ED26A4">
      <w:pPr>
        <w:pStyle w:val="ListParagraph"/>
        <w:spacing w:after="0" w:line="240" w:lineRule="auto"/>
        <w:ind w:left="1080"/>
        <w:rPr>
          <w:rFonts w:ascii="Arial" w:eastAsia="Times New Roman" w:hAnsi="Arial" w:cs="Arial"/>
          <w:sz w:val="24"/>
          <w:szCs w:val="24"/>
        </w:rPr>
      </w:pPr>
    </w:p>
    <w:p w:rsidR="00ED26A4" w:rsidRDefault="00ED26A4" w:rsidP="00ED26A4">
      <w:pPr>
        <w:pStyle w:val="ListParagraph"/>
        <w:numPr>
          <w:ilvl w:val="0"/>
          <w:numId w:val="5"/>
        </w:numPr>
        <w:rPr>
          <w:rFonts w:ascii="Arial" w:hAnsi="Arial" w:cs="Arial"/>
          <w:sz w:val="24"/>
          <w:szCs w:val="24"/>
        </w:rPr>
      </w:pPr>
      <w:r>
        <w:rPr>
          <w:rFonts w:ascii="Arial" w:hAnsi="Arial" w:cs="Arial"/>
          <w:sz w:val="24"/>
          <w:szCs w:val="24"/>
        </w:rPr>
        <w:t>Student first enrolled in NHCS during the</w:t>
      </w:r>
      <w:r w:rsidRPr="00ED26A4">
        <w:rPr>
          <w:rFonts w:ascii="Arial" w:hAnsi="Arial" w:cs="Arial"/>
          <w:sz w:val="24"/>
          <w:szCs w:val="24"/>
        </w:rPr>
        <w:t xml:space="preserve"> 2012-2013 school </w:t>
      </w:r>
      <w:proofErr w:type="gramStart"/>
      <w:r w:rsidRPr="00ED26A4">
        <w:rPr>
          <w:rFonts w:ascii="Arial" w:hAnsi="Arial" w:cs="Arial"/>
          <w:sz w:val="24"/>
          <w:szCs w:val="24"/>
        </w:rPr>
        <w:t>year</w:t>
      </w:r>
      <w:proofErr w:type="gramEnd"/>
      <w:r w:rsidRPr="00ED26A4">
        <w:rPr>
          <w:rFonts w:ascii="Arial" w:hAnsi="Arial" w:cs="Arial"/>
          <w:sz w:val="24"/>
          <w:szCs w:val="24"/>
        </w:rPr>
        <w:t>,</w:t>
      </w:r>
      <w:r>
        <w:rPr>
          <w:rFonts w:ascii="Arial" w:hAnsi="Arial" w:cs="Arial"/>
          <w:sz w:val="24"/>
          <w:szCs w:val="24"/>
        </w:rPr>
        <w:t xml:space="preserve"> when she entered Kindergarten</w:t>
      </w:r>
      <w:r w:rsidR="007D3428">
        <w:rPr>
          <w:rFonts w:ascii="Arial" w:hAnsi="Arial" w:cs="Arial"/>
          <w:sz w:val="24"/>
          <w:szCs w:val="24"/>
        </w:rPr>
        <w:t>,</w:t>
      </w:r>
      <w:r>
        <w:rPr>
          <w:rFonts w:ascii="Arial" w:hAnsi="Arial" w:cs="Arial"/>
          <w:sz w:val="24"/>
          <w:szCs w:val="24"/>
        </w:rPr>
        <w:t xml:space="preserve"> and attended NHCS continuously </w:t>
      </w:r>
      <w:r w:rsidRPr="00ED26A4">
        <w:rPr>
          <w:rFonts w:ascii="Arial" w:hAnsi="Arial" w:cs="Arial"/>
          <w:sz w:val="24"/>
          <w:szCs w:val="24"/>
        </w:rPr>
        <w:t xml:space="preserve">until approximately </w:t>
      </w:r>
      <w:r w:rsidRPr="00ED26A4">
        <w:rPr>
          <w:rFonts w:ascii="Arial" w:hAnsi="Arial" w:cs="Arial"/>
          <w:sz w:val="24"/>
          <w:szCs w:val="24"/>
        </w:rPr>
        <w:lastRenderedPageBreak/>
        <w:t xml:space="preserve">August 2018, when she began attending LPS pursuant to a unilateral placement by Parent.  </w:t>
      </w:r>
    </w:p>
    <w:p w:rsidR="00ED26A4" w:rsidRPr="00ED26A4" w:rsidRDefault="00ED26A4" w:rsidP="00ED26A4">
      <w:pPr>
        <w:pStyle w:val="ListParagraph"/>
        <w:ind w:left="1080"/>
        <w:rPr>
          <w:rFonts w:ascii="Arial" w:hAnsi="Arial" w:cs="Arial"/>
          <w:sz w:val="24"/>
          <w:szCs w:val="24"/>
        </w:rPr>
      </w:pPr>
    </w:p>
    <w:p w:rsidR="007973F0" w:rsidRDefault="00ED26A4" w:rsidP="00ED26A4">
      <w:pPr>
        <w:pStyle w:val="ListParagraph"/>
        <w:numPr>
          <w:ilvl w:val="0"/>
          <w:numId w:val="5"/>
        </w:numPr>
        <w:rPr>
          <w:rFonts w:ascii="Arial" w:hAnsi="Arial" w:cs="Arial"/>
          <w:sz w:val="24"/>
          <w:szCs w:val="24"/>
        </w:rPr>
      </w:pPr>
      <w:r w:rsidRPr="00ED26A4">
        <w:rPr>
          <w:rFonts w:ascii="Arial" w:hAnsi="Arial" w:cs="Arial"/>
          <w:sz w:val="24"/>
          <w:szCs w:val="24"/>
        </w:rPr>
        <w:t>NHCS found Student eligible for special education services and provided her with an Individualized Education P</w:t>
      </w:r>
      <w:r w:rsidR="008A7CA1">
        <w:rPr>
          <w:rFonts w:ascii="Arial" w:hAnsi="Arial" w:cs="Arial"/>
          <w:sz w:val="24"/>
          <w:szCs w:val="24"/>
        </w:rPr>
        <w:t>lan</w:t>
      </w:r>
      <w:r w:rsidRPr="00ED26A4">
        <w:rPr>
          <w:rFonts w:ascii="Arial" w:hAnsi="Arial" w:cs="Arial"/>
          <w:sz w:val="24"/>
          <w:szCs w:val="24"/>
        </w:rPr>
        <w:t xml:space="preserve"> (IEP) </w:t>
      </w:r>
      <w:r w:rsidR="008A7CA1">
        <w:rPr>
          <w:rFonts w:ascii="Arial" w:hAnsi="Arial" w:cs="Arial"/>
          <w:sz w:val="24"/>
          <w:szCs w:val="24"/>
        </w:rPr>
        <w:t xml:space="preserve">on the basis of a communication disorder </w:t>
      </w:r>
      <w:r w:rsidRPr="00ED26A4">
        <w:rPr>
          <w:rFonts w:ascii="Arial" w:hAnsi="Arial" w:cs="Arial"/>
          <w:sz w:val="24"/>
          <w:szCs w:val="24"/>
        </w:rPr>
        <w:t xml:space="preserve">during the 2015-2016 school </w:t>
      </w:r>
      <w:proofErr w:type="gramStart"/>
      <w:r w:rsidRPr="00ED26A4">
        <w:rPr>
          <w:rFonts w:ascii="Arial" w:hAnsi="Arial" w:cs="Arial"/>
          <w:sz w:val="24"/>
          <w:szCs w:val="24"/>
        </w:rPr>
        <w:t>year</w:t>
      </w:r>
      <w:proofErr w:type="gramEnd"/>
      <w:r w:rsidR="007973F0">
        <w:rPr>
          <w:rFonts w:ascii="Arial" w:hAnsi="Arial" w:cs="Arial"/>
          <w:sz w:val="24"/>
          <w:szCs w:val="24"/>
        </w:rPr>
        <w:t>, when she was in s</w:t>
      </w:r>
      <w:r w:rsidR="008A12AE">
        <w:rPr>
          <w:rFonts w:ascii="Arial" w:hAnsi="Arial" w:cs="Arial"/>
          <w:sz w:val="24"/>
          <w:szCs w:val="24"/>
        </w:rPr>
        <w:t xml:space="preserve">econd grade.  </w:t>
      </w:r>
      <w:r w:rsidR="007973F0">
        <w:rPr>
          <w:rFonts w:ascii="Arial" w:hAnsi="Arial" w:cs="Arial"/>
          <w:sz w:val="24"/>
          <w:szCs w:val="24"/>
        </w:rPr>
        <w:t>Her IEP called</w:t>
      </w:r>
      <w:r w:rsidR="008A12AE">
        <w:rPr>
          <w:rFonts w:ascii="Arial" w:hAnsi="Arial" w:cs="Arial"/>
          <w:sz w:val="24"/>
          <w:szCs w:val="24"/>
        </w:rPr>
        <w:t xml:space="preserve"> for a full-</w:t>
      </w:r>
      <w:r w:rsidRPr="00ED26A4">
        <w:rPr>
          <w:rFonts w:ascii="Arial" w:hAnsi="Arial" w:cs="Arial"/>
          <w:sz w:val="24"/>
          <w:szCs w:val="24"/>
        </w:rPr>
        <w:t>inclusion placement.  Student continued to receive full</w:t>
      </w:r>
      <w:r w:rsidR="008A12AE">
        <w:rPr>
          <w:rFonts w:ascii="Arial" w:hAnsi="Arial" w:cs="Arial"/>
          <w:sz w:val="24"/>
          <w:szCs w:val="24"/>
        </w:rPr>
        <w:t>-</w:t>
      </w:r>
      <w:r w:rsidRPr="00ED26A4">
        <w:rPr>
          <w:rFonts w:ascii="Arial" w:hAnsi="Arial" w:cs="Arial"/>
          <w:sz w:val="24"/>
          <w:szCs w:val="24"/>
        </w:rPr>
        <w:t xml:space="preserve"> inclusion services, with increasing pullouts for speech/language and reading services, through third grade.  </w:t>
      </w:r>
    </w:p>
    <w:p w:rsidR="007973F0" w:rsidRDefault="007973F0" w:rsidP="007973F0">
      <w:pPr>
        <w:pStyle w:val="ListParagraph"/>
        <w:ind w:left="1080"/>
        <w:rPr>
          <w:rFonts w:ascii="Arial" w:hAnsi="Arial" w:cs="Arial"/>
          <w:sz w:val="24"/>
          <w:szCs w:val="24"/>
        </w:rPr>
      </w:pPr>
    </w:p>
    <w:p w:rsidR="007973F0" w:rsidRDefault="007973F0" w:rsidP="00ED26A4">
      <w:pPr>
        <w:pStyle w:val="ListParagraph"/>
        <w:numPr>
          <w:ilvl w:val="0"/>
          <w:numId w:val="5"/>
        </w:numPr>
        <w:rPr>
          <w:rFonts w:ascii="Arial" w:hAnsi="Arial" w:cs="Arial"/>
          <w:sz w:val="24"/>
          <w:szCs w:val="24"/>
        </w:rPr>
      </w:pPr>
      <w:r>
        <w:rPr>
          <w:rFonts w:ascii="Arial" w:hAnsi="Arial" w:cs="Arial"/>
          <w:sz w:val="24"/>
          <w:szCs w:val="24"/>
        </w:rPr>
        <w:t xml:space="preserve">Beginning in approximately January 2016, Student underwent several evaluations and classroom observations conducted by outside providers, all of whom expressed concerns about whether the services provided by NHCS were sufficient to meet Student’s needs, and </w:t>
      </w:r>
      <w:r w:rsidR="00A162A9">
        <w:rPr>
          <w:rFonts w:ascii="Arial" w:hAnsi="Arial" w:cs="Arial"/>
          <w:sz w:val="24"/>
          <w:szCs w:val="24"/>
        </w:rPr>
        <w:t>some</w:t>
      </w:r>
      <w:r>
        <w:rPr>
          <w:rFonts w:ascii="Arial" w:hAnsi="Arial" w:cs="Arial"/>
          <w:sz w:val="24"/>
          <w:szCs w:val="24"/>
        </w:rPr>
        <w:t xml:space="preserve"> of whom recommended a substantially-separate language-based </w:t>
      </w:r>
      <w:r w:rsidR="00A162A9">
        <w:rPr>
          <w:rFonts w:ascii="Arial" w:hAnsi="Arial" w:cs="Arial"/>
          <w:sz w:val="24"/>
          <w:szCs w:val="24"/>
        </w:rPr>
        <w:t xml:space="preserve">setting for Student.  </w:t>
      </w:r>
      <w:r>
        <w:rPr>
          <w:rFonts w:ascii="Arial" w:hAnsi="Arial" w:cs="Arial"/>
          <w:sz w:val="24"/>
          <w:szCs w:val="24"/>
        </w:rPr>
        <w:t xml:space="preserve">  </w:t>
      </w:r>
    </w:p>
    <w:p w:rsidR="007973F0" w:rsidRDefault="007973F0" w:rsidP="007973F0">
      <w:pPr>
        <w:pStyle w:val="ListParagraph"/>
        <w:ind w:left="1080"/>
        <w:rPr>
          <w:rFonts w:ascii="Arial" w:hAnsi="Arial" w:cs="Arial"/>
          <w:sz w:val="24"/>
          <w:szCs w:val="24"/>
        </w:rPr>
      </w:pPr>
    </w:p>
    <w:p w:rsidR="00A162A9" w:rsidRDefault="007973F0" w:rsidP="00ED26A4">
      <w:pPr>
        <w:pStyle w:val="ListParagraph"/>
        <w:numPr>
          <w:ilvl w:val="0"/>
          <w:numId w:val="5"/>
        </w:numPr>
        <w:rPr>
          <w:rFonts w:ascii="Arial" w:hAnsi="Arial" w:cs="Arial"/>
          <w:sz w:val="24"/>
          <w:szCs w:val="24"/>
        </w:rPr>
      </w:pPr>
      <w:r>
        <w:rPr>
          <w:rFonts w:ascii="Arial" w:hAnsi="Arial" w:cs="Arial"/>
          <w:sz w:val="24"/>
          <w:szCs w:val="24"/>
        </w:rPr>
        <w:t>On August 30,</w:t>
      </w:r>
      <w:r w:rsidR="00ED26A4" w:rsidRPr="00ED26A4">
        <w:rPr>
          <w:rFonts w:ascii="Arial" w:hAnsi="Arial" w:cs="Arial"/>
          <w:sz w:val="24"/>
          <w:szCs w:val="24"/>
        </w:rPr>
        <w:t xml:space="preserve"> 2017, NHCS</w:t>
      </w:r>
      <w:r w:rsidR="008A12AE">
        <w:rPr>
          <w:rFonts w:ascii="Arial" w:hAnsi="Arial" w:cs="Arial"/>
          <w:sz w:val="24"/>
          <w:szCs w:val="24"/>
        </w:rPr>
        <w:t xml:space="preserve"> proposed an IEP with a partial-</w:t>
      </w:r>
      <w:r w:rsidR="00ED26A4" w:rsidRPr="00ED26A4">
        <w:rPr>
          <w:rFonts w:ascii="Arial" w:hAnsi="Arial" w:cs="Arial"/>
          <w:sz w:val="24"/>
          <w:szCs w:val="24"/>
        </w:rPr>
        <w:t xml:space="preserve">inclusion placement for Student’s fourth grade year (2017-2018).  Parent partially rejected this IEP for omission of decoding objectives.  </w:t>
      </w:r>
    </w:p>
    <w:p w:rsidR="00A162A9" w:rsidRDefault="00A162A9" w:rsidP="00A162A9">
      <w:pPr>
        <w:pStyle w:val="ListParagraph"/>
        <w:ind w:left="1080"/>
        <w:rPr>
          <w:rFonts w:ascii="Arial" w:hAnsi="Arial" w:cs="Arial"/>
          <w:sz w:val="24"/>
          <w:szCs w:val="24"/>
        </w:rPr>
      </w:pPr>
    </w:p>
    <w:p w:rsidR="00ED26A4" w:rsidRDefault="00ED26A4" w:rsidP="00ED26A4">
      <w:pPr>
        <w:pStyle w:val="ListParagraph"/>
        <w:numPr>
          <w:ilvl w:val="0"/>
          <w:numId w:val="5"/>
        </w:numPr>
        <w:rPr>
          <w:rFonts w:ascii="Arial" w:hAnsi="Arial" w:cs="Arial"/>
          <w:sz w:val="24"/>
          <w:szCs w:val="24"/>
        </w:rPr>
      </w:pPr>
      <w:r w:rsidRPr="00ED26A4">
        <w:rPr>
          <w:rFonts w:ascii="Arial" w:hAnsi="Arial" w:cs="Arial"/>
          <w:sz w:val="24"/>
          <w:szCs w:val="24"/>
        </w:rPr>
        <w:t xml:space="preserve">In November 2017, NHCS conducted a three-year evaluation of Student, and proposed a new IEP covering the period from November </w:t>
      </w:r>
      <w:r w:rsidR="00764E9F">
        <w:rPr>
          <w:rFonts w:ascii="Arial" w:hAnsi="Arial" w:cs="Arial"/>
          <w:sz w:val="24"/>
          <w:szCs w:val="24"/>
        </w:rPr>
        <w:t xml:space="preserve">29, </w:t>
      </w:r>
      <w:r w:rsidRPr="00ED26A4">
        <w:rPr>
          <w:rFonts w:ascii="Arial" w:hAnsi="Arial" w:cs="Arial"/>
          <w:sz w:val="24"/>
          <w:szCs w:val="24"/>
        </w:rPr>
        <w:t xml:space="preserve">2017 to November </w:t>
      </w:r>
      <w:r w:rsidR="00764E9F">
        <w:rPr>
          <w:rFonts w:ascii="Arial" w:hAnsi="Arial" w:cs="Arial"/>
          <w:sz w:val="24"/>
          <w:szCs w:val="24"/>
        </w:rPr>
        <w:t xml:space="preserve">28, </w:t>
      </w:r>
      <w:r w:rsidRPr="00ED26A4">
        <w:rPr>
          <w:rFonts w:ascii="Arial" w:hAnsi="Arial" w:cs="Arial"/>
          <w:sz w:val="24"/>
          <w:szCs w:val="24"/>
        </w:rPr>
        <w:t>2018</w:t>
      </w:r>
      <w:r w:rsidR="00A162A9">
        <w:rPr>
          <w:rFonts w:ascii="Arial" w:hAnsi="Arial" w:cs="Arial"/>
          <w:sz w:val="24"/>
          <w:szCs w:val="24"/>
        </w:rPr>
        <w:t>.  This IEP</w:t>
      </w:r>
      <w:r w:rsidRPr="00ED26A4">
        <w:rPr>
          <w:rFonts w:ascii="Arial" w:hAnsi="Arial" w:cs="Arial"/>
          <w:sz w:val="24"/>
          <w:szCs w:val="24"/>
        </w:rPr>
        <w:t xml:space="preserve"> made certain changes to Student’s services and returned her </w:t>
      </w:r>
      <w:r w:rsidR="00A162A9">
        <w:rPr>
          <w:rFonts w:ascii="Arial" w:hAnsi="Arial" w:cs="Arial"/>
          <w:sz w:val="24"/>
          <w:szCs w:val="24"/>
        </w:rPr>
        <w:t xml:space="preserve">from a partial-inclusion </w:t>
      </w:r>
      <w:r w:rsidRPr="00ED26A4">
        <w:rPr>
          <w:rFonts w:ascii="Arial" w:hAnsi="Arial" w:cs="Arial"/>
          <w:sz w:val="24"/>
          <w:szCs w:val="24"/>
        </w:rPr>
        <w:t>to a full-inclusion placement.  Parent accepted additional counseling services</w:t>
      </w:r>
      <w:r w:rsidR="00764E9F">
        <w:rPr>
          <w:rFonts w:ascii="Arial" w:hAnsi="Arial" w:cs="Arial"/>
          <w:sz w:val="24"/>
          <w:szCs w:val="24"/>
        </w:rPr>
        <w:t xml:space="preserve"> that were proposed</w:t>
      </w:r>
      <w:r w:rsidR="008A7CA1">
        <w:rPr>
          <w:rFonts w:ascii="Arial" w:hAnsi="Arial" w:cs="Arial"/>
          <w:sz w:val="24"/>
          <w:szCs w:val="24"/>
        </w:rPr>
        <w:t xml:space="preserve">, but rejected </w:t>
      </w:r>
      <w:r w:rsidRPr="00ED26A4">
        <w:rPr>
          <w:rFonts w:ascii="Arial" w:hAnsi="Arial" w:cs="Arial"/>
          <w:sz w:val="24"/>
          <w:szCs w:val="24"/>
        </w:rPr>
        <w:t>changes in other services.</w:t>
      </w:r>
      <w:r w:rsidR="00A162A9">
        <w:rPr>
          <w:rFonts w:ascii="Arial" w:hAnsi="Arial" w:cs="Arial"/>
          <w:sz w:val="24"/>
          <w:szCs w:val="24"/>
        </w:rPr>
        <w:t xml:space="preserve">  At that point, Parent requested that NHCS support Student’s placement in a substantially-separate language-based program.  </w:t>
      </w:r>
    </w:p>
    <w:p w:rsidR="00A162A9" w:rsidRDefault="00A162A9" w:rsidP="00A162A9">
      <w:pPr>
        <w:pStyle w:val="ListParagraph"/>
        <w:ind w:left="1080"/>
        <w:rPr>
          <w:rFonts w:ascii="Arial" w:hAnsi="Arial" w:cs="Arial"/>
          <w:sz w:val="24"/>
          <w:szCs w:val="24"/>
        </w:rPr>
      </w:pPr>
    </w:p>
    <w:p w:rsidR="00A162A9" w:rsidRDefault="008A7CA1" w:rsidP="00ED26A4">
      <w:pPr>
        <w:pStyle w:val="ListParagraph"/>
        <w:numPr>
          <w:ilvl w:val="0"/>
          <w:numId w:val="5"/>
        </w:numPr>
        <w:rPr>
          <w:rFonts w:ascii="Arial" w:hAnsi="Arial" w:cs="Arial"/>
          <w:sz w:val="24"/>
          <w:szCs w:val="24"/>
        </w:rPr>
      </w:pPr>
      <w:r>
        <w:rPr>
          <w:rFonts w:ascii="Arial" w:hAnsi="Arial" w:cs="Arial"/>
          <w:sz w:val="24"/>
          <w:szCs w:val="24"/>
        </w:rPr>
        <w:t>In April and May of</w:t>
      </w:r>
      <w:r w:rsidR="00A162A9">
        <w:rPr>
          <w:rFonts w:ascii="Arial" w:hAnsi="Arial" w:cs="Arial"/>
          <w:sz w:val="24"/>
          <w:szCs w:val="24"/>
        </w:rPr>
        <w:t xml:space="preserve"> 2018, Student underwent a private educational evaluation and classroom observation.  The evaluator concluded that Student’s progress in her program at NHCS was “extremely slow,” and recommended Student’s placement in a language-based program for all academic instruction, with peers with similar learning needs and levels.  </w:t>
      </w:r>
      <w:r w:rsidR="00764E9F">
        <w:rPr>
          <w:rFonts w:ascii="Arial" w:hAnsi="Arial" w:cs="Arial"/>
          <w:sz w:val="24"/>
          <w:szCs w:val="24"/>
        </w:rPr>
        <w:t xml:space="preserve">The record does not indicate </w:t>
      </w:r>
      <w:r w:rsidR="008A12AE">
        <w:rPr>
          <w:rFonts w:ascii="Arial" w:hAnsi="Arial" w:cs="Arial"/>
          <w:sz w:val="24"/>
          <w:szCs w:val="24"/>
        </w:rPr>
        <w:t xml:space="preserve">whether or </w:t>
      </w:r>
      <w:r w:rsidR="00764E9F">
        <w:rPr>
          <w:rFonts w:ascii="Arial" w:hAnsi="Arial" w:cs="Arial"/>
          <w:sz w:val="24"/>
          <w:szCs w:val="24"/>
        </w:rPr>
        <w:t xml:space="preserve">when this evaluation was made available to, or considered by, the NHCS Team.  </w:t>
      </w:r>
    </w:p>
    <w:p w:rsidR="00ED26A4" w:rsidRPr="00ED26A4" w:rsidRDefault="00ED26A4" w:rsidP="00ED26A4">
      <w:pPr>
        <w:pStyle w:val="ListParagraph"/>
        <w:ind w:left="1080"/>
        <w:rPr>
          <w:rFonts w:ascii="Arial" w:hAnsi="Arial" w:cs="Arial"/>
          <w:sz w:val="24"/>
          <w:szCs w:val="24"/>
        </w:rPr>
      </w:pPr>
    </w:p>
    <w:p w:rsidR="00F22389" w:rsidRDefault="00ED26A4" w:rsidP="00DB7E88">
      <w:pPr>
        <w:pStyle w:val="ListParagraph"/>
        <w:numPr>
          <w:ilvl w:val="0"/>
          <w:numId w:val="5"/>
        </w:numPr>
        <w:rPr>
          <w:rFonts w:ascii="Arial" w:hAnsi="Arial" w:cs="Arial"/>
          <w:sz w:val="24"/>
          <w:szCs w:val="24"/>
        </w:rPr>
      </w:pPr>
      <w:r w:rsidRPr="00ED26A4">
        <w:rPr>
          <w:rFonts w:ascii="Arial" w:hAnsi="Arial" w:cs="Arial"/>
          <w:sz w:val="24"/>
          <w:szCs w:val="24"/>
        </w:rPr>
        <w:t xml:space="preserve">In June 2018, the Student’s Team met to discuss the rejected portions of the IEP </w:t>
      </w:r>
      <w:r w:rsidR="00764E9F">
        <w:rPr>
          <w:rFonts w:ascii="Arial" w:hAnsi="Arial" w:cs="Arial"/>
          <w:sz w:val="24"/>
          <w:szCs w:val="24"/>
        </w:rPr>
        <w:t>covering November 2017 to November 2018</w:t>
      </w:r>
      <w:r w:rsidRPr="00ED26A4">
        <w:rPr>
          <w:rFonts w:ascii="Arial" w:hAnsi="Arial" w:cs="Arial"/>
          <w:sz w:val="24"/>
          <w:szCs w:val="24"/>
        </w:rPr>
        <w:t xml:space="preserve">.  A representative from Boston attended the meeting.  </w:t>
      </w:r>
      <w:r w:rsidR="00722BC3">
        <w:rPr>
          <w:rFonts w:ascii="Arial" w:hAnsi="Arial" w:cs="Arial"/>
          <w:sz w:val="24"/>
          <w:szCs w:val="24"/>
        </w:rPr>
        <w:t xml:space="preserve">At the meeting, NHCS continued to maintain that it could meet Student’s needs. </w:t>
      </w:r>
      <w:r w:rsidR="00764E9F">
        <w:rPr>
          <w:rFonts w:ascii="Arial" w:hAnsi="Arial" w:cs="Arial"/>
          <w:sz w:val="24"/>
          <w:szCs w:val="24"/>
        </w:rPr>
        <w:t xml:space="preserve">As stated above, the parties’ submissions </w:t>
      </w:r>
      <w:r w:rsidR="00764E9F">
        <w:rPr>
          <w:rFonts w:ascii="Arial" w:hAnsi="Arial" w:cs="Arial"/>
          <w:sz w:val="24"/>
          <w:szCs w:val="24"/>
        </w:rPr>
        <w:lastRenderedPageBreak/>
        <w:t xml:space="preserve">do not disclose whether the Team considered the private evaluation referred to above. </w:t>
      </w:r>
      <w:r w:rsidR="00722BC3">
        <w:rPr>
          <w:rFonts w:ascii="Arial" w:hAnsi="Arial" w:cs="Arial"/>
          <w:sz w:val="24"/>
          <w:szCs w:val="24"/>
        </w:rPr>
        <w:t xml:space="preserve"> </w:t>
      </w:r>
    </w:p>
    <w:p w:rsidR="008A12AE" w:rsidRPr="00DB7E88" w:rsidRDefault="008A12AE" w:rsidP="008A12AE">
      <w:pPr>
        <w:pStyle w:val="ListParagraph"/>
        <w:ind w:left="1080"/>
        <w:rPr>
          <w:rFonts w:ascii="Arial" w:hAnsi="Arial" w:cs="Arial"/>
          <w:sz w:val="24"/>
          <w:szCs w:val="24"/>
        </w:rPr>
      </w:pPr>
    </w:p>
    <w:p w:rsidR="00A162A9" w:rsidRDefault="00764E9F" w:rsidP="00A162A9">
      <w:pPr>
        <w:pStyle w:val="ListParagraph"/>
        <w:numPr>
          <w:ilvl w:val="0"/>
          <w:numId w:val="5"/>
        </w:numPr>
        <w:rPr>
          <w:rFonts w:ascii="Arial" w:hAnsi="Arial" w:cs="Arial"/>
          <w:sz w:val="24"/>
          <w:szCs w:val="24"/>
        </w:rPr>
      </w:pPr>
      <w:r w:rsidRPr="00E7394E">
        <w:rPr>
          <w:rFonts w:ascii="Arial" w:hAnsi="Arial" w:cs="Arial"/>
          <w:sz w:val="24"/>
          <w:szCs w:val="24"/>
        </w:rPr>
        <w:t xml:space="preserve">In a letter dated </w:t>
      </w:r>
      <w:r w:rsidR="00ED26A4" w:rsidRPr="00E7394E">
        <w:rPr>
          <w:rFonts w:ascii="Arial" w:hAnsi="Arial" w:cs="Arial"/>
          <w:sz w:val="24"/>
          <w:szCs w:val="24"/>
        </w:rPr>
        <w:t>August 10, 2018, Parent</w:t>
      </w:r>
      <w:r w:rsidR="00722BC3" w:rsidRPr="00E7394E">
        <w:rPr>
          <w:rFonts w:ascii="Arial" w:hAnsi="Arial" w:cs="Arial"/>
          <w:sz w:val="24"/>
          <w:szCs w:val="24"/>
        </w:rPr>
        <w:t xml:space="preserve"> </w:t>
      </w:r>
      <w:r w:rsidRPr="00E7394E">
        <w:rPr>
          <w:rFonts w:ascii="Arial" w:hAnsi="Arial" w:cs="Arial"/>
          <w:sz w:val="24"/>
          <w:szCs w:val="24"/>
        </w:rPr>
        <w:t>stated that she “revoke[d] any acceptance of [Student’s] most recent IEP,”</w:t>
      </w:r>
      <w:r w:rsidR="00E7394E">
        <w:rPr>
          <w:rStyle w:val="FootnoteReference"/>
          <w:rFonts w:ascii="Arial" w:hAnsi="Arial" w:cs="Arial"/>
          <w:sz w:val="24"/>
          <w:szCs w:val="24"/>
        </w:rPr>
        <w:footnoteReference w:id="8"/>
      </w:r>
      <w:r w:rsidRPr="00E7394E">
        <w:rPr>
          <w:rFonts w:ascii="Arial" w:hAnsi="Arial" w:cs="Arial"/>
          <w:sz w:val="24"/>
          <w:szCs w:val="24"/>
        </w:rPr>
        <w:t xml:space="preserve"> and that Student “will not be attending [NHCS] for the 2018-2019 school year.  Instead, [Student] will be attending Learning Prep School in Newton, Mass.”  </w:t>
      </w:r>
      <w:r w:rsidR="00E7394E" w:rsidRPr="00E7394E">
        <w:rPr>
          <w:rFonts w:ascii="Arial" w:hAnsi="Arial" w:cs="Arial"/>
          <w:sz w:val="24"/>
          <w:szCs w:val="24"/>
        </w:rPr>
        <w:t xml:space="preserve">Parent’s letter further stated: “I request that [NHCS] and/or Boston Public Schools support [Student’s] placement at Learning Prep through an appropriate IEP, as well as funding tuition and providing transportation for the 2018-2019 school year…”  </w:t>
      </w:r>
    </w:p>
    <w:p w:rsidR="00E7394E" w:rsidRPr="00E7394E" w:rsidRDefault="00E7394E" w:rsidP="00E7394E">
      <w:pPr>
        <w:pStyle w:val="ListParagraph"/>
        <w:ind w:left="1080"/>
        <w:rPr>
          <w:rFonts w:ascii="Arial" w:hAnsi="Arial" w:cs="Arial"/>
          <w:sz w:val="24"/>
          <w:szCs w:val="24"/>
        </w:rPr>
      </w:pPr>
    </w:p>
    <w:p w:rsidR="00722BC3" w:rsidRDefault="00ED26A4" w:rsidP="00722BC3">
      <w:pPr>
        <w:pStyle w:val="ListParagraph"/>
        <w:numPr>
          <w:ilvl w:val="0"/>
          <w:numId w:val="5"/>
        </w:numPr>
        <w:rPr>
          <w:rFonts w:ascii="Arial" w:hAnsi="Arial" w:cs="Arial"/>
          <w:sz w:val="24"/>
          <w:szCs w:val="24"/>
        </w:rPr>
      </w:pPr>
      <w:r w:rsidRPr="004146EE">
        <w:rPr>
          <w:rFonts w:ascii="Arial" w:hAnsi="Arial" w:cs="Arial"/>
          <w:sz w:val="24"/>
          <w:szCs w:val="24"/>
        </w:rPr>
        <w:t xml:space="preserve">On or about August 17, 2018, </w:t>
      </w:r>
      <w:r w:rsidR="00A162A9" w:rsidRPr="004146EE">
        <w:rPr>
          <w:rFonts w:ascii="Arial" w:hAnsi="Arial" w:cs="Arial"/>
          <w:sz w:val="24"/>
          <w:szCs w:val="24"/>
        </w:rPr>
        <w:t xml:space="preserve">two months after the Team meeting </w:t>
      </w:r>
      <w:r w:rsidR="00E7394E" w:rsidRPr="004146EE">
        <w:rPr>
          <w:rFonts w:ascii="Arial" w:hAnsi="Arial" w:cs="Arial"/>
          <w:sz w:val="24"/>
          <w:szCs w:val="24"/>
        </w:rPr>
        <w:t xml:space="preserve">of June 2018 </w:t>
      </w:r>
      <w:r w:rsidR="00A162A9" w:rsidRPr="004146EE">
        <w:rPr>
          <w:rFonts w:ascii="Arial" w:hAnsi="Arial" w:cs="Arial"/>
          <w:sz w:val="24"/>
          <w:szCs w:val="24"/>
        </w:rPr>
        <w:t xml:space="preserve">and </w:t>
      </w:r>
      <w:r w:rsidRPr="004146EE">
        <w:rPr>
          <w:rFonts w:ascii="Arial" w:hAnsi="Arial" w:cs="Arial"/>
          <w:sz w:val="24"/>
          <w:szCs w:val="24"/>
        </w:rPr>
        <w:t>approximately one week after Parent</w:t>
      </w:r>
      <w:r w:rsidR="00E7394E" w:rsidRPr="004146EE">
        <w:rPr>
          <w:rFonts w:ascii="Arial" w:hAnsi="Arial" w:cs="Arial"/>
          <w:sz w:val="24"/>
          <w:szCs w:val="24"/>
        </w:rPr>
        <w:t xml:space="preserve">’s letter notifying NHCS of </w:t>
      </w:r>
      <w:r w:rsidRPr="004146EE">
        <w:rPr>
          <w:rFonts w:ascii="Arial" w:hAnsi="Arial" w:cs="Arial"/>
          <w:sz w:val="24"/>
          <w:szCs w:val="24"/>
        </w:rPr>
        <w:t>her intent to unilaterally p</w:t>
      </w:r>
      <w:r w:rsidR="00A162A9" w:rsidRPr="004146EE">
        <w:rPr>
          <w:rFonts w:ascii="Arial" w:hAnsi="Arial" w:cs="Arial"/>
          <w:sz w:val="24"/>
          <w:szCs w:val="24"/>
        </w:rPr>
        <w:t>lace Student at Learning Prep</w:t>
      </w:r>
      <w:r w:rsidR="008A12AE">
        <w:rPr>
          <w:rFonts w:ascii="Arial" w:hAnsi="Arial" w:cs="Arial"/>
          <w:sz w:val="24"/>
          <w:szCs w:val="24"/>
        </w:rPr>
        <w:t>.</w:t>
      </w:r>
      <w:r w:rsidR="00A162A9" w:rsidRPr="004146EE">
        <w:rPr>
          <w:rFonts w:ascii="Arial" w:hAnsi="Arial" w:cs="Arial"/>
          <w:sz w:val="24"/>
          <w:szCs w:val="24"/>
        </w:rPr>
        <w:t xml:space="preserve">, </w:t>
      </w:r>
      <w:r w:rsidRPr="004146EE">
        <w:rPr>
          <w:rFonts w:ascii="Arial" w:hAnsi="Arial" w:cs="Arial"/>
          <w:sz w:val="24"/>
          <w:szCs w:val="24"/>
        </w:rPr>
        <w:t>NHCS issued an</w:t>
      </w:r>
      <w:r w:rsidR="008A12AE">
        <w:rPr>
          <w:rFonts w:ascii="Arial" w:hAnsi="Arial" w:cs="Arial"/>
          <w:sz w:val="24"/>
          <w:szCs w:val="24"/>
        </w:rPr>
        <w:t xml:space="preserve"> </w:t>
      </w:r>
      <w:r w:rsidRPr="004146EE">
        <w:rPr>
          <w:rFonts w:ascii="Arial" w:hAnsi="Arial" w:cs="Arial"/>
          <w:sz w:val="24"/>
          <w:szCs w:val="24"/>
        </w:rPr>
        <w:t>IEP</w:t>
      </w:r>
      <w:r w:rsidR="00722BC3" w:rsidRPr="004146EE">
        <w:rPr>
          <w:rFonts w:ascii="Arial" w:hAnsi="Arial" w:cs="Arial"/>
          <w:sz w:val="24"/>
          <w:szCs w:val="24"/>
        </w:rPr>
        <w:t xml:space="preserve"> covering the period June 2018 – June 2019 which </w:t>
      </w:r>
      <w:r w:rsidRPr="004146EE">
        <w:rPr>
          <w:rFonts w:ascii="Arial" w:hAnsi="Arial" w:cs="Arial"/>
          <w:sz w:val="24"/>
          <w:szCs w:val="24"/>
        </w:rPr>
        <w:t>propos</w:t>
      </w:r>
      <w:r w:rsidR="00722BC3" w:rsidRPr="004146EE">
        <w:rPr>
          <w:rFonts w:ascii="Arial" w:hAnsi="Arial" w:cs="Arial"/>
          <w:sz w:val="24"/>
          <w:szCs w:val="24"/>
        </w:rPr>
        <w:t>ed</w:t>
      </w:r>
      <w:r w:rsidRPr="004146EE">
        <w:rPr>
          <w:rFonts w:ascii="Arial" w:hAnsi="Arial" w:cs="Arial"/>
          <w:sz w:val="24"/>
          <w:szCs w:val="24"/>
        </w:rPr>
        <w:t xml:space="preserve"> a full-inclusion placement within NHCS for the 2018-2019 school </w:t>
      </w:r>
      <w:proofErr w:type="gramStart"/>
      <w:r w:rsidRPr="004146EE">
        <w:rPr>
          <w:rFonts w:ascii="Arial" w:hAnsi="Arial" w:cs="Arial"/>
          <w:sz w:val="24"/>
          <w:szCs w:val="24"/>
        </w:rPr>
        <w:t>year</w:t>
      </w:r>
      <w:proofErr w:type="gramEnd"/>
      <w:r w:rsidRPr="004146EE">
        <w:rPr>
          <w:rFonts w:ascii="Arial" w:hAnsi="Arial" w:cs="Arial"/>
          <w:sz w:val="24"/>
          <w:szCs w:val="24"/>
        </w:rPr>
        <w:t xml:space="preserve">.  </w:t>
      </w:r>
    </w:p>
    <w:p w:rsidR="004146EE" w:rsidRPr="004146EE" w:rsidRDefault="004146EE" w:rsidP="004146EE">
      <w:pPr>
        <w:pStyle w:val="ListParagraph"/>
        <w:ind w:left="1080"/>
        <w:rPr>
          <w:rFonts w:ascii="Arial" w:hAnsi="Arial" w:cs="Arial"/>
          <w:sz w:val="24"/>
          <w:szCs w:val="24"/>
        </w:rPr>
      </w:pPr>
    </w:p>
    <w:p w:rsidR="00AE1B11" w:rsidRDefault="00722BC3" w:rsidP="00AE1B11">
      <w:pPr>
        <w:pStyle w:val="ListParagraph"/>
        <w:numPr>
          <w:ilvl w:val="0"/>
          <w:numId w:val="5"/>
        </w:numPr>
        <w:rPr>
          <w:rFonts w:ascii="Arial" w:hAnsi="Arial" w:cs="Arial"/>
          <w:sz w:val="24"/>
          <w:szCs w:val="24"/>
        </w:rPr>
      </w:pPr>
      <w:r>
        <w:rPr>
          <w:rFonts w:ascii="Arial" w:hAnsi="Arial" w:cs="Arial"/>
          <w:sz w:val="24"/>
          <w:szCs w:val="24"/>
        </w:rPr>
        <w:t>O</w:t>
      </w:r>
      <w:r w:rsidR="00AE1B11">
        <w:rPr>
          <w:rFonts w:ascii="Arial" w:hAnsi="Arial" w:cs="Arial"/>
          <w:sz w:val="24"/>
          <w:szCs w:val="24"/>
        </w:rPr>
        <w:t xml:space="preserve">n August 29, 2018, NHCS convened a Team meeting to discuss </w:t>
      </w:r>
      <w:r w:rsidR="00B67F5D">
        <w:rPr>
          <w:rFonts w:ascii="Arial" w:hAnsi="Arial" w:cs="Arial"/>
          <w:sz w:val="24"/>
          <w:szCs w:val="24"/>
        </w:rPr>
        <w:t>Parent’s</w:t>
      </w:r>
      <w:r w:rsidR="00AE1B11">
        <w:rPr>
          <w:rFonts w:ascii="Arial" w:hAnsi="Arial" w:cs="Arial"/>
          <w:sz w:val="24"/>
          <w:szCs w:val="24"/>
        </w:rPr>
        <w:t xml:space="preserve"> notice of unilateral placement.  At this meeting, NHCS informed Parent that it would not fund </w:t>
      </w:r>
      <w:r w:rsidR="008A12AE">
        <w:rPr>
          <w:rFonts w:ascii="Arial" w:hAnsi="Arial" w:cs="Arial"/>
          <w:sz w:val="24"/>
          <w:szCs w:val="24"/>
        </w:rPr>
        <w:t>an out-of-district</w:t>
      </w:r>
      <w:r w:rsidR="00AE1B11">
        <w:rPr>
          <w:rFonts w:ascii="Arial" w:hAnsi="Arial" w:cs="Arial"/>
          <w:sz w:val="24"/>
          <w:szCs w:val="24"/>
        </w:rPr>
        <w:t xml:space="preserve"> placement because Student was not enrolled in NHCS, and suggested that Parent enroll Student in BPS, which had been invited to the meeting, since BPS was Student’s district of residence.  </w:t>
      </w:r>
    </w:p>
    <w:p w:rsidR="00AE1B11" w:rsidRDefault="00AE1B11" w:rsidP="00AE1B11">
      <w:pPr>
        <w:pStyle w:val="ListParagraph"/>
        <w:ind w:left="1080"/>
        <w:rPr>
          <w:rFonts w:ascii="Arial" w:hAnsi="Arial" w:cs="Arial"/>
          <w:sz w:val="24"/>
          <w:szCs w:val="24"/>
        </w:rPr>
      </w:pPr>
    </w:p>
    <w:p w:rsidR="00AE1B11" w:rsidRDefault="00AE1B11" w:rsidP="00AE1B11">
      <w:pPr>
        <w:pStyle w:val="ListParagraph"/>
        <w:numPr>
          <w:ilvl w:val="0"/>
          <w:numId w:val="5"/>
        </w:numPr>
        <w:rPr>
          <w:rFonts w:ascii="Arial" w:hAnsi="Arial" w:cs="Arial"/>
          <w:sz w:val="24"/>
          <w:szCs w:val="24"/>
        </w:rPr>
      </w:pPr>
      <w:r>
        <w:rPr>
          <w:rFonts w:ascii="Arial" w:hAnsi="Arial" w:cs="Arial"/>
          <w:sz w:val="24"/>
          <w:szCs w:val="24"/>
        </w:rPr>
        <w:t>On the same date as the Team meeting, August 29, 2019, Parent rejected the IEP issued by NHCS on August 17, 2019.  Parent gave notice of such rejection to</w:t>
      </w:r>
      <w:r w:rsidR="00B67F5D">
        <w:rPr>
          <w:rFonts w:ascii="Arial" w:hAnsi="Arial" w:cs="Arial"/>
          <w:sz w:val="24"/>
          <w:szCs w:val="24"/>
        </w:rPr>
        <w:t xml:space="preserve"> both NHCS and</w:t>
      </w:r>
      <w:r>
        <w:rPr>
          <w:rFonts w:ascii="Arial" w:hAnsi="Arial" w:cs="Arial"/>
          <w:sz w:val="24"/>
          <w:szCs w:val="24"/>
        </w:rPr>
        <w:t xml:space="preserve"> BPS.  </w:t>
      </w:r>
    </w:p>
    <w:p w:rsidR="00AE1B11" w:rsidRDefault="00AE1B11" w:rsidP="00AE1B11">
      <w:pPr>
        <w:pStyle w:val="ListParagraph"/>
        <w:ind w:left="1080"/>
        <w:rPr>
          <w:rFonts w:ascii="Arial" w:hAnsi="Arial" w:cs="Arial"/>
          <w:sz w:val="24"/>
          <w:szCs w:val="24"/>
        </w:rPr>
      </w:pPr>
    </w:p>
    <w:p w:rsidR="000B155C" w:rsidRPr="00AE1B11" w:rsidRDefault="00722BC3" w:rsidP="00AE1B11">
      <w:pPr>
        <w:pStyle w:val="ListParagraph"/>
        <w:numPr>
          <w:ilvl w:val="0"/>
          <w:numId w:val="5"/>
        </w:numPr>
        <w:rPr>
          <w:rFonts w:ascii="Arial" w:hAnsi="Arial" w:cs="Arial"/>
          <w:sz w:val="24"/>
          <w:szCs w:val="24"/>
        </w:rPr>
      </w:pPr>
      <w:r w:rsidRPr="00AE1B11">
        <w:rPr>
          <w:rFonts w:ascii="Arial" w:hAnsi="Arial" w:cs="Arial"/>
          <w:sz w:val="24"/>
          <w:szCs w:val="24"/>
        </w:rPr>
        <w:t xml:space="preserve"> </w:t>
      </w:r>
      <w:r w:rsidR="00AE1B11">
        <w:rPr>
          <w:rFonts w:ascii="Arial" w:hAnsi="Arial" w:cs="Arial"/>
          <w:sz w:val="24"/>
          <w:szCs w:val="24"/>
        </w:rPr>
        <w:t>Neither NHCS nor BPS has proposed an IEP or amendment since the NHCS IEP covering June 2018 – June 2019.  To date, Parent has not enrolled Student in BPS.</w:t>
      </w:r>
    </w:p>
    <w:p w:rsidR="00931125" w:rsidRPr="00931125" w:rsidRDefault="00931125" w:rsidP="00931125">
      <w:pPr>
        <w:pStyle w:val="ListParagraph"/>
        <w:ind w:left="1080"/>
        <w:rPr>
          <w:rFonts w:ascii="Arial" w:hAnsi="Arial" w:cs="Arial"/>
          <w:sz w:val="24"/>
          <w:szCs w:val="24"/>
        </w:rPr>
      </w:pPr>
    </w:p>
    <w:p w:rsidR="00ED26A4" w:rsidRPr="00ED26A4" w:rsidRDefault="000B155C" w:rsidP="00742BE5">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 In December 2018, Student underwent a private neuropsychological evaluat</w:t>
      </w:r>
      <w:r w:rsidR="00931125">
        <w:rPr>
          <w:rFonts w:ascii="Arial" w:eastAsia="Times New Roman" w:hAnsi="Arial" w:cs="Arial"/>
          <w:sz w:val="24"/>
          <w:szCs w:val="24"/>
        </w:rPr>
        <w:t xml:space="preserve">ion with Jeffrey </w:t>
      </w:r>
      <w:proofErr w:type="spellStart"/>
      <w:r w:rsidR="00931125">
        <w:rPr>
          <w:rFonts w:ascii="Arial" w:eastAsia="Times New Roman" w:hAnsi="Arial" w:cs="Arial"/>
          <w:sz w:val="24"/>
          <w:szCs w:val="24"/>
        </w:rPr>
        <w:t>Drayer</w:t>
      </w:r>
      <w:proofErr w:type="spellEnd"/>
      <w:r w:rsidR="00931125">
        <w:rPr>
          <w:rFonts w:ascii="Arial" w:eastAsia="Times New Roman" w:hAnsi="Arial" w:cs="Arial"/>
          <w:sz w:val="24"/>
          <w:szCs w:val="24"/>
        </w:rPr>
        <w:t>, Ph.D., who, l</w:t>
      </w:r>
      <w:r>
        <w:rPr>
          <w:rFonts w:ascii="Arial" w:eastAsia="Times New Roman" w:hAnsi="Arial" w:cs="Arial"/>
          <w:sz w:val="24"/>
          <w:szCs w:val="24"/>
        </w:rPr>
        <w:t xml:space="preserve">ike prior evaluators, </w:t>
      </w:r>
      <w:r w:rsidR="00360CFF">
        <w:rPr>
          <w:rFonts w:ascii="Arial" w:eastAsia="Times New Roman" w:hAnsi="Arial" w:cs="Arial"/>
          <w:sz w:val="24"/>
          <w:szCs w:val="24"/>
        </w:rPr>
        <w:t xml:space="preserve">recommended placement in a substantially-separate language-based program across all academic subject areas.  </w:t>
      </w:r>
      <w:r>
        <w:rPr>
          <w:rFonts w:ascii="Arial" w:eastAsia="Times New Roman" w:hAnsi="Arial" w:cs="Arial"/>
          <w:sz w:val="24"/>
          <w:szCs w:val="24"/>
        </w:rPr>
        <w:t xml:space="preserve"> </w:t>
      </w:r>
    </w:p>
    <w:p w:rsidR="004E4392" w:rsidRPr="004E4392" w:rsidRDefault="004E4392" w:rsidP="004E4392">
      <w:pPr>
        <w:spacing w:after="0" w:line="240" w:lineRule="auto"/>
        <w:rPr>
          <w:rFonts w:ascii="Arial" w:eastAsia="Times New Roman" w:hAnsi="Arial" w:cs="Arial"/>
          <w:sz w:val="24"/>
          <w:szCs w:val="24"/>
        </w:rPr>
      </w:pPr>
    </w:p>
    <w:p w:rsidR="00360CFF" w:rsidRDefault="00360CFF" w:rsidP="0046104E">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Parent delivered a copy of Dr. </w:t>
      </w:r>
      <w:proofErr w:type="spellStart"/>
      <w:r>
        <w:rPr>
          <w:rFonts w:ascii="Arial" w:eastAsia="Times New Roman" w:hAnsi="Arial" w:cs="Arial"/>
          <w:sz w:val="24"/>
          <w:szCs w:val="24"/>
        </w:rPr>
        <w:t>Drayer’s</w:t>
      </w:r>
      <w:proofErr w:type="spellEnd"/>
      <w:r>
        <w:rPr>
          <w:rFonts w:ascii="Arial" w:eastAsia="Times New Roman" w:hAnsi="Arial" w:cs="Arial"/>
          <w:sz w:val="24"/>
          <w:szCs w:val="24"/>
        </w:rPr>
        <w:t xml:space="preserve"> report to</w:t>
      </w:r>
      <w:r w:rsidR="00931125">
        <w:rPr>
          <w:rFonts w:ascii="Arial" w:eastAsia="Times New Roman" w:hAnsi="Arial" w:cs="Arial"/>
          <w:sz w:val="24"/>
          <w:szCs w:val="24"/>
        </w:rPr>
        <w:t xml:space="preserve"> NHCS on February 25, 2019, but</w:t>
      </w:r>
      <w:r>
        <w:rPr>
          <w:rFonts w:ascii="Arial" w:eastAsia="Times New Roman" w:hAnsi="Arial" w:cs="Arial"/>
          <w:sz w:val="24"/>
          <w:szCs w:val="24"/>
        </w:rPr>
        <w:t xml:space="preserve"> NHCS has not convened Student’s </w:t>
      </w:r>
      <w:r w:rsidR="00931125">
        <w:rPr>
          <w:rFonts w:ascii="Arial" w:eastAsia="Times New Roman" w:hAnsi="Arial" w:cs="Arial"/>
          <w:sz w:val="24"/>
          <w:szCs w:val="24"/>
        </w:rPr>
        <w:t>IEP Team to consider the report, contending that it has no obligation to do so because Student is no longer enrolled in NHCS.</w:t>
      </w:r>
    </w:p>
    <w:p w:rsidR="00360CFF" w:rsidRDefault="00360CFF" w:rsidP="00360CFF">
      <w:pPr>
        <w:pStyle w:val="ListParagraph"/>
        <w:spacing w:after="0" w:line="240" w:lineRule="auto"/>
        <w:ind w:left="1080"/>
        <w:rPr>
          <w:rFonts w:ascii="Arial" w:eastAsia="Times New Roman" w:hAnsi="Arial" w:cs="Arial"/>
          <w:sz w:val="24"/>
          <w:szCs w:val="24"/>
        </w:rPr>
      </w:pPr>
    </w:p>
    <w:p w:rsidR="0071446A" w:rsidRDefault="00360CFF" w:rsidP="00360CFF">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Meanwhile, Student continued her placement at Learning Prep for the 2018-2019 school </w:t>
      </w:r>
      <w:proofErr w:type="gramStart"/>
      <w:r>
        <w:rPr>
          <w:rFonts w:ascii="Arial" w:eastAsia="Times New Roman" w:hAnsi="Arial" w:cs="Arial"/>
          <w:sz w:val="24"/>
          <w:szCs w:val="24"/>
        </w:rPr>
        <w:t>year</w:t>
      </w:r>
      <w:proofErr w:type="gramEnd"/>
      <w:r>
        <w:rPr>
          <w:rFonts w:ascii="Arial" w:eastAsia="Times New Roman" w:hAnsi="Arial" w:cs="Arial"/>
          <w:sz w:val="24"/>
          <w:szCs w:val="24"/>
        </w:rPr>
        <w:t xml:space="preserve">.    </w:t>
      </w:r>
    </w:p>
    <w:p w:rsidR="00605786" w:rsidRPr="00605786" w:rsidRDefault="00605786" w:rsidP="00605786">
      <w:pPr>
        <w:spacing w:after="0" w:line="240" w:lineRule="auto"/>
        <w:ind w:left="720"/>
        <w:rPr>
          <w:rFonts w:ascii="Arial" w:eastAsia="Times New Roman" w:hAnsi="Arial" w:cs="Arial"/>
          <w:sz w:val="24"/>
          <w:szCs w:val="24"/>
        </w:rPr>
      </w:pPr>
    </w:p>
    <w:p w:rsidR="00E80350" w:rsidRPr="007D3428" w:rsidRDefault="007D3428" w:rsidP="007D3428">
      <w:pPr>
        <w:spacing w:after="0" w:line="240" w:lineRule="auto"/>
        <w:rPr>
          <w:rFonts w:ascii="Arial" w:eastAsia="Times New Roman" w:hAnsi="Arial" w:cs="Arial"/>
          <w:b/>
          <w:sz w:val="24"/>
          <w:szCs w:val="24"/>
        </w:rPr>
      </w:pPr>
      <w:r w:rsidRPr="007D3428">
        <w:rPr>
          <w:rFonts w:ascii="Arial" w:eastAsia="Times New Roman" w:hAnsi="Arial" w:cs="Arial"/>
          <w:b/>
          <w:sz w:val="24"/>
          <w:szCs w:val="24"/>
        </w:rPr>
        <w:t>III</w:t>
      </w:r>
      <w:proofErr w:type="gramStart"/>
      <w:r w:rsidRPr="007D3428">
        <w:rPr>
          <w:rFonts w:ascii="Arial" w:eastAsia="Times New Roman" w:hAnsi="Arial" w:cs="Arial"/>
          <w:b/>
          <w:sz w:val="24"/>
          <w:szCs w:val="24"/>
        </w:rPr>
        <w:t xml:space="preserve">.  </w:t>
      </w:r>
      <w:r>
        <w:rPr>
          <w:rFonts w:ascii="Arial" w:eastAsia="Times New Roman" w:hAnsi="Arial" w:cs="Arial"/>
          <w:b/>
          <w:sz w:val="24"/>
          <w:szCs w:val="24"/>
        </w:rPr>
        <w:t>Issue</w:t>
      </w:r>
      <w:proofErr w:type="gramEnd"/>
      <w:r>
        <w:rPr>
          <w:rFonts w:ascii="Arial" w:eastAsia="Times New Roman" w:hAnsi="Arial" w:cs="Arial"/>
          <w:b/>
          <w:sz w:val="24"/>
          <w:szCs w:val="24"/>
        </w:rPr>
        <w:t xml:space="preserve"> Presented</w:t>
      </w:r>
    </w:p>
    <w:p w:rsidR="00E80350" w:rsidRDefault="00E80350" w:rsidP="00E80350">
      <w:pPr>
        <w:spacing w:after="0" w:line="240" w:lineRule="auto"/>
        <w:ind w:firstLine="720"/>
        <w:jc w:val="center"/>
        <w:rPr>
          <w:rFonts w:ascii="Arial" w:eastAsia="Times New Roman" w:hAnsi="Arial" w:cs="Arial"/>
          <w:b/>
          <w:sz w:val="24"/>
          <w:szCs w:val="24"/>
          <w:u w:val="single"/>
        </w:rPr>
      </w:pPr>
    </w:p>
    <w:p w:rsidR="003C6F17" w:rsidRPr="009D3DAC" w:rsidRDefault="00BB1306" w:rsidP="009D3DAC">
      <w:pPr>
        <w:spacing w:after="0" w:line="240" w:lineRule="auto"/>
        <w:ind w:firstLine="360"/>
        <w:rPr>
          <w:rFonts w:ascii="Arial" w:eastAsia="Times New Roman" w:hAnsi="Arial" w:cs="Arial"/>
          <w:sz w:val="24"/>
          <w:szCs w:val="24"/>
        </w:rPr>
      </w:pPr>
      <w:r>
        <w:rPr>
          <w:rFonts w:ascii="Arial" w:eastAsia="Times New Roman" w:hAnsi="Arial" w:cs="Arial"/>
          <w:sz w:val="24"/>
          <w:szCs w:val="24"/>
        </w:rPr>
        <w:t>At issue is w</w:t>
      </w:r>
      <w:r w:rsidR="003C6F17" w:rsidRPr="009D3DAC">
        <w:rPr>
          <w:rFonts w:ascii="Arial" w:eastAsia="Times New Roman" w:hAnsi="Arial" w:cs="Arial"/>
          <w:sz w:val="24"/>
          <w:szCs w:val="24"/>
        </w:rPr>
        <w:t xml:space="preserve">hether </w:t>
      </w:r>
      <w:r>
        <w:rPr>
          <w:rFonts w:ascii="Arial" w:eastAsia="Times New Roman" w:hAnsi="Arial" w:cs="Arial"/>
          <w:sz w:val="24"/>
          <w:szCs w:val="24"/>
        </w:rPr>
        <w:t>Parent ha</w:t>
      </w:r>
      <w:r w:rsidR="00360CFF">
        <w:rPr>
          <w:rFonts w:ascii="Arial" w:eastAsia="Times New Roman" w:hAnsi="Arial" w:cs="Arial"/>
          <w:sz w:val="24"/>
          <w:szCs w:val="24"/>
        </w:rPr>
        <w:t>s</w:t>
      </w:r>
      <w:r>
        <w:rPr>
          <w:rFonts w:ascii="Arial" w:eastAsia="Times New Roman" w:hAnsi="Arial" w:cs="Arial"/>
          <w:sz w:val="24"/>
          <w:szCs w:val="24"/>
        </w:rPr>
        <w:t xml:space="preserve"> failed to state a claim for which relief </w:t>
      </w:r>
      <w:r w:rsidR="00605786">
        <w:rPr>
          <w:rFonts w:ascii="Arial" w:eastAsia="Times New Roman" w:hAnsi="Arial" w:cs="Arial"/>
          <w:sz w:val="24"/>
          <w:szCs w:val="24"/>
        </w:rPr>
        <w:t xml:space="preserve">may be granted on the basis that all of NHCS’ obligations for Student’s educational programming </w:t>
      </w:r>
      <w:r w:rsidR="008A7CA1">
        <w:rPr>
          <w:rFonts w:ascii="Arial" w:eastAsia="Times New Roman" w:hAnsi="Arial" w:cs="Arial"/>
          <w:sz w:val="24"/>
          <w:szCs w:val="24"/>
        </w:rPr>
        <w:t>in August</w:t>
      </w:r>
      <w:r w:rsidR="007D3428">
        <w:rPr>
          <w:rFonts w:ascii="Arial" w:eastAsia="Times New Roman" w:hAnsi="Arial" w:cs="Arial"/>
          <w:sz w:val="24"/>
          <w:szCs w:val="24"/>
        </w:rPr>
        <w:t xml:space="preserve"> 2018, when Parent unilaterally placed her at Learning Prep.</w:t>
      </w:r>
    </w:p>
    <w:p w:rsidR="003C6F17" w:rsidRDefault="003C6F17" w:rsidP="00E80350">
      <w:pPr>
        <w:spacing w:after="0" w:line="240" w:lineRule="auto"/>
        <w:ind w:firstLine="720"/>
        <w:jc w:val="center"/>
        <w:rPr>
          <w:rFonts w:ascii="Arial" w:eastAsia="Times New Roman" w:hAnsi="Arial" w:cs="Arial"/>
          <w:b/>
          <w:sz w:val="24"/>
          <w:szCs w:val="24"/>
          <w:u w:val="single"/>
        </w:rPr>
      </w:pPr>
    </w:p>
    <w:p w:rsidR="00E80350" w:rsidRDefault="007D3428" w:rsidP="007D3428">
      <w:pPr>
        <w:spacing w:after="0" w:line="240" w:lineRule="auto"/>
        <w:rPr>
          <w:rFonts w:ascii="Arial" w:eastAsia="Times New Roman" w:hAnsi="Arial" w:cs="Arial"/>
          <w:b/>
          <w:sz w:val="24"/>
          <w:szCs w:val="24"/>
          <w:u w:val="single"/>
        </w:rPr>
      </w:pPr>
      <w:r w:rsidRPr="007D3428">
        <w:rPr>
          <w:rFonts w:ascii="Arial" w:eastAsia="Times New Roman" w:hAnsi="Arial" w:cs="Arial"/>
          <w:b/>
          <w:sz w:val="24"/>
          <w:szCs w:val="24"/>
        </w:rPr>
        <w:t>IV</w:t>
      </w:r>
      <w:proofErr w:type="gramStart"/>
      <w:r w:rsidRPr="007D3428">
        <w:rPr>
          <w:rFonts w:ascii="Arial" w:eastAsia="Times New Roman" w:hAnsi="Arial" w:cs="Arial"/>
          <w:b/>
          <w:sz w:val="24"/>
          <w:szCs w:val="24"/>
        </w:rPr>
        <w:t xml:space="preserve">.  </w:t>
      </w:r>
      <w:r w:rsidR="00E80350" w:rsidRPr="007D3428">
        <w:rPr>
          <w:rFonts w:ascii="Arial" w:eastAsia="Times New Roman" w:hAnsi="Arial" w:cs="Arial"/>
          <w:b/>
          <w:sz w:val="24"/>
          <w:szCs w:val="24"/>
        </w:rPr>
        <w:t>Position</w:t>
      </w:r>
      <w:r>
        <w:rPr>
          <w:rFonts w:ascii="Arial" w:eastAsia="Times New Roman" w:hAnsi="Arial" w:cs="Arial"/>
          <w:b/>
          <w:sz w:val="24"/>
          <w:szCs w:val="24"/>
        </w:rPr>
        <w:t>s</w:t>
      </w:r>
      <w:proofErr w:type="gramEnd"/>
      <w:r>
        <w:rPr>
          <w:rFonts w:ascii="Arial" w:eastAsia="Times New Roman" w:hAnsi="Arial" w:cs="Arial"/>
          <w:b/>
          <w:sz w:val="24"/>
          <w:szCs w:val="24"/>
        </w:rPr>
        <w:t xml:space="preserve"> of the </w:t>
      </w:r>
      <w:r w:rsidR="000432C8">
        <w:rPr>
          <w:rFonts w:ascii="Arial" w:eastAsia="Times New Roman" w:hAnsi="Arial" w:cs="Arial"/>
          <w:b/>
          <w:sz w:val="24"/>
          <w:szCs w:val="24"/>
        </w:rPr>
        <w:t>P</w:t>
      </w:r>
      <w:r>
        <w:rPr>
          <w:rFonts w:ascii="Arial" w:eastAsia="Times New Roman" w:hAnsi="Arial" w:cs="Arial"/>
          <w:b/>
          <w:sz w:val="24"/>
          <w:szCs w:val="24"/>
        </w:rPr>
        <w:t>arties</w:t>
      </w:r>
    </w:p>
    <w:p w:rsidR="00E80350" w:rsidRDefault="00931125" w:rsidP="00931125">
      <w:pPr>
        <w:spacing w:after="0" w:line="240" w:lineRule="auto"/>
        <w:rPr>
          <w:rFonts w:ascii="Arial" w:eastAsia="Times New Roman" w:hAnsi="Arial" w:cs="Arial"/>
          <w:sz w:val="24"/>
          <w:szCs w:val="24"/>
        </w:rPr>
      </w:pPr>
      <w:r>
        <w:rPr>
          <w:rFonts w:ascii="Arial" w:eastAsia="Times New Roman" w:hAnsi="Arial" w:cs="Arial"/>
          <w:sz w:val="24"/>
          <w:szCs w:val="24"/>
        </w:rPr>
        <w:tab/>
      </w:r>
    </w:p>
    <w:p w:rsidR="00F00A0A" w:rsidRDefault="00AE1B11" w:rsidP="00931125">
      <w:pPr>
        <w:spacing w:after="0" w:line="240" w:lineRule="auto"/>
        <w:rPr>
          <w:rFonts w:ascii="Arial" w:eastAsia="Times New Roman" w:hAnsi="Arial" w:cs="Arial"/>
          <w:sz w:val="24"/>
          <w:szCs w:val="24"/>
        </w:rPr>
      </w:pPr>
      <w:r>
        <w:rPr>
          <w:rFonts w:ascii="Arial" w:eastAsia="Times New Roman" w:hAnsi="Arial" w:cs="Arial"/>
          <w:sz w:val="24"/>
          <w:szCs w:val="24"/>
        </w:rPr>
        <w:tab/>
      </w:r>
      <w:r w:rsidR="007D3428">
        <w:rPr>
          <w:rFonts w:ascii="Arial" w:eastAsia="Times New Roman" w:hAnsi="Arial" w:cs="Arial"/>
          <w:sz w:val="24"/>
          <w:szCs w:val="24"/>
        </w:rPr>
        <w:t>The underlying premise of NHCS</w:t>
      </w:r>
      <w:r w:rsidR="004146EE">
        <w:rPr>
          <w:rFonts w:ascii="Arial" w:eastAsia="Times New Roman" w:hAnsi="Arial" w:cs="Arial"/>
          <w:sz w:val="24"/>
          <w:szCs w:val="24"/>
        </w:rPr>
        <w:t>’</w:t>
      </w:r>
      <w:r w:rsidR="007D3428">
        <w:rPr>
          <w:rFonts w:ascii="Arial" w:eastAsia="Times New Roman" w:hAnsi="Arial" w:cs="Arial"/>
          <w:sz w:val="24"/>
          <w:szCs w:val="24"/>
        </w:rPr>
        <w:t xml:space="preserve"> </w:t>
      </w:r>
      <w:r w:rsidR="007D3428" w:rsidRPr="004146EE">
        <w:rPr>
          <w:rFonts w:ascii="Arial" w:eastAsia="Times New Roman" w:hAnsi="Arial" w:cs="Arial"/>
          <w:i/>
          <w:sz w:val="24"/>
          <w:szCs w:val="24"/>
        </w:rPr>
        <w:t>Motion to Dismiss</w:t>
      </w:r>
      <w:r w:rsidR="007D3428">
        <w:rPr>
          <w:rFonts w:ascii="Arial" w:eastAsia="Times New Roman" w:hAnsi="Arial" w:cs="Arial"/>
          <w:sz w:val="24"/>
          <w:szCs w:val="24"/>
        </w:rPr>
        <w:t xml:space="preserve"> is that its responsibility for Student terminated either upon Parent’s notification of her intent to place Student at LPS or upon her actual placement.  </w:t>
      </w:r>
      <w:r w:rsidR="00F00A0A">
        <w:rPr>
          <w:rFonts w:ascii="Arial" w:eastAsia="Times New Roman" w:hAnsi="Arial" w:cs="Arial"/>
          <w:sz w:val="24"/>
          <w:szCs w:val="24"/>
        </w:rPr>
        <w:t>NHCS argues that a</w:t>
      </w:r>
      <w:r w:rsidR="00BA2471">
        <w:rPr>
          <w:rFonts w:ascii="Arial" w:eastAsia="Times New Roman" w:hAnsi="Arial" w:cs="Arial"/>
          <w:sz w:val="24"/>
          <w:szCs w:val="24"/>
        </w:rPr>
        <w:t>ccording to the statutory and regulatory provisions governing special education obligations of charter schools</w:t>
      </w:r>
      <w:r w:rsidR="00F00A0A">
        <w:rPr>
          <w:rFonts w:ascii="Arial" w:eastAsia="Times New Roman" w:hAnsi="Arial" w:cs="Arial"/>
          <w:sz w:val="24"/>
          <w:szCs w:val="24"/>
        </w:rPr>
        <w:t>,</w:t>
      </w:r>
      <w:r w:rsidR="00BA2471">
        <w:rPr>
          <w:rFonts w:ascii="Arial" w:eastAsia="Times New Roman" w:hAnsi="Arial" w:cs="Arial"/>
          <w:sz w:val="24"/>
          <w:szCs w:val="24"/>
        </w:rPr>
        <w:t xml:space="preserve"> as interpreted by prior BSEA decisions, NHCS has no responsibility for funding Student’s private special education placement</w:t>
      </w:r>
      <w:r w:rsidR="00EB63C2">
        <w:rPr>
          <w:rFonts w:ascii="Arial" w:eastAsia="Times New Roman" w:hAnsi="Arial" w:cs="Arial"/>
          <w:sz w:val="24"/>
          <w:szCs w:val="24"/>
        </w:rPr>
        <w:t>, either retroactively or prospectively,</w:t>
      </w:r>
      <w:r w:rsidR="00BA2471">
        <w:rPr>
          <w:rFonts w:ascii="Arial" w:eastAsia="Times New Roman" w:hAnsi="Arial" w:cs="Arial"/>
          <w:sz w:val="24"/>
          <w:szCs w:val="24"/>
        </w:rPr>
        <w:t xml:space="preserve"> because Student “unenrolled” from NHCS when Parent unilaterally placed her at Learning Prep</w:t>
      </w:r>
      <w:r w:rsidR="00F00A0A">
        <w:rPr>
          <w:rFonts w:ascii="Arial" w:eastAsia="Times New Roman" w:hAnsi="Arial" w:cs="Arial"/>
          <w:sz w:val="24"/>
          <w:szCs w:val="24"/>
        </w:rPr>
        <w:t xml:space="preserve">.   </w:t>
      </w:r>
      <w:r w:rsidR="00EB63C2">
        <w:rPr>
          <w:rFonts w:ascii="Arial" w:eastAsia="Times New Roman" w:hAnsi="Arial" w:cs="Arial"/>
          <w:sz w:val="24"/>
          <w:szCs w:val="24"/>
        </w:rPr>
        <w:t xml:space="preserve">Additionally, according to NHCS, it </w:t>
      </w:r>
      <w:r w:rsidR="00F00A0A">
        <w:rPr>
          <w:rFonts w:ascii="Arial" w:eastAsia="Times New Roman" w:hAnsi="Arial" w:cs="Arial"/>
          <w:sz w:val="24"/>
          <w:szCs w:val="24"/>
        </w:rPr>
        <w:t xml:space="preserve">had no obligation to convene a Team meeting to consider Dr. </w:t>
      </w:r>
      <w:proofErr w:type="spellStart"/>
      <w:r w:rsidR="00F00A0A">
        <w:rPr>
          <w:rFonts w:ascii="Arial" w:eastAsia="Times New Roman" w:hAnsi="Arial" w:cs="Arial"/>
          <w:sz w:val="24"/>
          <w:szCs w:val="24"/>
        </w:rPr>
        <w:t>Drayer’s</w:t>
      </w:r>
      <w:proofErr w:type="spellEnd"/>
      <w:r w:rsidR="00F00A0A">
        <w:rPr>
          <w:rFonts w:ascii="Arial" w:eastAsia="Times New Roman" w:hAnsi="Arial" w:cs="Arial"/>
          <w:sz w:val="24"/>
          <w:szCs w:val="24"/>
        </w:rPr>
        <w:t xml:space="preserve"> outside evaluation of December 2018 because at that time</w:t>
      </w:r>
      <w:r w:rsidR="00EB63C2">
        <w:rPr>
          <w:rFonts w:ascii="Arial" w:eastAsia="Times New Roman" w:hAnsi="Arial" w:cs="Arial"/>
          <w:sz w:val="24"/>
          <w:szCs w:val="24"/>
        </w:rPr>
        <w:t xml:space="preserve"> the evaluation was completed and submitted to NHCS,</w:t>
      </w:r>
      <w:r w:rsidR="00F00A0A">
        <w:rPr>
          <w:rFonts w:ascii="Arial" w:eastAsia="Times New Roman" w:hAnsi="Arial" w:cs="Arial"/>
          <w:sz w:val="24"/>
          <w:szCs w:val="24"/>
        </w:rPr>
        <w:t xml:space="preserve"> S</w:t>
      </w:r>
      <w:r w:rsidR="00EB63C2">
        <w:rPr>
          <w:rFonts w:ascii="Arial" w:eastAsia="Times New Roman" w:hAnsi="Arial" w:cs="Arial"/>
          <w:sz w:val="24"/>
          <w:szCs w:val="24"/>
        </w:rPr>
        <w:t>tudent was no longer enrolled there</w:t>
      </w:r>
      <w:r w:rsidR="00F00A0A">
        <w:rPr>
          <w:rFonts w:ascii="Arial" w:eastAsia="Times New Roman" w:hAnsi="Arial" w:cs="Arial"/>
          <w:sz w:val="24"/>
          <w:szCs w:val="24"/>
        </w:rPr>
        <w:t xml:space="preserve">.   </w:t>
      </w:r>
    </w:p>
    <w:p w:rsidR="00F00A0A" w:rsidRDefault="00F00A0A" w:rsidP="00931125">
      <w:pPr>
        <w:spacing w:after="0" w:line="240" w:lineRule="auto"/>
        <w:rPr>
          <w:rFonts w:ascii="Arial" w:eastAsia="Times New Roman" w:hAnsi="Arial" w:cs="Arial"/>
          <w:sz w:val="24"/>
          <w:szCs w:val="24"/>
        </w:rPr>
      </w:pPr>
    </w:p>
    <w:p w:rsidR="00BA2471" w:rsidRPr="00605786" w:rsidRDefault="00F00A0A" w:rsidP="00F00A0A">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NHCS further </w:t>
      </w:r>
      <w:r w:rsidR="00EB63C2">
        <w:rPr>
          <w:rFonts w:ascii="Arial" w:eastAsia="Times New Roman" w:hAnsi="Arial" w:cs="Arial"/>
          <w:sz w:val="24"/>
          <w:szCs w:val="24"/>
        </w:rPr>
        <w:t>contends</w:t>
      </w:r>
      <w:r>
        <w:rPr>
          <w:rFonts w:ascii="Arial" w:eastAsia="Times New Roman" w:hAnsi="Arial" w:cs="Arial"/>
          <w:sz w:val="24"/>
          <w:szCs w:val="24"/>
        </w:rPr>
        <w:t xml:space="preserve"> that all responsibility for Student’s </w:t>
      </w:r>
      <w:r w:rsidR="00EB63C2">
        <w:rPr>
          <w:rFonts w:ascii="Arial" w:eastAsia="Times New Roman" w:hAnsi="Arial" w:cs="Arial"/>
          <w:sz w:val="24"/>
          <w:szCs w:val="24"/>
        </w:rPr>
        <w:t>special education programming</w:t>
      </w:r>
      <w:r>
        <w:rPr>
          <w:rFonts w:ascii="Arial" w:eastAsia="Times New Roman" w:hAnsi="Arial" w:cs="Arial"/>
          <w:sz w:val="24"/>
          <w:szCs w:val="24"/>
        </w:rPr>
        <w:t xml:space="preserve"> shifted to Boston upon her placement at LPS.  In support of this position, NHCS relies on MGL c. 71, §89(s) and 603 CMR 28.10(6)(a)(3), which provide that </w:t>
      </w:r>
      <w:r w:rsidR="00BA2471">
        <w:rPr>
          <w:rFonts w:ascii="Arial" w:eastAsia="Times New Roman" w:hAnsi="Arial" w:cs="Arial"/>
          <w:sz w:val="24"/>
          <w:szCs w:val="24"/>
        </w:rPr>
        <w:t xml:space="preserve">fiscal responsibility for any </w:t>
      </w:r>
      <w:r>
        <w:rPr>
          <w:rFonts w:ascii="Arial" w:eastAsia="Times New Roman" w:hAnsi="Arial" w:cs="Arial"/>
          <w:sz w:val="24"/>
          <w:szCs w:val="24"/>
        </w:rPr>
        <w:t xml:space="preserve">charter school student who is currently enrolled in, or is determined to </w:t>
      </w:r>
      <w:r w:rsidR="00BA2471">
        <w:rPr>
          <w:rFonts w:ascii="Arial" w:eastAsia="Times New Roman" w:hAnsi="Arial" w:cs="Arial"/>
          <w:sz w:val="24"/>
          <w:szCs w:val="24"/>
        </w:rPr>
        <w:t>require</w:t>
      </w:r>
      <w:r>
        <w:rPr>
          <w:rFonts w:ascii="Arial" w:eastAsia="Times New Roman" w:hAnsi="Arial" w:cs="Arial"/>
          <w:sz w:val="24"/>
          <w:szCs w:val="24"/>
        </w:rPr>
        <w:t>,</w:t>
      </w:r>
      <w:r w:rsidR="00BA2471">
        <w:rPr>
          <w:rFonts w:ascii="Arial" w:eastAsia="Times New Roman" w:hAnsi="Arial" w:cs="Arial"/>
          <w:sz w:val="24"/>
          <w:szCs w:val="24"/>
        </w:rPr>
        <w:t xml:space="preserve"> a private special education placement lies with the student’</w:t>
      </w:r>
      <w:r>
        <w:rPr>
          <w:rFonts w:ascii="Arial" w:eastAsia="Times New Roman" w:hAnsi="Arial" w:cs="Arial"/>
          <w:sz w:val="24"/>
          <w:szCs w:val="24"/>
        </w:rPr>
        <w:t xml:space="preserve">s district of residence.  </w:t>
      </w:r>
      <w:r w:rsidR="00E84E7A">
        <w:rPr>
          <w:rFonts w:ascii="Arial" w:eastAsia="Times New Roman" w:hAnsi="Arial" w:cs="Arial"/>
          <w:sz w:val="24"/>
          <w:szCs w:val="24"/>
        </w:rPr>
        <w:t xml:space="preserve"> </w:t>
      </w:r>
      <w:r w:rsidR="00BA2471">
        <w:rPr>
          <w:rFonts w:ascii="Arial" w:eastAsia="Times New Roman" w:hAnsi="Arial" w:cs="Arial"/>
          <w:sz w:val="24"/>
          <w:szCs w:val="24"/>
        </w:rPr>
        <w:t xml:space="preserve">Therefore, </w:t>
      </w:r>
      <w:r w:rsidR="00EB63C2">
        <w:rPr>
          <w:rFonts w:ascii="Arial" w:eastAsia="Times New Roman" w:hAnsi="Arial" w:cs="Arial"/>
          <w:sz w:val="24"/>
          <w:szCs w:val="24"/>
        </w:rPr>
        <w:t xml:space="preserve">NHCS argues, </w:t>
      </w:r>
      <w:r w:rsidR="00BA2471">
        <w:rPr>
          <w:rFonts w:ascii="Arial" w:eastAsia="Times New Roman" w:hAnsi="Arial" w:cs="Arial"/>
          <w:sz w:val="24"/>
          <w:szCs w:val="24"/>
        </w:rPr>
        <w:t xml:space="preserve">Parent’s </w:t>
      </w:r>
      <w:r w:rsidR="00F22389">
        <w:rPr>
          <w:rFonts w:ascii="Arial" w:eastAsia="Times New Roman" w:hAnsi="Arial" w:cs="Arial"/>
          <w:sz w:val="24"/>
          <w:szCs w:val="24"/>
        </w:rPr>
        <w:t xml:space="preserve">requests </w:t>
      </w:r>
      <w:r w:rsidR="00BA2471">
        <w:rPr>
          <w:rFonts w:ascii="Arial" w:eastAsia="Times New Roman" w:hAnsi="Arial" w:cs="Arial"/>
          <w:sz w:val="24"/>
          <w:szCs w:val="24"/>
        </w:rPr>
        <w:t xml:space="preserve">for reimbursement </w:t>
      </w:r>
      <w:r w:rsidR="00F22389">
        <w:rPr>
          <w:rFonts w:ascii="Arial" w:eastAsia="Times New Roman" w:hAnsi="Arial" w:cs="Arial"/>
          <w:sz w:val="24"/>
          <w:szCs w:val="24"/>
        </w:rPr>
        <w:t>(Claim No. 2)</w:t>
      </w:r>
      <w:r w:rsidR="00F95257">
        <w:rPr>
          <w:rFonts w:ascii="Arial" w:eastAsia="Times New Roman" w:hAnsi="Arial" w:cs="Arial"/>
          <w:sz w:val="24"/>
          <w:szCs w:val="24"/>
        </w:rPr>
        <w:t xml:space="preserve">; an order regarding the post-evaluation Team meeting (Claim No. 3), </w:t>
      </w:r>
      <w:r w:rsidR="00F22389">
        <w:rPr>
          <w:rFonts w:ascii="Arial" w:eastAsia="Times New Roman" w:hAnsi="Arial" w:cs="Arial"/>
          <w:sz w:val="24"/>
          <w:szCs w:val="24"/>
        </w:rPr>
        <w:t xml:space="preserve">and </w:t>
      </w:r>
      <w:r w:rsidR="00F95257">
        <w:rPr>
          <w:rFonts w:ascii="Arial" w:eastAsia="Times New Roman" w:hAnsi="Arial" w:cs="Arial"/>
          <w:sz w:val="24"/>
          <w:szCs w:val="24"/>
        </w:rPr>
        <w:t xml:space="preserve">for </w:t>
      </w:r>
      <w:r w:rsidR="00BA2471">
        <w:rPr>
          <w:rFonts w:ascii="Arial" w:eastAsia="Times New Roman" w:hAnsi="Arial" w:cs="Arial"/>
          <w:sz w:val="24"/>
          <w:szCs w:val="24"/>
        </w:rPr>
        <w:t>prospective funding of Student’s placement</w:t>
      </w:r>
      <w:r w:rsidR="00F22389">
        <w:rPr>
          <w:rFonts w:ascii="Arial" w:eastAsia="Times New Roman" w:hAnsi="Arial" w:cs="Arial"/>
          <w:sz w:val="24"/>
          <w:szCs w:val="24"/>
        </w:rPr>
        <w:t xml:space="preserve"> (Claim No. 4), </w:t>
      </w:r>
      <w:r w:rsidR="00F95257">
        <w:rPr>
          <w:rFonts w:ascii="Arial" w:eastAsia="Times New Roman" w:hAnsi="Arial" w:cs="Arial"/>
          <w:sz w:val="24"/>
          <w:szCs w:val="24"/>
        </w:rPr>
        <w:t>must be dismissed.</w:t>
      </w:r>
    </w:p>
    <w:p w:rsidR="003F65E4" w:rsidRDefault="003F65E4" w:rsidP="007D3428">
      <w:pPr>
        <w:spacing w:after="0" w:line="240" w:lineRule="auto"/>
        <w:rPr>
          <w:rFonts w:ascii="Arial" w:eastAsia="Times New Roman" w:hAnsi="Arial" w:cs="Arial"/>
          <w:sz w:val="24"/>
          <w:szCs w:val="24"/>
        </w:rPr>
      </w:pPr>
    </w:p>
    <w:p w:rsidR="005F3C1E" w:rsidRDefault="00F95257" w:rsidP="00FA597A">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Parent </w:t>
      </w:r>
      <w:r w:rsidR="00E84E7A">
        <w:rPr>
          <w:rFonts w:ascii="Arial" w:eastAsia="Times New Roman" w:hAnsi="Arial" w:cs="Arial"/>
          <w:sz w:val="24"/>
          <w:szCs w:val="24"/>
        </w:rPr>
        <w:t>counters</w:t>
      </w:r>
      <w:r w:rsidR="005F3C1E">
        <w:rPr>
          <w:rFonts w:ascii="Arial" w:eastAsia="Times New Roman" w:hAnsi="Arial" w:cs="Arial"/>
          <w:sz w:val="24"/>
          <w:szCs w:val="24"/>
        </w:rPr>
        <w:t>, first,</w:t>
      </w:r>
      <w:r>
        <w:rPr>
          <w:rFonts w:ascii="Arial" w:eastAsia="Times New Roman" w:hAnsi="Arial" w:cs="Arial"/>
          <w:sz w:val="24"/>
          <w:szCs w:val="24"/>
        </w:rPr>
        <w:t xml:space="preserve"> that Student</w:t>
      </w:r>
      <w:r w:rsidR="007D3428">
        <w:rPr>
          <w:rFonts w:ascii="Arial" w:eastAsia="Times New Roman" w:hAnsi="Arial" w:cs="Arial"/>
          <w:sz w:val="24"/>
          <w:szCs w:val="24"/>
        </w:rPr>
        <w:t>’s</w:t>
      </w:r>
      <w:r>
        <w:rPr>
          <w:rFonts w:ascii="Arial" w:eastAsia="Times New Roman" w:hAnsi="Arial" w:cs="Arial"/>
          <w:sz w:val="24"/>
          <w:szCs w:val="24"/>
        </w:rPr>
        <w:t xml:space="preserve"> enrollment </w:t>
      </w:r>
      <w:r w:rsidR="007D3428">
        <w:rPr>
          <w:rFonts w:ascii="Arial" w:eastAsia="Times New Roman" w:hAnsi="Arial" w:cs="Arial"/>
          <w:sz w:val="24"/>
          <w:szCs w:val="24"/>
        </w:rPr>
        <w:t xml:space="preserve">in NHCS </w:t>
      </w:r>
      <w:r>
        <w:rPr>
          <w:rFonts w:ascii="Arial" w:eastAsia="Times New Roman" w:hAnsi="Arial" w:cs="Arial"/>
          <w:sz w:val="24"/>
          <w:szCs w:val="24"/>
        </w:rPr>
        <w:t xml:space="preserve">did not terminate with her unilateral placement at LPS. Such enrollment, and </w:t>
      </w:r>
      <w:r w:rsidR="007D3428">
        <w:rPr>
          <w:rFonts w:ascii="Arial" w:eastAsia="Times New Roman" w:hAnsi="Arial" w:cs="Arial"/>
          <w:sz w:val="24"/>
          <w:szCs w:val="24"/>
        </w:rPr>
        <w:t xml:space="preserve">corresponding </w:t>
      </w:r>
      <w:r>
        <w:rPr>
          <w:rFonts w:ascii="Arial" w:eastAsia="Times New Roman" w:hAnsi="Arial" w:cs="Arial"/>
          <w:sz w:val="24"/>
          <w:szCs w:val="24"/>
        </w:rPr>
        <w:t xml:space="preserve">NHCS responsibility, is not contingent on Student’s </w:t>
      </w:r>
      <w:r w:rsidR="008A7CA1">
        <w:rPr>
          <w:rFonts w:ascii="Arial" w:eastAsia="Times New Roman" w:hAnsi="Arial" w:cs="Arial"/>
          <w:sz w:val="24"/>
          <w:szCs w:val="24"/>
        </w:rPr>
        <w:t xml:space="preserve">physical </w:t>
      </w:r>
      <w:r>
        <w:rPr>
          <w:rFonts w:ascii="Arial" w:eastAsia="Times New Roman" w:hAnsi="Arial" w:cs="Arial"/>
          <w:sz w:val="24"/>
          <w:szCs w:val="24"/>
        </w:rPr>
        <w:t xml:space="preserve">attendance at NHCS; otherwise, </w:t>
      </w:r>
      <w:r w:rsidR="008A7CA1">
        <w:rPr>
          <w:rFonts w:ascii="Arial" w:eastAsia="Times New Roman" w:hAnsi="Arial" w:cs="Arial"/>
          <w:sz w:val="24"/>
          <w:szCs w:val="24"/>
        </w:rPr>
        <w:t>“</w:t>
      </w:r>
      <w:r>
        <w:rPr>
          <w:rFonts w:ascii="Arial" w:eastAsia="Times New Roman" w:hAnsi="Arial" w:cs="Arial"/>
          <w:sz w:val="24"/>
          <w:szCs w:val="24"/>
        </w:rPr>
        <w:t>there would be no situation in which a parent could unilaterally place a child in privat</w:t>
      </w:r>
      <w:r w:rsidR="008A7CA1">
        <w:rPr>
          <w:rFonts w:ascii="Arial" w:eastAsia="Times New Roman" w:hAnsi="Arial" w:cs="Arial"/>
          <w:sz w:val="24"/>
          <w:szCs w:val="24"/>
        </w:rPr>
        <w:t>e school and seek funding from the LEA.”</w:t>
      </w:r>
      <w:r w:rsidR="008A7CA1">
        <w:rPr>
          <w:rStyle w:val="FootnoteReference"/>
          <w:rFonts w:ascii="Arial" w:eastAsia="Times New Roman" w:hAnsi="Arial" w:cs="Arial"/>
          <w:sz w:val="24"/>
          <w:szCs w:val="24"/>
        </w:rPr>
        <w:footnoteReference w:id="9"/>
      </w:r>
      <w:r w:rsidR="008A7CA1">
        <w:rPr>
          <w:rFonts w:ascii="Arial" w:eastAsia="Times New Roman" w:hAnsi="Arial" w:cs="Arial"/>
          <w:sz w:val="24"/>
          <w:szCs w:val="24"/>
        </w:rPr>
        <w:t xml:space="preserve"> </w:t>
      </w:r>
      <w:r w:rsidR="005F3C1E">
        <w:rPr>
          <w:rFonts w:ascii="Arial" w:eastAsia="Times New Roman" w:hAnsi="Arial" w:cs="Arial"/>
          <w:sz w:val="24"/>
          <w:szCs w:val="24"/>
        </w:rPr>
        <w:t xml:space="preserve"> Thus, according to Parent, NHCS continues to be responsible for providing Student with FAPE “absent a determination by NHCS that </w:t>
      </w:r>
      <w:r w:rsidR="005F3C1E">
        <w:rPr>
          <w:rFonts w:ascii="Arial" w:eastAsia="Times New Roman" w:hAnsi="Arial" w:cs="Arial"/>
          <w:sz w:val="24"/>
          <w:szCs w:val="24"/>
        </w:rPr>
        <w:lastRenderedPageBreak/>
        <w:t>she requires an outside placement, at which point programmatic and financial responsibility ‘return to the school district where the student resides’” pursuant to 603 CMR 28.10(6</w:t>
      </w:r>
      <w:proofErr w:type="gramStart"/>
      <w:r w:rsidR="005F3C1E">
        <w:rPr>
          <w:rFonts w:ascii="Arial" w:eastAsia="Times New Roman" w:hAnsi="Arial" w:cs="Arial"/>
          <w:sz w:val="24"/>
          <w:szCs w:val="24"/>
        </w:rPr>
        <w:t>)(</w:t>
      </w:r>
      <w:proofErr w:type="gramEnd"/>
      <w:r w:rsidR="005F3C1E">
        <w:rPr>
          <w:rFonts w:ascii="Arial" w:eastAsia="Times New Roman" w:hAnsi="Arial" w:cs="Arial"/>
          <w:sz w:val="24"/>
          <w:szCs w:val="24"/>
        </w:rPr>
        <w:t>a)(3)</w:t>
      </w:r>
      <w:r w:rsidR="00FA597A">
        <w:rPr>
          <w:rFonts w:ascii="Arial" w:eastAsia="Times New Roman" w:hAnsi="Arial" w:cs="Arial"/>
          <w:sz w:val="24"/>
          <w:szCs w:val="24"/>
        </w:rPr>
        <w:t xml:space="preserve">, and such a determination was never made by NHCS in this case.  Rather, NHCS has consistently maintained that it could meet Student’s needs, and has never determined—or even suggested—that Student </w:t>
      </w:r>
      <w:proofErr w:type="spellStart"/>
      <w:r w:rsidR="00FA597A">
        <w:rPr>
          <w:rFonts w:ascii="Arial" w:eastAsia="Times New Roman" w:hAnsi="Arial" w:cs="Arial"/>
          <w:sz w:val="24"/>
          <w:szCs w:val="24"/>
        </w:rPr>
        <w:t>neeed</w:t>
      </w:r>
      <w:proofErr w:type="spellEnd"/>
      <w:r w:rsidR="00FA597A">
        <w:rPr>
          <w:rFonts w:ascii="Arial" w:eastAsia="Times New Roman" w:hAnsi="Arial" w:cs="Arial"/>
          <w:sz w:val="24"/>
          <w:szCs w:val="24"/>
        </w:rPr>
        <w:t xml:space="preserve"> an out-of-district </w:t>
      </w:r>
      <w:proofErr w:type="gramStart"/>
      <w:r w:rsidR="00FA597A">
        <w:rPr>
          <w:rFonts w:ascii="Arial" w:eastAsia="Times New Roman" w:hAnsi="Arial" w:cs="Arial"/>
          <w:sz w:val="24"/>
          <w:szCs w:val="24"/>
        </w:rPr>
        <w:t xml:space="preserve">placement  </w:t>
      </w:r>
      <w:r w:rsidR="00E35F9B">
        <w:rPr>
          <w:rFonts w:ascii="Arial" w:eastAsia="Times New Roman" w:hAnsi="Arial" w:cs="Arial"/>
          <w:sz w:val="24"/>
          <w:szCs w:val="24"/>
        </w:rPr>
        <w:t>Finally</w:t>
      </w:r>
      <w:proofErr w:type="gramEnd"/>
      <w:r w:rsidR="00E35F9B">
        <w:rPr>
          <w:rFonts w:ascii="Arial" w:eastAsia="Times New Roman" w:hAnsi="Arial" w:cs="Arial"/>
          <w:sz w:val="24"/>
          <w:szCs w:val="24"/>
        </w:rPr>
        <w:t xml:space="preserve">, Parent cites to several prior BSEA decisions for the proposition that “to the extent NHCS argues that it can never be financially responsible for the cost of an outside placement for one of its students, this argument fails.”   </w:t>
      </w:r>
      <w:r w:rsidR="005F3C1E">
        <w:rPr>
          <w:rFonts w:ascii="Arial" w:eastAsia="Times New Roman" w:hAnsi="Arial" w:cs="Arial"/>
          <w:sz w:val="24"/>
          <w:szCs w:val="24"/>
        </w:rPr>
        <w:t xml:space="preserve">      </w:t>
      </w:r>
    </w:p>
    <w:p w:rsidR="00F95257" w:rsidRDefault="00F95257" w:rsidP="00410139">
      <w:pPr>
        <w:spacing w:after="0" w:line="240" w:lineRule="auto"/>
        <w:ind w:firstLine="720"/>
        <w:rPr>
          <w:rFonts w:ascii="Arial" w:eastAsia="Times New Roman" w:hAnsi="Arial" w:cs="Arial"/>
          <w:sz w:val="24"/>
          <w:szCs w:val="24"/>
        </w:rPr>
      </w:pPr>
    </w:p>
    <w:p w:rsidR="00E80350" w:rsidRDefault="007D3428" w:rsidP="007D3428">
      <w:pPr>
        <w:spacing w:after="0" w:line="240" w:lineRule="auto"/>
        <w:rPr>
          <w:rFonts w:ascii="Arial" w:eastAsia="Times New Roman" w:hAnsi="Arial" w:cs="Arial"/>
          <w:b/>
          <w:sz w:val="24"/>
          <w:szCs w:val="24"/>
          <w:u w:val="single"/>
        </w:rPr>
      </w:pPr>
      <w:r w:rsidRPr="007D3428">
        <w:rPr>
          <w:rFonts w:ascii="Arial" w:eastAsia="Times New Roman" w:hAnsi="Arial" w:cs="Arial"/>
          <w:b/>
          <w:sz w:val="24"/>
          <w:szCs w:val="24"/>
        </w:rPr>
        <w:t>V.</w:t>
      </w:r>
      <w:r>
        <w:rPr>
          <w:rFonts w:ascii="Arial" w:eastAsia="Times New Roman" w:hAnsi="Arial" w:cs="Arial"/>
          <w:sz w:val="24"/>
          <w:szCs w:val="24"/>
        </w:rPr>
        <w:t xml:space="preserve">  </w:t>
      </w:r>
      <w:r w:rsidR="00E80350" w:rsidRPr="007D3428">
        <w:rPr>
          <w:rFonts w:ascii="Arial" w:eastAsia="Times New Roman" w:hAnsi="Arial" w:cs="Arial"/>
          <w:b/>
          <w:sz w:val="24"/>
          <w:szCs w:val="24"/>
        </w:rPr>
        <w:t>Discussion</w:t>
      </w:r>
    </w:p>
    <w:p w:rsidR="0098215E" w:rsidRDefault="0098215E" w:rsidP="0098215E">
      <w:pPr>
        <w:spacing w:after="0" w:line="240" w:lineRule="auto"/>
        <w:ind w:firstLine="720"/>
        <w:rPr>
          <w:rFonts w:ascii="Arial" w:eastAsia="Times New Roman" w:hAnsi="Arial" w:cs="Arial"/>
          <w:sz w:val="24"/>
          <w:szCs w:val="24"/>
        </w:rPr>
      </w:pPr>
    </w:p>
    <w:p w:rsidR="00FA597A" w:rsidRDefault="00FA597A" w:rsidP="00FA597A">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It is axiomatic that a non-charter public school district is not automatically relieved of its responsibility of an eligible student because a parent avails him or herself of “self-help” in the form of a unilateral private school placement when faced with a possibly inappropriate IEP.  Depending on the circumstances, the parent may be entitled to a range of relief, including reimbursement from the district for the costs of that placement, compensatory services, or a new or modified IEP. </w:t>
      </w:r>
      <w:r w:rsidRPr="00872973">
        <w:rPr>
          <w:rFonts w:ascii="Arial" w:eastAsia="Times New Roman" w:hAnsi="Arial" w:cs="Arial"/>
          <w:i/>
          <w:sz w:val="24"/>
          <w:szCs w:val="24"/>
        </w:rPr>
        <w:t xml:space="preserve">Florence County School District </w:t>
      </w:r>
      <w:r>
        <w:rPr>
          <w:rFonts w:ascii="Arial" w:eastAsia="Times New Roman" w:hAnsi="Arial" w:cs="Arial"/>
          <w:i/>
          <w:sz w:val="24"/>
          <w:szCs w:val="24"/>
        </w:rPr>
        <w:t>F</w:t>
      </w:r>
      <w:r w:rsidRPr="00872973">
        <w:rPr>
          <w:rFonts w:ascii="Arial" w:eastAsia="Times New Roman" w:hAnsi="Arial" w:cs="Arial"/>
          <w:i/>
          <w:sz w:val="24"/>
          <w:szCs w:val="24"/>
        </w:rPr>
        <w:t>our v. Carter,</w:t>
      </w:r>
      <w:r>
        <w:rPr>
          <w:rFonts w:ascii="Arial" w:eastAsia="Times New Roman" w:hAnsi="Arial" w:cs="Arial"/>
          <w:sz w:val="24"/>
          <w:szCs w:val="24"/>
        </w:rPr>
        <w:t xml:space="preserve"> 501 U.S. 7 (1993); </w:t>
      </w:r>
      <w:r w:rsidRPr="002861DE">
        <w:rPr>
          <w:rFonts w:ascii="Arial" w:eastAsia="Times New Roman" w:hAnsi="Arial" w:cs="Arial"/>
          <w:i/>
          <w:sz w:val="24"/>
          <w:szCs w:val="24"/>
        </w:rPr>
        <w:t>School Committee of Burlington v. Dept. of Educ.</w:t>
      </w:r>
      <w:r>
        <w:rPr>
          <w:rFonts w:ascii="Arial" w:eastAsia="Times New Roman" w:hAnsi="Arial" w:cs="Arial"/>
          <w:sz w:val="24"/>
          <w:szCs w:val="24"/>
        </w:rPr>
        <w:t xml:space="preserve">, 471 U.S. 359, 369 (1985) </w:t>
      </w:r>
      <w:proofErr w:type="gramStart"/>
      <w:r>
        <w:rPr>
          <w:rFonts w:ascii="Arial" w:eastAsia="Times New Roman" w:hAnsi="Arial" w:cs="Arial"/>
          <w:sz w:val="24"/>
          <w:szCs w:val="24"/>
        </w:rPr>
        <w:t>The</w:t>
      </w:r>
      <w:proofErr w:type="gramEnd"/>
      <w:r>
        <w:rPr>
          <w:rFonts w:ascii="Arial" w:eastAsia="Times New Roman" w:hAnsi="Arial" w:cs="Arial"/>
          <w:sz w:val="24"/>
          <w:szCs w:val="24"/>
        </w:rPr>
        <w:t xml:space="preserve"> same principle applies to charter schools, as discussed below.  </w:t>
      </w:r>
    </w:p>
    <w:p w:rsidR="00FA597A" w:rsidRDefault="00FA597A" w:rsidP="00FA597A">
      <w:pPr>
        <w:spacing w:after="0" w:line="240" w:lineRule="auto"/>
        <w:ind w:firstLine="720"/>
        <w:rPr>
          <w:rFonts w:ascii="Arial" w:eastAsia="Times New Roman" w:hAnsi="Arial" w:cs="Arial"/>
          <w:sz w:val="24"/>
          <w:szCs w:val="24"/>
        </w:rPr>
      </w:pPr>
    </w:p>
    <w:p w:rsidR="004146EE" w:rsidRDefault="00FA597A" w:rsidP="007459ED">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004146EE">
        <w:rPr>
          <w:rFonts w:ascii="Arial" w:eastAsia="Times New Roman" w:hAnsi="Arial" w:cs="Arial"/>
          <w:sz w:val="24"/>
          <w:szCs w:val="24"/>
        </w:rPr>
        <w:t xml:space="preserve">The Massachusetts statute governing charter schools, </w:t>
      </w:r>
      <w:r w:rsidR="00B67F5D">
        <w:rPr>
          <w:rFonts w:ascii="Arial" w:eastAsia="Times New Roman" w:hAnsi="Arial" w:cs="Arial"/>
          <w:sz w:val="24"/>
          <w:szCs w:val="24"/>
        </w:rPr>
        <w:t>MGL c. 71, §89</w:t>
      </w:r>
      <w:r w:rsidR="004146EE">
        <w:rPr>
          <w:rFonts w:ascii="Arial" w:eastAsia="Times New Roman" w:hAnsi="Arial" w:cs="Arial"/>
          <w:sz w:val="24"/>
          <w:szCs w:val="24"/>
        </w:rPr>
        <w:t xml:space="preserve">, describes the responsibility of </w:t>
      </w:r>
      <w:r w:rsidR="00F03B91">
        <w:rPr>
          <w:rFonts w:ascii="Arial" w:eastAsia="Times New Roman" w:hAnsi="Arial" w:cs="Arial"/>
          <w:sz w:val="24"/>
          <w:szCs w:val="24"/>
        </w:rPr>
        <w:t>such</w:t>
      </w:r>
      <w:r w:rsidR="004146EE">
        <w:rPr>
          <w:rFonts w:ascii="Arial" w:eastAsia="Times New Roman" w:hAnsi="Arial" w:cs="Arial"/>
          <w:sz w:val="24"/>
          <w:szCs w:val="24"/>
        </w:rPr>
        <w:t xml:space="preserve"> schools to special education students as follows:  </w:t>
      </w:r>
    </w:p>
    <w:p w:rsidR="004146EE" w:rsidRDefault="004146EE" w:rsidP="007459ED">
      <w:pPr>
        <w:spacing w:after="0" w:line="240" w:lineRule="auto"/>
        <w:rPr>
          <w:rFonts w:ascii="Arial" w:eastAsia="Times New Roman" w:hAnsi="Arial" w:cs="Arial"/>
          <w:sz w:val="24"/>
          <w:szCs w:val="24"/>
        </w:rPr>
      </w:pPr>
    </w:p>
    <w:p w:rsidR="00541ADF" w:rsidRDefault="004146EE" w:rsidP="00541ADF">
      <w:pPr>
        <w:spacing w:after="0" w:line="240" w:lineRule="auto"/>
        <w:ind w:left="1008" w:right="1008"/>
        <w:rPr>
          <w:rFonts w:ascii="Arial" w:eastAsia="Times New Roman" w:hAnsi="Arial" w:cs="Arial"/>
          <w:sz w:val="24"/>
          <w:szCs w:val="24"/>
        </w:rPr>
      </w:pPr>
      <w:r>
        <w:rPr>
          <w:rFonts w:ascii="Arial" w:eastAsia="Times New Roman" w:hAnsi="Arial" w:cs="Arial"/>
          <w:sz w:val="24"/>
          <w:szCs w:val="24"/>
        </w:rPr>
        <w:t xml:space="preserve">Charter schools shall comply with the [sic] chapters 71A and 71B; provided, however, that the fiscal responsibility of a special needs student currently enrolled in or determined to require a private day or residential school shall remain with the school district where the student resides.  If a charter school expects that a special needs student currently enrolled in the charter school may be in need of the services of a private day or residential </w:t>
      </w:r>
      <w:r w:rsidR="00F03B91">
        <w:rPr>
          <w:rFonts w:ascii="Arial" w:eastAsia="Times New Roman" w:hAnsi="Arial" w:cs="Arial"/>
          <w:sz w:val="24"/>
          <w:szCs w:val="24"/>
        </w:rPr>
        <w:t>school, it shall convene an individual education plan team meeting for the student.  Notice of the team meeting shall be provided to the…school district in which the child resides…Personnel from the school district in which the child resides shall be allowed to participate in the team meeting concerning future placement of the child.  MGL c. 71, §89(s)</w:t>
      </w:r>
      <w:r>
        <w:rPr>
          <w:rFonts w:ascii="Arial" w:eastAsia="Times New Roman" w:hAnsi="Arial" w:cs="Arial"/>
          <w:sz w:val="24"/>
          <w:szCs w:val="24"/>
        </w:rPr>
        <w:t xml:space="preserve">  </w:t>
      </w:r>
    </w:p>
    <w:p w:rsidR="00541ADF" w:rsidRDefault="00541ADF" w:rsidP="007459ED">
      <w:pPr>
        <w:spacing w:after="0" w:line="240" w:lineRule="auto"/>
        <w:rPr>
          <w:rFonts w:ascii="Arial" w:eastAsia="Times New Roman" w:hAnsi="Arial" w:cs="Arial"/>
          <w:sz w:val="24"/>
          <w:szCs w:val="24"/>
        </w:rPr>
      </w:pPr>
    </w:p>
    <w:p w:rsidR="00702DF7" w:rsidRDefault="00FA597A" w:rsidP="00FD2B22">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The above-quoted regarding enrollment in private school cannot be read to include or contemplate situations where the student’s </w:t>
      </w:r>
      <w:r w:rsidR="00FD2B22">
        <w:rPr>
          <w:rFonts w:ascii="Arial" w:eastAsia="Times New Roman" w:hAnsi="Arial" w:cs="Arial"/>
          <w:sz w:val="24"/>
          <w:szCs w:val="24"/>
        </w:rPr>
        <w:t>“</w:t>
      </w:r>
      <w:r>
        <w:rPr>
          <w:rFonts w:ascii="Arial" w:eastAsia="Times New Roman" w:hAnsi="Arial" w:cs="Arial"/>
          <w:sz w:val="24"/>
          <w:szCs w:val="24"/>
        </w:rPr>
        <w:t>then-current</w:t>
      </w:r>
      <w:r w:rsidR="00FD2B22">
        <w:rPr>
          <w:rFonts w:ascii="Arial" w:eastAsia="Times New Roman" w:hAnsi="Arial" w:cs="Arial"/>
          <w:sz w:val="24"/>
          <w:szCs w:val="24"/>
        </w:rPr>
        <w:t>”</w:t>
      </w:r>
      <w:r>
        <w:rPr>
          <w:rFonts w:ascii="Arial" w:eastAsia="Times New Roman" w:hAnsi="Arial" w:cs="Arial"/>
          <w:sz w:val="24"/>
          <w:szCs w:val="24"/>
        </w:rPr>
        <w:t xml:space="preserve"> enrollment in a private school is occasioned by a self-help action by a parent.  </w:t>
      </w:r>
      <w:r w:rsidR="00E21DA2">
        <w:rPr>
          <w:rFonts w:ascii="Arial" w:eastAsia="Times New Roman" w:hAnsi="Arial" w:cs="Arial"/>
          <w:sz w:val="24"/>
          <w:szCs w:val="24"/>
        </w:rPr>
        <w:t xml:space="preserve">Contrary to the argument of NHCS, </w:t>
      </w:r>
      <w:r w:rsidR="00AD4712">
        <w:rPr>
          <w:rFonts w:ascii="Arial" w:eastAsia="Times New Roman" w:hAnsi="Arial" w:cs="Arial"/>
          <w:sz w:val="24"/>
          <w:szCs w:val="24"/>
        </w:rPr>
        <w:t>Parent’s unilateral placement of Student at Learning Prep</w:t>
      </w:r>
      <w:r w:rsidR="002861DE">
        <w:rPr>
          <w:rFonts w:ascii="Arial" w:eastAsia="Times New Roman" w:hAnsi="Arial" w:cs="Arial"/>
          <w:sz w:val="24"/>
          <w:szCs w:val="24"/>
        </w:rPr>
        <w:t>, which was made in response to an IEP that Parent had deemed inappropriate and had rejected,</w:t>
      </w:r>
      <w:r w:rsidR="00AD4712">
        <w:rPr>
          <w:rFonts w:ascii="Arial" w:eastAsia="Times New Roman" w:hAnsi="Arial" w:cs="Arial"/>
          <w:sz w:val="24"/>
          <w:szCs w:val="24"/>
        </w:rPr>
        <w:t xml:space="preserve"> did not absolve NHCS of its responsibility for Student’s spe</w:t>
      </w:r>
      <w:r w:rsidR="00E21DA2">
        <w:rPr>
          <w:rFonts w:ascii="Arial" w:eastAsia="Times New Roman" w:hAnsi="Arial" w:cs="Arial"/>
          <w:sz w:val="24"/>
          <w:szCs w:val="24"/>
        </w:rPr>
        <w:t xml:space="preserve">cial education placement </w:t>
      </w:r>
      <w:r w:rsidR="00E84E7A">
        <w:rPr>
          <w:rFonts w:ascii="Arial" w:eastAsia="Times New Roman" w:hAnsi="Arial" w:cs="Arial"/>
          <w:sz w:val="24"/>
          <w:szCs w:val="24"/>
        </w:rPr>
        <w:t>under MGL c. 71 §89(s) and c. 71B</w:t>
      </w:r>
      <w:r w:rsidR="000432C8">
        <w:rPr>
          <w:rFonts w:ascii="Arial" w:eastAsia="Times New Roman" w:hAnsi="Arial" w:cs="Arial"/>
          <w:sz w:val="24"/>
          <w:szCs w:val="24"/>
        </w:rPr>
        <w:t>.  Such responsibilit</w:t>
      </w:r>
      <w:r w:rsidR="00FD2B22">
        <w:rPr>
          <w:rFonts w:ascii="Arial" w:eastAsia="Times New Roman" w:hAnsi="Arial" w:cs="Arial"/>
          <w:sz w:val="24"/>
          <w:szCs w:val="24"/>
        </w:rPr>
        <w:t>y</w:t>
      </w:r>
      <w:r w:rsidR="000432C8">
        <w:rPr>
          <w:rFonts w:ascii="Arial" w:eastAsia="Times New Roman" w:hAnsi="Arial" w:cs="Arial"/>
          <w:sz w:val="24"/>
          <w:szCs w:val="24"/>
        </w:rPr>
        <w:t xml:space="preserve"> include</w:t>
      </w:r>
      <w:r w:rsidR="00FD2B22">
        <w:rPr>
          <w:rFonts w:ascii="Arial" w:eastAsia="Times New Roman" w:hAnsi="Arial" w:cs="Arial"/>
          <w:sz w:val="24"/>
          <w:szCs w:val="24"/>
        </w:rPr>
        <w:t>d</w:t>
      </w:r>
      <w:r w:rsidR="000432C8">
        <w:rPr>
          <w:rFonts w:ascii="Arial" w:eastAsia="Times New Roman" w:hAnsi="Arial" w:cs="Arial"/>
          <w:sz w:val="24"/>
          <w:szCs w:val="24"/>
        </w:rPr>
        <w:t xml:space="preserve">, but </w:t>
      </w:r>
      <w:r w:rsidR="00FD2B22">
        <w:rPr>
          <w:rFonts w:ascii="Arial" w:eastAsia="Times New Roman" w:hAnsi="Arial" w:cs="Arial"/>
          <w:sz w:val="24"/>
          <w:szCs w:val="24"/>
        </w:rPr>
        <w:t>is</w:t>
      </w:r>
      <w:r w:rsidR="000432C8">
        <w:rPr>
          <w:rFonts w:ascii="Arial" w:eastAsia="Times New Roman" w:hAnsi="Arial" w:cs="Arial"/>
          <w:sz w:val="24"/>
          <w:szCs w:val="24"/>
        </w:rPr>
        <w:t xml:space="preserve"> not limited to, the duty to convene a Team meeting to consider the report of an outside evaluation provided by a parent, and to issue a new or amended IEP if the Team deems it appropriate.  603 </w:t>
      </w:r>
      <w:r w:rsidR="000432C8">
        <w:rPr>
          <w:rFonts w:ascii="Arial" w:eastAsia="Times New Roman" w:hAnsi="Arial" w:cs="Arial"/>
          <w:sz w:val="24"/>
          <w:szCs w:val="24"/>
        </w:rPr>
        <w:lastRenderedPageBreak/>
        <w:t>CMR 28.</w:t>
      </w:r>
      <w:r w:rsidR="00BD4433">
        <w:rPr>
          <w:rFonts w:ascii="Arial" w:eastAsia="Times New Roman" w:hAnsi="Arial" w:cs="Arial"/>
          <w:sz w:val="24"/>
          <w:szCs w:val="24"/>
        </w:rPr>
        <w:t>04(5</w:t>
      </w:r>
      <w:proofErr w:type="gramStart"/>
      <w:r w:rsidR="00BD4433">
        <w:rPr>
          <w:rFonts w:ascii="Arial" w:eastAsia="Times New Roman" w:hAnsi="Arial" w:cs="Arial"/>
          <w:sz w:val="24"/>
          <w:szCs w:val="24"/>
        </w:rPr>
        <w:t>)(</w:t>
      </w:r>
      <w:proofErr w:type="gramEnd"/>
      <w:r w:rsidR="00BD4433">
        <w:rPr>
          <w:rFonts w:ascii="Arial" w:eastAsia="Times New Roman" w:hAnsi="Arial" w:cs="Arial"/>
          <w:sz w:val="24"/>
          <w:szCs w:val="24"/>
        </w:rPr>
        <w:t xml:space="preserve">f).  Thus, Parent’s unilateral placement of Student at NHCS did not absolve the Charter School of responsibility to convene a Team meeting to consider Dr. </w:t>
      </w:r>
      <w:proofErr w:type="spellStart"/>
      <w:r w:rsidR="00BD4433">
        <w:rPr>
          <w:rFonts w:ascii="Arial" w:eastAsia="Times New Roman" w:hAnsi="Arial" w:cs="Arial"/>
          <w:sz w:val="24"/>
          <w:szCs w:val="24"/>
        </w:rPr>
        <w:t>Drayer’s</w:t>
      </w:r>
      <w:proofErr w:type="spellEnd"/>
      <w:r w:rsidR="00BD4433">
        <w:rPr>
          <w:rFonts w:ascii="Arial" w:eastAsia="Times New Roman" w:hAnsi="Arial" w:cs="Arial"/>
          <w:sz w:val="24"/>
          <w:szCs w:val="24"/>
        </w:rPr>
        <w:t xml:space="preserve"> report.  Parent’s claim for relief based on NHCS’ alleged failure to do so should not be dismissed.  </w:t>
      </w:r>
      <w:r w:rsidR="00FD2B22">
        <w:rPr>
          <w:rFonts w:ascii="Arial" w:eastAsia="Times New Roman" w:hAnsi="Arial" w:cs="Arial"/>
          <w:sz w:val="24"/>
          <w:szCs w:val="24"/>
        </w:rPr>
        <w:t xml:space="preserve">  </w:t>
      </w:r>
    </w:p>
    <w:p w:rsidR="00702DF7" w:rsidRDefault="00702DF7" w:rsidP="00F16008">
      <w:pPr>
        <w:spacing w:after="0" w:line="240" w:lineRule="auto"/>
        <w:ind w:firstLine="720"/>
        <w:rPr>
          <w:rFonts w:ascii="Arial" w:eastAsia="Times New Roman" w:hAnsi="Arial" w:cs="Arial"/>
          <w:sz w:val="24"/>
          <w:szCs w:val="24"/>
        </w:rPr>
      </w:pPr>
    </w:p>
    <w:p w:rsidR="00F16008" w:rsidRDefault="00561A34" w:rsidP="00F16008">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Moreover, </w:t>
      </w:r>
      <w:r w:rsidR="00595180">
        <w:rPr>
          <w:rFonts w:ascii="Arial" w:eastAsia="Times New Roman" w:hAnsi="Arial" w:cs="Arial"/>
          <w:sz w:val="24"/>
          <w:szCs w:val="24"/>
        </w:rPr>
        <w:t xml:space="preserve">the mere fact </w:t>
      </w:r>
      <w:r w:rsidR="008874AF">
        <w:rPr>
          <w:rFonts w:ascii="Arial" w:eastAsia="Times New Roman" w:hAnsi="Arial" w:cs="Arial"/>
          <w:sz w:val="24"/>
          <w:szCs w:val="24"/>
        </w:rPr>
        <w:t xml:space="preserve">that </w:t>
      </w:r>
      <w:r w:rsidR="008874AF" w:rsidRPr="00FD2B22">
        <w:rPr>
          <w:rFonts w:ascii="Arial" w:eastAsia="Times New Roman" w:hAnsi="Arial" w:cs="Arial"/>
          <w:sz w:val="24"/>
          <w:szCs w:val="24"/>
        </w:rPr>
        <w:t>Parent</w:t>
      </w:r>
      <w:r w:rsidR="008874AF">
        <w:rPr>
          <w:rFonts w:ascii="Arial" w:eastAsia="Times New Roman" w:hAnsi="Arial" w:cs="Arial"/>
          <w:sz w:val="24"/>
          <w:szCs w:val="24"/>
        </w:rPr>
        <w:t xml:space="preserve"> unilaterally placed Student</w:t>
      </w:r>
      <w:r w:rsidR="00595180">
        <w:rPr>
          <w:rFonts w:ascii="Arial" w:eastAsia="Times New Roman" w:hAnsi="Arial" w:cs="Arial"/>
          <w:sz w:val="24"/>
          <w:szCs w:val="24"/>
        </w:rPr>
        <w:t xml:space="preserve"> in an out-of-district program does not result in an automatic shift of responsibility to Boston as Student’s district of residence.  Pursuant to MGL c. 71, §</w:t>
      </w:r>
      <w:r w:rsidR="002861DE">
        <w:rPr>
          <w:rFonts w:ascii="Arial" w:eastAsia="Times New Roman" w:hAnsi="Arial" w:cs="Arial"/>
          <w:sz w:val="24"/>
          <w:szCs w:val="24"/>
        </w:rPr>
        <w:t>89(s) and 603 CMR 28.10(6</w:t>
      </w:r>
      <w:proofErr w:type="gramStart"/>
      <w:r w:rsidR="002861DE">
        <w:rPr>
          <w:rFonts w:ascii="Arial" w:eastAsia="Times New Roman" w:hAnsi="Arial" w:cs="Arial"/>
          <w:sz w:val="24"/>
          <w:szCs w:val="24"/>
        </w:rPr>
        <w:t>)(</w:t>
      </w:r>
      <w:proofErr w:type="gramEnd"/>
      <w:r w:rsidR="002861DE">
        <w:rPr>
          <w:rFonts w:ascii="Arial" w:eastAsia="Times New Roman" w:hAnsi="Arial" w:cs="Arial"/>
          <w:sz w:val="24"/>
          <w:szCs w:val="24"/>
        </w:rPr>
        <w:t>a)</w:t>
      </w:r>
      <w:r w:rsidR="00595180">
        <w:rPr>
          <w:rFonts w:ascii="Arial" w:eastAsia="Times New Roman" w:hAnsi="Arial" w:cs="Arial"/>
          <w:sz w:val="24"/>
          <w:szCs w:val="24"/>
        </w:rPr>
        <w:t xml:space="preserve">, such shift is triggered by a determination </w:t>
      </w:r>
      <w:r w:rsidR="00595180" w:rsidRPr="00FD2B22">
        <w:rPr>
          <w:rFonts w:ascii="Arial" w:eastAsia="Times New Roman" w:hAnsi="Arial" w:cs="Arial"/>
          <w:i/>
          <w:sz w:val="24"/>
          <w:szCs w:val="24"/>
        </w:rPr>
        <w:t>by the charter school Tea</w:t>
      </w:r>
      <w:r w:rsidR="008874AF" w:rsidRPr="00FD2B22">
        <w:rPr>
          <w:rFonts w:ascii="Arial" w:eastAsia="Times New Roman" w:hAnsi="Arial" w:cs="Arial"/>
          <w:i/>
          <w:sz w:val="24"/>
          <w:szCs w:val="24"/>
        </w:rPr>
        <w:t>m</w:t>
      </w:r>
      <w:r w:rsidR="00595180">
        <w:rPr>
          <w:rFonts w:ascii="Arial" w:eastAsia="Times New Roman" w:hAnsi="Arial" w:cs="Arial"/>
          <w:sz w:val="24"/>
          <w:szCs w:val="24"/>
        </w:rPr>
        <w:t xml:space="preserve"> that a student may need an out-of-district placement to implement his or her IEP. </w:t>
      </w:r>
      <w:r w:rsidR="001E5A76">
        <w:rPr>
          <w:rFonts w:ascii="Arial" w:eastAsia="Times New Roman" w:hAnsi="Arial" w:cs="Arial"/>
          <w:sz w:val="24"/>
          <w:szCs w:val="24"/>
        </w:rPr>
        <w:t xml:space="preserve"> See </w:t>
      </w:r>
      <w:r w:rsidR="001E5A76" w:rsidRPr="001E5A76">
        <w:rPr>
          <w:rFonts w:ascii="Arial" w:eastAsia="Times New Roman" w:hAnsi="Arial" w:cs="Arial"/>
          <w:i/>
          <w:sz w:val="24"/>
          <w:szCs w:val="24"/>
        </w:rPr>
        <w:t>Amherst Public Schools, et al.,</w:t>
      </w:r>
      <w:r w:rsidR="001E5A76">
        <w:rPr>
          <w:rFonts w:ascii="Arial" w:eastAsia="Times New Roman" w:hAnsi="Arial" w:cs="Arial"/>
          <w:sz w:val="24"/>
          <w:szCs w:val="24"/>
        </w:rPr>
        <w:t xml:space="preserve"> 18 MSER 336 (</w:t>
      </w:r>
      <w:proofErr w:type="spellStart"/>
      <w:r w:rsidR="001E5A76">
        <w:rPr>
          <w:rFonts w:ascii="Arial" w:eastAsia="Times New Roman" w:hAnsi="Arial" w:cs="Arial"/>
          <w:sz w:val="24"/>
          <w:szCs w:val="24"/>
        </w:rPr>
        <w:t>Scannell</w:t>
      </w:r>
      <w:proofErr w:type="spellEnd"/>
      <w:r w:rsidR="001E5A76">
        <w:rPr>
          <w:rFonts w:ascii="Arial" w:eastAsia="Times New Roman" w:hAnsi="Arial" w:cs="Arial"/>
          <w:sz w:val="24"/>
          <w:szCs w:val="24"/>
        </w:rPr>
        <w:t xml:space="preserve">, 2012) </w:t>
      </w:r>
      <w:r w:rsidR="002861DE">
        <w:rPr>
          <w:rFonts w:ascii="Arial" w:eastAsia="Times New Roman" w:hAnsi="Arial" w:cs="Arial"/>
          <w:sz w:val="24"/>
          <w:szCs w:val="24"/>
        </w:rPr>
        <w:t>As stated in the applicable regulation, 603 CMR 28.10(6</w:t>
      </w:r>
      <w:proofErr w:type="gramStart"/>
      <w:r w:rsidR="002861DE">
        <w:rPr>
          <w:rFonts w:ascii="Arial" w:eastAsia="Times New Roman" w:hAnsi="Arial" w:cs="Arial"/>
          <w:sz w:val="24"/>
          <w:szCs w:val="24"/>
        </w:rPr>
        <w:t>)(</w:t>
      </w:r>
      <w:proofErr w:type="gramEnd"/>
      <w:r w:rsidR="00F16008">
        <w:rPr>
          <w:rFonts w:ascii="Arial" w:eastAsia="Times New Roman" w:hAnsi="Arial" w:cs="Arial"/>
          <w:sz w:val="24"/>
          <w:szCs w:val="24"/>
        </w:rPr>
        <w:t>a</w:t>
      </w:r>
      <w:r w:rsidR="002861DE">
        <w:rPr>
          <w:rFonts w:ascii="Arial" w:eastAsia="Times New Roman" w:hAnsi="Arial" w:cs="Arial"/>
          <w:sz w:val="24"/>
          <w:szCs w:val="24"/>
        </w:rPr>
        <w:t>), upon a determination by the Team that a student may need an out-of-district placement, the Team is required to terminate the meeting without designating a placement type, and then convene a separate placement meeting to which the school district of residence is invited.  Responsibility for the student’s placement only shifts to the d</w:t>
      </w:r>
      <w:r w:rsidR="00F16008">
        <w:rPr>
          <w:rFonts w:ascii="Arial" w:eastAsia="Times New Roman" w:hAnsi="Arial" w:cs="Arial"/>
          <w:sz w:val="24"/>
          <w:szCs w:val="24"/>
        </w:rPr>
        <w:t xml:space="preserve">istrict of residence after </w:t>
      </w:r>
      <w:r w:rsidR="002861DE">
        <w:rPr>
          <w:rFonts w:ascii="Arial" w:eastAsia="Times New Roman" w:hAnsi="Arial" w:cs="Arial"/>
          <w:sz w:val="24"/>
          <w:szCs w:val="24"/>
        </w:rPr>
        <w:t xml:space="preserve">the placement Team determines </w:t>
      </w:r>
      <w:r w:rsidR="00F16008">
        <w:rPr>
          <w:rFonts w:ascii="Arial" w:eastAsia="Times New Roman" w:hAnsi="Arial" w:cs="Arial"/>
          <w:sz w:val="24"/>
          <w:szCs w:val="24"/>
        </w:rPr>
        <w:t>that the student needs an out-of-district placement, proposes an IEP designating such placement, and the parent accepts the IEP and placement.</w:t>
      </w:r>
      <w:r w:rsidR="00F16008">
        <w:rPr>
          <w:rStyle w:val="FootnoteReference"/>
          <w:rFonts w:ascii="Arial" w:eastAsia="Times New Roman" w:hAnsi="Arial" w:cs="Arial"/>
          <w:sz w:val="24"/>
          <w:szCs w:val="24"/>
        </w:rPr>
        <w:footnoteReference w:id="10"/>
      </w:r>
      <w:r w:rsidR="00F16008">
        <w:rPr>
          <w:rFonts w:ascii="Arial" w:eastAsia="Times New Roman" w:hAnsi="Arial" w:cs="Arial"/>
          <w:sz w:val="24"/>
          <w:szCs w:val="24"/>
        </w:rPr>
        <w:t xml:space="preserve">  603 CMR 28.10(6</w:t>
      </w:r>
      <w:proofErr w:type="gramStart"/>
      <w:r w:rsidR="00F16008">
        <w:rPr>
          <w:rFonts w:ascii="Arial" w:eastAsia="Times New Roman" w:hAnsi="Arial" w:cs="Arial"/>
          <w:sz w:val="24"/>
          <w:szCs w:val="24"/>
        </w:rPr>
        <w:t>)(</w:t>
      </w:r>
      <w:proofErr w:type="gramEnd"/>
      <w:r w:rsidR="00F16008">
        <w:rPr>
          <w:rFonts w:ascii="Arial" w:eastAsia="Times New Roman" w:hAnsi="Arial" w:cs="Arial"/>
          <w:sz w:val="24"/>
          <w:szCs w:val="24"/>
        </w:rPr>
        <w:t xml:space="preserve">a)(1)-(3).   </w:t>
      </w:r>
    </w:p>
    <w:p w:rsidR="00F16008" w:rsidRDefault="00F16008" w:rsidP="00A11FD7">
      <w:pPr>
        <w:spacing w:after="0" w:line="240" w:lineRule="auto"/>
        <w:ind w:firstLine="720"/>
        <w:rPr>
          <w:rFonts w:ascii="Arial" w:eastAsia="Times New Roman" w:hAnsi="Arial" w:cs="Arial"/>
          <w:sz w:val="24"/>
          <w:szCs w:val="24"/>
        </w:rPr>
      </w:pPr>
    </w:p>
    <w:p w:rsidR="00A11FD7" w:rsidRDefault="00D77427" w:rsidP="00A11FD7">
      <w:pPr>
        <w:spacing w:after="0" w:line="240" w:lineRule="auto"/>
        <w:ind w:firstLine="720"/>
        <w:rPr>
          <w:rFonts w:ascii="Arial" w:eastAsia="Times New Roman" w:hAnsi="Arial" w:cs="Arial"/>
          <w:sz w:val="24"/>
          <w:szCs w:val="24"/>
        </w:rPr>
      </w:pPr>
      <w:r>
        <w:rPr>
          <w:rFonts w:ascii="Arial" w:eastAsia="Times New Roman" w:hAnsi="Arial" w:cs="Arial"/>
          <w:sz w:val="24"/>
          <w:szCs w:val="24"/>
        </w:rPr>
        <w:t>Here</w:t>
      </w:r>
      <w:r w:rsidR="00586915">
        <w:rPr>
          <w:rFonts w:ascii="Arial" w:eastAsia="Times New Roman" w:hAnsi="Arial" w:cs="Arial"/>
          <w:sz w:val="24"/>
          <w:szCs w:val="24"/>
        </w:rPr>
        <w:t xml:space="preserve">, </w:t>
      </w:r>
      <w:r>
        <w:rPr>
          <w:rFonts w:ascii="Arial" w:eastAsia="Times New Roman" w:hAnsi="Arial" w:cs="Arial"/>
          <w:sz w:val="24"/>
          <w:szCs w:val="24"/>
        </w:rPr>
        <w:t xml:space="preserve">in contrast to the situation described in the </w:t>
      </w:r>
      <w:r w:rsidR="00F16008">
        <w:rPr>
          <w:rFonts w:ascii="Arial" w:eastAsia="Times New Roman" w:hAnsi="Arial" w:cs="Arial"/>
          <w:sz w:val="24"/>
          <w:szCs w:val="24"/>
        </w:rPr>
        <w:t xml:space="preserve">above-referenced </w:t>
      </w:r>
      <w:r>
        <w:rPr>
          <w:rFonts w:ascii="Arial" w:eastAsia="Times New Roman" w:hAnsi="Arial" w:cs="Arial"/>
          <w:sz w:val="24"/>
          <w:szCs w:val="24"/>
        </w:rPr>
        <w:t>statute and regulation</w:t>
      </w:r>
      <w:r w:rsidR="00F16008">
        <w:rPr>
          <w:rFonts w:ascii="Arial" w:eastAsia="Times New Roman" w:hAnsi="Arial" w:cs="Arial"/>
          <w:sz w:val="24"/>
          <w:szCs w:val="24"/>
        </w:rPr>
        <w:t>s</w:t>
      </w:r>
      <w:r>
        <w:rPr>
          <w:rFonts w:ascii="Arial" w:eastAsia="Times New Roman" w:hAnsi="Arial" w:cs="Arial"/>
          <w:sz w:val="24"/>
          <w:szCs w:val="24"/>
        </w:rPr>
        <w:t xml:space="preserve">, </w:t>
      </w:r>
      <w:r w:rsidR="001E5A76">
        <w:rPr>
          <w:rFonts w:ascii="Arial" w:eastAsia="Times New Roman" w:hAnsi="Arial" w:cs="Arial"/>
          <w:sz w:val="24"/>
          <w:szCs w:val="24"/>
        </w:rPr>
        <w:t xml:space="preserve">the charter school TEAM </w:t>
      </w:r>
      <w:r w:rsidR="00586915">
        <w:rPr>
          <w:rFonts w:ascii="Arial" w:eastAsia="Times New Roman" w:hAnsi="Arial" w:cs="Arial"/>
          <w:sz w:val="24"/>
          <w:szCs w:val="24"/>
        </w:rPr>
        <w:t xml:space="preserve">never </w:t>
      </w:r>
      <w:r w:rsidR="001E5A76">
        <w:rPr>
          <w:rFonts w:ascii="Arial" w:eastAsia="Times New Roman" w:hAnsi="Arial" w:cs="Arial"/>
          <w:sz w:val="24"/>
          <w:szCs w:val="24"/>
        </w:rPr>
        <w:t>determined or suggested that</w:t>
      </w:r>
      <w:r w:rsidR="00586915">
        <w:rPr>
          <w:rFonts w:ascii="Arial" w:eastAsia="Times New Roman" w:hAnsi="Arial" w:cs="Arial"/>
          <w:sz w:val="24"/>
          <w:szCs w:val="24"/>
        </w:rPr>
        <w:t xml:space="preserve"> </w:t>
      </w:r>
      <w:r w:rsidR="00F16008">
        <w:rPr>
          <w:rFonts w:ascii="Arial" w:eastAsia="Times New Roman" w:hAnsi="Arial" w:cs="Arial"/>
          <w:sz w:val="24"/>
          <w:szCs w:val="24"/>
        </w:rPr>
        <w:t>Student need</w:t>
      </w:r>
      <w:r w:rsidR="001E5A76">
        <w:rPr>
          <w:rFonts w:ascii="Arial" w:eastAsia="Times New Roman" w:hAnsi="Arial" w:cs="Arial"/>
          <w:sz w:val="24"/>
          <w:szCs w:val="24"/>
        </w:rPr>
        <w:t>ed</w:t>
      </w:r>
      <w:r w:rsidR="00F16008">
        <w:rPr>
          <w:rFonts w:ascii="Arial" w:eastAsia="Times New Roman" w:hAnsi="Arial" w:cs="Arial"/>
          <w:sz w:val="24"/>
          <w:szCs w:val="24"/>
        </w:rPr>
        <w:t xml:space="preserve">, or may </w:t>
      </w:r>
      <w:r w:rsidR="001E5A76">
        <w:rPr>
          <w:rFonts w:ascii="Arial" w:eastAsia="Times New Roman" w:hAnsi="Arial" w:cs="Arial"/>
          <w:sz w:val="24"/>
          <w:szCs w:val="24"/>
        </w:rPr>
        <w:t xml:space="preserve">have </w:t>
      </w:r>
      <w:r w:rsidR="00F16008">
        <w:rPr>
          <w:rFonts w:ascii="Arial" w:eastAsia="Times New Roman" w:hAnsi="Arial" w:cs="Arial"/>
          <w:sz w:val="24"/>
          <w:szCs w:val="24"/>
        </w:rPr>
        <w:t>need</w:t>
      </w:r>
      <w:r w:rsidR="001E5A76">
        <w:rPr>
          <w:rFonts w:ascii="Arial" w:eastAsia="Times New Roman" w:hAnsi="Arial" w:cs="Arial"/>
          <w:sz w:val="24"/>
          <w:szCs w:val="24"/>
        </w:rPr>
        <w:t>ed</w:t>
      </w:r>
      <w:r w:rsidR="00F16008">
        <w:rPr>
          <w:rFonts w:ascii="Arial" w:eastAsia="Times New Roman" w:hAnsi="Arial" w:cs="Arial"/>
          <w:sz w:val="24"/>
          <w:szCs w:val="24"/>
        </w:rPr>
        <w:t>, an out-of-district placement.</w:t>
      </w:r>
      <w:r w:rsidR="00586915">
        <w:rPr>
          <w:rFonts w:ascii="Arial" w:eastAsia="Times New Roman" w:hAnsi="Arial" w:cs="Arial"/>
          <w:sz w:val="24"/>
          <w:szCs w:val="24"/>
        </w:rPr>
        <w:t xml:space="preserve">  Rather, NHCS has consistently asserted that it can provide </w:t>
      </w:r>
      <w:r>
        <w:rPr>
          <w:rFonts w:ascii="Arial" w:eastAsia="Times New Roman" w:hAnsi="Arial" w:cs="Arial"/>
          <w:sz w:val="24"/>
          <w:szCs w:val="24"/>
        </w:rPr>
        <w:t>Student with a FAPE</w:t>
      </w:r>
      <w:r w:rsidR="001E5A76">
        <w:rPr>
          <w:rFonts w:ascii="Arial" w:eastAsia="Times New Roman" w:hAnsi="Arial" w:cs="Arial"/>
          <w:sz w:val="24"/>
          <w:szCs w:val="24"/>
        </w:rPr>
        <w:t xml:space="preserve"> within the context of a full-inclusion or partial-inclusion placement</w:t>
      </w:r>
      <w:r>
        <w:rPr>
          <w:rFonts w:ascii="Arial" w:eastAsia="Times New Roman" w:hAnsi="Arial" w:cs="Arial"/>
          <w:sz w:val="24"/>
          <w:szCs w:val="24"/>
        </w:rPr>
        <w:t xml:space="preserve">.  The above-cited statutory and regulatory provisions </w:t>
      </w:r>
      <w:r w:rsidR="001E5A76">
        <w:rPr>
          <w:rFonts w:ascii="Arial" w:eastAsia="Times New Roman" w:hAnsi="Arial" w:cs="Arial"/>
          <w:sz w:val="24"/>
          <w:szCs w:val="24"/>
        </w:rPr>
        <w:t>neither</w:t>
      </w:r>
      <w:r>
        <w:rPr>
          <w:rFonts w:ascii="Arial" w:eastAsia="Times New Roman" w:hAnsi="Arial" w:cs="Arial"/>
          <w:sz w:val="24"/>
          <w:szCs w:val="24"/>
        </w:rPr>
        <w:t xml:space="preserve"> apply </w:t>
      </w:r>
      <w:r w:rsidR="00A13C9A">
        <w:rPr>
          <w:rFonts w:ascii="Arial" w:eastAsia="Times New Roman" w:hAnsi="Arial" w:cs="Arial"/>
          <w:sz w:val="24"/>
          <w:szCs w:val="24"/>
        </w:rPr>
        <w:t xml:space="preserve">to </w:t>
      </w:r>
      <w:r w:rsidR="001E5A76">
        <w:rPr>
          <w:rFonts w:ascii="Arial" w:eastAsia="Times New Roman" w:hAnsi="Arial" w:cs="Arial"/>
          <w:sz w:val="24"/>
          <w:szCs w:val="24"/>
        </w:rPr>
        <w:t>n</w:t>
      </w:r>
      <w:r w:rsidR="00A13C9A">
        <w:rPr>
          <w:rFonts w:ascii="Arial" w:eastAsia="Times New Roman" w:hAnsi="Arial" w:cs="Arial"/>
          <w:sz w:val="24"/>
          <w:szCs w:val="24"/>
        </w:rPr>
        <w:t xml:space="preserve">or contemplate </w:t>
      </w:r>
      <w:r>
        <w:rPr>
          <w:rFonts w:ascii="Arial" w:eastAsia="Times New Roman" w:hAnsi="Arial" w:cs="Arial"/>
          <w:sz w:val="24"/>
          <w:szCs w:val="24"/>
        </w:rPr>
        <w:t>the scenario presented in the instant case.</w:t>
      </w:r>
      <w:r w:rsidR="00584E97">
        <w:rPr>
          <w:rFonts w:ascii="Arial" w:eastAsia="Times New Roman" w:hAnsi="Arial" w:cs="Arial"/>
          <w:sz w:val="24"/>
          <w:szCs w:val="24"/>
        </w:rPr>
        <w:t xml:space="preserve"> </w:t>
      </w:r>
    </w:p>
    <w:p w:rsidR="00584E97" w:rsidRDefault="00584E97" w:rsidP="00A11FD7">
      <w:pPr>
        <w:spacing w:after="0" w:line="240" w:lineRule="auto"/>
        <w:ind w:firstLine="720"/>
        <w:rPr>
          <w:rFonts w:ascii="Arial" w:eastAsia="Times New Roman" w:hAnsi="Arial" w:cs="Arial"/>
          <w:sz w:val="24"/>
          <w:szCs w:val="24"/>
        </w:rPr>
      </w:pPr>
    </w:p>
    <w:p w:rsidR="00A11FD7" w:rsidRDefault="00586173" w:rsidP="00A11FD7">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In light of the foregoing, Parent’s allegations, if proven, could plausibly give rise to a range of potential remedies, and it would be premature, without full development of an evidentiary record at a hearing, </w:t>
      </w:r>
      <w:r w:rsidR="00A13C9A">
        <w:rPr>
          <w:rFonts w:ascii="Arial" w:eastAsia="Times New Roman" w:hAnsi="Arial" w:cs="Arial"/>
          <w:sz w:val="24"/>
          <w:szCs w:val="24"/>
        </w:rPr>
        <w:t xml:space="preserve">to foreclose any of the relief requested </w:t>
      </w:r>
      <w:r>
        <w:rPr>
          <w:rFonts w:ascii="Arial" w:eastAsia="Times New Roman" w:hAnsi="Arial" w:cs="Arial"/>
          <w:sz w:val="24"/>
          <w:szCs w:val="24"/>
        </w:rPr>
        <w:t>by</w:t>
      </w:r>
      <w:r w:rsidR="003E7995">
        <w:rPr>
          <w:rFonts w:ascii="Arial" w:eastAsia="Times New Roman" w:hAnsi="Arial" w:cs="Arial"/>
          <w:sz w:val="24"/>
          <w:szCs w:val="24"/>
        </w:rPr>
        <w:t xml:space="preserve"> Parent by dismissal of part or all of the hearing request.</w:t>
      </w:r>
      <w:r>
        <w:rPr>
          <w:rFonts w:ascii="Arial" w:eastAsia="Times New Roman" w:hAnsi="Arial" w:cs="Arial"/>
          <w:sz w:val="24"/>
          <w:szCs w:val="24"/>
        </w:rPr>
        <w:t xml:space="preserve">   </w:t>
      </w:r>
    </w:p>
    <w:p w:rsidR="00595180" w:rsidRDefault="00595180" w:rsidP="00FE3D94">
      <w:pPr>
        <w:spacing w:after="0" w:line="240" w:lineRule="auto"/>
        <w:ind w:firstLine="720"/>
        <w:rPr>
          <w:rFonts w:ascii="Arial" w:eastAsia="Times New Roman" w:hAnsi="Arial" w:cs="Arial"/>
          <w:b/>
          <w:sz w:val="24"/>
          <w:szCs w:val="24"/>
          <w:u w:val="single"/>
        </w:rPr>
      </w:pPr>
    </w:p>
    <w:p w:rsidR="00E80350" w:rsidRPr="00E80350" w:rsidRDefault="00E80350" w:rsidP="00E80350">
      <w:pPr>
        <w:spacing w:after="0" w:line="240" w:lineRule="auto"/>
        <w:ind w:firstLine="720"/>
        <w:jc w:val="center"/>
        <w:rPr>
          <w:rFonts w:ascii="Arial" w:eastAsia="Times New Roman" w:hAnsi="Arial" w:cs="Arial"/>
          <w:b/>
          <w:sz w:val="24"/>
          <w:szCs w:val="24"/>
          <w:u w:val="single"/>
        </w:rPr>
      </w:pPr>
      <w:r>
        <w:rPr>
          <w:rFonts w:ascii="Arial" w:eastAsia="Times New Roman" w:hAnsi="Arial" w:cs="Arial"/>
          <w:b/>
          <w:sz w:val="24"/>
          <w:szCs w:val="24"/>
          <w:u w:val="single"/>
        </w:rPr>
        <w:t>ORDER</w:t>
      </w:r>
    </w:p>
    <w:p w:rsidR="00101D6C" w:rsidRDefault="00101D6C" w:rsidP="00D33C5B">
      <w:pPr>
        <w:spacing w:after="0" w:line="240" w:lineRule="auto"/>
        <w:rPr>
          <w:rFonts w:ascii="Arial" w:eastAsia="Times New Roman" w:hAnsi="Arial" w:cs="Arial"/>
          <w:sz w:val="24"/>
          <w:szCs w:val="24"/>
        </w:rPr>
      </w:pPr>
    </w:p>
    <w:p w:rsidR="00E601EE" w:rsidRDefault="00A12F1F" w:rsidP="00FD2B22">
      <w:pPr>
        <w:ind w:firstLine="720"/>
        <w:rPr>
          <w:rFonts w:ascii="Arial" w:eastAsia="Times New Roman" w:hAnsi="Arial" w:cs="Arial"/>
          <w:sz w:val="24"/>
          <w:szCs w:val="24"/>
        </w:rPr>
      </w:pPr>
      <w:r w:rsidRPr="00E601EE">
        <w:rPr>
          <w:rFonts w:ascii="Arial" w:hAnsi="Arial" w:cs="Arial"/>
          <w:sz w:val="24"/>
          <w:szCs w:val="24"/>
        </w:rPr>
        <w:t>The D</w:t>
      </w:r>
      <w:r w:rsidR="00D77427">
        <w:rPr>
          <w:rFonts w:ascii="Arial" w:hAnsi="Arial" w:cs="Arial"/>
          <w:sz w:val="24"/>
          <w:szCs w:val="24"/>
        </w:rPr>
        <w:t xml:space="preserve">istrict's </w:t>
      </w:r>
      <w:r w:rsidR="00D77427" w:rsidRPr="003E7995">
        <w:rPr>
          <w:rFonts w:ascii="Arial" w:hAnsi="Arial" w:cs="Arial"/>
          <w:i/>
          <w:sz w:val="24"/>
          <w:szCs w:val="24"/>
        </w:rPr>
        <w:t>Motion to Dismiss</w:t>
      </w:r>
      <w:r w:rsidR="00D77427">
        <w:rPr>
          <w:rFonts w:ascii="Arial" w:hAnsi="Arial" w:cs="Arial"/>
          <w:sz w:val="24"/>
          <w:szCs w:val="24"/>
        </w:rPr>
        <w:t xml:space="preserve"> Parent’s claims Nos. 2, 3, and 4 is DENIED.  </w:t>
      </w:r>
      <w:r w:rsidR="00562798">
        <w:rPr>
          <w:rFonts w:ascii="Arial" w:eastAsia="Times New Roman" w:hAnsi="Arial" w:cs="Arial"/>
          <w:sz w:val="24"/>
          <w:szCs w:val="24"/>
        </w:rPr>
        <w:t xml:space="preserve">  </w:t>
      </w:r>
      <w:r w:rsidR="00E601EE" w:rsidRPr="00E601EE">
        <w:rPr>
          <w:rFonts w:ascii="Arial" w:eastAsia="Times New Roman" w:hAnsi="Arial" w:cs="Arial"/>
          <w:sz w:val="24"/>
          <w:szCs w:val="24"/>
        </w:rPr>
        <w:t xml:space="preserve">   </w:t>
      </w:r>
    </w:p>
    <w:p w:rsidR="003E7995" w:rsidRDefault="003E7995">
      <w:pPr>
        <w:rPr>
          <w:rFonts w:ascii="Arial" w:eastAsia="Times New Roman" w:hAnsi="Arial" w:cs="Arial"/>
          <w:sz w:val="24"/>
          <w:szCs w:val="24"/>
        </w:rPr>
      </w:pPr>
      <w:r>
        <w:rPr>
          <w:rFonts w:ascii="Arial" w:eastAsia="Times New Roman" w:hAnsi="Arial" w:cs="Arial"/>
          <w:sz w:val="24"/>
          <w:szCs w:val="24"/>
        </w:rPr>
        <w:t>By the Hearing Officer,</w:t>
      </w:r>
    </w:p>
    <w:p w:rsidR="00FD2B22" w:rsidRDefault="00FD2B22">
      <w:pPr>
        <w:rPr>
          <w:rFonts w:ascii="Arial" w:eastAsia="Times New Roman" w:hAnsi="Arial" w:cs="Arial"/>
          <w:sz w:val="24"/>
          <w:szCs w:val="24"/>
        </w:rPr>
      </w:pPr>
    </w:p>
    <w:p w:rsidR="00FD2B22" w:rsidRDefault="003E7995">
      <w:pPr>
        <w:rPr>
          <w:rFonts w:ascii="Arial" w:eastAsia="Times New Roman" w:hAnsi="Arial" w:cs="Arial"/>
          <w:sz w:val="24"/>
          <w:szCs w:val="24"/>
        </w:rPr>
      </w:pPr>
      <w:r>
        <w:rPr>
          <w:rFonts w:ascii="Arial" w:eastAsia="Times New Roman" w:hAnsi="Arial" w:cs="Arial"/>
          <w:sz w:val="24"/>
          <w:szCs w:val="24"/>
        </w:rPr>
        <w:t>______________________</w:t>
      </w:r>
      <w:r w:rsidR="00F32323">
        <w:rPr>
          <w:rFonts w:ascii="Arial" w:eastAsia="Times New Roman" w:hAnsi="Arial" w:cs="Arial"/>
          <w:sz w:val="24"/>
          <w:szCs w:val="24"/>
        </w:rPr>
        <w:tab/>
      </w:r>
      <w:r w:rsidR="00F32323">
        <w:rPr>
          <w:rFonts w:ascii="Arial" w:eastAsia="Times New Roman" w:hAnsi="Arial" w:cs="Arial"/>
          <w:sz w:val="24"/>
          <w:szCs w:val="24"/>
        </w:rPr>
        <w:tab/>
      </w:r>
      <w:r w:rsidR="00F32323">
        <w:rPr>
          <w:rFonts w:ascii="Arial" w:eastAsia="Times New Roman" w:hAnsi="Arial" w:cs="Arial"/>
          <w:sz w:val="24"/>
          <w:szCs w:val="24"/>
        </w:rPr>
        <w:tab/>
      </w:r>
      <w:r w:rsidR="00F32323">
        <w:rPr>
          <w:rFonts w:ascii="Arial" w:eastAsia="Times New Roman" w:hAnsi="Arial" w:cs="Arial"/>
          <w:sz w:val="24"/>
          <w:szCs w:val="24"/>
        </w:rPr>
        <w:tab/>
        <w:t>Dated:  July 19, 2019</w:t>
      </w:r>
    </w:p>
    <w:p w:rsidR="00F32323" w:rsidRDefault="00F32323">
      <w:pPr>
        <w:rPr>
          <w:rFonts w:ascii="Arial" w:eastAsia="Times New Roman" w:hAnsi="Arial" w:cs="Arial"/>
          <w:sz w:val="24"/>
          <w:szCs w:val="24"/>
        </w:rPr>
      </w:pPr>
      <w:r>
        <w:rPr>
          <w:rFonts w:ascii="Arial" w:eastAsia="Times New Roman" w:hAnsi="Arial" w:cs="Arial"/>
          <w:sz w:val="24"/>
          <w:szCs w:val="24"/>
        </w:rPr>
        <w:t>Sara Berman</w:t>
      </w:r>
    </w:p>
    <w:sectPr w:rsidR="00F32323" w:rsidSect="00360CF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29" w:rsidRDefault="00600B29" w:rsidP="00CA40BA">
      <w:pPr>
        <w:spacing w:after="0" w:line="240" w:lineRule="auto"/>
      </w:pPr>
      <w:r>
        <w:separator/>
      </w:r>
    </w:p>
  </w:endnote>
  <w:endnote w:type="continuationSeparator" w:id="0">
    <w:p w:rsidR="00600B29" w:rsidRDefault="00600B29" w:rsidP="00CA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421678"/>
      <w:docPartObj>
        <w:docPartGallery w:val="Page Numbers (Bottom of Page)"/>
        <w:docPartUnique/>
      </w:docPartObj>
    </w:sdtPr>
    <w:sdtEndPr>
      <w:rPr>
        <w:noProof/>
      </w:rPr>
    </w:sdtEndPr>
    <w:sdtContent>
      <w:p w:rsidR="00360CFF" w:rsidRDefault="00360CFF">
        <w:pPr>
          <w:pStyle w:val="Footer"/>
          <w:jc w:val="center"/>
        </w:pPr>
        <w:r>
          <w:fldChar w:fldCharType="begin"/>
        </w:r>
        <w:r>
          <w:instrText xml:space="preserve"> PAGE   \* MERGEFORMAT </w:instrText>
        </w:r>
        <w:r>
          <w:fldChar w:fldCharType="separate"/>
        </w:r>
        <w:r w:rsidR="003E565C">
          <w:rPr>
            <w:noProof/>
          </w:rPr>
          <w:t>7</w:t>
        </w:r>
        <w:r>
          <w:rPr>
            <w:noProof/>
          </w:rPr>
          <w:fldChar w:fldCharType="end"/>
        </w:r>
      </w:p>
    </w:sdtContent>
  </w:sdt>
  <w:p w:rsidR="00360CFF" w:rsidRDefault="0036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29" w:rsidRDefault="00600B29" w:rsidP="00CA40BA">
      <w:pPr>
        <w:spacing w:after="0" w:line="240" w:lineRule="auto"/>
      </w:pPr>
      <w:r>
        <w:separator/>
      </w:r>
    </w:p>
  </w:footnote>
  <w:footnote w:type="continuationSeparator" w:id="0">
    <w:p w:rsidR="00600B29" w:rsidRDefault="00600B29" w:rsidP="00CA40BA">
      <w:pPr>
        <w:spacing w:after="0" w:line="240" w:lineRule="auto"/>
      </w:pPr>
      <w:r>
        <w:continuationSeparator/>
      </w:r>
    </w:p>
  </w:footnote>
  <w:footnote w:id="1">
    <w:p w:rsidR="00F22389" w:rsidRPr="00F22389" w:rsidRDefault="00F22389">
      <w:pPr>
        <w:pStyle w:val="FootnoteText"/>
        <w:rPr>
          <w:rFonts w:ascii="Arial" w:hAnsi="Arial" w:cs="Arial"/>
        </w:rPr>
      </w:pPr>
      <w:r w:rsidRPr="00F22389">
        <w:rPr>
          <w:rStyle w:val="FootnoteReference"/>
          <w:rFonts w:ascii="Arial" w:hAnsi="Arial" w:cs="Arial"/>
        </w:rPr>
        <w:footnoteRef/>
      </w:r>
      <w:r w:rsidRPr="00F22389">
        <w:rPr>
          <w:rFonts w:ascii="Arial" w:hAnsi="Arial" w:cs="Arial"/>
        </w:rPr>
        <w:t xml:space="preserve"> Parent also requested an order for attorney’s fees and “such other or further relief as may be just,” but the </w:t>
      </w:r>
      <w:r w:rsidR="002E66DB">
        <w:rPr>
          <w:rFonts w:ascii="Arial" w:hAnsi="Arial" w:cs="Arial"/>
        </w:rPr>
        <w:t xml:space="preserve">parties </w:t>
      </w:r>
      <w:r w:rsidR="00702DF7">
        <w:rPr>
          <w:rFonts w:ascii="Arial" w:hAnsi="Arial" w:cs="Arial"/>
        </w:rPr>
        <w:t xml:space="preserve">have not addressed these claims </w:t>
      </w:r>
      <w:r w:rsidRPr="00F22389">
        <w:rPr>
          <w:rFonts w:ascii="Arial" w:hAnsi="Arial" w:cs="Arial"/>
        </w:rPr>
        <w:t xml:space="preserve">in connection with this </w:t>
      </w:r>
      <w:r w:rsidRPr="00F22389">
        <w:rPr>
          <w:rFonts w:ascii="Arial" w:hAnsi="Arial" w:cs="Arial"/>
          <w:i/>
        </w:rPr>
        <w:t>Motion to Dismiss</w:t>
      </w:r>
      <w:r w:rsidRPr="00F22389">
        <w:rPr>
          <w:rFonts w:ascii="Arial" w:hAnsi="Arial" w:cs="Arial"/>
        </w:rPr>
        <w:t xml:space="preserve">.  </w:t>
      </w:r>
    </w:p>
  </w:footnote>
  <w:footnote w:id="2">
    <w:p w:rsidR="00616048" w:rsidRPr="00616048" w:rsidRDefault="00616048">
      <w:pPr>
        <w:pStyle w:val="FootnoteText"/>
        <w:rPr>
          <w:rFonts w:ascii="Arial" w:hAnsi="Arial" w:cs="Arial"/>
        </w:rPr>
      </w:pPr>
      <w:r w:rsidRPr="00616048">
        <w:rPr>
          <w:rStyle w:val="FootnoteReference"/>
          <w:rFonts w:ascii="Arial" w:hAnsi="Arial" w:cs="Arial"/>
        </w:rPr>
        <w:footnoteRef/>
      </w:r>
      <w:r w:rsidRPr="00616048">
        <w:rPr>
          <w:rFonts w:ascii="Arial" w:hAnsi="Arial" w:cs="Arial"/>
        </w:rPr>
        <w:t xml:space="preserve"> On May 1, 2019, NHCS filed a </w:t>
      </w:r>
      <w:r w:rsidRPr="00616048">
        <w:rPr>
          <w:rFonts w:ascii="Arial" w:hAnsi="Arial" w:cs="Arial"/>
          <w:i/>
        </w:rPr>
        <w:t>Motion to Join the Boston Public Schools</w:t>
      </w:r>
      <w:r w:rsidRPr="00616048">
        <w:rPr>
          <w:rFonts w:ascii="Arial" w:hAnsi="Arial" w:cs="Arial"/>
        </w:rPr>
        <w:t xml:space="preserve"> as a party in this matter.  This </w:t>
      </w:r>
      <w:r w:rsidRPr="00616048">
        <w:rPr>
          <w:rFonts w:ascii="Arial" w:hAnsi="Arial" w:cs="Arial"/>
          <w:i/>
        </w:rPr>
        <w:t>Motion</w:t>
      </w:r>
      <w:r w:rsidRPr="00616048">
        <w:rPr>
          <w:rFonts w:ascii="Arial" w:hAnsi="Arial" w:cs="Arial"/>
        </w:rPr>
        <w:t xml:space="preserve"> was denied in a Ruling dated June 14, 2019.</w:t>
      </w:r>
    </w:p>
  </w:footnote>
  <w:footnote w:id="3">
    <w:p w:rsidR="00700CAB" w:rsidRPr="00700CAB" w:rsidRDefault="00700CAB">
      <w:pPr>
        <w:pStyle w:val="FootnoteText"/>
        <w:rPr>
          <w:rFonts w:ascii="Arial" w:hAnsi="Arial" w:cs="Arial"/>
        </w:rPr>
      </w:pPr>
      <w:r w:rsidRPr="00700CAB">
        <w:rPr>
          <w:rStyle w:val="FootnoteReference"/>
          <w:rFonts w:ascii="Arial" w:hAnsi="Arial" w:cs="Arial"/>
        </w:rPr>
        <w:footnoteRef/>
      </w:r>
      <w:r w:rsidRPr="00700CAB">
        <w:rPr>
          <w:rFonts w:ascii="Arial" w:hAnsi="Arial" w:cs="Arial"/>
        </w:rPr>
        <w:t xml:space="preserve"> NHCS </w:t>
      </w:r>
      <w:r>
        <w:rPr>
          <w:rFonts w:ascii="Arial" w:hAnsi="Arial" w:cs="Arial"/>
        </w:rPr>
        <w:t>has not sought dismissal of claim No. 1, which challenges the appropriateness of the IEP for June 2018-June 2019.</w:t>
      </w:r>
    </w:p>
  </w:footnote>
  <w:footnote w:id="4">
    <w:p w:rsidR="00EB0858" w:rsidRPr="00DD2369" w:rsidRDefault="00EB0858" w:rsidP="00EB0858">
      <w:pPr>
        <w:spacing w:after="0" w:line="240" w:lineRule="auto"/>
        <w:rPr>
          <w:rFonts w:ascii="Arial" w:eastAsia="Times New Roman" w:hAnsi="Arial" w:cs="Arial"/>
          <w:sz w:val="20"/>
          <w:szCs w:val="20"/>
        </w:rPr>
      </w:pPr>
      <w:r w:rsidRPr="00DD2369">
        <w:rPr>
          <w:rStyle w:val="FootnoteReference"/>
          <w:rFonts w:ascii="Arial" w:hAnsi="Arial" w:cs="Arial"/>
          <w:sz w:val="20"/>
          <w:szCs w:val="20"/>
        </w:rPr>
        <w:footnoteRef/>
      </w:r>
      <w:r w:rsidRPr="00DD2369">
        <w:rPr>
          <w:rFonts w:ascii="Arial" w:hAnsi="Arial" w:cs="Arial"/>
          <w:sz w:val="20"/>
          <w:szCs w:val="20"/>
        </w:rPr>
        <w:t xml:space="preserve"> See also </w:t>
      </w:r>
      <w:r w:rsidRPr="00DD2369">
        <w:rPr>
          <w:rFonts w:ascii="Arial" w:eastAsia="Times New Roman" w:hAnsi="Arial" w:cs="Arial"/>
          <w:i/>
          <w:sz w:val="20"/>
          <w:szCs w:val="20"/>
        </w:rPr>
        <w:t>Standard Adjudicatory Rules of Practice and Procedure</w:t>
      </w:r>
      <w:r w:rsidRPr="00DD2369">
        <w:rPr>
          <w:rFonts w:ascii="Arial" w:eastAsia="Times New Roman" w:hAnsi="Arial" w:cs="Arial"/>
          <w:sz w:val="20"/>
          <w:szCs w:val="20"/>
        </w:rPr>
        <w:t>, 801 CMR 1.01(7</w:t>
      </w:r>
      <w:proofErr w:type="gramStart"/>
      <w:r w:rsidRPr="00DD2369">
        <w:rPr>
          <w:rFonts w:ascii="Arial" w:eastAsia="Times New Roman" w:hAnsi="Arial" w:cs="Arial"/>
          <w:sz w:val="20"/>
          <w:szCs w:val="20"/>
        </w:rPr>
        <w:t>)(</w:t>
      </w:r>
      <w:proofErr w:type="gramEnd"/>
      <w:r w:rsidRPr="00DD2369">
        <w:rPr>
          <w:rFonts w:ascii="Arial" w:eastAsia="Times New Roman" w:hAnsi="Arial" w:cs="Arial"/>
          <w:sz w:val="20"/>
          <w:szCs w:val="20"/>
        </w:rPr>
        <w:t>g)(3).  These provisions are analogous to Rule 12(b)(6) of the Federal Rules of Civil Procedure which states: “…a party may state the following defenses by motion</w:t>
      </w:r>
      <w:r w:rsidR="00C038B8">
        <w:rPr>
          <w:rFonts w:ascii="Arial" w:eastAsia="Times New Roman" w:hAnsi="Arial" w:cs="Arial"/>
          <w:sz w:val="20"/>
          <w:szCs w:val="20"/>
        </w:rPr>
        <w:t>…</w:t>
      </w:r>
      <w:r w:rsidRPr="00DD2369">
        <w:rPr>
          <w:rFonts w:ascii="Arial" w:eastAsia="Times New Roman" w:hAnsi="Arial" w:cs="Arial"/>
          <w:sz w:val="20"/>
          <w:szCs w:val="20"/>
        </w:rPr>
        <w:t xml:space="preserve">failure to state a claim upon which relief may be granted…” </w:t>
      </w:r>
      <w:r w:rsidR="00C038B8">
        <w:rPr>
          <w:rFonts w:ascii="Arial" w:eastAsia="Times New Roman" w:hAnsi="Arial" w:cs="Arial"/>
          <w:sz w:val="20"/>
          <w:szCs w:val="20"/>
        </w:rPr>
        <w:t xml:space="preserve"> T</w:t>
      </w:r>
      <w:r>
        <w:rPr>
          <w:rFonts w:ascii="Arial" w:eastAsia="Times New Roman" w:hAnsi="Arial" w:cs="Arial"/>
          <w:sz w:val="20"/>
          <w:szCs w:val="20"/>
        </w:rPr>
        <w:t xml:space="preserve">he BSEA </w:t>
      </w:r>
      <w:r w:rsidR="00C038B8">
        <w:rPr>
          <w:rFonts w:ascii="Arial" w:eastAsia="Times New Roman" w:hAnsi="Arial" w:cs="Arial"/>
          <w:sz w:val="20"/>
          <w:szCs w:val="20"/>
        </w:rPr>
        <w:t>is guided by this rule and cases decided thereunder</w:t>
      </w:r>
      <w:r>
        <w:rPr>
          <w:rFonts w:ascii="Arial" w:eastAsia="Times New Roman" w:hAnsi="Arial" w:cs="Arial"/>
          <w:sz w:val="20"/>
          <w:szCs w:val="20"/>
        </w:rPr>
        <w:t xml:space="preserve"> in evaluating motions to dismiss.</w:t>
      </w:r>
    </w:p>
  </w:footnote>
  <w:footnote w:id="5">
    <w:p w:rsidR="00EB0858" w:rsidRPr="00E92F96" w:rsidRDefault="00EB0858" w:rsidP="00EB0858">
      <w:pPr>
        <w:pStyle w:val="FootnoteText"/>
      </w:pPr>
      <w:r>
        <w:rPr>
          <w:rStyle w:val="FootnoteReference"/>
        </w:rPr>
        <w:footnoteRef/>
      </w:r>
      <w:r>
        <w:t xml:space="preserve"> </w:t>
      </w:r>
      <w:r w:rsidRPr="000F2817">
        <w:rPr>
          <w:rFonts w:ascii="Arial" w:hAnsi="Arial" w:cs="Arial"/>
        </w:rPr>
        <w:t xml:space="preserve">Individuals with Disabilities Education Act (IDEA), </w:t>
      </w:r>
      <w:r w:rsidRPr="000F2817">
        <w:rPr>
          <w:rFonts w:ascii="Arial" w:eastAsia="Times New Roman" w:hAnsi="Arial" w:cs="Arial"/>
        </w:rPr>
        <w:t>20</w:t>
      </w:r>
      <w:r w:rsidRPr="00E92F96">
        <w:rPr>
          <w:rFonts w:ascii="Arial" w:eastAsia="Times New Roman" w:hAnsi="Arial" w:cs="Arial"/>
        </w:rPr>
        <w:t xml:space="preserve"> U.S.C. § 1400 </w:t>
      </w:r>
      <w:proofErr w:type="gramStart"/>
      <w:r w:rsidRPr="00E92F96">
        <w:rPr>
          <w:rFonts w:ascii="Arial" w:eastAsia="Times New Roman" w:hAnsi="Arial" w:cs="Arial"/>
          <w:i/>
        </w:rPr>
        <w:t>et</w:t>
      </w:r>
      <w:proofErr w:type="gramEnd"/>
      <w:r w:rsidRPr="00E92F96">
        <w:rPr>
          <w:rFonts w:ascii="Arial" w:eastAsia="Times New Roman" w:hAnsi="Arial" w:cs="Arial"/>
          <w:i/>
        </w:rPr>
        <w:t xml:space="preserve">. </w:t>
      </w:r>
      <w:proofErr w:type="spellStart"/>
      <w:r w:rsidRPr="00E92F96">
        <w:rPr>
          <w:rFonts w:ascii="Arial" w:eastAsia="Times New Roman" w:hAnsi="Arial" w:cs="Arial"/>
          <w:i/>
        </w:rPr>
        <w:t>seq</w:t>
      </w:r>
      <w:proofErr w:type="spellEnd"/>
    </w:p>
  </w:footnote>
  <w:footnote w:id="6">
    <w:p w:rsidR="00EB0858" w:rsidRPr="000F2817" w:rsidRDefault="00EB0858" w:rsidP="00EB0858">
      <w:pPr>
        <w:pStyle w:val="FootnoteText"/>
      </w:pPr>
      <w:r>
        <w:rPr>
          <w:rStyle w:val="FootnoteReference"/>
        </w:rPr>
        <w:footnoteRef/>
      </w:r>
      <w:r>
        <w:t xml:space="preserve"> </w:t>
      </w:r>
      <w:r w:rsidRPr="000F2817">
        <w:rPr>
          <w:rFonts w:ascii="Arial" w:eastAsia="Times New Roman" w:hAnsi="Arial" w:cs="Arial"/>
        </w:rPr>
        <w:t>M.G.L. 71B</w:t>
      </w:r>
    </w:p>
  </w:footnote>
  <w:footnote w:id="7">
    <w:p w:rsidR="00EB0858" w:rsidRPr="000F2817" w:rsidRDefault="00EB0858" w:rsidP="00EB0858">
      <w:pPr>
        <w:pStyle w:val="FootnoteText"/>
        <w:rPr>
          <w:rFonts w:ascii="Arial" w:hAnsi="Arial" w:cs="Arial"/>
        </w:rPr>
      </w:pPr>
      <w:r w:rsidRPr="000F2817">
        <w:rPr>
          <w:rStyle w:val="FootnoteReference"/>
          <w:rFonts w:ascii="Arial" w:hAnsi="Arial" w:cs="Arial"/>
        </w:rPr>
        <w:footnoteRef/>
      </w:r>
      <w:r w:rsidRPr="000F2817">
        <w:rPr>
          <w:rFonts w:ascii="Arial" w:hAnsi="Arial" w:cs="Arial"/>
        </w:rPr>
        <w:t xml:space="preserve"> </w:t>
      </w:r>
      <w:r w:rsidRPr="000F2817">
        <w:rPr>
          <w:rFonts w:ascii="Arial" w:eastAsia="Times New Roman" w:hAnsi="Arial" w:cs="Arial"/>
        </w:rPr>
        <w:t xml:space="preserve">29 U.S.C. § </w:t>
      </w:r>
      <w:r w:rsidR="00BA64E2">
        <w:rPr>
          <w:rFonts w:ascii="Arial" w:eastAsia="Times New Roman" w:hAnsi="Arial" w:cs="Arial"/>
        </w:rPr>
        <w:t>794</w:t>
      </w:r>
    </w:p>
  </w:footnote>
  <w:footnote w:id="8">
    <w:p w:rsidR="00E7394E" w:rsidRPr="00E7394E" w:rsidRDefault="00E7394E">
      <w:pPr>
        <w:pStyle w:val="FootnoteText"/>
        <w:rPr>
          <w:rFonts w:ascii="Arial" w:hAnsi="Arial" w:cs="Arial"/>
        </w:rPr>
      </w:pPr>
      <w:r w:rsidRPr="00E7394E">
        <w:rPr>
          <w:rStyle w:val="FootnoteReference"/>
          <w:rFonts w:ascii="Arial" w:hAnsi="Arial" w:cs="Arial"/>
        </w:rPr>
        <w:footnoteRef/>
      </w:r>
      <w:r w:rsidRPr="00E7394E">
        <w:rPr>
          <w:rFonts w:ascii="Arial" w:hAnsi="Arial" w:cs="Arial"/>
        </w:rPr>
        <w:t xml:space="preserve"> </w:t>
      </w:r>
      <w:r>
        <w:rPr>
          <w:rFonts w:ascii="Arial" w:hAnsi="Arial" w:cs="Arial"/>
        </w:rPr>
        <w:t>As of the date of this letter, NHCS had not yet issued an IEP or amendment pursuant to the Team meeting of June 2018; therefore, by this letter, Parent was now fully rejecting the IEP of November 2017-November 2018</w:t>
      </w:r>
      <w:proofErr w:type="gramStart"/>
      <w:r>
        <w:rPr>
          <w:rFonts w:ascii="Arial" w:hAnsi="Arial" w:cs="Arial"/>
        </w:rPr>
        <w:t>,that</w:t>
      </w:r>
      <w:proofErr w:type="gramEnd"/>
      <w:r>
        <w:rPr>
          <w:rFonts w:ascii="Arial" w:hAnsi="Arial" w:cs="Arial"/>
        </w:rPr>
        <w:t xml:space="preserve"> she previously had accepted in part.  </w:t>
      </w:r>
    </w:p>
  </w:footnote>
  <w:footnote w:id="9">
    <w:p w:rsidR="008A7CA1" w:rsidRPr="005F3C1E" w:rsidRDefault="008A7CA1">
      <w:pPr>
        <w:pStyle w:val="FootnoteText"/>
        <w:rPr>
          <w:rFonts w:ascii="Arial" w:hAnsi="Arial" w:cs="Arial"/>
        </w:rPr>
      </w:pPr>
      <w:r w:rsidRPr="005F3C1E">
        <w:rPr>
          <w:rStyle w:val="FootnoteReference"/>
          <w:rFonts w:ascii="Arial" w:hAnsi="Arial" w:cs="Arial"/>
        </w:rPr>
        <w:footnoteRef/>
      </w:r>
      <w:r w:rsidRPr="005F3C1E">
        <w:rPr>
          <w:rFonts w:ascii="Arial" w:hAnsi="Arial" w:cs="Arial"/>
        </w:rPr>
        <w:t xml:space="preserve"> </w:t>
      </w:r>
      <w:r w:rsidR="005F3C1E">
        <w:rPr>
          <w:rFonts w:ascii="Arial" w:hAnsi="Arial" w:cs="Arial"/>
        </w:rPr>
        <w:t xml:space="preserve">Here, </w:t>
      </w:r>
      <w:r w:rsidRPr="005F3C1E">
        <w:rPr>
          <w:rFonts w:ascii="Arial" w:hAnsi="Arial" w:cs="Arial"/>
        </w:rPr>
        <w:t xml:space="preserve">Parent </w:t>
      </w:r>
      <w:r w:rsidR="005F3C1E">
        <w:rPr>
          <w:rFonts w:ascii="Arial" w:hAnsi="Arial" w:cs="Arial"/>
        </w:rPr>
        <w:t xml:space="preserve">appears to </w:t>
      </w:r>
      <w:r w:rsidR="00D63EEA" w:rsidRPr="005F3C1E">
        <w:rPr>
          <w:rFonts w:ascii="Arial" w:hAnsi="Arial" w:cs="Arial"/>
        </w:rPr>
        <w:t>r</w:t>
      </w:r>
      <w:r w:rsidR="005F3C1E">
        <w:rPr>
          <w:rFonts w:ascii="Arial" w:hAnsi="Arial" w:cs="Arial"/>
        </w:rPr>
        <w:t>efer to</w:t>
      </w:r>
      <w:r w:rsidR="00D63EEA" w:rsidRPr="005F3C1E">
        <w:rPr>
          <w:rFonts w:ascii="Arial" w:hAnsi="Arial" w:cs="Arial"/>
        </w:rPr>
        <w:t xml:space="preserve"> the right of parents </w:t>
      </w:r>
      <w:r w:rsidR="005F3C1E" w:rsidRPr="005F3C1E">
        <w:rPr>
          <w:rFonts w:ascii="Arial" w:hAnsi="Arial" w:cs="Arial"/>
        </w:rPr>
        <w:t>of</w:t>
      </w:r>
      <w:r w:rsidRPr="005F3C1E">
        <w:rPr>
          <w:rFonts w:ascii="Arial" w:hAnsi="Arial" w:cs="Arial"/>
        </w:rPr>
        <w:t xml:space="preserve"> children enrolled </w:t>
      </w:r>
      <w:r w:rsidR="00D63EEA" w:rsidRPr="005F3C1E">
        <w:rPr>
          <w:rFonts w:ascii="Arial" w:hAnsi="Arial" w:cs="Arial"/>
        </w:rPr>
        <w:t xml:space="preserve">in non-charter public schools to seek </w:t>
      </w:r>
      <w:r w:rsidRPr="005F3C1E">
        <w:rPr>
          <w:rFonts w:ascii="Arial" w:hAnsi="Arial" w:cs="Arial"/>
        </w:rPr>
        <w:t xml:space="preserve">reimbursement from their LEAs consistent with </w:t>
      </w:r>
      <w:r w:rsidRPr="005F3C1E">
        <w:rPr>
          <w:rFonts w:ascii="Arial" w:hAnsi="Arial" w:cs="Arial"/>
          <w:i/>
        </w:rPr>
        <w:t>Florence County School District Four v. Carter</w:t>
      </w:r>
      <w:r w:rsidRPr="005F3C1E">
        <w:rPr>
          <w:rFonts w:ascii="Arial" w:hAnsi="Arial" w:cs="Arial"/>
        </w:rPr>
        <w:t xml:space="preserve">, 501 U.S. 7, (1993) and </w:t>
      </w:r>
      <w:r w:rsidRPr="005F3C1E">
        <w:rPr>
          <w:rFonts w:ascii="Arial" w:hAnsi="Arial" w:cs="Arial"/>
          <w:i/>
        </w:rPr>
        <w:t>School Comm. of Burlington v. Dept. of Education</w:t>
      </w:r>
      <w:r w:rsidRPr="005F3C1E">
        <w:rPr>
          <w:rFonts w:ascii="Arial" w:hAnsi="Arial" w:cs="Arial"/>
        </w:rPr>
        <w:t xml:space="preserve">, 471 U.S. 359, 369 (1985).  </w:t>
      </w:r>
    </w:p>
  </w:footnote>
  <w:footnote w:id="10">
    <w:p w:rsidR="00F16008" w:rsidRPr="00F16008" w:rsidRDefault="00F16008">
      <w:pPr>
        <w:pStyle w:val="FootnoteText"/>
        <w:rPr>
          <w:rFonts w:ascii="Arial" w:hAnsi="Arial" w:cs="Arial"/>
        </w:rPr>
      </w:pPr>
      <w:r>
        <w:rPr>
          <w:rStyle w:val="FootnoteReference"/>
        </w:rPr>
        <w:footnoteRef/>
      </w:r>
      <w:r w:rsidR="003E7995" w:rsidRPr="003E7995">
        <w:rPr>
          <w:rFonts w:ascii="Arial" w:hAnsi="Arial" w:cs="Arial"/>
        </w:rPr>
        <w:t xml:space="preserve">Obviously, </w:t>
      </w:r>
      <w:r w:rsidR="00C26A19">
        <w:rPr>
          <w:rFonts w:ascii="Arial" w:hAnsi="Arial" w:cs="Arial"/>
        </w:rPr>
        <w:t>were</w:t>
      </w:r>
      <w:r w:rsidR="003E7995">
        <w:rPr>
          <w:rFonts w:ascii="Arial" w:hAnsi="Arial" w:cs="Arial"/>
        </w:rPr>
        <w:t xml:space="preserve"> the district of residence </w:t>
      </w:r>
      <w:r w:rsidR="00C26A19">
        <w:rPr>
          <w:rFonts w:ascii="Arial" w:hAnsi="Arial" w:cs="Arial"/>
        </w:rPr>
        <w:t xml:space="preserve">to </w:t>
      </w:r>
      <w:r w:rsidR="003E7995">
        <w:rPr>
          <w:rFonts w:ascii="Arial" w:hAnsi="Arial" w:cs="Arial"/>
        </w:rPr>
        <w:t xml:space="preserve">offer, and Parent </w:t>
      </w:r>
      <w:r w:rsidR="00C26A19">
        <w:rPr>
          <w:rFonts w:ascii="Arial" w:hAnsi="Arial" w:cs="Arial"/>
        </w:rPr>
        <w:t xml:space="preserve">to </w:t>
      </w:r>
      <w:r w:rsidR="003E7995">
        <w:rPr>
          <w:rFonts w:ascii="Arial" w:hAnsi="Arial" w:cs="Arial"/>
        </w:rPr>
        <w:t>accept, an in-dis</w:t>
      </w:r>
      <w:r w:rsidR="00C26A19">
        <w:rPr>
          <w:rFonts w:ascii="Arial" w:hAnsi="Arial" w:cs="Arial"/>
        </w:rPr>
        <w:t xml:space="preserve">trict placement, Student would </w:t>
      </w:r>
      <w:r w:rsidR="003E7995">
        <w:rPr>
          <w:rFonts w:ascii="Arial" w:hAnsi="Arial" w:cs="Arial"/>
        </w:rPr>
        <w:t xml:space="preserve">return </w:t>
      </w:r>
      <w:r>
        <w:rPr>
          <w:rFonts w:ascii="Arial" w:hAnsi="Arial" w:cs="Arial"/>
        </w:rPr>
        <w:t>to the district of residence</w:t>
      </w:r>
      <w:r w:rsidR="003E7995">
        <w:rPr>
          <w:rFonts w:ascii="Arial" w:hAnsi="Arial" w:cs="Arial"/>
        </w:rPr>
        <w:t>.</w:t>
      </w:r>
      <w:r>
        <w:rPr>
          <w:rFonts w:ascii="Arial" w:hAnsi="Arial" w:cs="Arial"/>
        </w:rPr>
        <w:t xml:space="preserve">  603 CMR 28.10(6)(a)(2)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89B"/>
    <w:multiLevelType w:val="hybridMultilevel"/>
    <w:tmpl w:val="618EDAB0"/>
    <w:lvl w:ilvl="0" w:tplc="CF661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50411"/>
    <w:multiLevelType w:val="hybridMultilevel"/>
    <w:tmpl w:val="11A0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A5775"/>
    <w:multiLevelType w:val="hybridMultilevel"/>
    <w:tmpl w:val="FB208372"/>
    <w:lvl w:ilvl="0" w:tplc="42A65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F526C"/>
    <w:multiLevelType w:val="hybridMultilevel"/>
    <w:tmpl w:val="B01A6C80"/>
    <w:lvl w:ilvl="0" w:tplc="F43EB5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765DD0"/>
    <w:multiLevelType w:val="multilevel"/>
    <w:tmpl w:val="A37C5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5B"/>
    <w:rsid w:val="00004B20"/>
    <w:rsid w:val="00012005"/>
    <w:rsid w:val="00013F03"/>
    <w:rsid w:val="00030556"/>
    <w:rsid w:val="000331B1"/>
    <w:rsid w:val="000432C8"/>
    <w:rsid w:val="000474E8"/>
    <w:rsid w:val="00054174"/>
    <w:rsid w:val="0007512E"/>
    <w:rsid w:val="000A4368"/>
    <w:rsid w:val="000B155C"/>
    <w:rsid w:val="000F2817"/>
    <w:rsid w:val="00101D6C"/>
    <w:rsid w:val="00150B99"/>
    <w:rsid w:val="00160F5A"/>
    <w:rsid w:val="00164C8C"/>
    <w:rsid w:val="0017359B"/>
    <w:rsid w:val="00181735"/>
    <w:rsid w:val="001A3BB0"/>
    <w:rsid w:val="001B3C02"/>
    <w:rsid w:val="001B606E"/>
    <w:rsid w:val="001E5143"/>
    <w:rsid w:val="001E5A76"/>
    <w:rsid w:val="002100E0"/>
    <w:rsid w:val="00246CF8"/>
    <w:rsid w:val="002861DE"/>
    <w:rsid w:val="00294964"/>
    <w:rsid w:val="002A2F17"/>
    <w:rsid w:val="002C7C07"/>
    <w:rsid w:val="002E66DB"/>
    <w:rsid w:val="0030549C"/>
    <w:rsid w:val="003361C4"/>
    <w:rsid w:val="00336FA1"/>
    <w:rsid w:val="00360CFF"/>
    <w:rsid w:val="003C6F17"/>
    <w:rsid w:val="003E565C"/>
    <w:rsid w:val="003E7995"/>
    <w:rsid w:val="003F370E"/>
    <w:rsid w:val="003F65E4"/>
    <w:rsid w:val="00410139"/>
    <w:rsid w:val="004146EE"/>
    <w:rsid w:val="0046104E"/>
    <w:rsid w:val="00470CC5"/>
    <w:rsid w:val="00493A33"/>
    <w:rsid w:val="004E4392"/>
    <w:rsid w:val="004F061E"/>
    <w:rsid w:val="00516F2D"/>
    <w:rsid w:val="005417EB"/>
    <w:rsid w:val="00541ADF"/>
    <w:rsid w:val="00553227"/>
    <w:rsid w:val="00556364"/>
    <w:rsid w:val="00561A34"/>
    <w:rsid w:val="00562798"/>
    <w:rsid w:val="005726D4"/>
    <w:rsid w:val="00584994"/>
    <w:rsid w:val="00584E97"/>
    <w:rsid w:val="00586173"/>
    <w:rsid w:val="00586915"/>
    <w:rsid w:val="00595180"/>
    <w:rsid w:val="005B2D4E"/>
    <w:rsid w:val="005C25EB"/>
    <w:rsid w:val="005F3C1E"/>
    <w:rsid w:val="00600B29"/>
    <w:rsid w:val="00605786"/>
    <w:rsid w:val="006123D1"/>
    <w:rsid w:val="0061248E"/>
    <w:rsid w:val="00616048"/>
    <w:rsid w:val="00627563"/>
    <w:rsid w:val="0065103A"/>
    <w:rsid w:val="00670A76"/>
    <w:rsid w:val="006735E1"/>
    <w:rsid w:val="006805B2"/>
    <w:rsid w:val="0069221F"/>
    <w:rsid w:val="00700CAB"/>
    <w:rsid w:val="00702DF7"/>
    <w:rsid w:val="0071446A"/>
    <w:rsid w:val="007173BC"/>
    <w:rsid w:val="00722BC3"/>
    <w:rsid w:val="00731064"/>
    <w:rsid w:val="00742BE5"/>
    <w:rsid w:val="007459ED"/>
    <w:rsid w:val="00746FD9"/>
    <w:rsid w:val="00764E9F"/>
    <w:rsid w:val="00765324"/>
    <w:rsid w:val="0078768F"/>
    <w:rsid w:val="007973F0"/>
    <w:rsid w:val="007974F2"/>
    <w:rsid w:val="007D3428"/>
    <w:rsid w:val="00836A88"/>
    <w:rsid w:val="00842AE6"/>
    <w:rsid w:val="00872973"/>
    <w:rsid w:val="00877E1A"/>
    <w:rsid w:val="00882054"/>
    <w:rsid w:val="008874AF"/>
    <w:rsid w:val="008A12AE"/>
    <w:rsid w:val="008A2828"/>
    <w:rsid w:val="008A7CA1"/>
    <w:rsid w:val="008E71A4"/>
    <w:rsid w:val="008F1FB1"/>
    <w:rsid w:val="008F779C"/>
    <w:rsid w:val="00925C70"/>
    <w:rsid w:val="00931125"/>
    <w:rsid w:val="0098215E"/>
    <w:rsid w:val="009C579F"/>
    <w:rsid w:val="009D3DAC"/>
    <w:rsid w:val="00A050B6"/>
    <w:rsid w:val="00A112C6"/>
    <w:rsid w:val="00A11FD7"/>
    <w:rsid w:val="00A12F1F"/>
    <w:rsid w:val="00A13C9A"/>
    <w:rsid w:val="00A162A9"/>
    <w:rsid w:val="00A23F22"/>
    <w:rsid w:val="00A6244C"/>
    <w:rsid w:val="00A70F43"/>
    <w:rsid w:val="00A8751C"/>
    <w:rsid w:val="00AB5860"/>
    <w:rsid w:val="00AD4712"/>
    <w:rsid w:val="00AE1B11"/>
    <w:rsid w:val="00B04796"/>
    <w:rsid w:val="00B135D5"/>
    <w:rsid w:val="00B67F5D"/>
    <w:rsid w:val="00BA2471"/>
    <w:rsid w:val="00BA64E2"/>
    <w:rsid w:val="00BB1306"/>
    <w:rsid w:val="00BD4433"/>
    <w:rsid w:val="00C038B8"/>
    <w:rsid w:val="00C21E98"/>
    <w:rsid w:val="00C26A19"/>
    <w:rsid w:val="00C35643"/>
    <w:rsid w:val="00C3669E"/>
    <w:rsid w:val="00C84DE4"/>
    <w:rsid w:val="00C86888"/>
    <w:rsid w:val="00CA2AC8"/>
    <w:rsid w:val="00CA40BA"/>
    <w:rsid w:val="00CF675E"/>
    <w:rsid w:val="00D047CA"/>
    <w:rsid w:val="00D11EF9"/>
    <w:rsid w:val="00D33C5B"/>
    <w:rsid w:val="00D43922"/>
    <w:rsid w:val="00D63EEA"/>
    <w:rsid w:val="00D77427"/>
    <w:rsid w:val="00D77CE6"/>
    <w:rsid w:val="00D84471"/>
    <w:rsid w:val="00DB7E88"/>
    <w:rsid w:val="00DD2369"/>
    <w:rsid w:val="00DD5D92"/>
    <w:rsid w:val="00DE6256"/>
    <w:rsid w:val="00DF154C"/>
    <w:rsid w:val="00E21DA2"/>
    <w:rsid w:val="00E27FC5"/>
    <w:rsid w:val="00E35F9B"/>
    <w:rsid w:val="00E601EE"/>
    <w:rsid w:val="00E63F73"/>
    <w:rsid w:val="00E7394E"/>
    <w:rsid w:val="00E80350"/>
    <w:rsid w:val="00E84E7A"/>
    <w:rsid w:val="00E92F96"/>
    <w:rsid w:val="00E93F47"/>
    <w:rsid w:val="00EB0858"/>
    <w:rsid w:val="00EB63C2"/>
    <w:rsid w:val="00ED26A4"/>
    <w:rsid w:val="00F00A0A"/>
    <w:rsid w:val="00F03B91"/>
    <w:rsid w:val="00F16008"/>
    <w:rsid w:val="00F22389"/>
    <w:rsid w:val="00F27FFE"/>
    <w:rsid w:val="00F32323"/>
    <w:rsid w:val="00F3770C"/>
    <w:rsid w:val="00F8433C"/>
    <w:rsid w:val="00F95257"/>
    <w:rsid w:val="00FA597A"/>
    <w:rsid w:val="00FB5BF8"/>
    <w:rsid w:val="00FD2B22"/>
    <w:rsid w:val="00FE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D33C5B"/>
  </w:style>
  <w:style w:type="character" w:styleId="Emphasis">
    <w:name w:val="Emphasis"/>
    <w:basedOn w:val="DefaultParagraphFont"/>
    <w:uiPriority w:val="20"/>
    <w:qFormat/>
    <w:rsid w:val="00D33C5B"/>
    <w:rPr>
      <w:i/>
      <w:iCs/>
    </w:rPr>
  </w:style>
  <w:style w:type="character" w:customStyle="1" w:styleId="costarpage">
    <w:name w:val="co_starpage"/>
    <w:basedOn w:val="DefaultParagraphFont"/>
    <w:rsid w:val="00D33C5B"/>
  </w:style>
  <w:style w:type="paragraph" w:styleId="ListParagraph">
    <w:name w:val="List Paragraph"/>
    <w:basedOn w:val="Normal"/>
    <w:uiPriority w:val="34"/>
    <w:qFormat/>
    <w:rsid w:val="003C6F17"/>
    <w:pPr>
      <w:ind w:left="720"/>
      <w:contextualSpacing/>
    </w:pPr>
  </w:style>
  <w:style w:type="character" w:styleId="Hyperlink">
    <w:name w:val="Hyperlink"/>
    <w:basedOn w:val="DefaultParagraphFont"/>
    <w:uiPriority w:val="99"/>
    <w:unhideWhenUsed/>
    <w:rsid w:val="003361C4"/>
    <w:rPr>
      <w:color w:val="0000FF" w:themeColor="hyperlink"/>
      <w:u w:val="single"/>
    </w:rPr>
  </w:style>
  <w:style w:type="paragraph" w:styleId="FootnoteText">
    <w:name w:val="footnote text"/>
    <w:basedOn w:val="Normal"/>
    <w:link w:val="FootnoteTextChar"/>
    <w:uiPriority w:val="99"/>
    <w:semiHidden/>
    <w:unhideWhenUsed/>
    <w:rsid w:val="00CA4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BA"/>
    <w:rPr>
      <w:sz w:val="20"/>
      <w:szCs w:val="20"/>
    </w:rPr>
  </w:style>
  <w:style w:type="character" w:styleId="FootnoteReference">
    <w:name w:val="footnote reference"/>
    <w:basedOn w:val="DefaultParagraphFont"/>
    <w:uiPriority w:val="99"/>
    <w:semiHidden/>
    <w:unhideWhenUsed/>
    <w:rsid w:val="00CA40BA"/>
    <w:rPr>
      <w:vertAlign w:val="superscript"/>
    </w:rPr>
  </w:style>
  <w:style w:type="paragraph" w:styleId="Header">
    <w:name w:val="header"/>
    <w:basedOn w:val="Normal"/>
    <w:link w:val="HeaderChar"/>
    <w:uiPriority w:val="99"/>
    <w:unhideWhenUsed/>
    <w:rsid w:val="0036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CFF"/>
  </w:style>
  <w:style w:type="paragraph" w:styleId="Footer">
    <w:name w:val="footer"/>
    <w:basedOn w:val="Normal"/>
    <w:link w:val="FooterChar"/>
    <w:uiPriority w:val="99"/>
    <w:unhideWhenUsed/>
    <w:rsid w:val="0036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D33C5B"/>
  </w:style>
  <w:style w:type="character" w:styleId="Emphasis">
    <w:name w:val="Emphasis"/>
    <w:basedOn w:val="DefaultParagraphFont"/>
    <w:uiPriority w:val="20"/>
    <w:qFormat/>
    <w:rsid w:val="00D33C5B"/>
    <w:rPr>
      <w:i/>
      <w:iCs/>
    </w:rPr>
  </w:style>
  <w:style w:type="character" w:customStyle="1" w:styleId="costarpage">
    <w:name w:val="co_starpage"/>
    <w:basedOn w:val="DefaultParagraphFont"/>
    <w:rsid w:val="00D33C5B"/>
  </w:style>
  <w:style w:type="paragraph" w:styleId="ListParagraph">
    <w:name w:val="List Paragraph"/>
    <w:basedOn w:val="Normal"/>
    <w:uiPriority w:val="34"/>
    <w:qFormat/>
    <w:rsid w:val="003C6F17"/>
    <w:pPr>
      <w:ind w:left="720"/>
      <w:contextualSpacing/>
    </w:pPr>
  </w:style>
  <w:style w:type="character" w:styleId="Hyperlink">
    <w:name w:val="Hyperlink"/>
    <w:basedOn w:val="DefaultParagraphFont"/>
    <w:uiPriority w:val="99"/>
    <w:unhideWhenUsed/>
    <w:rsid w:val="003361C4"/>
    <w:rPr>
      <w:color w:val="0000FF" w:themeColor="hyperlink"/>
      <w:u w:val="single"/>
    </w:rPr>
  </w:style>
  <w:style w:type="paragraph" w:styleId="FootnoteText">
    <w:name w:val="footnote text"/>
    <w:basedOn w:val="Normal"/>
    <w:link w:val="FootnoteTextChar"/>
    <w:uiPriority w:val="99"/>
    <w:semiHidden/>
    <w:unhideWhenUsed/>
    <w:rsid w:val="00CA4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BA"/>
    <w:rPr>
      <w:sz w:val="20"/>
      <w:szCs w:val="20"/>
    </w:rPr>
  </w:style>
  <w:style w:type="character" w:styleId="FootnoteReference">
    <w:name w:val="footnote reference"/>
    <w:basedOn w:val="DefaultParagraphFont"/>
    <w:uiPriority w:val="99"/>
    <w:semiHidden/>
    <w:unhideWhenUsed/>
    <w:rsid w:val="00CA40BA"/>
    <w:rPr>
      <w:vertAlign w:val="superscript"/>
    </w:rPr>
  </w:style>
  <w:style w:type="paragraph" w:styleId="Header">
    <w:name w:val="header"/>
    <w:basedOn w:val="Normal"/>
    <w:link w:val="HeaderChar"/>
    <w:uiPriority w:val="99"/>
    <w:unhideWhenUsed/>
    <w:rsid w:val="00360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CFF"/>
  </w:style>
  <w:style w:type="paragraph" w:styleId="Footer">
    <w:name w:val="footer"/>
    <w:basedOn w:val="Normal"/>
    <w:link w:val="FooterChar"/>
    <w:uiPriority w:val="99"/>
    <w:unhideWhenUsed/>
    <w:rsid w:val="0036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13773">
      <w:bodyDiv w:val="1"/>
      <w:marLeft w:val="0"/>
      <w:marRight w:val="0"/>
      <w:marTop w:val="0"/>
      <w:marBottom w:val="0"/>
      <w:divBdr>
        <w:top w:val="none" w:sz="0" w:space="0" w:color="auto"/>
        <w:left w:val="none" w:sz="0" w:space="0" w:color="auto"/>
        <w:bottom w:val="none" w:sz="0" w:space="0" w:color="auto"/>
        <w:right w:val="none" w:sz="0" w:space="0" w:color="auto"/>
      </w:divBdr>
      <w:divsChild>
        <w:div w:id="1386685227">
          <w:marLeft w:val="0"/>
          <w:marRight w:val="0"/>
          <w:marTop w:val="0"/>
          <w:marBottom w:val="0"/>
          <w:divBdr>
            <w:top w:val="none" w:sz="0" w:space="0" w:color="auto"/>
            <w:left w:val="none" w:sz="0" w:space="0" w:color="auto"/>
            <w:bottom w:val="none" w:sz="0" w:space="0" w:color="auto"/>
            <w:right w:val="none" w:sz="0" w:space="0" w:color="auto"/>
          </w:divBdr>
          <w:divsChild>
            <w:div w:id="1350788636">
              <w:marLeft w:val="0"/>
              <w:marRight w:val="0"/>
              <w:marTop w:val="0"/>
              <w:marBottom w:val="0"/>
              <w:divBdr>
                <w:top w:val="none" w:sz="0" w:space="0" w:color="auto"/>
                <w:left w:val="none" w:sz="0" w:space="0" w:color="auto"/>
                <w:bottom w:val="none" w:sz="0" w:space="0" w:color="auto"/>
                <w:right w:val="none" w:sz="0" w:space="0" w:color="auto"/>
              </w:divBdr>
              <w:divsChild>
                <w:div w:id="1540169405">
                  <w:marLeft w:val="0"/>
                  <w:marRight w:val="0"/>
                  <w:marTop w:val="0"/>
                  <w:marBottom w:val="0"/>
                  <w:divBdr>
                    <w:top w:val="none" w:sz="0" w:space="0" w:color="auto"/>
                    <w:left w:val="none" w:sz="0" w:space="0" w:color="auto"/>
                    <w:bottom w:val="none" w:sz="0" w:space="0" w:color="auto"/>
                    <w:right w:val="none" w:sz="0" w:space="0" w:color="auto"/>
                  </w:divBdr>
                </w:div>
              </w:divsChild>
            </w:div>
            <w:div w:id="839930519">
              <w:marLeft w:val="0"/>
              <w:marRight w:val="0"/>
              <w:marTop w:val="0"/>
              <w:marBottom w:val="0"/>
              <w:divBdr>
                <w:top w:val="none" w:sz="0" w:space="0" w:color="auto"/>
                <w:left w:val="none" w:sz="0" w:space="0" w:color="auto"/>
                <w:bottom w:val="none" w:sz="0" w:space="0" w:color="auto"/>
                <w:right w:val="none" w:sz="0" w:space="0" w:color="auto"/>
              </w:divBdr>
              <w:divsChild>
                <w:div w:id="1728069217">
                  <w:marLeft w:val="0"/>
                  <w:marRight w:val="0"/>
                  <w:marTop w:val="0"/>
                  <w:marBottom w:val="0"/>
                  <w:divBdr>
                    <w:top w:val="none" w:sz="0" w:space="0" w:color="auto"/>
                    <w:left w:val="none" w:sz="0" w:space="0" w:color="auto"/>
                    <w:bottom w:val="none" w:sz="0" w:space="0" w:color="auto"/>
                    <w:right w:val="none" w:sz="0" w:space="0" w:color="auto"/>
                  </w:divBdr>
                </w:div>
              </w:divsChild>
            </w:div>
            <w:div w:id="21466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8237">
      <w:bodyDiv w:val="1"/>
      <w:marLeft w:val="0"/>
      <w:marRight w:val="0"/>
      <w:marTop w:val="0"/>
      <w:marBottom w:val="0"/>
      <w:divBdr>
        <w:top w:val="none" w:sz="0" w:space="0" w:color="auto"/>
        <w:left w:val="none" w:sz="0" w:space="0" w:color="auto"/>
        <w:bottom w:val="none" w:sz="0" w:space="0" w:color="auto"/>
        <w:right w:val="none" w:sz="0" w:space="0" w:color="auto"/>
      </w:divBdr>
    </w:div>
    <w:div w:id="1540044275">
      <w:bodyDiv w:val="1"/>
      <w:marLeft w:val="0"/>
      <w:marRight w:val="0"/>
      <w:marTop w:val="0"/>
      <w:marBottom w:val="0"/>
      <w:divBdr>
        <w:top w:val="none" w:sz="0" w:space="0" w:color="auto"/>
        <w:left w:val="none" w:sz="0" w:space="0" w:color="auto"/>
        <w:bottom w:val="none" w:sz="0" w:space="0" w:color="auto"/>
        <w:right w:val="none" w:sz="0" w:space="0" w:color="auto"/>
      </w:divBdr>
    </w:div>
    <w:div w:id="1586302075">
      <w:bodyDiv w:val="1"/>
      <w:marLeft w:val="0"/>
      <w:marRight w:val="0"/>
      <w:marTop w:val="0"/>
      <w:marBottom w:val="0"/>
      <w:divBdr>
        <w:top w:val="none" w:sz="0" w:space="0" w:color="auto"/>
        <w:left w:val="none" w:sz="0" w:space="0" w:color="auto"/>
        <w:bottom w:val="none" w:sz="0" w:space="0" w:color="auto"/>
        <w:right w:val="none" w:sz="0" w:space="0" w:color="auto"/>
      </w:divBdr>
      <w:divsChild>
        <w:div w:id="281112046">
          <w:marLeft w:val="0"/>
          <w:marRight w:val="0"/>
          <w:marTop w:val="0"/>
          <w:marBottom w:val="0"/>
          <w:divBdr>
            <w:top w:val="none" w:sz="0" w:space="0" w:color="auto"/>
            <w:left w:val="none" w:sz="0" w:space="0" w:color="auto"/>
            <w:bottom w:val="none" w:sz="0" w:space="0" w:color="auto"/>
            <w:right w:val="none" w:sz="0" w:space="0" w:color="auto"/>
          </w:divBdr>
          <w:divsChild>
            <w:div w:id="1179655906">
              <w:marLeft w:val="0"/>
              <w:marRight w:val="0"/>
              <w:marTop w:val="0"/>
              <w:marBottom w:val="0"/>
              <w:divBdr>
                <w:top w:val="none" w:sz="0" w:space="0" w:color="auto"/>
                <w:left w:val="none" w:sz="0" w:space="0" w:color="auto"/>
                <w:bottom w:val="none" w:sz="0" w:space="0" w:color="auto"/>
                <w:right w:val="none" w:sz="0" w:space="0" w:color="auto"/>
              </w:divBdr>
              <w:divsChild>
                <w:div w:id="1267154780">
                  <w:marLeft w:val="0"/>
                  <w:marRight w:val="0"/>
                  <w:marTop w:val="0"/>
                  <w:marBottom w:val="0"/>
                  <w:divBdr>
                    <w:top w:val="none" w:sz="0" w:space="0" w:color="auto"/>
                    <w:left w:val="none" w:sz="0" w:space="0" w:color="auto"/>
                    <w:bottom w:val="none" w:sz="0" w:space="0" w:color="auto"/>
                    <w:right w:val="none" w:sz="0" w:space="0" w:color="auto"/>
                  </w:divBdr>
                </w:div>
              </w:divsChild>
            </w:div>
            <w:div w:id="316806514">
              <w:marLeft w:val="0"/>
              <w:marRight w:val="0"/>
              <w:marTop w:val="0"/>
              <w:marBottom w:val="0"/>
              <w:divBdr>
                <w:top w:val="none" w:sz="0" w:space="0" w:color="auto"/>
                <w:left w:val="none" w:sz="0" w:space="0" w:color="auto"/>
                <w:bottom w:val="none" w:sz="0" w:space="0" w:color="auto"/>
                <w:right w:val="none" w:sz="0" w:space="0" w:color="auto"/>
              </w:divBdr>
              <w:divsChild>
                <w:div w:id="1592543354">
                  <w:marLeft w:val="0"/>
                  <w:marRight w:val="0"/>
                  <w:marTop w:val="0"/>
                  <w:marBottom w:val="0"/>
                  <w:divBdr>
                    <w:top w:val="none" w:sz="0" w:space="0" w:color="auto"/>
                    <w:left w:val="none" w:sz="0" w:space="0" w:color="auto"/>
                    <w:bottom w:val="none" w:sz="0" w:space="0" w:color="auto"/>
                    <w:right w:val="none" w:sz="0" w:space="0" w:color="auto"/>
                  </w:divBdr>
                </w:div>
              </w:divsChild>
            </w:div>
            <w:div w:id="740449335">
              <w:marLeft w:val="0"/>
              <w:marRight w:val="0"/>
              <w:marTop w:val="0"/>
              <w:marBottom w:val="0"/>
              <w:divBdr>
                <w:top w:val="none" w:sz="0" w:space="0" w:color="auto"/>
                <w:left w:val="none" w:sz="0" w:space="0" w:color="auto"/>
                <w:bottom w:val="none" w:sz="0" w:space="0" w:color="auto"/>
                <w:right w:val="none" w:sz="0" w:space="0" w:color="auto"/>
              </w:divBdr>
              <w:divsChild>
                <w:div w:id="1415513990">
                  <w:marLeft w:val="0"/>
                  <w:marRight w:val="0"/>
                  <w:marTop w:val="0"/>
                  <w:marBottom w:val="0"/>
                  <w:divBdr>
                    <w:top w:val="none" w:sz="0" w:space="0" w:color="auto"/>
                    <w:left w:val="none" w:sz="0" w:space="0" w:color="auto"/>
                    <w:bottom w:val="none" w:sz="0" w:space="0" w:color="auto"/>
                    <w:right w:val="none" w:sz="0" w:space="0" w:color="auto"/>
                  </w:divBdr>
                </w:div>
              </w:divsChild>
            </w:div>
            <w:div w:id="14902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2E4D-B949-455F-A7C8-1CFDE8D6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Colleen (ALA)</dc:creator>
  <cp:lastModifiedBy>ANF</cp:lastModifiedBy>
  <cp:revision>2</cp:revision>
  <cp:lastPrinted>2019-07-19T19:32:00Z</cp:lastPrinted>
  <dcterms:created xsi:type="dcterms:W3CDTF">2019-07-29T13:12:00Z</dcterms:created>
  <dcterms:modified xsi:type="dcterms:W3CDTF">2019-07-29T13:12:00Z</dcterms:modified>
</cp:coreProperties>
</file>