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59" w:rsidRPr="00B07B0C" w:rsidRDefault="00BD2D59" w:rsidP="00BD2D59">
      <w:pPr>
        <w:jc w:val="center"/>
        <w:rPr>
          <w:rFonts w:ascii="Times New Roman" w:hAnsi="Times New Roman" w:cs="Times New Roman"/>
          <w:b/>
          <w:sz w:val="25"/>
          <w:szCs w:val="25"/>
        </w:rPr>
      </w:pPr>
      <w:bookmarkStart w:id="0" w:name="_GoBack"/>
      <w:bookmarkEnd w:id="0"/>
      <w:r>
        <w:rPr>
          <w:rFonts w:ascii="Times New Roman" w:hAnsi="Times New Roman" w:cs="Times New Roman"/>
          <w:b/>
          <w:sz w:val="25"/>
          <w:szCs w:val="25"/>
        </w:rPr>
        <w:t xml:space="preserve">COMMONWEALTH </w:t>
      </w:r>
      <w:r w:rsidRPr="00B07B0C">
        <w:rPr>
          <w:rFonts w:ascii="Times New Roman" w:hAnsi="Times New Roman" w:cs="Times New Roman"/>
          <w:b/>
          <w:sz w:val="25"/>
          <w:szCs w:val="25"/>
        </w:rPr>
        <w:t>OF MASSACHUSETTS</w:t>
      </w:r>
    </w:p>
    <w:p w:rsidR="00BD2D59" w:rsidRPr="00B07B0C" w:rsidRDefault="00BD2D59" w:rsidP="00BD2D59">
      <w:pPr>
        <w:jc w:val="center"/>
        <w:rPr>
          <w:rFonts w:ascii="Times New Roman" w:hAnsi="Times New Roman" w:cs="Times New Roman"/>
          <w:b/>
          <w:sz w:val="25"/>
          <w:szCs w:val="25"/>
        </w:rPr>
      </w:pPr>
      <w:r w:rsidRPr="00B07B0C">
        <w:rPr>
          <w:rFonts w:ascii="Times New Roman" w:hAnsi="Times New Roman" w:cs="Times New Roman"/>
          <w:b/>
          <w:sz w:val="25"/>
          <w:szCs w:val="25"/>
        </w:rPr>
        <w:t>DIVISION OF ADMINISTRATIVE LAW APPEALS</w:t>
      </w:r>
    </w:p>
    <w:p w:rsidR="00BD2D59" w:rsidRPr="00B07B0C" w:rsidRDefault="00BD2D59" w:rsidP="00BD2D59">
      <w:pPr>
        <w:jc w:val="center"/>
        <w:rPr>
          <w:rFonts w:ascii="Times New Roman" w:hAnsi="Times New Roman" w:cs="Times New Roman"/>
          <w:b/>
          <w:sz w:val="25"/>
          <w:szCs w:val="25"/>
        </w:rPr>
      </w:pPr>
      <w:r w:rsidRPr="00B07B0C">
        <w:rPr>
          <w:rFonts w:ascii="Times New Roman" w:hAnsi="Times New Roman" w:cs="Times New Roman"/>
          <w:b/>
          <w:sz w:val="25"/>
          <w:szCs w:val="25"/>
        </w:rPr>
        <w:t>BUREAU OF SPECIAL EDUCATION APPEALS</w:t>
      </w:r>
    </w:p>
    <w:p w:rsidR="00BD2D59" w:rsidRDefault="00BD2D59" w:rsidP="00BD2D59">
      <w:pPr>
        <w:jc w:val="center"/>
        <w:rPr>
          <w:rFonts w:ascii="Times New Roman" w:hAnsi="Times New Roman" w:cs="Times New Roman"/>
          <w:b/>
          <w:sz w:val="25"/>
          <w:szCs w:val="25"/>
        </w:rPr>
      </w:pPr>
    </w:p>
    <w:p w:rsidR="00BD2D59" w:rsidRPr="00B07B0C" w:rsidRDefault="00BD2D59" w:rsidP="00BD2D59">
      <w:pPr>
        <w:jc w:val="center"/>
        <w:rPr>
          <w:rFonts w:ascii="Times New Roman" w:hAnsi="Times New Roman" w:cs="Times New Roman"/>
          <w:b/>
          <w:sz w:val="25"/>
          <w:szCs w:val="25"/>
        </w:rPr>
      </w:pPr>
    </w:p>
    <w:p w:rsidR="00BD2D59" w:rsidRDefault="00BD2D59" w:rsidP="00BD2D59">
      <w:pPr>
        <w:rPr>
          <w:rFonts w:ascii="Times New Roman" w:hAnsi="Times New Roman" w:cs="Times New Roman"/>
          <w:sz w:val="25"/>
          <w:szCs w:val="25"/>
        </w:rPr>
      </w:pPr>
      <w:r w:rsidRPr="00CE2725">
        <w:rPr>
          <w:rFonts w:ascii="Times New Roman" w:hAnsi="Times New Roman" w:cs="Times New Roman"/>
          <w:b/>
          <w:sz w:val="25"/>
          <w:szCs w:val="25"/>
        </w:rPr>
        <w:t>In re:</w:t>
      </w:r>
      <w:r>
        <w:rPr>
          <w:rFonts w:ascii="Times New Roman" w:hAnsi="Times New Roman" w:cs="Times New Roman"/>
          <w:sz w:val="25"/>
          <w:szCs w:val="25"/>
        </w:rPr>
        <w:t xml:space="preserve">   </w:t>
      </w:r>
      <w:r w:rsidR="008459E5">
        <w:rPr>
          <w:rFonts w:ascii="Times New Roman" w:hAnsi="Times New Roman" w:cs="Times New Roman"/>
          <w:sz w:val="25"/>
          <w:szCs w:val="25"/>
        </w:rPr>
        <w:t xml:space="preserve">Student </w:t>
      </w:r>
      <w:r>
        <w:rPr>
          <w:rFonts w:ascii="Times New Roman" w:hAnsi="Times New Roman" w:cs="Times New Roman"/>
          <w:sz w:val="25"/>
          <w:szCs w:val="25"/>
        </w:rPr>
        <w:t>v.</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w:t>
      </w:r>
      <w:r w:rsidR="008459E5">
        <w:rPr>
          <w:rFonts w:ascii="Times New Roman" w:hAnsi="Times New Roman" w:cs="Times New Roman"/>
          <w:sz w:val="25"/>
          <w:szCs w:val="25"/>
        </w:rPr>
        <w:tab/>
      </w:r>
      <w:r w:rsidR="008459E5">
        <w:rPr>
          <w:rFonts w:ascii="Times New Roman" w:hAnsi="Times New Roman" w:cs="Times New Roman"/>
          <w:sz w:val="25"/>
          <w:szCs w:val="25"/>
        </w:rPr>
        <w:tab/>
      </w:r>
      <w:r w:rsidR="008459E5">
        <w:rPr>
          <w:rFonts w:ascii="Times New Roman" w:hAnsi="Times New Roman" w:cs="Times New Roman"/>
          <w:sz w:val="25"/>
          <w:szCs w:val="25"/>
        </w:rPr>
        <w:tab/>
        <w:t xml:space="preserve">    </w:t>
      </w:r>
      <w:r w:rsidRPr="00CE2725">
        <w:rPr>
          <w:rFonts w:ascii="Times New Roman" w:hAnsi="Times New Roman" w:cs="Times New Roman"/>
          <w:b/>
          <w:sz w:val="25"/>
          <w:szCs w:val="25"/>
        </w:rPr>
        <w:t>BSEA #</w:t>
      </w:r>
      <w:r w:rsidRPr="00B07B0C">
        <w:rPr>
          <w:rFonts w:ascii="Times New Roman" w:hAnsi="Times New Roman" w:cs="Times New Roman"/>
          <w:sz w:val="25"/>
          <w:szCs w:val="25"/>
        </w:rPr>
        <w:t>191</w:t>
      </w:r>
      <w:r w:rsidR="008459E5">
        <w:rPr>
          <w:rFonts w:ascii="Times New Roman" w:hAnsi="Times New Roman" w:cs="Times New Roman"/>
          <w:sz w:val="25"/>
          <w:szCs w:val="25"/>
        </w:rPr>
        <w:t>2553</w:t>
      </w:r>
    </w:p>
    <w:p w:rsidR="00BD2D59" w:rsidRPr="00B07B0C" w:rsidRDefault="00BD2D59" w:rsidP="00BD2D59">
      <w:pPr>
        <w:rPr>
          <w:rFonts w:ascii="Times New Roman" w:hAnsi="Times New Roman" w:cs="Times New Roman"/>
          <w:sz w:val="25"/>
          <w:szCs w:val="25"/>
        </w:rPr>
      </w:pPr>
      <w:r>
        <w:rPr>
          <w:rFonts w:ascii="Times New Roman" w:hAnsi="Times New Roman" w:cs="Times New Roman"/>
          <w:sz w:val="25"/>
          <w:szCs w:val="25"/>
        </w:rPr>
        <w:tab/>
      </w:r>
      <w:r w:rsidR="008459E5">
        <w:rPr>
          <w:rFonts w:ascii="Times New Roman" w:hAnsi="Times New Roman" w:cs="Times New Roman"/>
          <w:sz w:val="25"/>
          <w:szCs w:val="25"/>
        </w:rPr>
        <w:t xml:space="preserve"> Brookline Public Schools</w:t>
      </w:r>
    </w:p>
    <w:p w:rsidR="00BD2D59" w:rsidRDefault="00BD2D59" w:rsidP="00BD2D59">
      <w:pPr>
        <w:rPr>
          <w:rFonts w:ascii="Times New Roman" w:hAnsi="Times New Roman" w:cs="Times New Roman"/>
          <w:sz w:val="25"/>
          <w:szCs w:val="25"/>
        </w:rPr>
      </w:pPr>
    </w:p>
    <w:p w:rsidR="00C77885" w:rsidRPr="00B07B0C" w:rsidRDefault="00C77885" w:rsidP="00BD2D59">
      <w:pPr>
        <w:rPr>
          <w:rFonts w:ascii="Times New Roman" w:hAnsi="Times New Roman" w:cs="Times New Roman"/>
          <w:sz w:val="25"/>
          <w:szCs w:val="25"/>
        </w:rPr>
      </w:pPr>
    </w:p>
    <w:p w:rsidR="00BD2D59" w:rsidRPr="00B07B0C" w:rsidRDefault="00BD2D59" w:rsidP="00BD2D59">
      <w:pPr>
        <w:jc w:val="center"/>
        <w:rPr>
          <w:rFonts w:ascii="Times New Roman" w:hAnsi="Times New Roman" w:cs="Times New Roman"/>
          <w:b/>
          <w:sz w:val="25"/>
          <w:szCs w:val="25"/>
          <w:u w:val="single"/>
        </w:rPr>
      </w:pPr>
      <w:r w:rsidRPr="00B07B0C">
        <w:rPr>
          <w:rFonts w:ascii="Times New Roman" w:hAnsi="Times New Roman" w:cs="Times New Roman"/>
          <w:b/>
          <w:sz w:val="25"/>
          <w:szCs w:val="25"/>
          <w:u w:val="single"/>
        </w:rPr>
        <w:t xml:space="preserve">RULING ON </w:t>
      </w:r>
      <w:r w:rsidR="00FE2C3B">
        <w:rPr>
          <w:rFonts w:ascii="Times New Roman" w:hAnsi="Times New Roman" w:cs="Times New Roman"/>
          <w:b/>
          <w:sz w:val="25"/>
          <w:szCs w:val="25"/>
          <w:u w:val="single"/>
        </w:rPr>
        <w:t>BROOKLINE</w:t>
      </w:r>
      <w:r w:rsidRPr="00B07B0C">
        <w:rPr>
          <w:rFonts w:ascii="Times New Roman" w:hAnsi="Times New Roman" w:cs="Times New Roman"/>
          <w:b/>
          <w:sz w:val="25"/>
          <w:szCs w:val="25"/>
          <w:u w:val="single"/>
        </w:rPr>
        <w:t xml:space="preserve"> PUBLIC SCHOOLS’ </w:t>
      </w:r>
      <w:r w:rsidR="00FE2C3B">
        <w:rPr>
          <w:rFonts w:ascii="Times New Roman" w:hAnsi="Times New Roman" w:cs="Times New Roman"/>
          <w:b/>
          <w:sz w:val="25"/>
          <w:szCs w:val="25"/>
          <w:u w:val="single"/>
        </w:rPr>
        <w:t>PARTIAL MOTION TO DISMISS</w:t>
      </w:r>
    </w:p>
    <w:p w:rsidR="00BD2D59" w:rsidRDefault="00BD2D59" w:rsidP="00BD2D59">
      <w:pPr>
        <w:jc w:val="center"/>
        <w:rPr>
          <w:rFonts w:ascii="Times New Roman" w:hAnsi="Times New Roman" w:cs="Times New Roman"/>
          <w:b/>
          <w:sz w:val="25"/>
          <w:szCs w:val="25"/>
          <w:u w:val="single"/>
        </w:rPr>
      </w:pPr>
    </w:p>
    <w:p w:rsidR="00C77885" w:rsidRPr="00B07B0C" w:rsidRDefault="00C77885" w:rsidP="00BD2D59">
      <w:pPr>
        <w:jc w:val="center"/>
        <w:rPr>
          <w:rFonts w:ascii="Times New Roman" w:hAnsi="Times New Roman" w:cs="Times New Roman"/>
          <w:b/>
          <w:sz w:val="25"/>
          <w:szCs w:val="25"/>
          <w:u w:val="single"/>
        </w:rPr>
      </w:pPr>
    </w:p>
    <w:p w:rsidR="00BD2D59" w:rsidRDefault="00BD2D59" w:rsidP="00BD2D59">
      <w:pPr>
        <w:rPr>
          <w:rFonts w:ascii="Times New Roman" w:hAnsi="Times New Roman" w:cs="Times New Roman"/>
          <w:sz w:val="25"/>
          <w:szCs w:val="25"/>
        </w:rPr>
      </w:pPr>
      <w:r w:rsidRPr="00B07B0C">
        <w:rPr>
          <w:rFonts w:ascii="Times New Roman" w:hAnsi="Times New Roman" w:cs="Times New Roman"/>
          <w:sz w:val="25"/>
          <w:szCs w:val="25"/>
        </w:rPr>
        <w:t>On Ju</w:t>
      </w:r>
      <w:r w:rsidR="007D0284">
        <w:rPr>
          <w:rFonts w:ascii="Times New Roman" w:hAnsi="Times New Roman" w:cs="Times New Roman"/>
          <w:sz w:val="25"/>
          <w:szCs w:val="25"/>
        </w:rPr>
        <w:t>ly 12</w:t>
      </w:r>
      <w:r w:rsidRPr="00B07B0C">
        <w:rPr>
          <w:rFonts w:ascii="Times New Roman" w:hAnsi="Times New Roman" w:cs="Times New Roman"/>
          <w:sz w:val="25"/>
          <w:szCs w:val="25"/>
        </w:rPr>
        <w:t xml:space="preserve">, 2019, </w:t>
      </w:r>
      <w:r w:rsidR="007D0284">
        <w:rPr>
          <w:rFonts w:ascii="Times New Roman" w:hAnsi="Times New Roman" w:cs="Times New Roman"/>
          <w:sz w:val="25"/>
          <w:szCs w:val="25"/>
        </w:rPr>
        <w:t xml:space="preserve">Brookline Public Schools (Brookline) </w:t>
      </w:r>
      <w:r w:rsidRPr="00B07B0C">
        <w:rPr>
          <w:rFonts w:ascii="Times New Roman" w:hAnsi="Times New Roman" w:cs="Times New Roman"/>
          <w:sz w:val="25"/>
          <w:szCs w:val="25"/>
        </w:rPr>
        <w:t xml:space="preserve">filed a </w:t>
      </w:r>
      <w:r w:rsidR="0059077D">
        <w:rPr>
          <w:rFonts w:ascii="Times New Roman" w:hAnsi="Times New Roman" w:cs="Times New Roman"/>
          <w:sz w:val="25"/>
          <w:szCs w:val="25"/>
        </w:rPr>
        <w:t xml:space="preserve">Partial </w:t>
      </w:r>
      <w:r w:rsidRPr="00B07B0C">
        <w:rPr>
          <w:rFonts w:ascii="Times New Roman" w:hAnsi="Times New Roman" w:cs="Times New Roman"/>
          <w:sz w:val="25"/>
          <w:szCs w:val="25"/>
        </w:rPr>
        <w:t xml:space="preserve">Motion to Dismiss </w:t>
      </w:r>
      <w:r w:rsidR="00B23CDA">
        <w:rPr>
          <w:rFonts w:ascii="Times New Roman" w:hAnsi="Times New Roman" w:cs="Times New Roman"/>
          <w:sz w:val="25"/>
          <w:szCs w:val="25"/>
        </w:rPr>
        <w:t>(</w:t>
      </w:r>
      <w:r w:rsidR="00B23CDA" w:rsidRPr="00B23CDA">
        <w:rPr>
          <w:rFonts w:ascii="Times New Roman" w:hAnsi="Times New Roman" w:cs="Times New Roman"/>
          <w:i/>
          <w:sz w:val="25"/>
          <w:szCs w:val="25"/>
        </w:rPr>
        <w:t>Motion</w:t>
      </w:r>
      <w:r w:rsidR="00B23CDA">
        <w:rPr>
          <w:rFonts w:ascii="Times New Roman" w:hAnsi="Times New Roman" w:cs="Times New Roman"/>
          <w:sz w:val="25"/>
          <w:szCs w:val="25"/>
        </w:rPr>
        <w:t xml:space="preserve">) </w:t>
      </w:r>
      <w:r w:rsidRPr="00B07B0C">
        <w:rPr>
          <w:rFonts w:ascii="Times New Roman" w:hAnsi="Times New Roman" w:cs="Times New Roman"/>
          <w:sz w:val="25"/>
          <w:szCs w:val="25"/>
        </w:rPr>
        <w:t>the Hearing Request filed by P</w:t>
      </w:r>
      <w:r w:rsidR="007D0284">
        <w:rPr>
          <w:rFonts w:ascii="Times New Roman" w:hAnsi="Times New Roman" w:cs="Times New Roman"/>
          <w:sz w:val="25"/>
          <w:szCs w:val="25"/>
        </w:rPr>
        <w:t>arents</w:t>
      </w:r>
      <w:r w:rsidR="00887537">
        <w:rPr>
          <w:rFonts w:ascii="Times New Roman" w:hAnsi="Times New Roman" w:cs="Times New Roman"/>
          <w:sz w:val="25"/>
          <w:szCs w:val="25"/>
        </w:rPr>
        <w:t>,</w:t>
      </w:r>
      <w:r w:rsidR="0059077D">
        <w:rPr>
          <w:rFonts w:ascii="Times New Roman" w:hAnsi="Times New Roman" w:cs="Times New Roman"/>
          <w:sz w:val="25"/>
          <w:szCs w:val="25"/>
        </w:rPr>
        <w:t xml:space="preserve"> asserting that it has adhered to a Settlement Agreement and provided Student the agreed upon medical and educationally necessary Assistive Technology (AT), funded an AT evaluation performed by Jennifer Buxton, has funded the AT consultation and services per the IEP</w:t>
      </w:r>
      <w:r w:rsidR="00887537">
        <w:rPr>
          <w:rFonts w:ascii="Times New Roman" w:hAnsi="Times New Roman" w:cs="Times New Roman"/>
          <w:sz w:val="25"/>
          <w:szCs w:val="25"/>
        </w:rPr>
        <w:t>,</w:t>
      </w:r>
      <w:r w:rsidR="0059077D">
        <w:rPr>
          <w:rFonts w:ascii="Times New Roman" w:hAnsi="Times New Roman" w:cs="Times New Roman"/>
          <w:sz w:val="25"/>
          <w:szCs w:val="25"/>
        </w:rPr>
        <w:t xml:space="preserve"> and has provided the AT equipment identified in Student’s 9/01/2016 N1 to the private school. According to Brookline, Parents are now seeking AT services and equipment which exceed those agreed to under the Settlement Agreement. Furthermore, Brookline</w:t>
      </w:r>
      <w:r w:rsidR="00887537">
        <w:rPr>
          <w:rFonts w:ascii="Times New Roman" w:hAnsi="Times New Roman" w:cs="Times New Roman"/>
          <w:sz w:val="25"/>
          <w:szCs w:val="25"/>
        </w:rPr>
        <w:t xml:space="preserve"> argues that</w:t>
      </w:r>
      <w:r w:rsidR="0059077D">
        <w:rPr>
          <w:rFonts w:ascii="Times New Roman" w:hAnsi="Times New Roman" w:cs="Times New Roman"/>
          <w:sz w:val="25"/>
          <w:szCs w:val="25"/>
        </w:rPr>
        <w:t xml:space="preserve"> the Settlement Agreement d</w:t>
      </w:r>
      <w:r w:rsidR="0074237E">
        <w:rPr>
          <w:rFonts w:ascii="Times New Roman" w:hAnsi="Times New Roman" w:cs="Times New Roman"/>
          <w:sz w:val="25"/>
          <w:szCs w:val="25"/>
        </w:rPr>
        <w:t>id</w:t>
      </w:r>
      <w:r w:rsidR="0059077D">
        <w:rPr>
          <w:rFonts w:ascii="Times New Roman" w:hAnsi="Times New Roman" w:cs="Times New Roman"/>
          <w:sz w:val="25"/>
          <w:szCs w:val="25"/>
        </w:rPr>
        <w:t xml:space="preserve"> not require consultation between Ms. B</w:t>
      </w:r>
      <w:r w:rsidR="00887537">
        <w:rPr>
          <w:rFonts w:ascii="Times New Roman" w:hAnsi="Times New Roman" w:cs="Times New Roman"/>
          <w:sz w:val="25"/>
          <w:szCs w:val="25"/>
        </w:rPr>
        <w:t>u</w:t>
      </w:r>
      <w:r w:rsidR="0059077D">
        <w:rPr>
          <w:rFonts w:ascii="Times New Roman" w:hAnsi="Times New Roman" w:cs="Times New Roman"/>
          <w:sz w:val="25"/>
          <w:szCs w:val="25"/>
        </w:rPr>
        <w:t xml:space="preserve">xton and </w:t>
      </w:r>
      <w:proofErr w:type="gramStart"/>
      <w:r w:rsidR="0059077D">
        <w:rPr>
          <w:rFonts w:ascii="Times New Roman" w:hAnsi="Times New Roman" w:cs="Times New Roman"/>
          <w:sz w:val="25"/>
          <w:szCs w:val="25"/>
        </w:rPr>
        <w:t>Brookline,</w:t>
      </w:r>
      <w:proofErr w:type="gramEnd"/>
      <w:r w:rsidR="0059077D">
        <w:rPr>
          <w:rFonts w:ascii="Times New Roman" w:hAnsi="Times New Roman" w:cs="Times New Roman"/>
          <w:sz w:val="25"/>
          <w:szCs w:val="25"/>
        </w:rPr>
        <w:t xml:space="preserve"> it only require</w:t>
      </w:r>
      <w:r w:rsidR="00013529">
        <w:rPr>
          <w:rFonts w:ascii="Times New Roman" w:hAnsi="Times New Roman" w:cs="Times New Roman"/>
          <w:sz w:val="25"/>
          <w:szCs w:val="25"/>
        </w:rPr>
        <w:t>d</w:t>
      </w:r>
      <w:r w:rsidR="0059077D">
        <w:rPr>
          <w:rFonts w:ascii="Times New Roman" w:hAnsi="Times New Roman" w:cs="Times New Roman"/>
          <w:sz w:val="25"/>
          <w:szCs w:val="25"/>
        </w:rPr>
        <w:t xml:space="preserve"> that Ms. B</w:t>
      </w:r>
      <w:r w:rsidR="00887537">
        <w:rPr>
          <w:rFonts w:ascii="Times New Roman" w:hAnsi="Times New Roman" w:cs="Times New Roman"/>
          <w:sz w:val="25"/>
          <w:szCs w:val="25"/>
        </w:rPr>
        <w:t>u</w:t>
      </w:r>
      <w:r w:rsidR="0059077D">
        <w:rPr>
          <w:rFonts w:ascii="Times New Roman" w:hAnsi="Times New Roman" w:cs="Times New Roman"/>
          <w:sz w:val="25"/>
          <w:szCs w:val="25"/>
        </w:rPr>
        <w:t>xton provide progress statemen</w:t>
      </w:r>
      <w:r w:rsidR="0074237E">
        <w:rPr>
          <w:rFonts w:ascii="Times New Roman" w:hAnsi="Times New Roman" w:cs="Times New Roman"/>
          <w:sz w:val="25"/>
          <w:szCs w:val="25"/>
        </w:rPr>
        <w:t>t</w:t>
      </w:r>
      <w:r w:rsidR="0059077D">
        <w:rPr>
          <w:rFonts w:ascii="Times New Roman" w:hAnsi="Times New Roman" w:cs="Times New Roman"/>
          <w:sz w:val="25"/>
          <w:szCs w:val="25"/>
        </w:rPr>
        <w:t>s.</w:t>
      </w:r>
    </w:p>
    <w:p w:rsidR="0059077D" w:rsidRDefault="0059077D" w:rsidP="00BD2D59">
      <w:pPr>
        <w:rPr>
          <w:rFonts w:ascii="Times New Roman" w:hAnsi="Times New Roman" w:cs="Times New Roman"/>
          <w:sz w:val="25"/>
          <w:szCs w:val="25"/>
        </w:rPr>
      </w:pPr>
    </w:p>
    <w:p w:rsidR="0059077D" w:rsidRPr="00B07B0C" w:rsidRDefault="0059077D" w:rsidP="00BD2D59">
      <w:pPr>
        <w:rPr>
          <w:rFonts w:ascii="Times New Roman" w:hAnsi="Times New Roman" w:cs="Times New Roman"/>
          <w:sz w:val="25"/>
          <w:szCs w:val="25"/>
        </w:rPr>
      </w:pPr>
      <w:r>
        <w:rPr>
          <w:rFonts w:ascii="Times New Roman" w:hAnsi="Times New Roman" w:cs="Times New Roman"/>
          <w:sz w:val="25"/>
          <w:szCs w:val="25"/>
        </w:rPr>
        <w:t xml:space="preserve">Brookline </w:t>
      </w:r>
      <w:r w:rsidR="00887537">
        <w:rPr>
          <w:rFonts w:ascii="Times New Roman" w:hAnsi="Times New Roman" w:cs="Times New Roman"/>
          <w:sz w:val="25"/>
          <w:szCs w:val="25"/>
        </w:rPr>
        <w:t>further</w:t>
      </w:r>
      <w:r>
        <w:rPr>
          <w:rFonts w:ascii="Times New Roman" w:hAnsi="Times New Roman" w:cs="Times New Roman"/>
          <w:sz w:val="25"/>
          <w:szCs w:val="25"/>
        </w:rPr>
        <w:t xml:space="preserve"> </w:t>
      </w:r>
      <w:r w:rsidR="0074237E">
        <w:rPr>
          <w:rFonts w:ascii="Times New Roman" w:hAnsi="Times New Roman" w:cs="Times New Roman"/>
          <w:sz w:val="25"/>
          <w:szCs w:val="25"/>
        </w:rPr>
        <w:t>s</w:t>
      </w:r>
      <w:r w:rsidR="007410E4">
        <w:rPr>
          <w:rFonts w:ascii="Times New Roman" w:hAnsi="Times New Roman" w:cs="Times New Roman"/>
          <w:sz w:val="25"/>
          <w:szCs w:val="25"/>
        </w:rPr>
        <w:t>ought</w:t>
      </w:r>
      <w:r w:rsidR="0074237E">
        <w:rPr>
          <w:rFonts w:ascii="Times New Roman" w:hAnsi="Times New Roman" w:cs="Times New Roman"/>
          <w:sz w:val="25"/>
          <w:szCs w:val="25"/>
        </w:rPr>
        <w:t xml:space="preserve"> dismissal of </w:t>
      </w:r>
      <w:r w:rsidR="00B23CDA">
        <w:rPr>
          <w:rFonts w:ascii="Times New Roman" w:hAnsi="Times New Roman" w:cs="Times New Roman"/>
          <w:sz w:val="25"/>
          <w:szCs w:val="25"/>
        </w:rPr>
        <w:t xml:space="preserve">some of </w:t>
      </w:r>
      <w:r w:rsidR="0074237E">
        <w:rPr>
          <w:rFonts w:ascii="Times New Roman" w:hAnsi="Times New Roman" w:cs="Times New Roman"/>
          <w:sz w:val="25"/>
          <w:szCs w:val="25"/>
        </w:rPr>
        <w:t xml:space="preserve">Parents’ </w:t>
      </w:r>
      <w:r w:rsidR="00B23CDA">
        <w:rPr>
          <w:rFonts w:ascii="Times New Roman" w:hAnsi="Times New Roman" w:cs="Times New Roman"/>
          <w:sz w:val="25"/>
          <w:szCs w:val="25"/>
        </w:rPr>
        <w:t xml:space="preserve">claims </w:t>
      </w:r>
      <w:r w:rsidR="0074237E">
        <w:rPr>
          <w:rFonts w:ascii="Times New Roman" w:hAnsi="Times New Roman" w:cs="Times New Roman"/>
          <w:sz w:val="25"/>
          <w:szCs w:val="25"/>
        </w:rPr>
        <w:t>alleg</w:t>
      </w:r>
      <w:r w:rsidR="00B23CDA">
        <w:rPr>
          <w:rFonts w:ascii="Times New Roman" w:hAnsi="Times New Roman" w:cs="Times New Roman"/>
          <w:sz w:val="25"/>
          <w:szCs w:val="25"/>
        </w:rPr>
        <w:t>ing t</w:t>
      </w:r>
      <w:r w:rsidR="0074237E">
        <w:rPr>
          <w:rFonts w:ascii="Times New Roman" w:hAnsi="Times New Roman" w:cs="Times New Roman"/>
          <w:sz w:val="25"/>
          <w:szCs w:val="25"/>
        </w:rPr>
        <w:t xml:space="preserve">hat it was </w:t>
      </w:r>
      <w:r w:rsidR="00B23CDA">
        <w:rPr>
          <w:rFonts w:ascii="Times New Roman" w:hAnsi="Times New Roman" w:cs="Times New Roman"/>
          <w:sz w:val="25"/>
          <w:szCs w:val="25"/>
        </w:rPr>
        <w:t xml:space="preserve">not </w:t>
      </w:r>
      <w:r w:rsidR="0074237E">
        <w:rPr>
          <w:rFonts w:ascii="Times New Roman" w:hAnsi="Times New Roman" w:cs="Times New Roman"/>
          <w:sz w:val="25"/>
          <w:szCs w:val="25"/>
        </w:rPr>
        <w:t>obligated to meet with Parents to discuss additional AT services</w:t>
      </w:r>
      <w:r w:rsidR="007410E4">
        <w:rPr>
          <w:rFonts w:ascii="Times New Roman" w:hAnsi="Times New Roman" w:cs="Times New Roman"/>
          <w:sz w:val="25"/>
          <w:szCs w:val="25"/>
        </w:rPr>
        <w:t>/</w:t>
      </w:r>
      <w:r w:rsidR="0074237E">
        <w:rPr>
          <w:rFonts w:ascii="Times New Roman" w:hAnsi="Times New Roman" w:cs="Times New Roman"/>
          <w:sz w:val="25"/>
          <w:szCs w:val="25"/>
        </w:rPr>
        <w:t xml:space="preserve"> issues regarding its administrative</w:t>
      </w:r>
      <w:r w:rsidR="00B23CDA">
        <w:rPr>
          <w:rFonts w:ascii="Times New Roman" w:hAnsi="Times New Roman" w:cs="Times New Roman"/>
          <w:sz w:val="25"/>
          <w:szCs w:val="25"/>
        </w:rPr>
        <w:t>ly issued</w:t>
      </w:r>
      <w:r w:rsidR="0074237E">
        <w:rPr>
          <w:rFonts w:ascii="Times New Roman" w:hAnsi="Times New Roman" w:cs="Times New Roman"/>
          <w:sz w:val="25"/>
          <w:szCs w:val="25"/>
        </w:rPr>
        <w:t xml:space="preserve"> IEPs, noting that Parents waived those rights in the</w:t>
      </w:r>
      <w:r w:rsidR="00B23CDA">
        <w:rPr>
          <w:rFonts w:ascii="Times New Roman" w:hAnsi="Times New Roman" w:cs="Times New Roman"/>
          <w:sz w:val="25"/>
          <w:szCs w:val="25"/>
        </w:rPr>
        <w:t xml:space="preserve"> 2016</w:t>
      </w:r>
      <w:r w:rsidR="0074237E">
        <w:rPr>
          <w:rFonts w:ascii="Times New Roman" w:hAnsi="Times New Roman" w:cs="Times New Roman"/>
          <w:sz w:val="25"/>
          <w:szCs w:val="25"/>
        </w:rPr>
        <w:t xml:space="preserve"> Settlement Agreement.</w:t>
      </w:r>
      <w:r w:rsidR="0074237E">
        <w:rPr>
          <w:rStyle w:val="FootnoteReference"/>
          <w:rFonts w:ascii="Times New Roman" w:hAnsi="Times New Roman" w:cs="Times New Roman"/>
          <w:sz w:val="25"/>
          <w:szCs w:val="25"/>
        </w:rPr>
        <w:footnoteReference w:id="1"/>
      </w:r>
    </w:p>
    <w:p w:rsidR="00BD2D59" w:rsidRPr="00B07B0C" w:rsidRDefault="00BD2D59" w:rsidP="00BD2D59">
      <w:pPr>
        <w:rPr>
          <w:rFonts w:ascii="Times New Roman" w:hAnsi="Times New Roman" w:cs="Times New Roman"/>
          <w:sz w:val="25"/>
          <w:szCs w:val="25"/>
        </w:rPr>
      </w:pPr>
    </w:p>
    <w:p w:rsidR="00BD2D59" w:rsidRPr="00B07B0C" w:rsidRDefault="00BD2D59" w:rsidP="00BD2D59">
      <w:pPr>
        <w:rPr>
          <w:rFonts w:ascii="Times New Roman" w:hAnsi="Times New Roman" w:cs="Times New Roman"/>
          <w:sz w:val="25"/>
          <w:szCs w:val="25"/>
        </w:rPr>
      </w:pPr>
      <w:r w:rsidRPr="00B07B0C">
        <w:rPr>
          <w:rFonts w:ascii="Times New Roman" w:hAnsi="Times New Roman" w:cs="Times New Roman"/>
          <w:sz w:val="25"/>
          <w:szCs w:val="25"/>
        </w:rPr>
        <w:t>On Ju</w:t>
      </w:r>
      <w:r w:rsidR="0059077D">
        <w:rPr>
          <w:rFonts w:ascii="Times New Roman" w:hAnsi="Times New Roman" w:cs="Times New Roman"/>
          <w:sz w:val="25"/>
          <w:szCs w:val="25"/>
        </w:rPr>
        <w:t>ly</w:t>
      </w:r>
      <w:r w:rsidRPr="00B07B0C">
        <w:rPr>
          <w:rFonts w:ascii="Times New Roman" w:hAnsi="Times New Roman" w:cs="Times New Roman"/>
          <w:sz w:val="25"/>
          <w:szCs w:val="25"/>
        </w:rPr>
        <w:t xml:space="preserve"> </w:t>
      </w:r>
      <w:r w:rsidR="00B23CDA">
        <w:rPr>
          <w:rFonts w:ascii="Times New Roman" w:hAnsi="Times New Roman" w:cs="Times New Roman"/>
          <w:sz w:val="25"/>
          <w:szCs w:val="25"/>
        </w:rPr>
        <w:t>16</w:t>
      </w:r>
      <w:r w:rsidRPr="00B07B0C">
        <w:rPr>
          <w:rFonts w:ascii="Times New Roman" w:hAnsi="Times New Roman" w:cs="Times New Roman"/>
          <w:sz w:val="25"/>
          <w:szCs w:val="25"/>
        </w:rPr>
        <w:t xml:space="preserve">, </w:t>
      </w:r>
      <w:r w:rsidR="0059077D">
        <w:rPr>
          <w:rFonts w:ascii="Times New Roman" w:hAnsi="Times New Roman" w:cs="Times New Roman"/>
          <w:sz w:val="25"/>
          <w:szCs w:val="25"/>
        </w:rPr>
        <w:t xml:space="preserve">2019, Parents </w:t>
      </w:r>
      <w:r w:rsidR="00B23CDA">
        <w:rPr>
          <w:rFonts w:ascii="Times New Roman" w:hAnsi="Times New Roman" w:cs="Times New Roman"/>
          <w:sz w:val="25"/>
          <w:szCs w:val="25"/>
        </w:rPr>
        <w:t>filed a R</w:t>
      </w:r>
      <w:r w:rsidRPr="00B07B0C">
        <w:rPr>
          <w:rFonts w:ascii="Times New Roman" w:hAnsi="Times New Roman" w:cs="Times New Roman"/>
          <w:sz w:val="25"/>
          <w:szCs w:val="25"/>
        </w:rPr>
        <w:t>esponse opposi</w:t>
      </w:r>
      <w:r w:rsidR="00B23CDA">
        <w:rPr>
          <w:rFonts w:ascii="Times New Roman" w:hAnsi="Times New Roman" w:cs="Times New Roman"/>
          <w:sz w:val="25"/>
          <w:szCs w:val="25"/>
        </w:rPr>
        <w:t>ng</w:t>
      </w:r>
      <w:r w:rsidRPr="00B07B0C">
        <w:rPr>
          <w:rFonts w:ascii="Times New Roman" w:hAnsi="Times New Roman" w:cs="Times New Roman"/>
          <w:sz w:val="25"/>
          <w:szCs w:val="25"/>
        </w:rPr>
        <w:t xml:space="preserve"> </w:t>
      </w:r>
      <w:r w:rsidR="0059077D">
        <w:rPr>
          <w:rFonts w:ascii="Times New Roman" w:hAnsi="Times New Roman" w:cs="Times New Roman"/>
          <w:sz w:val="25"/>
          <w:szCs w:val="25"/>
        </w:rPr>
        <w:t>Brookline</w:t>
      </w:r>
      <w:r w:rsidRPr="00B07B0C">
        <w:rPr>
          <w:rFonts w:ascii="Times New Roman" w:hAnsi="Times New Roman" w:cs="Times New Roman"/>
          <w:sz w:val="25"/>
          <w:szCs w:val="25"/>
        </w:rPr>
        <w:t xml:space="preserve">’s </w:t>
      </w:r>
      <w:r w:rsidRPr="00B23CDA">
        <w:rPr>
          <w:rFonts w:ascii="Times New Roman" w:hAnsi="Times New Roman" w:cs="Times New Roman"/>
          <w:i/>
          <w:sz w:val="25"/>
          <w:szCs w:val="25"/>
        </w:rPr>
        <w:t>Motion</w:t>
      </w:r>
      <w:r w:rsidRPr="00B07B0C">
        <w:rPr>
          <w:rFonts w:ascii="Times New Roman" w:hAnsi="Times New Roman" w:cs="Times New Roman"/>
          <w:sz w:val="25"/>
          <w:szCs w:val="25"/>
        </w:rPr>
        <w:t xml:space="preserve"> </w:t>
      </w:r>
      <w:r w:rsidR="00B23CDA">
        <w:rPr>
          <w:rFonts w:ascii="Times New Roman" w:hAnsi="Times New Roman" w:cs="Times New Roman"/>
          <w:sz w:val="25"/>
          <w:szCs w:val="25"/>
        </w:rPr>
        <w:t>arguing that Brookline had failed to abide by the terms of the agreement and that the agreement, read together with the administrative IEPs, entitled Parents to the remedy sought by them</w:t>
      </w:r>
      <w:r w:rsidRPr="00B07B0C">
        <w:rPr>
          <w:rFonts w:ascii="Times New Roman" w:hAnsi="Times New Roman" w:cs="Times New Roman"/>
          <w:sz w:val="25"/>
          <w:szCs w:val="25"/>
        </w:rPr>
        <w:t>.</w:t>
      </w:r>
      <w:r w:rsidR="00B23CDA">
        <w:rPr>
          <w:rFonts w:ascii="Times New Roman" w:hAnsi="Times New Roman" w:cs="Times New Roman"/>
          <w:sz w:val="25"/>
          <w:szCs w:val="25"/>
        </w:rPr>
        <w:t xml:space="preserve">  Parents assert that they seek implementation of the Agreement as originally intended</w:t>
      </w:r>
      <w:r w:rsidR="00887537">
        <w:rPr>
          <w:rFonts w:ascii="Times New Roman" w:hAnsi="Times New Roman" w:cs="Times New Roman"/>
          <w:sz w:val="25"/>
          <w:szCs w:val="25"/>
        </w:rPr>
        <w:t>, asserting</w:t>
      </w:r>
      <w:r w:rsidR="00013529">
        <w:rPr>
          <w:rFonts w:ascii="Times New Roman" w:hAnsi="Times New Roman" w:cs="Times New Roman"/>
          <w:sz w:val="25"/>
          <w:szCs w:val="25"/>
        </w:rPr>
        <w:t xml:space="preserve"> that Brookline must be held accountable to fulfill “the spirit and intent of the agreement”.  According to Parents, Brookline’s contractual breach has resulted in a denial of FAPE to Student.</w:t>
      </w:r>
    </w:p>
    <w:p w:rsidR="00BD2D59" w:rsidRPr="00B07B0C" w:rsidRDefault="00BD2D59" w:rsidP="00BD2D59">
      <w:pPr>
        <w:rPr>
          <w:rFonts w:ascii="Times New Roman" w:hAnsi="Times New Roman" w:cs="Times New Roman"/>
          <w:sz w:val="25"/>
          <w:szCs w:val="25"/>
        </w:rPr>
      </w:pPr>
    </w:p>
    <w:p w:rsidR="00BD2D59" w:rsidRPr="00B07B0C" w:rsidRDefault="00BD2D59" w:rsidP="00BD2D59">
      <w:pPr>
        <w:rPr>
          <w:rFonts w:ascii="Times New Roman" w:hAnsi="Times New Roman" w:cs="Times New Roman"/>
          <w:b/>
          <w:sz w:val="25"/>
          <w:szCs w:val="25"/>
          <w:u w:val="single"/>
        </w:rPr>
      </w:pPr>
      <w:r w:rsidRPr="00B07B0C">
        <w:rPr>
          <w:rFonts w:ascii="Times New Roman" w:hAnsi="Times New Roman" w:cs="Times New Roman"/>
          <w:b/>
          <w:sz w:val="25"/>
          <w:szCs w:val="25"/>
          <w:u w:val="single"/>
        </w:rPr>
        <w:t>Lega</w:t>
      </w:r>
      <w:r w:rsidR="00944483">
        <w:rPr>
          <w:rFonts w:ascii="Times New Roman" w:hAnsi="Times New Roman" w:cs="Times New Roman"/>
          <w:b/>
          <w:sz w:val="25"/>
          <w:szCs w:val="25"/>
          <w:u w:val="single"/>
        </w:rPr>
        <w:t>l Standards</w:t>
      </w:r>
      <w:r w:rsidRPr="00B07B0C">
        <w:rPr>
          <w:rFonts w:ascii="Times New Roman" w:hAnsi="Times New Roman" w:cs="Times New Roman"/>
          <w:b/>
          <w:sz w:val="25"/>
          <w:szCs w:val="25"/>
          <w:u w:val="single"/>
        </w:rPr>
        <w:t xml:space="preserve">: </w:t>
      </w:r>
    </w:p>
    <w:p w:rsidR="00BD2D59" w:rsidRPr="00B07B0C" w:rsidRDefault="00BD2D59" w:rsidP="00BD2D59">
      <w:pPr>
        <w:rPr>
          <w:rFonts w:ascii="Times New Roman" w:hAnsi="Times New Roman" w:cs="Times New Roman"/>
          <w:sz w:val="25"/>
          <w:szCs w:val="25"/>
        </w:rPr>
      </w:pPr>
    </w:p>
    <w:p w:rsidR="00944483" w:rsidRDefault="00944483" w:rsidP="00BD2D59">
      <w:pPr>
        <w:rPr>
          <w:rFonts w:ascii="Times New Roman" w:hAnsi="Times New Roman" w:cs="Times New Roman"/>
          <w:sz w:val="25"/>
          <w:szCs w:val="25"/>
        </w:rPr>
      </w:pPr>
      <w:r w:rsidRPr="00944483">
        <w:rPr>
          <w:rFonts w:ascii="Times New Roman" w:hAnsi="Times New Roman" w:cs="Times New Roman"/>
          <w:b/>
          <w:sz w:val="25"/>
          <w:szCs w:val="25"/>
        </w:rPr>
        <w:t>A.</w:t>
      </w:r>
      <w:r>
        <w:rPr>
          <w:rFonts w:ascii="Times New Roman" w:hAnsi="Times New Roman" w:cs="Times New Roman"/>
          <w:sz w:val="25"/>
          <w:szCs w:val="25"/>
        </w:rPr>
        <w:tab/>
      </w:r>
      <w:r w:rsidRPr="00B07B0C">
        <w:rPr>
          <w:rFonts w:ascii="Times New Roman" w:hAnsi="Times New Roman" w:cs="Times New Roman"/>
          <w:b/>
          <w:sz w:val="25"/>
          <w:szCs w:val="25"/>
          <w:u w:val="single"/>
        </w:rPr>
        <w:t>Motion to Dismiss</w:t>
      </w:r>
      <w:r>
        <w:rPr>
          <w:rFonts w:ascii="Times New Roman" w:hAnsi="Times New Roman" w:cs="Times New Roman"/>
          <w:b/>
          <w:sz w:val="25"/>
          <w:szCs w:val="25"/>
          <w:u w:val="single"/>
        </w:rPr>
        <w:t>:</w:t>
      </w:r>
    </w:p>
    <w:p w:rsidR="00944483" w:rsidRDefault="00944483" w:rsidP="00BD2D59">
      <w:pPr>
        <w:rPr>
          <w:rFonts w:ascii="Times New Roman" w:hAnsi="Times New Roman" w:cs="Times New Roman"/>
          <w:sz w:val="25"/>
          <w:szCs w:val="25"/>
        </w:rPr>
      </w:pPr>
    </w:p>
    <w:p w:rsidR="00BD2D59" w:rsidRPr="00B07B0C" w:rsidRDefault="00BD2D59" w:rsidP="00BD2D59">
      <w:pPr>
        <w:rPr>
          <w:rFonts w:ascii="Times New Roman" w:hAnsi="Times New Roman" w:cs="Times New Roman"/>
          <w:sz w:val="25"/>
          <w:szCs w:val="25"/>
        </w:rPr>
      </w:pPr>
      <w:r w:rsidRPr="00B07B0C">
        <w:rPr>
          <w:rFonts w:ascii="Times New Roman" w:hAnsi="Times New Roman" w:cs="Times New Roman"/>
          <w:sz w:val="25"/>
          <w:szCs w:val="25"/>
        </w:rPr>
        <w:lastRenderedPageBreak/>
        <w:t xml:space="preserve">Pursuant to the </w:t>
      </w:r>
      <w:r w:rsidRPr="00B07B0C">
        <w:rPr>
          <w:rFonts w:ascii="Times New Roman" w:hAnsi="Times New Roman" w:cs="Times New Roman"/>
          <w:i/>
          <w:sz w:val="25"/>
          <w:szCs w:val="25"/>
        </w:rPr>
        <w:t>Standard Adjudicatory Rules of Practice and Procedure</w:t>
      </w:r>
      <w:r w:rsidRPr="00B07B0C">
        <w:rPr>
          <w:rFonts w:ascii="Times New Roman" w:hAnsi="Times New Roman" w:cs="Times New Roman"/>
          <w:sz w:val="25"/>
          <w:szCs w:val="25"/>
        </w:rPr>
        <w:t>, 801 CMR 1.01(7)(g)(3) and Rule XVII A and B of the BSEA </w:t>
      </w:r>
      <w:r w:rsidRPr="00B07B0C">
        <w:rPr>
          <w:rFonts w:ascii="Times New Roman" w:hAnsi="Times New Roman" w:cs="Times New Roman"/>
          <w:i/>
          <w:iCs/>
          <w:sz w:val="25"/>
          <w:szCs w:val="25"/>
        </w:rPr>
        <w:t>Hearing Rules for Special Education Appeals</w:t>
      </w:r>
      <w:r w:rsidRPr="00B07B0C">
        <w:rPr>
          <w:rFonts w:ascii="Times New Roman" w:hAnsi="Times New Roman" w:cs="Times New Roman"/>
          <w:sz w:val="25"/>
          <w:szCs w:val="25"/>
        </w:rPr>
        <w:t>, a hearing officer may allow a motion to dismiss if the party requesting the hearing fails to state a claim upon which relief can be granted. 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B07B0C">
        <w:rPr>
          <w:rStyle w:val="FootnoteReference"/>
          <w:rFonts w:ascii="Times New Roman" w:hAnsi="Times New Roman" w:cs="Times New Roman"/>
          <w:sz w:val="25"/>
          <w:szCs w:val="25"/>
        </w:rPr>
        <w:footnoteReference w:id="2"/>
      </w:r>
      <w:r w:rsidRPr="00B07B0C">
        <w:rPr>
          <w:rFonts w:ascii="Times New Roman" w:hAnsi="Times New Roman" w:cs="Times New Roman"/>
          <w:sz w:val="25"/>
          <w:szCs w:val="25"/>
        </w:rPr>
        <w:t xml:space="preserve"> In evaluating the complaint, the hearing officer must take as true “the allegations of the complaint, as well as such inferences as may be drawn therefrom in the plaintiff’s favor.”</w:t>
      </w:r>
      <w:r w:rsidRPr="00B07B0C">
        <w:rPr>
          <w:rStyle w:val="FootnoteReference"/>
          <w:rFonts w:ascii="Times New Roman" w:hAnsi="Times New Roman" w:cs="Times New Roman"/>
          <w:sz w:val="25"/>
          <w:szCs w:val="25"/>
        </w:rPr>
        <w:footnoteReference w:id="3"/>
      </w:r>
      <w:r w:rsidRPr="00B07B0C">
        <w:rPr>
          <w:rFonts w:ascii="Times New Roman" w:hAnsi="Times New Roman" w:cs="Times New Roman"/>
          <w:sz w:val="25"/>
          <w:szCs w:val="25"/>
        </w:rPr>
        <w:t xml:space="preserve"> These “[f]actual allegations must be enough to raise a right to relief above the speculative level . . . [based] on the assumption that all the allegations in the complaint are true (even if doubtful in fact). . .”</w:t>
      </w:r>
      <w:r w:rsidRPr="00B07B0C">
        <w:rPr>
          <w:rStyle w:val="FootnoteReference"/>
          <w:rFonts w:ascii="Times New Roman" w:hAnsi="Times New Roman" w:cs="Times New Roman"/>
          <w:sz w:val="25"/>
          <w:szCs w:val="25"/>
        </w:rPr>
        <w:footnoteReference w:id="4"/>
      </w:r>
    </w:p>
    <w:p w:rsidR="00BD2D59" w:rsidRPr="00B07B0C" w:rsidRDefault="00BD2D59" w:rsidP="00BD2D59">
      <w:pPr>
        <w:rPr>
          <w:rFonts w:ascii="Times New Roman" w:hAnsi="Times New Roman" w:cs="Times New Roman"/>
          <w:sz w:val="25"/>
          <w:szCs w:val="25"/>
        </w:rPr>
      </w:pPr>
    </w:p>
    <w:p w:rsidR="00944483" w:rsidRDefault="00944483" w:rsidP="00BD2D59">
      <w:pPr>
        <w:rPr>
          <w:rFonts w:ascii="Times New Roman" w:hAnsi="Times New Roman" w:cs="Times New Roman"/>
          <w:sz w:val="25"/>
          <w:szCs w:val="25"/>
        </w:rPr>
      </w:pPr>
      <w:r w:rsidRPr="00944483">
        <w:rPr>
          <w:rFonts w:ascii="Times New Roman" w:hAnsi="Times New Roman" w:cs="Times New Roman"/>
          <w:b/>
          <w:sz w:val="25"/>
          <w:szCs w:val="25"/>
        </w:rPr>
        <w:t>B.</w:t>
      </w:r>
      <w:r>
        <w:rPr>
          <w:rFonts w:ascii="Times New Roman" w:hAnsi="Times New Roman" w:cs="Times New Roman"/>
          <w:sz w:val="25"/>
          <w:szCs w:val="25"/>
        </w:rPr>
        <w:tab/>
      </w:r>
      <w:r>
        <w:rPr>
          <w:rFonts w:ascii="Times New Roman" w:hAnsi="Times New Roman" w:cs="Times New Roman"/>
          <w:b/>
          <w:sz w:val="25"/>
          <w:szCs w:val="25"/>
          <w:u w:val="single"/>
        </w:rPr>
        <w:t>Settlement Agreements:</w:t>
      </w:r>
    </w:p>
    <w:p w:rsidR="00944483" w:rsidRDefault="00944483" w:rsidP="00BD2D59">
      <w:pPr>
        <w:rPr>
          <w:rFonts w:ascii="Times New Roman" w:hAnsi="Times New Roman" w:cs="Times New Roman"/>
          <w:sz w:val="25"/>
          <w:szCs w:val="25"/>
        </w:rPr>
      </w:pPr>
    </w:p>
    <w:p w:rsidR="00730570" w:rsidRDefault="00730570" w:rsidP="00730570">
      <w:pPr>
        <w:rPr>
          <w:rFonts w:ascii="Times New Roman" w:hAnsi="Times New Roman" w:cs="Times New Roman"/>
          <w:sz w:val="25"/>
          <w:szCs w:val="25"/>
        </w:rPr>
      </w:pPr>
      <w:r>
        <w:rPr>
          <w:rFonts w:ascii="Times New Roman" w:hAnsi="Times New Roman" w:cs="Times New Roman"/>
          <w:sz w:val="25"/>
          <w:szCs w:val="25"/>
        </w:rPr>
        <w:t xml:space="preserve">Careful reading of the IDEA </w:t>
      </w:r>
      <w:r w:rsidR="00887537">
        <w:rPr>
          <w:rFonts w:ascii="Times New Roman" w:hAnsi="Times New Roman" w:cs="Times New Roman"/>
          <w:sz w:val="25"/>
          <w:szCs w:val="25"/>
        </w:rPr>
        <w:t>reveals</w:t>
      </w:r>
      <w:r>
        <w:rPr>
          <w:rFonts w:ascii="Times New Roman" w:hAnsi="Times New Roman" w:cs="Times New Roman"/>
          <w:sz w:val="25"/>
          <w:szCs w:val="25"/>
        </w:rPr>
        <w:t xml:space="preserve"> that Congress intended to provide parties opportunities to resolve their disputes through settlement agreements in addition to through the </w:t>
      </w:r>
      <w:r w:rsidR="00887537">
        <w:rPr>
          <w:rFonts w:ascii="Times New Roman" w:hAnsi="Times New Roman" w:cs="Times New Roman"/>
          <w:sz w:val="25"/>
          <w:szCs w:val="25"/>
        </w:rPr>
        <w:t xml:space="preserve">due process </w:t>
      </w:r>
      <w:r>
        <w:rPr>
          <w:rFonts w:ascii="Times New Roman" w:hAnsi="Times New Roman" w:cs="Times New Roman"/>
          <w:sz w:val="25"/>
          <w:szCs w:val="25"/>
        </w:rPr>
        <w:t>hearing.  Where parties in a BSEA proceeding have negotiated and</w:t>
      </w:r>
      <w:r w:rsidR="00887537">
        <w:rPr>
          <w:rFonts w:ascii="Times New Roman" w:hAnsi="Times New Roman" w:cs="Times New Roman"/>
          <w:sz w:val="25"/>
          <w:szCs w:val="25"/>
        </w:rPr>
        <w:t>,</w:t>
      </w:r>
      <w:r>
        <w:rPr>
          <w:rFonts w:ascii="Times New Roman" w:hAnsi="Times New Roman" w:cs="Times New Roman"/>
          <w:sz w:val="25"/>
          <w:szCs w:val="25"/>
        </w:rPr>
        <w:t xml:space="preserve"> </w:t>
      </w:r>
      <w:r w:rsidR="00887537">
        <w:rPr>
          <w:rFonts w:ascii="Times New Roman" w:hAnsi="Times New Roman" w:cs="Times New Roman"/>
          <w:sz w:val="25"/>
          <w:szCs w:val="25"/>
        </w:rPr>
        <w:t>with informed consent</w:t>
      </w:r>
      <w:r>
        <w:rPr>
          <w:rFonts w:ascii="Times New Roman" w:hAnsi="Times New Roman" w:cs="Times New Roman"/>
          <w:sz w:val="25"/>
          <w:szCs w:val="25"/>
        </w:rPr>
        <w:t>, voluntarily entered into a settlement agreement, the terms of said agreement bind the parties. If the parties later access the BSEA and raise questions regarding their previous agreement, the settlement agreement must be carefully reviewed to ascertain the rights and responsibilities of the parties pursuant said settlement agreement</w:t>
      </w:r>
      <w:r w:rsidR="00AC77FF">
        <w:rPr>
          <w:rFonts w:ascii="Times New Roman" w:hAnsi="Times New Roman" w:cs="Times New Roman"/>
          <w:sz w:val="25"/>
          <w:szCs w:val="25"/>
        </w:rPr>
        <w:t xml:space="preserve">.  </w:t>
      </w:r>
    </w:p>
    <w:p w:rsidR="00730570" w:rsidRDefault="00730570" w:rsidP="00BD2D59">
      <w:pPr>
        <w:rPr>
          <w:rFonts w:ascii="Times New Roman" w:hAnsi="Times New Roman" w:cs="Times New Roman"/>
          <w:sz w:val="25"/>
          <w:szCs w:val="25"/>
        </w:rPr>
      </w:pPr>
    </w:p>
    <w:p w:rsidR="0074237E" w:rsidRPr="0074237E" w:rsidRDefault="00730570" w:rsidP="00BD2D59">
      <w:pPr>
        <w:rPr>
          <w:rFonts w:ascii="Times New Roman" w:hAnsi="Times New Roman" w:cs="Times New Roman"/>
          <w:sz w:val="25"/>
          <w:szCs w:val="25"/>
        </w:rPr>
      </w:pPr>
      <w:r>
        <w:rPr>
          <w:rFonts w:ascii="Times New Roman" w:hAnsi="Times New Roman" w:cs="Times New Roman"/>
          <w:sz w:val="25"/>
          <w:szCs w:val="25"/>
        </w:rPr>
        <w:t xml:space="preserve">Various </w:t>
      </w:r>
      <w:r w:rsidR="003A17A7">
        <w:rPr>
          <w:rFonts w:ascii="Times New Roman" w:hAnsi="Times New Roman" w:cs="Times New Roman"/>
          <w:sz w:val="25"/>
          <w:szCs w:val="25"/>
        </w:rPr>
        <w:t xml:space="preserve">BSEA Rulings </w:t>
      </w:r>
      <w:r>
        <w:rPr>
          <w:rFonts w:ascii="Times New Roman" w:hAnsi="Times New Roman" w:cs="Times New Roman"/>
          <w:sz w:val="25"/>
          <w:szCs w:val="25"/>
        </w:rPr>
        <w:t xml:space="preserve">have </w:t>
      </w:r>
      <w:r w:rsidR="003A17A7">
        <w:rPr>
          <w:rFonts w:ascii="Times New Roman" w:hAnsi="Times New Roman" w:cs="Times New Roman"/>
          <w:sz w:val="25"/>
          <w:szCs w:val="25"/>
        </w:rPr>
        <w:t>explain</w:t>
      </w:r>
      <w:r>
        <w:rPr>
          <w:rFonts w:ascii="Times New Roman" w:hAnsi="Times New Roman" w:cs="Times New Roman"/>
          <w:sz w:val="25"/>
          <w:szCs w:val="25"/>
        </w:rPr>
        <w:t>ed</w:t>
      </w:r>
      <w:r w:rsidR="003A17A7">
        <w:rPr>
          <w:rFonts w:ascii="Times New Roman" w:hAnsi="Times New Roman" w:cs="Times New Roman"/>
          <w:sz w:val="25"/>
          <w:szCs w:val="25"/>
        </w:rPr>
        <w:t xml:space="preserve"> that when “the parties’ settlement agreement relates to rights and responsibilities that fall within the purview of the BSEA (which are defined within the IDEA as the ‘identification, evaluation, or educational placement of the child, or provision of a free appropriate public education to such a child’ (20 USC 1415(b</w:t>
      </w:r>
      <w:proofErr w:type="gramStart"/>
      <w:r w:rsidR="003A17A7">
        <w:rPr>
          <w:rFonts w:ascii="Times New Roman" w:hAnsi="Times New Roman" w:cs="Times New Roman"/>
          <w:sz w:val="25"/>
          <w:szCs w:val="25"/>
        </w:rPr>
        <w:t>)(</w:t>
      </w:r>
      <w:proofErr w:type="gramEnd"/>
      <w:r w:rsidR="003A17A7">
        <w:rPr>
          <w:rFonts w:ascii="Times New Roman" w:hAnsi="Times New Roman" w:cs="Times New Roman"/>
          <w:sz w:val="25"/>
          <w:szCs w:val="25"/>
        </w:rPr>
        <w:t xml:space="preserve">6)(A))” the BSEA has authority to review and enter adjudications taking into account the </w:t>
      </w:r>
      <w:r w:rsidR="00AC77FF">
        <w:rPr>
          <w:rFonts w:ascii="Times New Roman" w:hAnsi="Times New Roman" w:cs="Times New Roman"/>
          <w:sz w:val="25"/>
          <w:szCs w:val="25"/>
        </w:rPr>
        <w:t xml:space="preserve">terms of the </w:t>
      </w:r>
      <w:r w:rsidR="003A17A7">
        <w:rPr>
          <w:rFonts w:ascii="Times New Roman" w:hAnsi="Times New Roman" w:cs="Times New Roman"/>
          <w:sz w:val="25"/>
          <w:szCs w:val="25"/>
        </w:rPr>
        <w:t xml:space="preserve">parties’ agreement.  See </w:t>
      </w:r>
      <w:r w:rsidR="003A17A7" w:rsidRPr="003A17A7">
        <w:rPr>
          <w:rFonts w:ascii="Times New Roman" w:hAnsi="Times New Roman" w:cs="Times New Roman"/>
          <w:i/>
          <w:sz w:val="25"/>
          <w:szCs w:val="25"/>
        </w:rPr>
        <w:t>In Re: Longmeadow Public Schools, Ruling on Longmeadow’s Motion to Dismiss</w:t>
      </w:r>
      <w:r w:rsidR="003A17A7">
        <w:rPr>
          <w:rFonts w:ascii="Times New Roman" w:hAnsi="Times New Roman" w:cs="Times New Roman"/>
          <w:sz w:val="25"/>
          <w:szCs w:val="25"/>
        </w:rPr>
        <w:t xml:space="preserve">, 14 MSER 154 (2009); </w:t>
      </w:r>
      <w:r w:rsidR="003A17A7" w:rsidRPr="003A17A7">
        <w:rPr>
          <w:rFonts w:ascii="Times New Roman" w:hAnsi="Times New Roman" w:cs="Times New Roman"/>
          <w:i/>
          <w:sz w:val="25"/>
          <w:szCs w:val="25"/>
        </w:rPr>
        <w:t>In Re: Marlborough Public Schools</w:t>
      </w:r>
      <w:r w:rsidR="003A17A7">
        <w:rPr>
          <w:rFonts w:ascii="Times New Roman" w:hAnsi="Times New Roman" w:cs="Times New Roman"/>
          <w:sz w:val="25"/>
          <w:szCs w:val="25"/>
        </w:rPr>
        <w:t xml:space="preserve">, BSEA # 11-3650 (2011); </w:t>
      </w:r>
      <w:proofErr w:type="gramStart"/>
      <w:r w:rsidR="003A17A7" w:rsidRPr="0032137B">
        <w:rPr>
          <w:rFonts w:ascii="Times New Roman" w:hAnsi="Times New Roman" w:cs="Times New Roman"/>
          <w:i/>
          <w:sz w:val="25"/>
          <w:szCs w:val="25"/>
        </w:rPr>
        <w:t>In</w:t>
      </w:r>
      <w:proofErr w:type="gramEnd"/>
      <w:r w:rsidR="003A17A7" w:rsidRPr="0032137B">
        <w:rPr>
          <w:rFonts w:ascii="Times New Roman" w:hAnsi="Times New Roman" w:cs="Times New Roman"/>
          <w:i/>
          <w:sz w:val="25"/>
          <w:szCs w:val="25"/>
        </w:rPr>
        <w:t xml:space="preserve"> Re; Norwood Public Schools</w:t>
      </w:r>
      <w:r w:rsidR="003A17A7">
        <w:rPr>
          <w:rFonts w:ascii="Times New Roman" w:hAnsi="Times New Roman" w:cs="Times New Roman"/>
          <w:sz w:val="25"/>
          <w:szCs w:val="25"/>
        </w:rPr>
        <w:t>, 11 MSER 161 (2005)</w:t>
      </w:r>
      <w:r w:rsidR="0032137B">
        <w:rPr>
          <w:rFonts w:ascii="Times New Roman" w:hAnsi="Times New Roman" w:cs="Times New Roman"/>
          <w:sz w:val="25"/>
          <w:szCs w:val="25"/>
        </w:rPr>
        <w:t xml:space="preserve">.  Where the language in a settlement agreement is </w:t>
      </w:r>
      <w:r w:rsidR="00944483">
        <w:rPr>
          <w:rFonts w:ascii="Times New Roman" w:hAnsi="Times New Roman" w:cs="Times New Roman"/>
          <w:sz w:val="25"/>
          <w:szCs w:val="25"/>
        </w:rPr>
        <w:t xml:space="preserve">clear and </w:t>
      </w:r>
      <w:r w:rsidR="0032137B">
        <w:rPr>
          <w:rFonts w:ascii="Times New Roman" w:hAnsi="Times New Roman" w:cs="Times New Roman"/>
          <w:sz w:val="25"/>
          <w:szCs w:val="25"/>
        </w:rPr>
        <w:t>unambiguous</w:t>
      </w:r>
      <w:r w:rsidR="00944483">
        <w:rPr>
          <w:rFonts w:ascii="Times New Roman" w:hAnsi="Times New Roman" w:cs="Times New Roman"/>
          <w:sz w:val="25"/>
          <w:szCs w:val="25"/>
        </w:rPr>
        <w:t>,</w:t>
      </w:r>
      <w:r w:rsidR="0032137B">
        <w:rPr>
          <w:rFonts w:ascii="Times New Roman" w:hAnsi="Times New Roman" w:cs="Times New Roman"/>
          <w:sz w:val="25"/>
          <w:szCs w:val="25"/>
        </w:rPr>
        <w:t xml:space="preserve"> </w:t>
      </w:r>
      <w:r w:rsidR="00887537">
        <w:rPr>
          <w:rFonts w:ascii="Times New Roman" w:hAnsi="Times New Roman" w:cs="Times New Roman"/>
          <w:sz w:val="25"/>
          <w:szCs w:val="25"/>
        </w:rPr>
        <w:t xml:space="preserve">and sets forth with specificity their rights and obligations, </w:t>
      </w:r>
      <w:r w:rsidR="0032137B">
        <w:rPr>
          <w:rFonts w:ascii="Times New Roman" w:hAnsi="Times New Roman" w:cs="Times New Roman"/>
          <w:sz w:val="25"/>
          <w:szCs w:val="25"/>
        </w:rPr>
        <w:t>that language binds the parties</w:t>
      </w:r>
      <w:r w:rsidR="00944483">
        <w:rPr>
          <w:rFonts w:ascii="Times New Roman" w:hAnsi="Times New Roman" w:cs="Times New Roman"/>
          <w:sz w:val="25"/>
          <w:szCs w:val="25"/>
        </w:rPr>
        <w:t xml:space="preserve">.  As stated by Hearing Officer Crane in </w:t>
      </w:r>
      <w:r w:rsidR="00944483" w:rsidRPr="00944483">
        <w:rPr>
          <w:rFonts w:ascii="Times New Roman" w:hAnsi="Times New Roman" w:cs="Times New Roman"/>
          <w:i/>
          <w:sz w:val="25"/>
          <w:szCs w:val="25"/>
        </w:rPr>
        <w:t>Longmeadow</w:t>
      </w:r>
      <w:r w:rsidR="00944483">
        <w:rPr>
          <w:rFonts w:ascii="Times New Roman" w:hAnsi="Times New Roman" w:cs="Times New Roman"/>
          <w:sz w:val="25"/>
          <w:szCs w:val="25"/>
        </w:rPr>
        <w:t xml:space="preserve">, </w:t>
      </w:r>
    </w:p>
    <w:p w:rsidR="0074237E" w:rsidRDefault="0074237E" w:rsidP="00BD2D59">
      <w:pPr>
        <w:rPr>
          <w:rFonts w:ascii="Times New Roman" w:hAnsi="Times New Roman" w:cs="Times New Roman"/>
          <w:sz w:val="25"/>
          <w:szCs w:val="25"/>
        </w:rPr>
      </w:pPr>
    </w:p>
    <w:p w:rsidR="00944483" w:rsidRDefault="00944483" w:rsidP="00541686">
      <w:pPr>
        <w:ind w:left="1440" w:right="864"/>
        <w:jc w:val="both"/>
        <w:rPr>
          <w:rFonts w:ascii="Times New Roman" w:hAnsi="Times New Roman" w:cs="Times New Roman"/>
          <w:sz w:val="25"/>
          <w:szCs w:val="25"/>
        </w:rPr>
      </w:pPr>
      <w:r>
        <w:rPr>
          <w:rFonts w:ascii="Times New Roman" w:hAnsi="Times New Roman" w:cs="Times New Roman"/>
          <w:sz w:val="25"/>
          <w:szCs w:val="25"/>
        </w:rPr>
        <w:t xml:space="preserve">…it would undermine the integrity and efficacy of the settlement process if either party were allowed to avoid their obligations under the agreement, proceed to an evidentiary hearing before the BSEA, and have the BSEA issue a decision on the merits. </w:t>
      </w:r>
    </w:p>
    <w:p w:rsidR="00944483" w:rsidRDefault="00944483" w:rsidP="00BD2D59">
      <w:pPr>
        <w:rPr>
          <w:rFonts w:ascii="Times New Roman" w:hAnsi="Times New Roman" w:cs="Times New Roman"/>
          <w:sz w:val="25"/>
          <w:szCs w:val="25"/>
        </w:rPr>
      </w:pPr>
    </w:p>
    <w:p w:rsidR="00944483" w:rsidRDefault="00541686" w:rsidP="00BD2D59">
      <w:pPr>
        <w:rPr>
          <w:rFonts w:ascii="Times New Roman" w:hAnsi="Times New Roman" w:cs="Times New Roman"/>
          <w:sz w:val="25"/>
          <w:szCs w:val="25"/>
        </w:rPr>
      </w:pPr>
      <w:r>
        <w:rPr>
          <w:rFonts w:ascii="Times New Roman" w:hAnsi="Times New Roman" w:cs="Times New Roman"/>
          <w:sz w:val="25"/>
          <w:szCs w:val="25"/>
        </w:rPr>
        <w:lastRenderedPageBreak/>
        <w:t>S</w:t>
      </w:r>
      <w:r w:rsidR="00944483">
        <w:rPr>
          <w:rFonts w:ascii="Times New Roman" w:hAnsi="Times New Roman" w:cs="Times New Roman"/>
          <w:sz w:val="25"/>
          <w:szCs w:val="25"/>
        </w:rPr>
        <w:t xml:space="preserve">ettlement agreements must be given appropriate effect even in circumstances when the parties waive certain rights.  </w:t>
      </w:r>
      <w:proofErr w:type="gramStart"/>
      <w:r w:rsidR="00944483">
        <w:rPr>
          <w:rFonts w:ascii="Times New Roman" w:hAnsi="Times New Roman" w:cs="Times New Roman"/>
          <w:sz w:val="25"/>
          <w:szCs w:val="25"/>
        </w:rPr>
        <w:t xml:space="preserve">See </w:t>
      </w:r>
      <w:r w:rsidR="00944483" w:rsidRPr="00541686">
        <w:rPr>
          <w:rFonts w:ascii="Times New Roman" w:hAnsi="Times New Roman" w:cs="Times New Roman"/>
          <w:i/>
          <w:sz w:val="25"/>
          <w:szCs w:val="25"/>
        </w:rPr>
        <w:t>South Kingsto</w:t>
      </w:r>
      <w:r w:rsidR="006860FD">
        <w:rPr>
          <w:rFonts w:ascii="Times New Roman" w:hAnsi="Times New Roman" w:cs="Times New Roman"/>
          <w:i/>
          <w:sz w:val="25"/>
          <w:szCs w:val="25"/>
        </w:rPr>
        <w:t>w</w:t>
      </w:r>
      <w:r w:rsidR="00944483" w:rsidRPr="00541686">
        <w:rPr>
          <w:rFonts w:ascii="Times New Roman" w:hAnsi="Times New Roman" w:cs="Times New Roman"/>
          <w:i/>
          <w:sz w:val="25"/>
          <w:szCs w:val="25"/>
        </w:rPr>
        <w:t>n School Committee v. Joanna S.</w:t>
      </w:r>
      <w:r w:rsidR="00944483">
        <w:rPr>
          <w:rFonts w:ascii="Times New Roman" w:hAnsi="Times New Roman" w:cs="Times New Roman"/>
          <w:sz w:val="25"/>
          <w:szCs w:val="25"/>
        </w:rPr>
        <w:t>,</w:t>
      </w:r>
      <w:r w:rsidR="006860FD">
        <w:rPr>
          <w:rFonts w:ascii="Times New Roman" w:hAnsi="Times New Roman" w:cs="Times New Roman"/>
          <w:sz w:val="25"/>
          <w:szCs w:val="25"/>
        </w:rPr>
        <w:t xml:space="preserve"> </w:t>
      </w:r>
      <w:r w:rsidR="006860FD" w:rsidRPr="006860FD">
        <w:rPr>
          <w:rFonts w:ascii="Times New Roman" w:hAnsi="Times New Roman" w:cs="Times New Roman"/>
          <w:sz w:val="25"/>
          <w:szCs w:val="25"/>
        </w:rPr>
        <w:t>773 F.3d 344, 352, 355 (1st Cir. 2014)</w:t>
      </w:r>
      <w:r w:rsidRPr="006860FD">
        <w:rPr>
          <w:rFonts w:ascii="Times New Roman" w:hAnsi="Times New Roman" w:cs="Times New Roman"/>
          <w:sz w:val="25"/>
          <w:szCs w:val="25"/>
        </w:rPr>
        <w:t>.</w:t>
      </w:r>
      <w:proofErr w:type="gramEnd"/>
      <w:r w:rsidR="006860FD">
        <w:rPr>
          <w:rFonts w:ascii="Times New Roman" w:hAnsi="Times New Roman" w:cs="Times New Roman"/>
          <w:sz w:val="25"/>
          <w:szCs w:val="25"/>
        </w:rPr>
        <w:t xml:space="preserve">   In </w:t>
      </w:r>
      <w:r w:rsidR="006860FD" w:rsidRPr="00541686">
        <w:rPr>
          <w:rFonts w:ascii="Times New Roman" w:hAnsi="Times New Roman" w:cs="Times New Roman"/>
          <w:i/>
          <w:sz w:val="25"/>
          <w:szCs w:val="25"/>
        </w:rPr>
        <w:t>South Kingsto</w:t>
      </w:r>
      <w:r w:rsidR="006860FD">
        <w:rPr>
          <w:rFonts w:ascii="Times New Roman" w:hAnsi="Times New Roman" w:cs="Times New Roman"/>
          <w:i/>
          <w:sz w:val="25"/>
          <w:szCs w:val="25"/>
        </w:rPr>
        <w:t>wn School Committee</w:t>
      </w:r>
      <w:r w:rsidR="006860FD" w:rsidRPr="006860FD">
        <w:rPr>
          <w:rFonts w:ascii="Times New Roman" w:hAnsi="Times New Roman" w:cs="Times New Roman"/>
          <w:sz w:val="25"/>
          <w:szCs w:val="25"/>
        </w:rPr>
        <w:t>, t</w:t>
      </w:r>
      <w:r>
        <w:rPr>
          <w:rFonts w:ascii="Times New Roman" w:hAnsi="Times New Roman" w:cs="Times New Roman"/>
          <w:sz w:val="25"/>
          <w:szCs w:val="25"/>
        </w:rPr>
        <w:t xml:space="preserve">he First Circuit Court </w:t>
      </w:r>
      <w:r w:rsidR="006860FD">
        <w:rPr>
          <w:rFonts w:ascii="Times New Roman" w:hAnsi="Times New Roman" w:cs="Times New Roman"/>
          <w:sz w:val="25"/>
          <w:szCs w:val="25"/>
        </w:rPr>
        <w:t>noted</w:t>
      </w:r>
      <w:r>
        <w:rPr>
          <w:rFonts w:ascii="Times New Roman" w:hAnsi="Times New Roman" w:cs="Times New Roman"/>
          <w:sz w:val="25"/>
          <w:szCs w:val="25"/>
        </w:rPr>
        <w:t xml:space="preserve"> that</w:t>
      </w:r>
      <w:r w:rsidR="006860FD">
        <w:rPr>
          <w:rFonts w:ascii="Times New Roman" w:hAnsi="Times New Roman" w:cs="Times New Roman"/>
          <w:sz w:val="25"/>
          <w:szCs w:val="25"/>
        </w:rPr>
        <w:t xml:space="preserve"> settlement agreements can relieve a party of performing certain obligations when the parties have </w:t>
      </w:r>
      <w:r w:rsidR="00730570">
        <w:rPr>
          <w:rFonts w:ascii="Times New Roman" w:hAnsi="Times New Roman" w:cs="Times New Roman"/>
          <w:sz w:val="25"/>
          <w:szCs w:val="25"/>
        </w:rPr>
        <w:t xml:space="preserve">expressly </w:t>
      </w:r>
      <w:r w:rsidR="006860FD">
        <w:rPr>
          <w:rFonts w:ascii="Times New Roman" w:hAnsi="Times New Roman" w:cs="Times New Roman"/>
          <w:sz w:val="25"/>
          <w:szCs w:val="25"/>
        </w:rPr>
        <w:t>waived such obligations in their agreement.</w:t>
      </w:r>
      <w:r w:rsidR="00730570">
        <w:rPr>
          <w:rFonts w:ascii="Times New Roman" w:hAnsi="Times New Roman" w:cs="Times New Roman"/>
          <w:sz w:val="25"/>
          <w:szCs w:val="25"/>
        </w:rPr>
        <w:t xml:space="preserve">  The Court noted that </w:t>
      </w:r>
    </w:p>
    <w:p w:rsidR="00541686" w:rsidRDefault="00541686" w:rsidP="00BD2D59">
      <w:pPr>
        <w:rPr>
          <w:rFonts w:ascii="Times New Roman" w:hAnsi="Times New Roman" w:cs="Times New Roman"/>
          <w:sz w:val="25"/>
          <w:szCs w:val="25"/>
        </w:rPr>
      </w:pPr>
    </w:p>
    <w:p w:rsidR="00541686" w:rsidRDefault="00541686" w:rsidP="00541686">
      <w:pPr>
        <w:ind w:left="1440" w:right="864"/>
        <w:jc w:val="both"/>
        <w:rPr>
          <w:rFonts w:ascii="Times New Roman" w:hAnsi="Times New Roman" w:cs="Times New Roman"/>
          <w:sz w:val="25"/>
          <w:szCs w:val="25"/>
        </w:rPr>
      </w:pPr>
      <w:r>
        <w:rPr>
          <w:rFonts w:ascii="Times New Roman" w:hAnsi="Times New Roman" w:cs="Times New Roman"/>
          <w:sz w:val="25"/>
          <w:szCs w:val="25"/>
        </w:rPr>
        <w:t xml:space="preserve">It would be meaningless if [the party] could nonetheless turn around the next day and demand the foregone [terms] anew.  We cannot accept [this] reading of the Agreement, as we find it difficult to suppose the parties intended such a meaningless outcome of their negotiation.  </w:t>
      </w:r>
      <w:proofErr w:type="spellStart"/>
      <w:proofErr w:type="gramStart"/>
      <w:r w:rsidR="005F4402" w:rsidRPr="005F4402">
        <w:rPr>
          <w:rFonts w:ascii="Times New Roman" w:hAnsi="Times New Roman" w:cs="Times New Roman"/>
          <w:i/>
          <w:sz w:val="25"/>
          <w:szCs w:val="25"/>
        </w:rPr>
        <w:t>AccuSoft</w:t>
      </w:r>
      <w:proofErr w:type="spellEnd"/>
      <w:r w:rsidR="005F4402" w:rsidRPr="005F4402">
        <w:rPr>
          <w:rFonts w:ascii="Times New Roman" w:hAnsi="Times New Roman" w:cs="Times New Roman"/>
          <w:i/>
          <w:sz w:val="25"/>
          <w:szCs w:val="25"/>
        </w:rPr>
        <w:t xml:space="preserve"> Corp. v. Palo</w:t>
      </w:r>
      <w:r w:rsidR="005F4402">
        <w:rPr>
          <w:rFonts w:ascii="Times New Roman" w:hAnsi="Times New Roman" w:cs="Times New Roman"/>
          <w:sz w:val="25"/>
          <w:szCs w:val="25"/>
        </w:rPr>
        <w:t>, 237 F.3d 31, 40 (1</w:t>
      </w:r>
      <w:r w:rsidR="005F4402" w:rsidRPr="005F4402">
        <w:rPr>
          <w:rFonts w:ascii="Times New Roman" w:hAnsi="Times New Roman" w:cs="Times New Roman"/>
          <w:sz w:val="25"/>
          <w:szCs w:val="25"/>
          <w:vertAlign w:val="superscript"/>
        </w:rPr>
        <w:t>st</w:t>
      </w:r>
      <w:r w:rsidR="005F4402">
        <w:rPr>
          <w:rFonts w:ascii="Times New Roman" w:hAnsi="Times New Roman" w:cs="Times New Roman"/>
          <w:sz w:val="25"/>
          <w:szCs w:val="25"/>
        </w:rPr>
        <w:t xml:space="preserve"> Cir. 2001)</w:t>
      </w:r>
      <w:r>
        <w:rPr>
          <w:rFonts w:ascii="Times New Roman" w:hAnsi="Times New Roman" w:cs="Times New Roman"/>
          <w:sz w:val="25"/>
          <w:szCs w:val="25"/>
        </w:rPr>
        <w:t>.</w:t>
      </w:r>
      <w:proofErr w:type="gramEnd"/>
    </w:p>
    <w:p w:rsidR="00541686" w:rsidRDefault="00541686" w:rsidP="00BD2D59">
      <w:pPr>
        <w:rPr>
          <w:rFonts w:ascii="Times New Roman" w:hAnsi="Times New Roman" w:cs="Times New Roman"/>
          <w:sz w:val="25"/>
          <w:szCs w:val="25"/>
        </w:rPr>
      </w:pPr>
    </w:p>
    <w:p w:rsidR="00541686" w:rsidRPr="00541686" w:rsidRDefault="00AC77FF" w:rsidP="00BD2D59">
      <w:pPr>
        <w:rPr>
          <w:rFonts w:ascii="Times New Roman" w:hAnsi="Times New Roman" w:cs="Times New Roman"/>
          <w:sz w:val="25"/>
          <w:szCs w:val="25"/>
        </w:rPr>
      </w:pPr>
      <w:r>
        <w:rPr>
          <w:rFonts w:ascii="Times New Roman" w:hAnsi="Times New Roman" w:cs="Times New Roman"/>
          <w:sz w:val="25"/>
          <w:szCs w:val="25"/>
        </w:rPr>
        <w:t xml:space="preserve">Therefore, when parties to a BSEA hearing choose to enter into </w:t>
      </w:r>
      <w:r w:rsidR="00935C47">
        <w:rPr>
          <w:rFonts w:ascii="Times New Roman" w:hAnsi="Times New Roman" w:cs="Times New Roman"/>
          <w:sz w:val="25"/>
          <w:szCs w:val="25"/>
        </w:rPr>
        <w:t xml:space="preserve">a </w:t>
      </w:r>
      <w:r>
        <w:rPr>
          <w:rFonts w:ascii="Times New Roman" w:hAnsi="Times New Roman" w:cs="Times New Roman"/>
          <w:sz w:val="25"/>
          <w:szCs w:val="25"/>
        </w:rPr>
        <w:t>settlement agreement</w:t>
      </w:r>
      <w:r w:rsidR="00935C47">
        <w:rPr>
          <w:rFonts w:ascii="Times New Roman" w:hAnsi="Times New Roman" w:cs="Times New Roman"/>
          <w:sz w:val="25"/>
          <w:szCs w:val="25"/>
        </w:rPr>
        <w:t xml:space="preserve">, their agreement must be given </w:t>
      </w:r>
      <w:r w:rsidR="00887537">
        <w:rPr>
          <w:rFonts w:ascii="Times New Roman" w:hAnsi="Times New Roman" w:cs="Times New Roman"/>
          <w:sz w:val="25"/>
          <w:szCs w:val="25"/>
        </w:rPr>
        <w:t>full</w:t>
      </w:r>
      <w:r w:rsidR="00935C47">
        <w:rPr>
          <w:rFonts w:ascii="Times New Roman" w:hAnsi="Times New Roman" w:cs="Times New Roman"/>
          <w:sz w:val="25"/>
          <w:szCs w:val="25"/>
        </w:rPr>
        <w:t xml:space="preserve"> effect and the terms of the agreement may </w:t>
      </w:r>
      <w:r w:rsidR="00887537">
        <w:rPr>
          <w:rFonts w:ascii="Times New Roman" w:hAnsi="Times New Roman" w:cs="Times New Roman"/>
          <w:sz w:val="25"/>
          <w:szCs w:val="25"/>
        </w:rPr>
        <w:t xml:space="preserve">thus </w:t>
      </w:r>
      <w:r w:rsidR="00935C47">
        <w:rPr>
          <w:rFonts w:ascii="Times New Roman" w:hAnsi="Times New Roman" w:cs="Times New Roman"/>
          <w:sz w:val="25"/>
          <w:szCs w:val="25"/>
        </w:rPr>
        <w:t>limit the relief available to the parties through the BSEA.</w:t>
      </w:r>
    </w:p>
    <w:p w:rsidR="00541686" w:rsidRPr="00541686" w:rsidRDefault="00541686" w:rsidP="00BD2D59">
      <w:pPr>
        <w:rPr>
          <w:rFonts w:ascii="Times New Roman" w:hAnsi="Times New Roman" w:cs="Times New Roman"/>
          <w:sz w:val="25"/>
          <w:szCs w:val="25"/>
        </w:rPr>
      </w:pPr>
    </w:p>
    <w:p w:rsidR="00BD2D59" w:rsidRPr="00B07B0C" w:rsidRDefault="00BD2D59" w:rsidP="00BD2D59">
      <w:pPr>
        <w:rPr>
          <w:rFonts w:ascii="Times New Roman" w:hAnsi="Times New Roman" w:cs="Times New Roman"/>
          <w:b/>
          <w:sz w:val="25"/>
          <w:szCs w:val="25"/>
          <w:u w:val="single"/>
        </w:rPr>
      </w:pPr>
      <w:r w:rsidRPr="00B07B0C">
        <w:rPr>
          <w:rFonts w:ascii="Times New Roman" w:hAnsi="Times New Roman" w:cs="Times New Roman"/>
          <w:b/>
          <w:sz w:val="25"/>
          <w:szCs w:val="25"/>
          <w:u w:val="single"/>
        </w:rPr>
        <w:t>Discussion:</w:t>
      </w:r>
    </w:p>
    <w:p w:rsidR="00BD2D59" w:rsidRPr="00B07B0C" w:rsidRDefault="00BD2D59" w:rsidP="00BD2D59">
      <w:pPr>
        <w:rPr>
          <w:rFonts w:ascii="Times New Roman" w:hAnsi="Times New Roman" w:cs="Times New Roman"/>
          <w:sz w:val="25"/>
          <w:szCs w:val="25"/>
        </w:rPr>
      </w:pPr>
    </w:p>
    <w:p w:rsidR="00935C47" w:rsidRDefault="00BD2D59" w:rsidP="00935C47">
      <w:pPr>
        <w:rPr>
          <w:rFonts w:ascii="Times New Roman" w:hAnsi="Times New Roman" w:cs="Times New Roman"/>
          <w:sz w:val="25"/>
          <w:szCs w:val="25"/>
        </w:rPr>
      </w:pPr>
      <w:r>
        <w:rPr>
          <w:rFonts w:ascii="Times New Roman" w:hAnsi="Times New Roman" w:cs="Times New Roman"/>
          <w:sz w:val="25"/>
          <w:szCs w:val="25"/>
        </w:rPr>
        <w:t xml:space="preserve">In the case at bar, </w:t>
      </w:r>
      <w:r w:rsidR="007D0284">
        <w:rPr>
          <w:rFonts w:ascii="Times New Roman" w:hAnsi="Times New Roman" w:cs="Times New Roman"/>
          <w:sz w:val="25"/>
          <w:szCs w:val="25"/>
        </w:rPr>
        <w:t>Brookline</w:t>
      </w:r>
      <w:r w:rsidRPr="00B07B0C">
        <w:rPr>
          <w:rFonts w:ascii="Times New Roman" w:hAnsi="Times New Roman" w:cs="Times New Roman"/>
          <w:sz w:val="25"/>
          <w:szCs w:val="25"/>
        </w:rPr>
        <w:t xml:space="preserve"> seeks dismissal of </w:t>
      </w:r>
      <w:r w:rsidR="00252641">
        <w:rPr>
          <w:rFonts w:ascii="Times New Roman" w:hAnsi="Times New Roman" w:cs="Times New Roman"/>
          <w:sz w:val="25"/>
          <w:szCs w:val="25"/>
        </w:rPr>
        <w:t xml:space="preserve">some of </w:t>
      </w:r>
      <w:r w:rsidRPr="00B07B0C">
        <w:rPr>
          <w:rFonts w:ascii="Times New Roman" w:hAnsi="Times New Roman" w:cs="Times New Roman"/>
          <w:sz w:val="25"/>
          <w:szCs w:val="25"/>
        </w:rPr>
        <w:t>P</w:t>
      </w:r>
      <w:r w:rsidR="007D0284">
        <w:rPr>
          <w:rFonts w:ascii="Times New Roman" w:hAnsi="Times New Roman" w:cs="Times New Roman"/>
          <w:sz w:val="25"/>
          <w:szCs w:val="25"/>
        </w:rPr>
        <w:t xml:space="preserve">arents’ </w:t>
      </w:r>
      <w:r w:rsidR="00252641">
        <w:rPr>
          <w:rFonts w:ascii="Times New Roman" w:hAnsi="Times New Roman" w:cs="Times New Roman"/>
          <w:sz w:val="25"/>
          <w:szCs w:val="25"/>
        </w:rPr>
        <w:t>claims</w:t>
      </w:r>
      <w:r w:rsidR="00887537">
        <w:rPr>
          <w:rFonts w:ascii="Times New Roman" w:hAnsi="Times New Roman" w:cs="Times New Roman"/>
          <w:sz w:val="25"/>
          <w:szCs w:val="25"/>
        </w:rPr>
        <w:t>,</w:t>
      </w:r>
      <w:r w:rsidRPr="00B07B0C">
        <w:rPr>
          <w:rFonts w:ascii="Times New Roman" w:hAnsi="Times New Roman" w:cs="Times New Roman"/>
          <w:sz w:val="25"/>
          <w:szCs w:val="25"/>
        </w:rPr>
        <w:t xml:space="preserve"> </w:t>
      </w:r>
      <w:r w:rsidR="00252641">
        <w:rPr>
          <w:rFonts w:ascii="Times New Roman" w:hAnsi="Times New Roman" w:cs="Times New Roman"/>
          <w:sz w:val="25"/>
          <w:szCs w:val="25"/>
        </w:rPr>
        <w:t xml:space="preserve">relying </w:t>
      </w:r>
      <w:r w:rsidR="00887537">
        <w:rPr>
          <w:rFonts w:ascii="Times New Roman" w:hAnsi="Times New Roman" w:cs="Times New Roman"/>
          <w:sz w:val="25"/>
          <w:szCs w:val="25"/>
        </w:rPr>
        <w:t>on the terms of a 2016 Settlement A</w:t>
      </w:r>
      <w:r w:rsidR="00935C47">
        <w:rPr>
          <w:rFonts w:ascii="Times New Roman" w:hAnsi="Times New Roman" w:cs="Times New Roman"/>
          <w:sz w:val="25"/>
          <w:szCs w:val="25"/>
        </w:rPr>
        <w:t xml:space="preserve">greement between the parties.  In making this argument Brookline relies on previous BSEA Rulings and Decisions, correctly </w:t>
      </w:r>
      <w:r w:rsidR="00935C47" w:rsidRPr="0074237E">
        <w:rPr>
          <w:rFonts w:ascii="Times New Roman" w:hAnsi="Times New Roman" w:cs="Times New Roman"/>
          <w:sz w:val="25"/>
          <w:szCs w:val="25"/>
        </w:rPr>
        <w:t>argu</w:t>
      </w:r>
      <w:r w:rsidR="00935C47">
        <w:rPr>
          <w:rFonts w:ascii="Times New Roman" w:hAnsi="Times New Roman" w:cs="Times New Roman"/>
          <w:sz w:val="25"/>
          <w:szCs w:val="25"/>
        </w:rPr>
        <w:t>ing</w:t>
      </w:r>
      <w:r w:rsidR="00935C47" w:rsidRPr="0074237E">
        <w:rPr>
          <w:rFonts w:ascii="Times New Roman" w:hAnsi="Times New Roman" w:cs="Times New Roman"/>
          <w:sz w:val="25"/>
          <w:szCs w:val="25"/>
        </w:rPr>
        <w:t xml:space="preserve"> that</w:t>
      </w:r>
      <w:r w:rsidR="00935C47">
        <w:rPr>
          <w:rFonts w:ascii="Times New Roman" w:hAnsi="Times New Roman" w:cs="Times New Roman"/>
          <w:sz w:val="25"/>
          <w:szCs w:val="25"/>
        </w:rPr>
        <w:t xml:space="preserve"> </w:t>
      </w:r>
      <w:r w:rsidR="00935C47" w:rsidRPr="0074237E">
        <w:rPr>
          <w:rFonts w:ascii="Times New Roman" w:hAnsi="Times New Roman" w:cs="Times New Roman"/>
          <w:sz w:val="25"/>
          <w:szCs w:val="25"/>
        </w:rPr>
        <w:t>BSEA Hearing Officer</w:t>
      </w:r>
      <w:r w:rsidR="00887537">
        <w:rPr>
          <w:rFonts w:ascii="Times New Roman" w:hAnsi="Times New Roman" w:cs="Times New Roman"/>
          <w:sz w:val="25"/>
          <w:szCs w:val="25"/>
        </w:rPr>
        <w:t>s</w:t>
      </w:r>
      <w:r w:rsidR="00935C47">
        <w:rPr>
          <w:rFonts w:ascii="Times New Roman" w:hAnsi="Times New Roman" w:cs="Times New Roman"/>
          <w:sz w:val="25"/>
          <w:szCs w:val="25"/>
        </w:rPr>
        <w:t xml:space="preserve"> are authorized to dismiss a case, or portions of a case, based on the unequivocal language set forth in a settlement agreement previously entered into by the parties.  See </w:t>
      </w:r>
      <w:r w:rsidR="00935C47" w:rsidRPr="0074237E">
        <w:rPr>
          <w:rFonts w:ascii="Times New Roman" w:hAnsi="Times New Roman" w:cs="Times New Roman"/>
          <w:i/>
          <w:sz w:val="25"/>
          <w:szCs w:val="25"/>
        </w:rPr>
        <w:t>In Re: Lynn Public Schools</w:t>
      </w:r>
      <w:r w:rsidR="00935C47">
        <w:rPr>
          <w:rFonts w:ascii="Times New Roman" w:hAnsi="Times New Roman" w:cs="Times New Roman"/>
          <w:sz w:val="25"/>
          <w:szCs w:val="25"/>
        </w:rPr>
        <w:t xml:space="preserve">, BSEA 1500643 (2015); </w:t>
      </w:r>
      <w:r w:rsidR="00935C47" w:rsidRPr="003A17A7">
        <w:rPr>
          <w:rFonts w:ascii="Times New Roman" w:hAnsi="Times New Roman" w:cs="Times New Roman"/>
          <w:i/>
          <w:sz w:val="25"/>
          <w:szCs w:val="25"/>
        </w:rPr>
        <w:t>In Re: Marlborough Public Schools</w:t>
      </w:r>
      <w:r w:rsidR="00935C47">
        <w:rPr>
          <w:rFonts w:ascii="Times New Roman" w:hAnsi="Times New Roman" w:cs="Times New Roman"/>
          <w:sz w:val="25"/>
          <w:szCs w:val="25"/>
        </w:rPr>
        <w:t xml:space="preserve">, BSEA # 11-3650 (2011).   </w:t>
      </w:r>
    </w:p>
    <w:p w:rsidR="007D0284" w:rsidRDefault="00BD2D59" w:rsidP="00BD2D59">
      <w:pPr>
        <w:rPr>
          <w:rFonts w:ascii="Times New Roman" w:hAnsi="Times New Roman" w:cs="Times New Roman"/>
          <w:sz w:val="25"/>
          <w:szCs w:val="25"/>
        </w:rPr>
      </w:pPr>
      <w:r w:rsidRPr="00B07B0C">
        <w:rPr>
          <w:rFonts w:ascii="Times New Roman" w:hAnsi="Times New Roman" w:cs="Times New Roman"/>
          <w:sz w:val="25"/>
          <w:szCs w:val="25"/>
        </w:rPr>
        <w:t xml:space="preserve"> </w:t>
      </w:r>
      <w:r w:rsidR="007D0284">
        <w:rPr>
          <w:rFonts w:ascii="Times New Roman" w:hAnsi="Times New Roman" w:cs="Times New Roman"/>
          <w:sz w:val="25"/>
          <w:szCs w:val="25"/>
        </w:rPr>
        <w:t xml:space="preserve">                                     </w:t>
      </w:r>
    </w:p>
    <w:p w:rsidR="007D0284" w:rsidRDefault="00BD2D59" w:rsidP="00BD2D59">
      <w:pPr>
        <w:rPr>
          <w:rFonts w:ascii="Times New Roman" w:hAnsi="Times New Roman" w:cs="Times New Roman"/>
          <w:sz w:val="25"/>
          <w:szCs w:val="25"/>
        </w:rPr>
      </w:pPr>
      <w:r w:rsidRPr="00B07B0C">
        <w:rPr>
          <w:rFonts w:ascii="Times New Roman" w:hAnsi="Times New Roman" w:cs="Times New Roman"/>
          <w:sz w:val="25"/>
          <w:szCs w:val="25"/>
        </w:rPr>
        <w:t>Parent</w:t>
      </w:r>
      <w:r w:rsidR="00935C47">
        <w:rPr>
          <w:rFonts w:ascii="Times New Roman" w:hAnsi="Times New Roman" w:cs="Times New Roman"/>
          <w:sz w:val="25"/>
          <w:szCs w:val="25"/>
        </w:rPr>
        <w:t xml:space="preserve">s do not dispute the existence or validity of the </w:t>
      </w:r>
      <w:r w:rsidR="007D1A6D">
        <w:rPr>
          <w:rFonts w:ascii="Times New Roman" w:hAnsi="Times New Roman" w:cs="Times New Roman"/>
          <w:sz w:val="25"/>
          <w:szCs w:val="25"/>
        </w:rPr>
        <w:t xml:space="preserve">2016 </w:t>
      </w:r>
      <w:r w:rsidR="00887537">
        <w:rPr>
          <w:rFonts w:ascii="Times New Roman" w:hAnsi="Times New Roman" w:cs="Times New Roman"/>
          <w:sz w:val="25"/>
          <w:szCs w:val="25"/>
        </w:rPr>
        <w:t>Settlement A</w:t>
      </w:r>
      <w:r w:rsidR="00935C47">
        <w:rPr>
          <w:rFonts w:ascii="Times New Roman" w:hAnsi="Times New Roman" w:cs="Times New Roman"/>
          <w:sz w:val="25"/>
          <w:szCs w:val="25"/>
        </w:rPr>
        <w:t xml:space="preserve">greement, but rather, argue that the terms of the agreement support their </w:t>
      </w:r>
      <w:r w:rsidR="00887537">
        <w:rPr>
          <w:rFonts w:ascii="Times New Roman" w:hAnsi="Times New Roman" w:cs="Times New Roman"/>
          <w:sz w:val="25"/>
          <w:szCs w:val="25"/>
        </w:rPr>
        <w:t>posi</w:t>
      </w:r>
      <w:r w:rsidR="00935C47">
        <w:rPr>
          <w:rFonts w:ascii="Times New Roman" w:hAnsi="Times New Roman" w:cs="Times New Roman"/>
          <w:sz w:val="25"/>
          <w:szCs w:val="25"/>
        </w:rPr>
        <w:t>tion</w:t>
      </w:r>
      <w:r w:rsidR="00887537">
        <w:rPr>
          <w:rFonts w:ascii="Times New Roman" w:hAnsi="Times New Roman" w:cs="Times New Roman"/>
          <w:sz w:val="25"/>
          <w:szCs w:val="25"/>
        </w:rPr>
        <w:t xml:space="preserve"> </w:t>
      </w:r>
      <w:r w:rsidR="00935C47">
        <w:rPr>
          <w:rFonts w:ascii="Times New Roman" w:hAnsi="Times New Roman" w:cs="Times New Roman"/>
          <w:sz w:val="25"/>
          <w:szCs w:val="25"/>
        </w:rPr>
        <w:t>and validate their Hearing Request.  Relying on the language of the Settlement Agreement</w:t>
      </w:r>
      <w:r w:rsidR="007D1A6D">
        <w:rPr>
          <w:rFonts w:ascii="Times New Roman" w:hAnsi="Times New Roman" w:cs="Times New Roman"/>
          <w:sz w:val="25"/>
          <w:szCs w:val="25"/>
        </w:rPr>
        <w:t>,</w:t>
      </w:r>
      <w:r w:rsidR="00935C47">
        <w:rPr>
          <w:rFonts w:ascii="Times New Roman" w:hAnsi="Times New Roman" w:cs="Times New Roman"/>
          <w:sz w:val="25"/>
          <w:szCs w:val="25"/>
        </w:rPr>
        <w:t xml:space="preserve"> read in conjunction with Student’s IEP, Parents argue that Brookline has failed to comply with the terms of the agreement</w:t>
      </w:r>
      <w:r w:rsidR="007D1A6D">
        <w:rPr>
          <w:rFonts w:ascii="Times New Roman" w:hAnsi="Times New Roman" w:cs="Times New Roman"/>
          <w:sz w:val="25"/>
          <w:szCs w:val="25"/>
        </w:rPr>
        <w:t xml:space="preserve"> thereby entitling Parents to the </w:t>
      </w:r>
      <w:r w:rsidR="00887537">
        <w:rPr>
          <w:rFonts w:ascii="Times New Roman" w:hAnsi="Times New Roman" w:cs="Times New Roman"/>
          <w:sz w:val="25"/>
          <w:szCs w:val="25"/>
        </w:rPr>
        <w:t xml:space="preserve">requested </w:t>
      </w:r>
      <w:r w:rsidR="007D1A6D">
        <w:rPr>
          <w:rFonts w:ascii="Times New Roman" w:hAnsi="Times New Roman" w:cs="Times New Roman"/>
          <w:sz w:val="25"/>
          <w:szCs w:val="25"/>
        </w:rPr>
        <w:t xml:space="preserve">relief. </w:t>
      </w:r>
    </w:p>
    <w:p w:rsidR="007D0284" w:rsidRPr="00B07B0C" w:rsidRDefault="007D0284" w:rsidP="00BD2D59">
      <w:pPr>
        <w:rPr>
          <w:rFonts w:ascii="Times New Roman" w:hAnsi="Times New Roman" w:cs="Times New Roman"/>
          <w:sz w:val="25"/>
          <w:szCs w:val="25"/>
        </w:rPr>
      </w:pPr>
    </w:p>
    <w:p w:rsidR="00BD2D59" w:rsidRDefault="00BD2D59" w:rsidP="00BD2D59">
      <w:pPr>
        <w:rPr>
          <w:rFonts w:ascii="Times New Roman" w:hAnsi="Times New Roman" w:cs="Times New Roman"/>
          <w:sz w:val="25"/>
          <w:szCs w:val="25"/>
        </w:rPr>
      </w:pPr>
      <w:r w:rsidRPr="00B07B0C">
        <w:rPr>
          <w:rFonts w:ascii="Times New Roman" w:hAnsi="Times New Roman" w:cs="Times New Roman"/>
          <w:sz w:val="25"/>
          <w:szCs w:val="25"/>
        </w:rPr>
        <w:t xml:space="preserve">In order to survive a Motion to Dismiss, </w:t>
      </w:r>
      <w:r>
        <w:rPr>
          <w:rFonts w:ascii="Times New Roman" w:hAnsi="Times New Roman" w:cs="Times New Roman"/>
          <w:sz w:val="25"/>
          <w:szCs w:val="25"/>
        </w:rPr>
        <w:t>P</w:t>
      </w:r>
      <w:r w:rsidR="007D0284">
        <w:rPr>
          <w:rFonts w:ascii="Times New Roman" w:hAnsi="Times New Roman" w:cs="Times New Roman"/>
          <w:sz w:val="25"/>
          <w:szCs w:val="25"/>
        </w:rPr>
        <w:t>arents</w:t>
      </w:r>
      <w:r w:rsidR="00C77885">
        <w:rPr>
          <w:rFonts w:ascii="Times New Roman" w:hAnsi="Times New Roman" w:cs="Times New Roman"/>
          <w:sz w:val="25"/>
          <w:szCs w:val="25"/>
        </w:rPr>
        <w:t>’</w:t>
      </w:r>
      <w:r w:rsidRPr="00B07B0C">
        <w:rPr>
          <w:rFonts w:ascii="Times New Roman" w:hAnsi="Times New Roman" w:cs="Times New Roman"/>
          <w:sz w:val="25"/>
          <w:szCs w:val="25"/>
        </w:rPr>
        <w:t xml:space="preserve"> </w:t>
      </w:r>
      <w:r w:rsidR="007D0284">
        <w:rPr>
          <w:rFonts w:ascii="Times New Roman" w:hAnsi="Times New Roman" w:cs="Times New Roman"/>
          <w:sz w:val="25"/>
          <w:szCs w:val="25"/>
        </w:rPr>
        <w:t xml:space="preserve">Hearing Request </w:t>
      </w:r>
      <w:r w:rsidRPr="00B07B0C">
        <w:rPr>
          <w:rFonts w:ascii="Times New Roman" w:hAnsi="Times New Roman" w:cs="Times New Roman"/>
          <w:sz w:val="25"/>
          <w:szCs w:val="25"/>
        </w:rPr>
        <w:t xml:space="preserve">need only assert “factual allegations </w:t>
      </w:r>
      <w:r w:rsidRPr="007D0284">
        <w:rPr>
          <w:rFonts w:ascii="Times New Roman" w:hAnsi="Times New Roman" w:cs="Times New Roman"/>
          <w:i/>
          <w:sz w:val="25"/>
          <w:szCs w:val="25"/>
        </w:rPr>
        <w:t>plausibly</w:t>
      </w:r>
      <w:r w:rsidRPr="00B07B0C">
        <w:rPr>
          <w:rFonts w:ascii="Times New Roman" w:hAnsi="Times New Roman" w:cs="Times New Roman"/>
          <w:sz w:val="25"/>
          <w:szCs w:val="25"/>
        </w:rPr>
        <w:t xml:space="preserve"> suggesting…an entitlement to relief.” </w:t>
      </w:r>
      <w:r w:rsidR="007D0284">
        <w:rPr>
          <w:rFonts w:ascii="Times New Roman" w:hAnsi="Times New Roman" w:cs="Times New Roman"/>
          <w:sz w:val="25"/>
          <w:szCs w:val="25"/>
        </w:rPr>
        <w:t xml:space="preserve"> [Emphasis supplied].</w:t>
      </w:r>
    </w:p>
    <w:p w:rsidR="00BD2D59" w:rsidRDefault="00BD2D59" w:rsidP="00BD2D59">
      <w:pPr>
        <w:rPr>
          <w:rFonts w:ascii="Times New Roman" w:hAnsi="Times New Roman" w:cs="Times New Roman"/>
          <w:sz w:val="25"/>
          <w:szCs w:val="25"/>
        </w:rPr>
      </w:pPr>
    </w:p>
    <w:p w:rsidR="00BD2D59" w:rsidRPr="00B07B0C" w:rsidRDefault="00BD2D59" w:rsidP="00BD2D59">
      <w:pPr>
        <w:rPr>
          <w:rFonts w:ascii="Times New Roman" w:hAnsi="Times New Roman" w:cs="Times New Roman"/>
          <w:sz w:val="25"/>
          <w:szCs w:val="25"/>
        </w:rPr>
      </w:pPr>
      <w:r w:rsidRPr="00B07B0C">
        <w:rPr>
          <w:rFonts w:ascii="Times New Roman" w:hAnsi="Times New Roman" w:cs="Times New Roman"/>
          <w:sz w:val="25"/>
          <w:szCs w:val="25"/>
        </w:rPr>
        <w:t xml:space="preserve">Taking </w:t>
      </w:r>
      <w:r>
        <w:rPr>
          <w:rFonts w:ascii="Times New Roman" w:hAnsi="Times New Roman" w:cs="Times New Roman"/>
          <w:sz w:val="25"/>
          <w:szCs w:val="25"/>
        </w:rPr>
        <w:t>Parents’</w:t>
      </w:r>
      <w:r w:rsidRPr="00B07B0C">
        <w:rPr>
          <w:rFonts w:ascii="Times New Roman" w:hAnsi="Times New Roman" w:cs="Times New Roman"/>
          <w:sz w:val="25"/>
          <w:szCs w:val="25"/>
        </w:rPr>
        <w:t xml:space="preserve"> allegations as true, as is required </w:t>
      </w:r>
      <w:r>
        <w:rPr>
          <w:rFonts w:ascii="Times New Roman" w:hAnsi="Times New Roman" w:cs="Times New Roman"/>
          <w:sz w:val="25"/>
          <w:szCs w:val="25"/>
        </w:rPr>
        <w:t xml:space="preserve">in the context of </w:t>
      </w:r>
      <w:r w:rsidRPr="00B07B0C">
        <w:rPr>
          <w:rFonts w:ascii="Times New Roman" w:hAnsi="Times New Roman" w:cs="Times New Roman"/>
          <w:sz w:val="25"/>
          <w:szCs w:val="25"/>
        </w:rPr>
        <w:t xml:space="preserve">a Motion to Dismiss, I find that </w:t>
      </w:r>
      <w:r>
        <w:rPr>
          <w:rFonts w:ascii="Times New Roman" w:hAnsi="Times New Roman" w:cs="Times New Roman"/>
          <w:sz w:val="25"/>
          <w:szCs w:val="25"/>
        </w:rPr>
        <w:t xml:space="preserve">Parents’ pleadings </w:t>
      </w:r>
      <w:r w:rsidRPr="00B07B0C">
        <w:rPr>
          <w:rFonts w:ascii="Times New Roman" w:hAnsi="Times New Roman" w:cs="Times New Roman"/>
          <w:sz w:val="25"/>
          <w:szCs w:val="25"/>
        </w:rPr>
        <w:t xml:space="preserve">articulate </w:t>
      </w:r>
      <w:r>
        <w:rPr>
          <w:rFonts w:ascii="Times New Roman" w:hAnsi="Times New Roman" w:cs="Times New Roman"/>
          <w:sz w:val="25"/>
          <w:szCs w:val="25"/>
        </w:rPr>
        <w:t xml:space="preserve">a </w:t>
      </w:r>
      <w:r w:rsidRPr="00B07B0C">
        <w:rPr>
          <w:rFonts w:ascii="Times New Roman" w:hAnsi="Times New Roman" w:cs="Times New Roman"/>
          <w:sz w:val="25"/>
          <w:szCs w:val="25"/>
        </w:rPr>
        <w:t xml:space="preserve">sufficient </w:t>
      </w:r>
      <w:r>
        <w:rPr>
          <w:rFonts w:ascii="Times New Roman" w:hAnsi="Times New Roman" w:cs="Times New Roman"/>
          <w:sz w:val="25"/>
          <w:szCs w:val="25"/>
        </w:rPr>
        <w:t xml:space="preserve">basis </w:t>
      </w:r>
      <w:r w:rsidR="00887537">
        <w:rPr>
          <w:rFonts w:ascii="Times New Roman" w:hAnsi="Times New Roman" w:cs="Times New Roman"/>
          <w:sz w:val="25"/>
          <w:szCs w:val="25"/>
        </w:rPr>
        <w:t>to</w:t>
      </w:r>
      <w:r w:rsidRPr="00B07B0C">
        <w:rPr>
          <w:rFonts w:ascii="Times New Roman" w:hAnsi="Times New Roman" w:cs="Times New Roman"/>
          <w:sz w:val="25"/>
          <w:szCs w:val="25"/>
        </w:rPr>
        <w:t xml:space="preserve"> plausibly </w:t>
      </w:r>
      <w:r w:rsidR="00887537">
        <w:rPr>
          <w:rFonts w:ascii="Times New Roman" w:hAnsi="Times New Roman" w:cs="Times New Roman"/>
          <w:sz w:val="25"/>
          <w:szCs w:val="25"/>
        </w:rPr>
        <w:t>suggest</w:t>
      </w:r>
      <w:r w:rsidRPr="00B07B0C">
        <w:rPr>
          <w:rFonts w:ascii="Times New Roman" w:hAnsi="Times New Roman" w:cs="Times New Roman"/>
          <w:sz w:val="25"/>
          <w:szCs w:val="25"/>
        </w:rPr>
        <w:t xml:space="preserve"> a cause of action </w:t>
      </w:r>
      <w:r>
        <w:rPr>
          <w:rFonts w:ascii="Times New Roman" w:hAnsi="Times New Roman" w:cs="Times New Roman"/>
          <w:sz w:val="25"/>
          <w:szCs w:val="25"/>
        </w:rPr>
        <w:t>entitling</w:t>
      </w:r>
      <w:r w:rsidR="007D1A6D">
        <w:rPr>
          <w:rFonts w:ascii="Times New Roman" w:hAnsi="Times New Roman" w:cs="Times New Roman"/>
          <w:sz w:val="25"/>
          <w:szCs w:val="25"/>
        </w:rPr>
        <w:t xml:space="preserve"> them to some form of relief.  Therefore, w</w:t>
      </w:r>
      <w:r>
        <w:rPr>
          <w:rFonts w:ascii="Times New Roman" w:hAnsi="Times New Roman" w:cs="Times New Roman"/>
          <w:sz w:val="25"/>
          <w:szCs w:val="25"/>
        </w:rPr>
        <w:t>ithout a full Hearing on the merits</w:t>
      </w:r>
      <w:r w:rsidR="007D1A6D">
        <w:rPr>
          <w:rFonts w:ascii="Times New Roman" w:hAnsi="Times New Roman" w:cs="Times New Roman"/>
          <w:sz w:val="25"/>
          <w:szCs w:val="25"/>
        </w:rPr>
        <w:t>,</w:t>
      </w:r>
      <w:r>
        <w:rPr>
          <w:rFonts w:ascii="Times New Roman" w:hAnsi="Times New Roman" w:cs="Times New Roman"/>
          <w:sz w:val="25"/>
          <w:szCs w:val="25"/>
        </w:rPr>
        <w:t xml:space="preserve"> </w:t>
      </w:r>
      <w:r w:rsidR="007D1A6D">
        <w:rPr>
          <w:rFonts w:ascii="Times New Roman" w:hAnsi="Times New Roman" w:cs="Times New Roman"/>
          <w:sz w:val="25"/>
          <w:szCs w:val="25"/>
        </w:rPr>
        <w:t>this matter cannot be dismissed.</w:t>
      </w:r>
      <w:r>
        <w:rPr>
          <w:rFonts w:ascii="Times New Roman" w:hAnsi="Times New Roman" w:cs="Times New Roman"/>
          <w:sz w:val="25"/>
          <w:szCs w:val="25"/>
        </w:rPr>
        <w:t xml:space="preserve"> Brookline’s Motion to Dismiss is </w:t>
      </w:r>
      <w:r w:rsidR="007D1A6D">
        <w:rPr>
          <w:rFonts w:ascii="Times New Roman" w:hAnsi="Times New Roman" w:cs="Times New Roman"/>
          <w:sz w:val="25"/>
          <w:szCs w:val="25"/>
        </w:rPr>
        <w:t xml:space="preserve">hereby </w:t>
      </w:r>
      <w:r w:rsidRPr="00F4181B">
        <w:rPr>
          <w:rFonts w:ascii="Times New Roman" w:hAnsi="Times New Roman" w:cs="Times New Roman"/>
          <w:b/>
          <w:sz w:val="25"/>
          <w:szCs w:val="25"/>
        </w:rPr>
        <w:t>DENIED</w:t>
      </w:r>
      <w:r>
        <w:rPr>
          <w:rFonts w:ascii="Times New Roman" w:hAnsi="Times New Roman" w:cs="Times New Roman"/>
          <w:sz w:val="25"/>
          <w:szCs w:val="25"/>
        </w:rPr>
        <w:t>.</w:t>
      </w:r>
    </w:p>
    <w:p w:rsidR="00BD2D59" w:rsidRDefault="00BD2D59" w:rsidP="00BD2D59">
      <w:pPr>
        <w:rPr>
          <w:rFonts w:ascii="Times New Roman" w:hAnsi="Times New Roman" w:cs="Times New Roman"/>
          <w:sz w:val="25"/>
          <w:szCs w:val="25"/>
        </w:rPr>
      </w:pPr>
    </w:p>
    <w:p w:rsidR="00C77885" w:rsidRDefault="00C77885">
      <w:pPr>
        <w:rPr>
          <w:rFonts w:ascii="Times New Roman" w:hAnsi="Times New Roman" w:cs="Times New Roman"/>
          <w:b/>
          <w:sz w:val="25"/>
          <w:szCs w:val="25"/>
        </w:rPr>
      </w:pPr>
      <w:r>
        <w:rPr>
          <w:rFonts w:ascii="Times New Roman" w:hAnsi="Times New Roman" w:cs="Times New Roman"/>
          <w:b/>
          <w:sz w:val="25"/>
          <w:szCs w:val="25"/>
        </w:rPr>
        <w:br w:type="page"/>
      </w:r>
    </w:p>
    <w:p w:rsidR="00BD2D59" w:rsidRDefault="00BD2D59" w:rsidP="00BD2D59">
      <w:pPr>
        <w:rPr>
          <w:rFonts w:ascii="Times New Roman" w:hAnsi="Times New Roman" w:cs="Times New Roman"/>
          <w:sz w:val="25"/>
          <w:szCs w:val="25"/>
        </w:rPr>
      </w:pPr>
      <w:r w:rsidRPr="00E752AF">
        <w:rPr>
          <w:rFonts w:ascii="Times New Roman" w:hAnsi="Times New Roman" w:cs="Times New Roman"/>
          <w:b/>
          <w:sz w:val="25"/>
          <w:szCs w:val="25"/>
        </w:rPr>
        <w:lastRenderedPageBreak/>
        <w:t>ORDERS</w:t>
      </w:r>
      <w:r>
        <w:rPr>
          <w:rFonts w:ascii="Times New Roman" w:hAnsi="Times New Roman" w:cs="Times New Roman"/>
          <w:sz w:val="25"/>
          <w:szCs w:val="25"/>
        </w:rPr>
        <w:t>:</w:t>
      </w:r>
    </w:p>
    <w:p w:rsidR="00BD2D59" w:rsidRDefault="00BD2D59" w:rsidP="00BD2D59">
      <w:pPr>
        <w:rPr>
          <w:rFonts w:ascii="Times New Roman" w:hAnsi="Times New Roman" w:cs="Times New Roman"/>
          <w:sz w:val="25"/>
          <w:szCs w:val="25"/>
        </w:rPr>
      </w:pPr>
    </w:p>
    <w:p w:rsidR="00BD2D59" w:rsidRDefault="00BD2D59" w:rsidP="00BD2D59">
      <w:pPr>
        <w:rPr>
          <w:rFonts w:ascii="Times New Roman" w:hAnsi="Times New Roman" w:cs="Times New Roman"/>
          <w:sz w:val="25"/>
          <w:szCs w:val="25"/>
        </w:rPr>
      </w:pPr>
      <w:r>
        <w:rPr>
          <w:rFonts w:ascii="Times New Roman" w:hAnsi="Times New Roman" w:cs="Times New Roman"/>
          <w:sz w:val="25"/>
          <w:szCs w:val="25"/>
        </w:rPr>
        <w:t xml:space="preserve">1. </w:t>
      </w:r>
      <w:r>
        <w:rPr>
          <w:rFonts w:ascii="Times New Roman" w:hAnsi="Times New Roman" w:cs="Times New Roman"/>
          <w:sz w:val="25"/>
          <w:szCs w:val="25"/>
        </w:rPr>
        <w:tab/>
        <w:t xml:space="preserve">Brookline’s Motion to Dismiss is </w:t>
      </w:r>
      <w:r w:rsidRPr="00BD2D59">
        <w:rPr>
          <w:rFonts w:ascii="Times New Roman" w:hAnsi="Times New Roman" w:cs="Times New Roman"/>
          <w:b/>
          <w:sz w:val="25"/>
          <w:szCs w:val="25"/>
        </w:rPr>
        <w:t>DENIED</w:t>
      </w:r>
      <w:r>
        <w:rPr>
          <w:rFonts w:ascii="Times New Roman" w:hAnsi="Times New Roman" w:cs="Times New Roman"/>
          <w:sz w:val="25"/>
          <w:szCs w:val="25"/>
        </w:rPr>
        <w:t>.</w:t>
      </w:r>
    </w:p>
    <w:p w:rsidR="00BD2D59" w:rsidRDefault="00BD2D59" w:rsidP="00BD2D59">
      <w:pPr>
        <w:ind w:left="720" w:hanging="720"/>
        <w:rPr>
          <w:rFonts w:ascii="Times New Roman" w:hAnsi="Times New Roman" w:cs="Times New Roman"/>
          <w:sz w:val="25"/>
          <w:szCs w:val="25"/>
        </w:rPr>
      </w:pPr>
      <w:r>
        <w:rPr>
          <w:rFonts w:ascii="Times New Roman" w:hAnsi="Times New Roman" w:cs="Times New Roman"/>
          <w:sz w:val="25"/>
          <w:szCs w:val="25"/>
        </w:rPr>
        <w:t>2.</w:t>
      </w:r>
      <w:r>
        <w:rPr>
          <w:rFonts w:ascii="Times New Roman" w:hAnsi="Times New Roman" w:cs="Times New Roman"/>
          <w:sz w:val="25"/>
          <w:szCs w:val="25"/>
        </w:rPr>
        <w:tab/>
        <w:t xml:space="preserve">By agreement of the Parties during the Pre-hearing Conference on July 25, 2019, this matter will proceed as a Pre-hearing Conference on September 20, 2019 at 10:00 a.m. at the Offices of DALA/BSEA, 14 Summer St., fourth floor, Malden, MA.  The Hearing in this matter </w:t>
      </w:r>
      <w:r w:rsidR="00C77885">
        <w:rPr>
          <w:rFonts w:ascii="Times New Roman" w:hAnsi="Times New Roman" w:cs="Times New Roman"/>
          <w:sz w:val="25"/>
          <w:szCs w:val="25"/>
        </w:rPr>
        <w:t xml:space="preserve">remains </w:t>
      </w:r>
      <w:r>
        <w:rPr>
          <w:rFonts w:ascii="Times New Roman" w:hAnsi="Times New Roman" w:cs="Times New Roman"/>
          <w:sz w:val="25"/>
          <w:szCs w:val="25"/>
        </w:rPr>
        <w:t>scheduled to proceed on October 16 and 17, 2019 consistent with the Order issued on July 15, 2019.</w:t>
      </w:r>
    </w:p>
    <w:p w:rsidR="00BD2D59" w:rsidRDefault="00BD2D59" w:rsidP="00BD2D59">
      <w:pPr>
        <w:rPr>
          <w:rFonts w:ascii="Times New Roman" w:hAnsi="Times New Roman" w:cs="Times New Roman"/>
          <w:sz w:val="25"/>
          <w:szCs w:val="25"/>
        </w:rPr>
      </w:pPr>
    </w:p>
    <w:p w:rsidR="00BD2D59" w:rsidRDefault="00BD2D59" w:rsidP="00BD2D59">
      <w:pPr>
        <w:rPr>
          <w:rFonts w:ascii="Times New Roman" w:hAnsi="Times New Roman" w:cs="Times New Roman"/>
          <w:sz w:val="25"/>
          <w:szCs w:val="25"/>
        </w:rPr>
      </w:pPr>
      <w:r>
        <w:rPr>
          <w:rFonts w:ascii="Times New Roman" w:hAnsi="Times New Roman" w:cs="Times New Roman"/>
          <w:sz w:val="25"/>
          <w:szCs w:val="25"/>
        </w:rPr>
        <w:t>So Ordered by the Hearing Officer,</w:t>
      </w:r>
    </w:p>
    <w:p w:rsidR="00BD2D59" w:rsidRDefault="00BD2D59" w:rsidP="00BD2D59">
      <w:pPr>
        <w:rPr>
          <w:rFonts w:ascii="Times New Roman" w:hAnsi="Times New Roman" w:cs="Times New Roman"/>
          <w:sz w:val="25"/>
          <w:szCs w:val="25"/>
        </w:rPr>
      </w:pPr>
    </w:p>
    <w:p w:rsidR="00BD2D59" w:rsidRDefault="00BD2D59" w:rsidP="00BD2D59">
      <w:pPr>
        <w:rPr>
          <w:rFonts w:ascii="Times New Roman" w:hAnsi="Times New Roman" w:cs="Times New Roman"/>
          <w:sz w:val="25"/>
          <w:szCs w:val="25"/>
        </w:rPr>
      </w:pPr>
    </w:p>
    <w:p w:rsidR="00BD2D59" w:rsidRDefault="00BD2D59" w:rsidP="00BD2D59">
      <w:pPr>
        <w:rPr>
          <w:rFonts w:ascii="Times New Roman" w:hAnsi="Times New Roman" w:cs="Times New Roman"/>
          <w:sz w:val="25"/>
          <w:szCs w:val="25"/>
        </w:rPr>
      </w:pPr>
      <w:r>
        <w:rPr>
          <w:rFonts w:ascii="Times New Roman" w:hAnsi="Times New Roman" w:cs="Times New Roman"/>
          <w:sz w:val="25"/>
          <w:szCs w:val="25"/>
        </w:rPr>
        <w:t xml:space="preserve">_______________________________________ </w:t>
      </w:r>
    </w:p>
    <w:p w:rsidR="00BD2D59" w:rsidRDefault="00BD2D59" w:rsidP="00BD2D59">
      <w:pPr>
        <w:rPr>
          <w:rFonts w:ascii="Times New Roman" w:hAnsi="Times New Roman" w:cs="Times New Roman"/>
          <w:sz w:val="25"/>
          <w:szCs w:val="25"/>
        </w:rPr>
      </w:pPr>
      <w:r>
        <w:rPr>
          <w:rFonts w:ascii="Times New Roman" w:hAnsi="Times New Roman" w:cs="Times New Roman"/>
          <w:sz w:val="25"/>
          <w:szCs w:val="25"/>
        </w:rPr>
        <w:t>Rosa I. Figueroa</w:t>
      </w:r>
    </w:p>
    <w:p w:rsidR="001211DA" w:rsidRDefault="00BD2D59">
      <w:r>
        <w:rPr>
          <w:rFonts w:ascii="Times New Roman" w:hAnsi="Times New Roman" w:cs="Times New Roman"/>
          <w:sz w:val="25"/>
          <w:szCs w:val="25"/>
        </w:rPr>
        <w:t>Dated: Ju</w:t>
      </w:r>
      <w:r w:rsidR="008459E5">
        <w:rPr>
          <w:rFonts w:ascii="Times New Roman" w:hAnsi="Times New Roman" w:cs="Times New Roman"/>
          <w:sz w:val="25"/>
          <w:szCs w:val="25"/>
        </w:rPr>
        <w:t>ly</w:t>
      </w:r>
      <w:r>
        <w:rPr>
          <w:rFonts w:ascii="Times New Roman" w:hAnsi="Times New Roman" w:cs="Times New Roman"/>
          <w:sz w:val="25"/>
          <w:szCs w:val="25"/>
        </w:rPr>
        <w:t xml:space="preserve"> 2</w:t>
      </w:r>
      <w:r w:rsidR="008459E5">
        <w:rPr>
          <w:rFonts w:ascii="Times New Roman" w:hAnsi="Times New Roman" w:cs="Times New Roman"/>
          <w:sz w:val="25"/>
          <w:szCs w:val="25"/>
        </w:rPr>
        <w:t>9</w:t>
      </w:r>
      <w:r>
        <w:rPr>
          <w:rFonts w:ascii="Times New Roman" w:hAnsi="Times New Roman" w:cs="Times New Roman"/>
          <w:sz w:val="25"/>
          <w:szCs w:val="25"/>
        </w:rPr>
        <w:t xml:space="preserve">, 2019 </w:t>
      </w:r>
    </w:p>
    <w:sectPr w:rsidR="001211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2E" w:rsidRDefault="003E302E" w:rsidP="00BD2D59">
      <w:r>
        <w:separator/>
      </w:r>
    </w:p>
  </w:endnote>
  <w:endnote w:type="continuationSeparator" w:id="0">
    <w:p w:rsidR="003E302E" w:rsidRDefault="003E302E" w:rsidP="00BD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3594"/>
      <w:docPartObj>
        <w:docPartGallery w:val="Page Numbers (Bottom of Page)"/>
        <w:docPartUnique/>
      </w:docPartObj>
    </w:sdtPr>
    <w:sdtEndPr>
      <w:rPr>
        <w:noProof/>
      </w:rPr>
    </w:sdtEndPr>
    <w:sdtContent>
      <w:p w:rsidR="005F4402" w:rsidRDefault="005F4402">
        <w:pPr>
          <w:pStyle w:val="Footer"/>
          <w:jc w:val="center"/>
        </w:pPr>
        <w:r>
          <w:fldChar w:fldCharType="begin"/>
        </w:r>
        <w:r>
          <w:instrText xml:space="preserve"> PAGE   \* MERGEFORMAT </w:instrText>
        </w:r>
        <w:r>
          <w:fldChar w:fldCharType="separate"/>
        </w:r>
        <w:r w:rsidR="001D5992">
          <w:rPr>
            <w:noProof/>
          </w:rPr>
          <w:t>1</w:t>
        </w:r>
        <w:r>
          <w:rPr>
            <w:noProof/>
          </w:rPr>
          <w:fldChar w:fldCharType="end"/>
        </w:r>
      </w:p>
    </w:sdtContent>
  </w:sdt>
  <w:p w:rsidR="005F4402" w:rsidRDefault="005F4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2E" w:rsidRDefault="003E302E" w:rsidP="00BD2D59">
      <w:r>
        <w:separator/>
      </w:r>
    </w:p>
  </w:footnote>
  <w:footnote w:type="continuationSeparator" w:id="0">
    <w:p w:rsidR="003E302E" w:rsidRDefault="003E302E" w:rsidP="00BD2D59">
      <w:r>
        <w:continuationSeparator/>
      </w:r>
    </w:p>
  </w:footnote>
  <w:footnote w:id="1">
    <w:p w:rsidR="005F4402" w:rsidRPr="0074237E" w:rsidRDefault="005F4402">
      <w:pPr>
        <w:pStyle w:val="FootnoteText"/>
        <w:rPr>
          <w:rFonts w:ascii="Times New Roman" w:hAnsi="Times New Roman" w:cs="Times New Roman"/>
        </w:rPr>
      </w:pPr>
      <w:r>
        <w:rPr>
          <w:rStyle w:val="FootnoteReference"/>
        </w:rPr>
        <w:footnoteRef/>
      </w:r>
      <w:r>
        <w:t xml:space="preserve">  </w:t>
      </w:r>
      <w:r w:rsidRPr="0074237E">
        <w:rPr>
          <w:rFonts w:ascii="Times New Roman" w:hAnsi="Times New Roman" w:cs="Times New Roman"/>
        </w:rPr>
        <w:t>The 2016 Settlement Agreement stated: “</w:t>
      </w:r>
      <w:r>
        <w:rPr>
          <w:rFonts w:ascii="Times New Roman" w:hAnsi="Times New Roman" w:cs="Times New Roman"/>
        </w:rPr>
        <w:t>The Parents waive all obligations Brookline has or may have under the IDEA and/or MGL 71B and the related regulations, to convene a Team and to develop IEPs for each of the student’s school years during the full term of the Agreement.  Brookline shall develop administrative IEPs for each school year.</w:t>
      </w:r>
      <w:r w:rsidRPr="0074237E">
        <w:rPr>
          <w:rFonts w:ascii="Times New Roman" w:hAnsi="Times New Roman" w:cs="Times New Roman"/>
        </w:rPr>
        <w:t>”</w:t>
      </w:r>
    </w:p>
  </w:footnote>
  <w:footnote w:id="2">
    <w:p w:rsidR="005F4402" w:rsidRPr="003A4085" w:rsidRDefault="005F4402" w:rsidP="00BD2D59">
      <w:pPr>
        <w:pStyle w:val="FootnoteText"/>
        <w:rPr>
          <w:rFonts w:ascii="Times New Roman" w:hAnsi="Times New Roman" w:cs="Times New Roman"/>
          <w:sz w:val="18"/>
          <w:szCs w:val="18"/>
        </w:rPr>
      </w:pPr>
      <w:r>
        <w:rPr>
          <w:rStyle w:val="FootnoteReference"/>
        </w:rPr>
        <w:footnoteRef/>
      </w:r>
      <w:r>
        <w:t xml:space="preserve">  </w:t>
      </w:r>
      <w:proofErr w:type="spellStart"/>
      <w:r w:rsidRPr="003A4085">
        <w:rPr>
          <w:rFonts w:ascii="Times New Roman" w:hAnsi="Times New Roman" w:cs="Times New Roman"/>
          <w:i/>
          <w:iCs/>
          <w:sz w:val="18"/>
          <w:szCs w:val="18"/>
        </w:rPr>
        <w:t>Iannocchino</w:t>
      </w:r>
      <w:proofErr w:type="spellEnd"/>
      <w:r w:rsidRPr="003A4085">
        <w:rPr>
          <w:rFonts w:ascii="Times New Roman" w:hAnsi="Times New Roman" w:cs="Times New Roman"/>
          <w:i/>
          <w:iCs/>
          <w:sz w:val="18"/>
          <w:szCs w:val="18"/>
        </w:rPr>
        <w:t xml:space="preserve"> v. Ford Motor Co.</w:t>
      </w:r>
      <w:r w:rsidRPr="003A4085">
        <w:rPr>
          <w:rFonts w:ascii="Times New Roman" w:hAnsi="Times New Roman" w:cs="Times New Roman"/>
          <w:sz w:val="18"/>
          <w:szCs w:val="18"/>
        </w:rPr>
        <w:t>, 451 Mass. 623, 636 (2008) (quoting </w:t>
      </w:r>
      <w:r w:rsidRPr="003A4085">
        <w:rPr>
          <w:rFonts w:ascii="Times New Roman" w:hAnsi="Times New Roman" w:cs="Times New Roman"/>
          <w:i/>
          <w:iCs/>
          <w:sz w:val="18"/>
          <w:szCs w:val="18"/>
        </w:rPr>
        <w:t xml:space="preserve">Bell Atl. Corp. v. </w:t>
      </w:r>
      <w:proofErr w:type="spellStart"/>
      <w:r w:rsidRPr="003A4085">
        <w:rPr>
          <w:rFonts w:ascii="Times New Roman" w:hAnsi="Times New Roman" w:cs="Times New Roman"/>
          <w:i/>
          <w:iCs/>
          <w:sz w:val="18"/>
          <w:szCs w:val="18"/>
        </w:rPr>
        <w:t>Twombly</w:t>
      </w:r>
      <w:proofErr w:type="spellEnd"/>
      <w:r w:rsidRPr="003A4085">
        <w:rPr>
          <w:rFonts w:ascii="Times New Roman" w:hAnsi="Times New Roman" w:cs="Times New Roman"/>
          <w:sz w:val="18"/>
          <w:szCs w:val="18"/>
        </w:rPr>
        <w:t>, 550 U.S. 544, 557 (2007)).</w:t>
      </w:r>
    </w:p>
  </w:footnote>
  <w:footnote w:id="3">
    <w:p w:rsidR="005F4402" w:rsidRPr="003A4085" w:rsidRDefault="005F4402" w:rsidP="00BD2D59">
      <w:pPr>
        <w:pStyle w:val="FootnoteText"/>
        <w:rPr>
          <w:rFonts w:ascii="Times New Roman" w:hAnsi="Times New Roman" w:cs="Times New Roman"/>
          <w:sz w:val="18"/>
          <w:szCs w:val="18"/>
        </w:rPr>
      </w:pPr>
      <w:r w:rsidRPr="003A4085">
        <w:rPr>
          <w:rStyle w:val="FootnoteReference"/>
          <w:rFonts w:ascii="Times New Roman" w:hAnsi="Times New Roman" w:cs="Times New Roman"/>
          <w:sz w:val="18"/>
          <w:szCs w:val="18"/>
        </w:rPr>
        <w:footnoteRef/>
      </w:r>
      <w:r w:rsidRPr="003A408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Pr="003A4085">
        <w:rPr>
          <w:rFonts w:ascii="Times New Roman" w:hAnsi="Times New Roman" w:cs="Times New Roman"/>
          <w:i/>
          <w:iCs/>
          <w:sz w:val="18"/>
          <w:szCs w:val="18"/>
        </w:rPr>
        <w:t>Blank v. Chelmsford Ob/</w:t>
      </w:r>
      <w:proofErr w:type="spellStart"/>
      <w:r w:rsidRPr="003A4085">
        <w:rPr>
          <w:rFonts w:ascii="Times New Roman" w:hAnsi="Times New Roman" w:cs="Times New Roman"/>
          <w:i/>
          <w:iCs/>
          <w:sz w:val="18"/>
          <w:szCs w:val="18"/>
        </w:rPr>
        <w:t>Gyn</w:t>
      </w:r>
      <w:proofErr w:type="spellEnd"/>
      <w:r w:rsidRPr="003A4085">
        <w:rPr>
          <w:rFonts w:ascii="Times New Roman" w:hAnsi="Times New Roman" w:cs="Times New Roman"/>
          <w:i/>
          <w:iCs/>
          <w:sz w:val="18"/>
          <w:szCs w:val="18"/>
        </w:rPr>
        <w:t>, P.C.</w:t>
      </w:r>
      <w:r w:rsidRPr="003A4085">
        <w:rPr>
          <w:rFonts w:ascii="Times New Roman" w:hAnsi="Times New Roman" w:cs="Times New Roman"/>
          <w:sz w:val="18"/>
          <w:szCs w:val="18"/>
        </w:rPr>
        <w:t xml:space="preserve">, </w:t>
      </w:r>
      <w:r>
        <w:rPr>
          <w:rFonts w:ascii="Times New Roman" w:hAnsi="Times New Roman" w:cs="Times New Roman"/>
          <w:sz w:val="18"/>
          <w:szCs w:val="18"/>
        </w:rPr>
        <w:t xml:space="preserve">420 Mass. 404, </w:t>
      </w:r>
      <w:r w:rsidRPr="003A4085">
        <w:rPr>
          <w:rFonts w:ascii="Times New Roman" w:hAnsi="Times New Roman" w:cs="Times New Roman"/>
          <w:sz w:val="18"/>
          <w:szCs w:val="18"/>
        </w:rPr>
        <w:t>407 (1995).</w:t>
      </w:r>
      <w:proofErr w:type="gramEnd"/>
    </w:p>
  </w:footnote>
  <w:footnote w:id="4">
    <w:p w:rsidR="005F4402" w:rsidRDefault="005F4402" w:rsidP="00BD2D59">
      <w:pPr>
        <w:pStyle w:val="FootnoteText"/>
      </w:pPr>
      <w:r w:rsidRPr="003A4085">
        <w:rPr>
          <w:rStyle w:val="FootnoteReference"/>
          <w:rFonts w:ascii="Times New Roman" w:hAnsi="Times New Roman" w:cs="Times New Roman"/>
          <w:sz w:val="18"/>
          <w:szCs w:val="18"/>
        </w:rPr>
        <w:footnoteRef/>
      </w:r>
      <w:r w:rsidRPr="003A4085">
        <w:rPr>
          <w:rFonts w:ascii="Times New Roman" w:hAnsi="Times New Roman" w:cs="Times New Roman"/>
          <w:sz w:val="18"/>
          <w:szCs w:val="18"/>
        </w:rPr>
        <w:t xml:space="preserve"> </w:t>
      </w:r>
      <w:proofErr w:type="gramStart"/>
      <w:r w:rsidRPr="003A4085">
        <w:rPr>
          <w:rFonts w:ascii="Times New Roman" w:hAnsi="Times New Roman" w:cs="Times New Roman"/>
          <w:i/>
          <w:iCs/>
          <w:sz w:val="18"/>
          <w:szCs w:val="18"/>
        </w:rPr>
        <w:t xml:space="preserve">Golchin v. Liberty </w:t>
      </w:r>
      <w:proofErr w:type="spellStart"/>
      <w:r w:rsidRPr="003A4085">
        <w:rPr>
          <w:rFonts w:ascii="Times New Roman" w:hAnsi="Times New Roman" w:cs="Times New Roman"/>
          <w:i/>
          <w:iCs/>
          <w:sz w:val="18"/>
          <w:szCs w:val="18"/>
        </w:rPr>
        <w:t>Mut</w:t>
      </w:r>
      <w:proofErr w:type="spellEnd"/>
      <w:r w:rsidRPr="003A4085">
        <w:rPr>
          <w:rFonts w:ascii="Times New Roman" w:hAnsi="Times New Roman" w:cs="Times New Roman"/>
          <w:i/>
          <w:iCs/>
          <w:sz w:val="18"/>
          <w:szCs w:val="18"/>
        </w:rPr>
        <w:t>.</w:t>
      </w:r>
      <w:proofErr w:type="gramEnd"/>
      <w:r w:rsidRPr="003A4085">
        <w:rPr>
          <w:rFonts w:ascii="Times New Roman" w:hAnsi="Times New Roman" w:cs="Times New Roman"/>
          <w:i/>
          <w:iCs/>
          <w:sz w:val="18"/>
          <w:szCs w:val="18"/>
        </w:rPr>
        <w:t xml:space="preserve"> </w:t>
      </w:r>
      <w:proofErr w:type="gramStart"/>
      <w:r w:rsidRPr="003A4085">
        <w:rPr>
          <w:rFonts w:ascii="Times New Roman" w:hAnsi="Times New Roman" w:cs="Times New Roman"/>
          <w:i/>
          <w:iCs/>
          <w:sz w:val="18"/>
          <w:szCs w:val="18"/>
        </w:rPr>
        <w:t>Ins. Co.</w:t>
      </w:r>
      <w:r w:rsidRPr="003A4085">
        <w:rPr>
          <w:rFonts w:ascii="Times New Roman" w:hAnsi="Times New Roman" w:cs="Times New Roman"/>
          <w:sz w:val="18"/>
          <w:szCs w:val="18"/>
        </w:rPr>
        <w:t xml:space="preserve">, </w:t>
      </w:r>
      <w:r>
        <w:rPr>
          <w:rFonts w:ascii="Times New Roman" w:hAnsi="Times New Roman" w:cs="Times New Roman"/>
          <w:sz w:val="18"/>
          <w:szCs w:val="18"/>
        </w:rPr>
        <w:t xml:space="preserve">460 Mass. 222, </w:t>
      </w:r>
      <w:r w:rsidRPr="003A4085">
        <w:rPr>
          <w:rFonts w:ascii="Times New Roman" w:hAnsi="Times New Roman" w:cs="Times New Roman"/>
          <w:sz w:val="18"/>
          <w:szCs w:val="18"/>
        </w:rPr>
        <w:t>223 (2011) (internal quotation marks and citations omitted).</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A61"/>
    <w:multiLevelType w:val="hybridMultilevel"/>
    <w:tmpl w:val="A6BA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59"/>
    <w:rsid w:val="00013529"/>
    <w:rsid w:val="000D344E"/>
    <w:rsid w:val="001211DA"/>
    <w:rsid w:val="001D5992"/>
    <w:rsid w:val="00252641"/>
    <w:rsid w:val="0032137B"/>
    <w:rsid w:val="003A17A7"/>
    <w:rsid w:val="003E302E"/>
    <w:rsid w:val="00541686"/>
    <w:rsid w:val="0059077D"/>
    <w:rsid w:val="005F4402"/>
    <w:rsid w:val="006860FD"/>
    <w:rsid w:val="006B4930"/>
    <w:rsid w:val="00730570"/>
    <w:rsid w:val="007410E4"/>
    <w:rsid w:val="0074237E"/>
    <w:rsid w:val="007D0284"/>
    <w:rsid w:val="007D1A6D"/>
    <w:rsid w:val="008459E5"/>
    <w:rsid w:val="00887537"/>
    <w:rsid w:val="00935C47"/>
    <w:rsid w:val="00944483"/>
    <w:rsid w:val="00AC77FF"/>
    <w:rsid w:val="00B23CDA"/>
    <w:rsid w:val="00BD2D59"/>
    <w:rsid w:val="00C77885"/>
    <w:rsid w:val="00FE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2D59"/>
    <w:rPr>
      <w:sz w:val="20"/>
      <w:szCs w:val="20"/>
    </w:rPr>
  </w:style>
  <w:style w:type="character" w:customStyle="1" w:styleId="FootnoteTextChar">
    <w:name w:val="Footnote Text Char"/>
    <w:basedOn w:val="DefaultParagraphFont"/>
    <w:link w:val="FootnoteText"/>
    <w:uiPriority w:val="99"/>
    <w:semiHidden/>
    <w:rsid w:val="00BD2D59"/>
    <w:rPr>
      <w:sz w:val="20"/>
      <w:szCs w:val="20"/>
    </w:rPr>
  </w:style>
  <w:style w:type="character" w:styleId="FootnoteReference">
    <w:name w:val="footnote reference"/>
    <w:basedOn w:val="DefaultParagraphFont"/>
    <w:semiHidden/>
    <w:unhideWhenUsed/>
    <w:rsid w:val="00BD2D59"/>
    <w:rPr>
      <w:vertAlign w:val="superscript"/>
    </w:rPr>
  </w:style>
  <w:style w:type="paragraph" w:styleId="ListParagraph">
    <w:name w:val="List Paragraph"/>
    <w:basedOn w:val="Normal"/>
    <w:uiPriority w:val="34"/>
    <w:qFormat/>
    <w:rsid w:val="00BD2D59"/>
    <w:pPr>
      <w:ind w:left="720"/>
      <w:contextualSpacing/>
    </w:pPr>
  </w:style>
  <w:style w:type="paragraph" w:styleId="Footer">
    <w:name w:val="footer"/>
    <w:basedOn w:val="Normal"/>
    <w:link w:val="FooterChar"/>
    <w:uiPriority w:val="99"/>
    <w:unhideWhenUsed/>
    <w:rsid w:val="00BD2D59"/>
    <w:pPr>
      <w:tabs>
        <w:tab w:val="center" w:pos="4680"/>
        <w:tab w:val="right" w:pos="9360"/>
      </w:tabs>
    </w:pPr>
  </w:style>
  <w:style w:type="character" w:customStyle="1" w:styleId="FooterChar">
    <w:name w:val="Footer Char"/>
    <w:basedOn w:val="DefaultParagraphFont"/>
    <w:link w:val="Footer"/>
    <w:uiPriority w:val="99"/>
    <w:rsid w:val="00BD2D59"/>
  </w:style>
  <w:style w:type="paragraph" w:styleId="BalloonText">
    <w:name w:val="Balloon Text"/>
    <w:basedOn w:val="Normal"/>
    <w:link w:val="BalloonTextChar"/>
    <w:uiPriority w:val="99"/>
    <w:semiHidden/>
    <w:unhideWhenUsed/>
    <w:rsid w:val="008459E5"/>
    <w:rPr>
      <w:rFonts w:ascii="Tahoma" w:hAnsi="Tahoma" w:cs="Tahoma"/>
      <w:sz w:val="16"/>
      <w:szCs w:val="16"/>
    </w:rPr>
  </w:style>
  <w:style w:type="character" w:customStyle="1" w:styleId="BalloonTextChar">
    <w:name w:val="Balloon Text Char"/>
    <w:basedOn w:val="DefaultParagraphFont"/>
    <w:link w:val="BalloonText"/>
    <w:uiPriority w:val="99"/>
    <w:semiHidden/>
    <w:rsid w:val="00845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2D59"/>
    <w:rPr>
      <w:sz w:val="20"/>
      <w:szCs w:val="20"/>
    </w:rPr>
  </w:style>
  <w:style w:type="character" w:customStyle="1" w:styleId="FootnoteTextChar">
    <w:name w:val="Footnote Text Char"/>
    <w:basedOn w:val="DefaultParagraphFont"/>
    <w:link w:val="FootnoteText"/>
    <w:uiPriority w:val="99"/>
    <w:semiHidden/>
    <w:rsid w:val="00BD2D59"/>
    <w:rPr>
      <w:sz w:val="20"/>
      <w:szCs w:val="20"/>
    </w:rPr>
  </w:style>
  <w:style w:type="character" w:styleId="FootnoteReference">
    <w:name w:val="footnote reference"/>
    <w:basedOn w:val="DefaultParagraphFont"/>
    <w:semiHidden/>
    <w:unhideWhenUsed/>
    <w:rsid w:val="00BD2D59"/>
    <w:rPr>
      <w:vertAlign w:val="superscript"/>
    </w:rPr>
  </w:style>
  <w:style w:type="paragraph" w:styleId="ListParagraph">
    <w:name w:val="List Paragraph"/>
    <w:basedOn w:val="Normal"/>
    <w:uiPriority w:val="34"/>
    <w:qFormat/>
    <w:rsid w:val="00BD2D59"/>
    <w:pPr>
      <w:ind w:left="720"/>
      <w:contextualSpacing/>
    </w:pPr>
  </w:style>
  <w:style w:type="paragraph" w:styleId="Footer">
    <w:name w:val="footer"/>
    <w:basedOn w:val="Normal"/>
    <w:link w:val="FooterChar"/>
    <w:uiPriority w:val="99"/>
    <w:unhideWhenUsed/>
    <w:rsid w:val="00BD2D59"/>
    <w:pPr>
      <w:tabs>
        <w:tab w:val="center" w:pos="4680"/>
        <w:tab w:val="right" w:pos="9360"/>
      </w:tabs>
    </w:pPr>
  </w:style>
  <w:style w:type="character" w:customStyle="1" w:styleId="FooterChar">
    <w:name w:val="Footer Char"/>
    <w:basedOn w:val="DefaultParagraphFont"/>
    <w:link w:val="Footer"/>
    <w:uiPriority w:val="99"/>
    <w:rsid w:val="00BD2D59"/>
  </w:style>
  <w:style w:type="paragraph" w:styleId="BalloonText">
    <w:name w:val="Balloon Text"/>
    <w:basedOn w:val="Normal"/>
    <w:link w:val="BalloonTextChar"/>
    <w:uiPriority w:val="99"/>
    <w:semiHidden/>
    <w:unhideWhenUsed/>
    <w:rsid w:val="008459E5"/>
    <w:rPr>
      <w:rFonts w:ascii="Tahoma" w:hAnsi="Tahoma" w:cs="Tahoma"/>
      <w:sz w:val="16"/>
      <w:szCs w:val="16"/>
    </w:rPr>
  </w:style>
  <w:style w:type="character" w:customStyle="1" w:styleId="BalloonTextChar">
    <w:name w:val="Balloon Text Char"/>
    <w:basedOn w:val="DefaultParagraphFont"/>
    <w:link w:val="BalloonText"/>
    <w:uiPriority w:val="99"/>
    <w:semiHidden/>
    <w:rsid w:val="00845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2019-07-29T17:15:00Z</cp:lastPrinted>
  <dcterms:created xsi:type="dcterms:W3CDTF">2019-07-30T12:48:00Z</dcterms:created>
  <dcterms:modified xsi:type="dcterms:W3CDTF">2019-07-30T12:48:00Z</dcterms:modified>
</cp:coreProperties>
</file>