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5D5" w:rsidRPr="0030549C" w:rsidRDefault="00B135D5" w:rsidP="00D33C5B">
      <w:pPr>
        <w:spacing w:after="0" w:line="240" w:lineRule="auto"/>
        <w:rPr>
          <w:rFonts w:ascii="Arial" w:eastAsia="Times New Roman" w:hAnsi="Arial" w:cs="Arial"/>
          <w:sz w:val="24"/>
          <w:szCs w:val="24"/>
        </w:rPr>
      </w:pPr>
      <w:bookmarkStart w:id="0" w:name="_GoBack"/>
      <w:bookmarkEnd w:id="0"/>
    </w:p>
    <w:p w:rsidR="0030549C" w:rsidRPr="00B135D5" w:rsidRDefault="00B135D5" w:rsidP="00DE377F">
      <w:pPr>
        <w:spacing w:after="0" w:line="240" w:lineRule="auto"/>
        <w:jc w:val="center"/>
        <w:rPr>
          <w:rFonts w:ascii="Arial" w:hAnsi="Arial" w:cs="Arial"/>
          <w:b/>
          <w:sz w:val="24"/>
        </w:rPr>
      </w:pPr>
      <w:r w:rsidRPr="00B135D5">
        <w:rPr>
          <w:rFonts w:ascii="Arial" w:hAnsi="Arial" w:cs="Arial"/>
          <w:b/>
          <w:sz w:val="24"/>
        </w:rPr>
        <w:t>COMMONWEALTH OF MASSACHUSETTS</w:t>
      </w:r>
    </w:p>
    <w:p w:rsidR="00B135D5" w:rsidRDefault="00B135D5" w:rsidP="00B135D5">
      <w:pPr>
        <w:spacing w:after="0" w:line="240" w:lineRule="auto"/>
        <w:jc w:val="center"/>
        <w:rPr>
          <w:rFonts w:ascii="Arial" w:hAnsi="Arial" w:cs="Arial"/>
          <w:b/>
          <w:sz w:val="24"/>
        </w:rPr>
      </w:pPr>
      <w:r w:rsidRPr="00B135D5">
        <w:rPr>
          <w:rFonts w:ascii="Arial" w:hAnsi="Arial" w:cs="Arial"/>
          <w:b/>
          <w:sz w:val="24"/>
        </w:rPr>
        <w:t>DIVISION OF ADMINISTRATIVE LAW APPEALS</w:t>
      </w:r>
    </w:p>
    <w:p w:rsidR="0030549C" w:rsidRPr="00B135D5" w:rsidRDefault="0030549C" w:rsidP="00B135D5">
      <w:pPr>
        <w:spacing w:after="0" w:line="240" w:lineRule="auto"/>
        <w:jc w:val="center"/>
        <w:rPr>
          <w:rFonts w:ascii="Arial" w:hAnsi="Arial" w:cs="Arial"/>
          <w:b/>
          <w:sz w:val="24"/>
        </w:rPr>
      </w:pPr>
    </w:p>
    <w:p w:rsidR="00B135D5" w:rsidRPr="00B135D5" w:rsidRDefault="00C3669E" w:rsidP="00B135D5">
      <w:pPr>
        <w:spacing w:after="0" w:line="240" w:lineRule="auto"/>
        <w:jc w:val="center"/>
        <w:rPr>
          <w:rFonts w:ascii="Arial" w:hAnsi="Arial" w:cs="Arial"/>
          <w:b/>
          <w:sz w:val="24"/>
        </w:rPr>
      </w:pPr>
      <w:r>
        <w:rPr>
          <w:rFonts w:ascii="Arial" w:hAnsi="Arial" w:cs="Arial"/>
          <w:b/>
          <w:sz w:val="24"/>
        </w:rPr>
        <w:t xml:space="preserve">BUREAU OF </w:t>
      </w:r>
      <w:r w:rsidR="00B135D5" w:rsidRPr="00B135D5">
        <w:rPr>
          <w:rFonts w:ascii="Arial" w:hAnsi="Arial" w:cs="Arial"/>
          <w:b/>
          <w:sz w:val="24"/>
        </w:rPr>
        <w:t>SPECIAL EDUCATION APPEALS</w:t>
      </w:r>
    </w:p>
    <w:p w:rsidR="00C35643" w:rsidRDefault="00C35643" w:rsidP="0030549C">
      <w:pPr>
        <w:spacing w:after="0" w:line="240" w:lineRule="auto"/>
        <w:rPr>
          <w:rFonts w:ascii="Arial" w:hAnsi="Arial" w:cs="Arial"/>
          <w:sz w:val="24"/>
        </w:rPr>
      </w:pPr>
    </w:p>
    <w:p w:rsidR="00C3669E" w:rsidRDefault="00B135D5" w:rsidP="0030549C">
      <w:pPr>
        <w:spacing w:after="0" w:line="240" w:lineRule="auto"/>
        <w:rPr>
          <w:rFonts w:ascii="Arial" w:hAnsi="Arial" w:cs="Arial"/>
          <w:sz w:val="24"/>
        </w:rPr>
      </w:pPr>
      <w:r w:rsidRPr="00B135D5">
        <w:rPr>
          <w:rFonts w:ascii="Arial" w:hAnsi="Arial" w:cs="Arial"/>
          <w:sz w:val="24"/>
        </w:rPr>
        <w:t xml:space="preserve"> </w:t>
      </w:r>
      <w:r w:rsidR="0030549C">
        <w:rPr>
          <w:rFonts w:ascii="Arial" w:hAnsi="Arial" w:cs="Arial"/>
          <w:sz w:val="24"/>
        </w:rPr>
        <w:tab/>
      </w:r>
      <w:r w:rsidR="0030549C">
        <w:rPr>
          <w:rFonts w:ascii="Arial" w:hAnsi="Arial" w:cs="Arial"/>
          <w:sz w:val="24"/>
        </w:rPr>
        <w:tab/>
        <w:t xml:space="preserve">            </w:t>
      </w:r>
    </w:p>
    <w:p w:rsidR="0030549C" w:rsidRPr="00B135D5" w:rsidRDefault="00C3669E" w:rsidP="00C3669E">
      <w:pPr>
        <w:spacing w:after="0" w:line="240" w:lineRule="auto"/>
        <w:rPr>
          <w:rFonts w:ascii="Arial" w:hAnsi="Arial" w:cs="Arial"/>
          <w:sz w:val="24"/>
        </w:rPr>
      </w:pPr>
      <w:r w:rsidRPr="00C3669E">
        <w:rPr>
          <w:rFonts w:ascii="Arial" w:hAnsi="Arial" w:cs="Arial"/>
          <w:b/>
          <w:sz w:val="24"/>
        </w:rPr>
        <w:t xml:space="preserve">In Re: </w:t>
      </w:r>
      <w:r w:rsidR="003D47A2">
        <w:rPr>
          <w:rFonts w:ascii="Arial" w:hAnsi="Arial" w:cs="Arial"/>
          <w:b/>
          <w:sz w:val="24"/>
        </w:rPr>
        <w:t>Lincoln Public Schools</w:t>
      </w:r>
      <w:r w:rsidR="001C7894">
        <w:rPr>
          <w:rFonts w:ascii="Arial" w:hAnsi="Arial" w:cs="Arial"/>
          <w:b/>
          <w:sz w:val="24"/>
        </w:rPr>
        <w:tab/>
      </w:r>
      <w:r w:rsidR="001C7894">
        <w:rPr>
          <w:rFonts w:ascii="Arial" w:hAnsi="Arial" w:cs="Arial"/>
          <w:b/>
          <w:sz w:val="24"/>
        </w:rPr>
        <w:tab/>
      </w:r>
      <w:r>
        <w:rPr>
          <w:rFonts w:ascii="Arial" w:hAnsi="Arial" w:cs="Arial"/>
          <w:sz w:val="24"/>
        </w:rPr>
        <w:tab/>
      </w:r>
      <w:r w:rsidR="0030549C">
        <w:rPr>
          <w:rFonts w:ascii="Arial" w:hAnsi="Arial" w:cs="Arial"/>
          <w:sz w:val="24"/>
        </w:rPr>
        <w:t xml:space="preserve"> </w:t>
      </w:r>
      <w:r w:rsidR="003D47A2">
        <w:rPr>
          <w:rFonts w:ascii="Arial" w:hAnsi="Arial" w:cs="Arial"/>
          <w:sz w:val="24"/>
        </w:rPr>
        <w:tab/>
      </w:r>
      <w:r w:rsidR="0030549C" w:rsidRPr="00B135D5">
        <w:rPr>
          <w:rFonts w:ascii="Arial" w:hAnsi="Arial" w:cs="Arial"/>
          <w:b/>
          <w:sz w:val="24"/>
        </w:rPr>
        <w:t xml:space="preserve">BSEA </w:t>
      </w:r>
      <w:r>
        <w:rPr>
          <w:rFonts w:ascii="Arial" w:hAnsi="Arial" w:cs="Arial"/>
          <w:b/>
          <w:sz w:val="24"/>
        </w:rPr>
        <w:t>#</w:t>
      </w:r>
      <w:r w:rsidR="003D47A2">
        <w:rPr>
          <w:rFonts w:ascii="Arial" w:hAnsi="Arial" w:cs="Arial"/>
          <w:b/>
          <w:sz w:val="24"/>
        </w:rPr>
        <w:t>2007623</w:t>
      </w:r>
    </w:p>
    <w:p w:rsidR="00B135D5" w:rsidRPr="00B135D5" w:rsidRDefault="00B135D5" w:rsidP="00B135D5">
      <w:pPr>
        <w:spacing w:after="0" w:line="240" w:lineRule="auto"/>
        <w:rPr>
          <w:rFonts w:ascii="Arial" w:hAnsi="Arial" w:cs="Arial"/>
          <w:sz w:val="24"/>
        </w:rPr>
      </w:pPr>
    </w:p>
    <w:p w:rsidR="00B135D5" w:rsidRPr="00B135D5" w:rsidRDefault="00B135D5" w:rsidP="00B135D5">
      <w:pPr>
        <w:spacing w:after="0" w:line="240" w:lineRule="auto"/>
        <w:rPr>
          <w:rFonts w:ascii="Arial" w:hAnsi="Arial" w:cs="Arial"/>
          <w:sz w:val="24"/>
        </w:rPr>
      </w:pPr>
    </w:p>
    <w:p w:rsidR="00E31545" w:rsidRPr="00E31545" w:rsidRDefault="001C7894" w:rsidP="00E31545">
      <w:pPr>
        <w:spacing w:after="0" w:line="240" w:lineRule="auto"/>
        <w:jc w:val="center"/>
        <w:rPr>
          <w:rFonts w:ascii="Arial" w:hAnsi="Arial" w:cs="Arial"/>
          <w:b/>
          <w:sz w:val="24"/>
          <w:u w:val="single"/>
        </w:rPr>
      </w:pPr>
      <w:r>
        <w:rPr>
          <w:rFonts w:ascii="Arial" w:hAnsi="Arial" w:cs="Arial"/>
          <w:b/>
          <w:sz w:val="24"/>
          <w:u w:val="single"/>
        </w:rPr>
        <w:t>RULING ON</w:t>
      </w:r>
      <w:r w:rsidR="0030549C" w:rsidRPr="0030549C">
        <w:rPr>
          <w:rFonts w:ascii="Arial" w:hAnsi="Arial" w:cs="Arial"/>
          <w:b/>
          <w:sz w:val="24"/>
          <w:u w:val="single"/>
        </w:rPr>
        <w:t xml:space="preserve"> MOTION</w:t>
      </w:r>
      <w:r w:rsidR="00E11697">
        <w:rPr>
          <w:rFonts w:ascii="Arial" w:hAnsi="Arial" w:cs="Arial"/>
          <w:b/>
          <w:sz w:val="24"/>
          <w:u w:val="single"/>
        </w:rPr>
        <w:t xml:space="preserve">S </w:t>
      </w:r>
      <w:r w:rsidR="0030549C" w:rsidRPr="0030549C">
        <w:rPr>
          <w:rFonts w:ascii="Arial" w:hAnsi="Arial" w:cs="Arial"/>
          <w:b/>
          <w:sz w:val="24"/>
          <w:u w:val="single"/>
        </w:rPr>
        <w:t>TO DISMISS</w:t>
      </w:r>
      <w:r>
        <w:rPr>
          <w:rFonts w:ascii="Arial" w:hAnsi="Arial" w:cs="Arial"/>
          <w:b/>
          <w:sz w:val="24"/>
          <w:u w:val="single"/>
        </w:rPr>
        <w:t xml:space="preserve"> </w:t>
      </w:r>
      <w:r w:rsidR="00E11697">
        <w:rPr>
          <w:rFonts w:ascii="Arial" w:hAnsi="Arial" w:cs="Arial"/>
          <w:b/>
          <w:sz w:val="24"/>
          <w:u w:val="single"/>
        </w:rPr>
        <w:t>AND FOR SUMMARY JUDGMENT</w:t>
      </w:r>
      <w:r w:rsidR="003D47A2">
        <w:rPr>
          <w:rFonts w:ascii="Arial" w:hAnsi="Arial" w:cs="Arial"/>
          <w:b/>
          <w:sz w:val="24"/>
          <w:u w:val="single"/>
        </w:rPr>
        <w:t xml:space="preserve"> OF LINCOLN</w:t>
      </w:r>
      <w:r>
        <w:rPr>
          <w:rFonts w:ascii="Arial" w:hAnsi="Arial" w:cs="Arial"/>
          <w:b/>
          <w:sz w:val="24"/>
          <w:u w:val="single"/>
        </w:rPr>
        <w:t xml:space="preserve"> PUBLIC SCHOOLS</w:t>
      </w:r>
    </w:p>
    <w:p w:rsidR="00E31545" w:rsidRDefault="00E31545" w:rsidP="002E66DB">
      <w:pPr>
        <w:spacing w:after="0" w:line="240" w:lineRule="auto"/>
        <w:ind w:firstLine="720"/>
        <w:rPr>
          <w:rFonts w:ascii="Arial" w:hAnsi="Arial" w:cs="Arial"/>
          <w:sz w:val="24"/>
          <w:szCs w:val="24"/>
        </w:rPr>
      </w:pPr>
    </w:p>
    <w:p w:rsidR="00DC41EB" w:rsidRDefault="00616048" w:rsidP="003D47A2">
      <w:pPr>
        <w:spacing w:after="0" w:line="240" w:lineRule="auto"/>
        <w:ind w:firstLine="720"/>
        <w:rPr>
          <w:rFonts w:ascii="Arial" w:hAnsi="Arial" w:cs="Arial"/>
          <w:sz w:val="24"/>
          <w:szCs w:val="24"/>
        </w:rPr>
      </w:pPr>
      <w:r w:rsidRPr="00EC083C">
        <w:rPr>
          <w:rFonts w:ascii="Arial" w:hAnsi="Arial" w:cs="Arial"/>
          <w:sz w:val="24"/>
          <w:szCs w:val="24"/>
        </w:rPr>
        <w:t xml:space="preserve">On </w:t>
      </w:r>
      <w:r w:rsidR="003D47A2">
        <w:rPr>
          <w:rFonts w:ascii="Arial" w:hAnsi="Arial" w:cs="Arial"/>
          <w:sz w:val="24"/>
          <w:szCs w:val="24"/>
        </w:rPr>
        <w:t>February 14</w:t>
      </w:r>
      <w:r w:rsidR="003640ED">
        <w:rPr>
          <w:rFonts w:ascii="Arial" w:hAnsi="Arial" w:cs="Arial"/>
          <w:sz w:val="24"/>
          <w:szCs w:val="24"/>
        </w:rPr>
        <w:t>, 2020</w:t>
      </w:r>
      <w:r>
        <w:rPr>
          <w:rFonts w:ascii="Arial" w:hAnsi="Arial" w:cs="Arial"/>
          <w:sz w:val="24"/>
          <w:szCs w:val="24"/>
        </w:rPr>
        <w:t xml:space="preserve">, </w:t>
      </w:r>
      <w:r w:rsidRPr="00EC083C">
        <w:rPr>
          <w:rFonts w:ascii="Arial" w:hAnsi="Arial" w:cs="Arial"/>
          <w:sz w:val="24"/>
          <w:szCs w:val="24"/>
        </w:rPr>
        <w:t>Parent</w:t>
      </w:r>
      <w:r w:rsidR="00EF11E3">
        <w:rPr>
          <w:rFonts w:ascii="Arial" w:hAnsi="Arial" w:cs="Arial"/>
          <w:sz w:val="24"/>
          <w:szCs w:val="24"/>
        </w:rPr>
        <w:t>s</w:t>
      </w:r>
      <w:r w:rsidRPr="00EC083C">
        <w:rPr>
          <w:rFonts w:ascii="Arial" w:hAnsi="Arial" w:cs="Arial"/>
          <w:sz w:val="24"/>
          <w:szCs w:val="24"/>
        </w:rPr>
        <w:t xml:space="preserve"> filed a request for hearing </w:t>
      </w:r>
      <w:r>
        <w:rPr>
          <w:rFonts w:ascii="Arial" w:hAnsi="Arial" w:cs="Arial"/>
          <w:sz w:val="24"/>
          <w:szCs w:val="24"/>
        </w:rPr>
        <w:t>with the Bureau of S</w:t>
      </w:r>
      <w:r w:rsidR="00E11697">
        <w:rPr>
          <w:rFonts w:ascii="Arial" w:hAnsi="Arial" w:cs="Arial"/>
          <w:sz w:val="24"/>
          <w:szCs w:val="24"/>
        </w:rPr>
        <w:t>pecial Education Appeals (BSEA) which alleges that Student’s current placement at the Carroll School (Carroll) in Waltham, MA is appropriate, and that the Lincoln Public Schools’ (Lincoln or LPS) proposed placement at the Landmark School would not provide Student with a free, appropriate public education (FAPE).</w:t>
      </w:r>
    </w:p>
    <w:p w:rsidR="00DC41EB" w:rsidRDefault="00DC41EB" w:rsidP="003D47A2">
      <w:pPr>
        <w:spacing w:after="0" w:line="240" w:lineRule="auto"/>
        <w:ind w:firstLine="720"/>
        <w:rPr>
          <w:rFonts w:ascii="Arial" w:hAnsi="Arial" w:cs="Arial"/>
          <w:sz w:val="24"/>
          <w:szCs w:val="24"/>
        </w:rPr>
      </w:pPr>
    </w:p>
    <w:p w:rsidR="00242D3B" w:rsidRDefault="00E11697" w:rsidP="003D47A2">
      <w:pPr>
        <w:spacing w:after="0" w:line="240" w:lineRule="auto"/>
        <w:ind w:firstLine="720"/>
        <w:rPr>
          <w:rFonts w:ascii="Arial" w:eastAsia="Times New Roman" w:hAnsi="Arial" w:cs="Arial"/>
          <w:sz w:val="24"/>
          <w:szCs w:val="24"/>
        </w:rPr>
      </w:pPr>
      <w:r>
        <w:rPr>
          <w:rFonts w:ascii="Arial" w:hAnsi="Arial" w:cs="Arial"/>
          <w:sz w:val="24"/>
          <w:szCs w:val="24"/>
        </w:rPr>
        <w:t xml:space="preserve"> Parents further allege that Lincoln’s proposal to change Student’s placement is motivated by the inability of LPS and Carroll, which is not a DESE-approved p</w:t>
      </w:r>
      <w:r w:rsidR="00F61FC8">
        <w:rPr>
          <w:rFonts w:ascii="Arial" w:hAnsi="Arial" w:cs="Arial"/>
          <w:sz w:val="24"/>
          <w:szCs w:val="24"/>
        </w:rPr>
        <w:t>rivate special education school</w:t>
      </w:r>
      <w:r>
        <w:rPr>
          <w:rFonts w:ascii="Arial" w:hAnsi="Arial" w:cs="Arial"/>
          <w:sz w:val="24"/>
          <w:szCs w:val="24"/>
        </w:rPr>
        <w:t>, to negotiate the agreement(s) necessary to allow Lincoln to fund Student’</w:t>
      </w:r>
      <w:r w:rsidR="00F61FC8">
        <w:rPr>
          <w:rFonts w:ascii="Arial" w:hAnsi="Arial" w:cs="Arial"/>
          <w:sz w:val="24"/>
          <w:szCs w:val="24"/>
        </w:rPr>
        <w:t>s placement.  Parents seek the following relief:</w:t>
      </w:r>
      <w:r w:rsidR="00CF675E">
        <w:rPr>
          <w:rFonts w:ascii="Arial" w:hAnsi="Arial" w:cs="Arial"/>
          <w:sz w:val="24"/>
          <w:szCs w:val="24"/>
        </w:rPr>
        <w:t xml:space="preserve"> (1) </w:t>
      </w:r>
      <w:r w:rsidR="003D47A2">
        <w:rPr>
          <w:rFonts w:ascii="Arial" w:hAnsi="Arial" w:cs="Arial"/>
          <w:sz w:val="24"/>
          <w:szCs w:val="24"/>
        </w:rPr>
        <w:t xml:space="preserve">a “settlement agreement with the District” under which Lincoln would fund </w:t>
      </w:r>
      <w:r w:rsidR="00035504">
        <w:rPr>
          <w:rFonts w:ascii="Arial" w:hAnsi="Arial" w:cs="Arial"/>
          <w:sz w:val="24"/>
          <w:szCs w:val="24"/>
        </w:rPr>
        <w:t>Student’s placement at Carroll</w:t>
      </w:r>
      <w:r w:rsidR="00F61FC8">
        <w:rPr>
          <w:rFonts w:ascii="Arial" w:hAnsi="Arial" w:cs="Arial"/>
          <w:sz w:val="24"/>
          <w:szCs w:val="24"/>
        </w:rPr>
        <w:t xml:space="preserve"> </w:t>
      </w:r>
      <w:r w:rsidR="00035504">
        <w:rPr>
          <w:rFonts w:ascii="Arial" w:hAnsi="Arial" w:cs="Arial"/>
          <w:sz w:val="24"/>
          <w:szCs w:val="24"/>
        </w:rPr>
        <w:t>for the 2019-2020 school year</w:t>
      </w:r>
      <w:r w:rsidR="00CF675E">
        <w:rPr>
          <w:rFonts w:ascii="Arial" w:hAnsi="Arial" w:cs="Arial"/>
          <w:sz w:val="24"/>
          <w:szCs w:val="24"/>
        </w:rPr>
        <w:t xml:space="preserve">; </w:t>
      </w:r>
      <w:r w:rsidR="00035504">
        <w:rPr>
          <w:rFonts w:ascii="Arial" w:hAnsi="Arial" w:cs="Arial"/>
          <w:sz w:val="24"/>
          <w:szCs w:val="24"/>
        </w:rPr>
        <w:t xml:space="preserve">alternatively, </w:t>
      </w:r>
      <w:r w:rsidR="00CF675E">
        <w:rPr>
          <w:rFonts w:ascii="Arial" w:hAnsi="Arial" w:cs="Arial"/>
          <w:sz w:val="24"/>
          <w:szCs w:val="24"/>
        </w:rPr>
        <w:t xml:space="preserve">(2) </w:t>
      </w:r>
      <w:r w:rsidR="00035504">
        <w:rPr>
          <w:rFonts w:ascii="Arial" w:hAnsi="Arial" w:cs="Arial"/>
          <w:sz w:val="24"/>
          <w:szCs w:val="24"/>
        </w:rPr>
        <w:t>“Guidance/Rule and Regulation Clarity/Modifications for Unapproved School Placement and Completion of Carroll Placement for [Student].</w:t>
      </w:r>
      <w:r w:rsidR="00F61FC8">
        <w:rPr>
          <w:rFonts w:ascii="Arial" w:hAnsi="Arial" w:cs="Arial"/>
          <w:sz w:val="24"/>
          <w:szCs w:val="24"/>
        </w:rPr>
        <w:t>”</w:t>
      </w:r>
      <w:r w:rsidR="00035504">
        <w:rPr>
          <w:rFonts w:ascii="Arial" w:hAnsi="Arial" w:cs="Arial"/>
          <w:sz w:val="24"/>
          <w:szCs w:val="24"/>
        </w:rPr>
        <w:t xml:space="preserve">  </w:t>
      </w:r>
    </w:p>
    <w:p w:rsidR="00242D3B" w:rsidRDefault="00242D3B" w:rsidP="002E66DB">
      <w:pPr>
        <w:spacing w:after="0" w:line="240" w:lineRule="auto"/>
        <w:ind w:firstLine="720"/>
        <w:rPr>
          <w:rFonts w:ascii="Arial" w:eastAsia="Times New Roman" w:hAnsi="Arial" w:cs="Arial"/>
          <w:sz w:val="24"/>
          <w:szCs w:val="24"/>
        </w:rPr>
      </w:pPr>
    </w:p>
    <w:p w:rsidR="00DF7B03" w:rsidRDefault="00242D3B" w:rsidP="002E66DB">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On </w:t>
      </w:r>
      <w:r w:rsidR="00850063">
        <w:rPr>
          <w:rFonts w:ascii="Arial" w:eastAsia="Times New Roman" w:hAnsi="Arial" w:cs="Arial"/>
          <w:sz w:val="24"/>
          <w:szCs w:val="24"/>
        </w:rPr>
        <w:t>February 21, 2020,</w:t>
      </w:r>
      <w:r w:rsidR="001825DF">
        <w:rPr>
          <w:rFonts w:ascii="Arial" w:eastAsia="Times New Roman" w:hAnsi="Arial" w:cs="Arial"/>
          <w:sz w:val="24"/>
          <w:szCs w:val="24"/>
        </w:rPr>
        <w:t xml:space="preserve"> </w:t>
      </w:r>
      <w:r w:rsidR="00F61FC8">
        <w:rPr>
          <w:rFonts w:ascii="Arial" w:eastAsia="Times New Roman" w:hAnsi="Arial" w:cs="Arial"/>
          <w:sz w:val="24"/>
          <w:szCs w:val="24"/>
        </w:rPr>
        <w:t>Lincoln</w:t>
      </w:r>
      <w:r>
        <w:rPr>
          <w:rFonts w:ascii="Arial" w:eastAsia="Times New Roman" w:hAnsi="Arial" w:cs="Arial"/>
          <w:sz w:val="24"/>
          <w:szCs w:val="24"/>
        </w:rPr>
        <w:t xml:space="preserve"> </w:t>
      </w:r>
      <w:r w:rsidR="00004B20">
        <w:rPr>
          <w:rFonts w:ascii="Arial" w:eastAsia="Times New Roman" w:hAnsi="Arial" w:cs="Arial"/>
          <w:sz w:val="24"/>
          <w:szCs w:val="24"/>
        </w:rPr>
        <w:t xml:space="preserve">filed </w:t>
      </w:r>
      <w:r w:rsidR="00C3669E">
        <w:rPr>
          <w:rFonts w:ascii="Arial" w:eastAsia="Times New Roman" w:hAnsi="Arial" w:cs="Arial"/>
          <w:sz w:val="24"/>
          <w:szCs w:val="24"/>
        </w:rPr>
        <w:t xml:space="preserve">a </w:t>
      </w:r>
      <w:r w:rsidR="00C012F2" w:rsidRPr="00C012F2">
        <w:rPr>
          <w:rFonts w:ascii="Arial" w:eastAsia="Times New Roman" w:hAnsi="Arial" w:cs="Arial"/>
          <w:i/>
          <w:sz w:val="24"/>
          <w:szCs w:val="24"/>
        </w:rPr>
        <w:t>Response,</w:t>
      </w:r>
      <w:r w:rsidR="00C012F2">
        <w:rPr>
          <w:rFonts w:ascii="Arial" w:eastAsia="Times New Roman" w:hAnsi="Arial" w:cs="Arial"/>
          <w:sz w:val="24"/>
          <w:szCs w:val="24"/>
        </w:rPr>
        <w:t xml:space="preserve"> </w:t>
      </w:r>
      <w:r w:rsidR="001825DF">
        <w:rPr>
          <w:rFonts w:ascii="Arial" w:eastAsia="Times New Roman" w:hAnsi="Arial" w:cs="Arial"/>
          <w:i/>
          <w:sz w:val="24"/>
          <w:szCs w:val="24"/>
        </w:rPr>
        <w:t>Motion to Dismiss and for Summary Judgment</w:t>
      </w:r>
      <w:r w:rsidR="00505329">
        <w:rPr>
          <w:rStyle w:val="FootnoteReference"/>
          <w:rFonts w:ascii="Arial" w:eastAsia="Times New Roman" w:hAnsi="Arial" w:cs="Arial"/>
          <w:i/>
          <w:sz w:val="24"/>
          <w:szCs w:val="24"/>
        </w:rPr>
        <w:footnoteReference w:id="1"/>
      </w:r>
      <w:r w:rsidR="001825DF">
        <w:rPr>
          <w:rFonts w:ascii="Arial" w:eastAsia="Times New Roman" w:hAnsi="Arial" w:cs="Arial"/>
          <w:i/>
          <w:sz w:val="24"/>
          <w:szCs w:val="24"/>
        </w:rPr>
        <w:t xml:space="preserve"> </w:t>
      </w:r>
      <w:r w:rsidR="005B4590">
        <w:rPr>
          <w:rFonts w:ascii="Arial" w:eastAsia="Times New Roman" w:hAnsi="Arial" w:cs="Arial"/>
          <w:i/>
          <w:sz w:val="24"/>
          <w:szCs w:val="24"/>
        </w:rPr>
        <w:t xml:space="preserve"> </w:t>
      </w:r>
      <w:r w:rsidR="00505329">
        <w:rPr>
          <w:rFonts w:ascii="Arial" w:eastAsia="Times New Roman" w:hAnsi="Arial" w:cs="Arial"/>
          <w:sz w:val="24"/>
          <w:szCs w:val="24"/>
        </w:rPr>
        <w:t>L</w:t>
      </w:r>
      <w:r w:rsidR="00DF7B03">
        <w:rPr>
          <w:rFonts w:ascii="Arial" w:eastAsia="Times New Roman" w:hAnsi="Arial" w:cs="Arial"/>
          <w:sz w:val="24"/>
          <w:szCs w:val="24"/>
        </w:rPr>
        <w:t>i</w:t>
      </w:r>
      <w:r w:rsidR="00505329">
        <w:rPr>
          <w:rFonts w:ascii="Arial" w:eastAsia="Times New Roman" w:hAnsi="Arial" w:cs="Arial"/>
          <w:sz w:val="24"/>
          <w:szCs w:val="24"/>
        </w:rPr>
        <w:t>ncoln</w:t>
      </w:r>
      <w:r w:rsidR="005B4590">
        <w:rPr>
          <w:rFonts w:ascii="Arial" w:eastAsia="Times New Roman" w:hAnsi="Arial" w:cs="Arial"/>
          <w:sz w:val="24"/>
          <w:szCs w:val="24"/>
        </w:rPr>
        <w:t xml:space="preserve"> seeks dismissal of Parents’ </w:t>
      </w:r>
      <w:r w:rsidR="006555D4">
        <w:rPr>
          <w:rFonts w:ascii="Arial" w:eastAsia="Times New Roman" w:hAnsi="Arial" w:cs="Arial"/>
          <w:sz w:val="24"/>
          <w:szCs w:val="24"/>
        </w:rPr>
        <w:t>hearing request based on lack o</w:t>
      </w:r>
      <w:r w:rsidR="00DF7B03">
        <w:rPr>
          <w:rFonts w:ascii="Arial" w:eastAsia="Times New Roman" w:hAnsi="Arial" w:cs="Arial"/>
          <w:sz w:val="24"/>
          <w:szCs w:val="24"/>
        </w:rPr>
        <w:t>f subject-matter jurisdiction.  Alternatively, Lincoln seeks summary judgment in its favor arguing, among other things, that LPS’</w:t>
      </w:r>
      <w:r w:rsidR="002C666A">
        <w:rPr>
          <w:rFonts w:ascii="Arial" w:eastAsia="Times New Roman" w:hAnsi="Arial" w:cs="Arial"/>
          <w:sz w:val="24"/>
          <w:szCs w:val="24"/>
        </w:rPr>
        <w:t xml:space="preserve"> cannot, as a matter of </w:t>
      </w:r>
      <w:proofErr w:type="gramStart"/>
      <w:r w:rsidR="002C666A">
        <w:rPr>
          <w:rFonts w:ascii="Arial" w:eastAsia="Times New Roman" w:hAnsi="Arial" w:cs="Arial"/>
          <w:sz w:val="24"/>
          <w:szCs w:val="24"/>
        </w:rPr>
        <w:t>law,</w:t>
      </w:r>
      <w:proofErr w:type="gramEnd"/>
      <w:r w:rsidR="002C666A">
        <w:rPr>
          <w:rFonts w:ascii="Arial" w:eastAsia="Times New Roman" w:hAnsi="Arial" w:cs="Arial"/>
          <w:sz w:val="24"/>
          <w:szCs w:val="24"/>
        </w:rPr>
        <w:t xml:space="preserve"> </w:t>
      </w:r>
      <w:r w:rsidR="00DF7B03">
        <w:rPr>
          <w:rFonts w:ascii="Arial" w:eastAsia="Times New Roman" w:hAnsi="Arial" w:cs="Arial"/>
          <w:sz w:val="24"/>
          <w:szCs w:val="24"/>
        </w:rPr>
        <w:t xml:space="preserve">obtain DESE approval to fund the Carroll placement </w:t>
      </w:r>
      <w:r w:rsidR="002C666A">
        <w:rPr>
          <w:rFonts w:ascii="Arial" w:eastAsia="Times New Roman" w:hAnsi="Arial" w:cs="Arial"/>
          <w:sz w:val="24"/>
          <w:szCs w:val="24"/>
        </w:rPr>
        <w:t xml:space="preserve">because </w:t>
      </w:r>
      <w:r w:rsidR="00850063">
        <w:rPr>
          <w:rFonts w:ascii="Arial" w:eastAsia="Times New Roman" w:hAnsi="Arial" w:cs="Arial"/>
          <w:sz w:val="24"/>
          <w:szCs w:val="24"/>
        </w:rPr>
        <w:t>Carroll</w:t>
      </w:r>
      <w:r w:rsidR="00DF7B03">
        <w:rPr>
          <w:rFonts w:ascii="Arial" w:eastAsia="Times New Roman" w:hAnsi="Arial" w:cs="Arial"/>
          <w:sz w:val="24"/>
          <w:szCs w:val="24"/>
        </w:rPr>
        <w:t xml:space="preserve"> </w:t>
      </w:r>
      <w:r w:rsidR="002C666A">
        <w:rPr>
          <w:rFonts w:ascii="Arial" w:eastAsia="Times New Roman" w:hAnsi="Arial" w:cs="Arial"/>
          <w:sz w:val="24"/>
          <w:szCs w:val="24"/>
        </w:rPr>
        <w:t>has refused</w:t>
      </w:r>
      <w:r w:rsidR="00DF7B03">
        <w:rPr>
          <w:rFonts w:ascii="Arial" w:eastAsia="Times New Roman" w:hAnsi="Arial" w:cs="Arial"/>
          <w:sz w:val="24"/>
          <w:szCs w:val="24"/>
        </w:rPr>
        <w:t xml:space="preserve"> to comply with the </w:t>
      </w:r>
      <w:r w:rsidR="002C666A">
        <w:rPr>
          <w:rFonts w:ascii="Arial" w:eastAsia="Times New Roman" w:hAnsi="Arial" w:cs="Arial"/>
          <w:sz w:val="24"/>
          <w:szCs w:val="24"/>
        </w:rPr>
        <w:t xml:space="preserve">approval </w:t>
      </w:r>
      <w:r w:rsidR="00DF7B03">
        <w:rPr>
          <w:rFonts w:ascii="Arial" w:eastAsia="Times New Roman" w:hAnsi="Arial" w:cs="Arial"/>
          <w:sz w:val="24"/>
          <w:szCs w:val="24"/>
        </w:rPr>
        <w:t>process</w:t>
      </w:r>
      <w:r w:rsidR="002C666A">
        <w:rPr>
          <w:rFonts w:ascii="Arial" w:eastAsia="Times New Roman" w:hAnsi="Arial" w:cs="Arial"/>
          <w:sz w:val="24"/>
          <w:szCs w:val="24"/>
        </w:rPr>
        <w:t xml:space="preserve">.  Additionally, Lincoln asserts </w:t>
      </w:r>
      <w:r w:rsidR="00DF7B03">
        <w:rPr>
          <w:rFonts w:ascii="Arial" w:eastAsia="Times New Roman" w:hAnsi="Arial" w:cs="Arial"/>
          <w:sz w:val="24"/>
          <w:szCs w:val="24"/>
        </w:rPr>
        <w:t xml:space="preserve">that Parents accepted an IEP designating Student’s placement as Landmark. </w:t>
      </w:r>
    </w:p>
    <w:p w:rsidR="00DF7B03" w:rsidRDefault="00DF7B03" w:rsidP="002E66DB">
      <w:pPr>
        <w:spacing w:after="0" w:line="240" w:lineRule="auto"/>
        <w:ind w:firstLine="720"/>
        <w:rPr>
          <w:rFonts w:ascii="Arial" w:eastAsia="Times New Roman" w:hAnsi="Arial" w:cs="Arial"/>
          <w:sz w:val="24"/>
          <w:szCs w:val="24"/>
        </w:rPr>
      </w:pPr>
    </w:p>
    <w:p w:rsidR="00FA3078" w:rsidRDefault="00DF7B03" w:rsidP="00AB6051">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On </w:t>
      </w:r>
      <w:r w:rsidR="002C666A">
        <w:rPr>
          <w:rFonts w:ascii="Arial" w:eastAsia="Times New Roman" w:hAnsi="Arial" w:cs="Arial"/>
          <w:sz w:val="24"/>
          <w:szCs w:val="24"/>
        </w:rPr>
        <w:t xml:space="preserve">March 18, 2020, Parents filed a </w:t>
      </w:r>
      <w:r w:rsidR="002C666A" w:rsidRPr="002C666A">
        <w:rPr>
          <w:rFonts w:ascii="Arial" w:eastAsia="Times New Roman" w:hAnsi="Arial" w:cs="Arial"/>
          <w:i/>
          <w:sz w:val="24"/>
          <w:szCs w:val="24"/>
        </w:rPr>
        <w:t>Response to Lincoln Public Schools’ Response to the Parents’ Hearing Request</w:t>
      </w:r>
      <w:r w:rsidR="002C666A">
        <w:rPr>
          <w:rFonts w:ascii="Arial" w:eastAsia="Times New Roman" w:hAnsi="Arial" w:cs="Arial"/>
          <w:sz w:val="24"/>
          <w:szCs w:val="24"/>
        </w:rPr>
        <w:t xml:space="preserve"> in which they disputed Lincoln’s claim that they had accepted the proposed Landmark placement, and attached documents purporting to support their position.  Parents also stated their disagreement </w:t>
      </w:r>
      <w:r w:rsidR="00AD3B48">
        <w:rPr>
          <w:rFonts w:ascii="Arial" w:eastAsia="Times New Roman" w:hAnsi="Arial" w:cs="Arial"/>
          <w:sz w:val="24"/>
          <w:szCs w:val="24"/>
        </w:rPr>
        <w:t xml:space="preserve">with </w:t>
      </w:r>
      <w:r w:rsidR="002C666A">
        <w:rPr>
          <w:rFonts w:ascii="Arial" w:eastAsia="Times New Roman" w:hAnsi="Arial" w:cs="Arial"/>
          <w:sz w:val="24"/>
          <w:szCs w:val="24"/>
        </w:rPr>
        <w:t>Lincoln’s allegation that Carroll had failed or refused to comply with requirements for unapproved special ed</w:t>
      </w:r>
      <w:r w:rsidR="00DC41EB">
        <w:rPr>
          <w:rFonts w:ascii="Arial" w:eastAsia="Times New Roman" w:hAnsi="Arial" w:cs="Arial"/>
          <w:sz w:val="24"/>
          <w:szCs w:val="24"/>
        </w:rPr>
        <w:t>ucation schools.</w:t>
      </w:r>
    </w:p>
    <w:p w:rsidR="00DE377F" w:rsidRDefault="00DE377F" w:rsidP="00AB6051">
      <w:pPr>
        <w:spacing w:after="0" w:line="240" w:lineRule="auto"/>
        <w:ind w:firstLine="720"/>
        <w:rPr>
          <w:rFonts w:ascii="Arial" w:eastAsia="Times New Roman" w:hAnsi="Arial" w:cs="Arial"/>
          <w:sz w:val="24"/>
          <w:szCs w:val="24"/>
        </w:rPr>
      </w:pPr>
    </w:p>
    <w:p w:rsidR="00EB0858" w:rsidRPr="00AB6051" w:rsidRDefault="00DC41EB" w:rsidP="00AB6051">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   </w:t>
      </w:r>
    </w:p>
    <w:p w:rsidR="00EB0858" w:rsidRPr="00FA3078" w:rsidRDefault="002100E0" w:rsidP="00FA3078">
      <w:pPr>
        <w:pStyle w:val="ListParagraph"/>
        <w:numPr>
          <w:ilvl w:val="0"/>
          <w:numId w:val="10"/>
        </w:numPr>
        <w:spacing w:after="0" w:line="240" w:lineRule="auto"/>
        <w:jc w:val="both"/>
        <w:rPr>
          <w:rFonts w:ascii="Arial" w:eastAsia="Times New Roman" w:hAnsi="Arial" w:cs="Arial"/>
          <w:b/>
          <w:sz w:val="24"/>
          <w:szCs w:val="24"/>
        </w:rPr>
      </w:pPr>
      <w:r w:rsidRPr="00FA3078">
        <w:rPr>
          <w:rFonts w:ascii="Arial" w:eastAsia="Times New Roman" w:hAnsi="Arial" w:cs="Arial"/>
          <w:b/>
          <w:sz w:val="24"/>
          <w:szCs w:val="24"/>
        </w:rPr>
        <w:lastRenderedPageBreak/>
        <w:t>Factual Background</w:t>
      </w:r>
      <w:r w:rsidR="00FA3078">
        <w:rPr>
          <w:rFonts w:ascii="Arial" w:eastAsia="Times New Roman" w:hAnsi="Arial" w:cs="Arial"/>
          <w:b/>
          <w:sz w:val="24"/>
          <w:szCs w:val="24"/>
        </w:rPr>
        <w:t xml:space="preserve"> </w:t>
      </w:r>
      <w:r w:rsidR="00DE377F">
        <w:rPr>
          <w:rFonts w:ascii="Arial" w:eastAsia="Times New Roman" w:hAnsi="Arial" w:cs="Arial"/>
          <w:b/>
          <w:sz w:val="24"/>
          <w:szCs w:val="24"/>
        </w:rPr>
        <w:t>as</w:t>
      </w:r>
      <w:r w:rsidR="00C012F2" w:rsidRPr="00FA3078">
        <w:rPr>
          <w:rFonts w:ascii="Arial" w:eastAsia="Times New Roman" w:hAnsi="Arial" w:cs="Arial"/>
          <w:b/>
          <w:sz w:val="24"/>
          <w:szCs w:val="24"/>
        </w:rPr>
        <w:t xml:space="preserve"> to </w:t>
      </w:r>
      <w:r w:rsidR="00C012F2" w:rsidRPr="00FA3078">
        <w:rPr>
          <w:rFonts w:ascii="Arial" w:eastAsia="Times New Roman" w:hAnsi="Arial" w:cs="Arial"/>
          <w:b/>
          <w:i/>
          <w:sz w:val="24"/>
          <w:szCs w:val="24"/>
        </w:rPr>
        <w:t>Motion to Dismiss</w:t>
      </w:r>
    </w:p>
    <w:p w:rsidR="00E80350" w:rsidRDefault="00E80350" w:rsidP="002100E0">
      <w:pPr>
        <w:spacing w:after="0" w:line="240" w:lineRule="auto"/>
        <w:ind w:firstLine="720"/>
        <w:rPr>
          <w:rFonts w:ascii="Arial" w:eastAsia="Times New Roman" w:hAnsi="Arial" w:cs="Arial"/>
          <w:b/>
          <w:sz w:val="24"/>
          <w:szCs w:val="24"/>
          <w:u w:val="single"/>
        </w:rPr>
      </w:pPr>
    </w:p>
    <w:p w:rsidR="00A8751C" w:rsidRDefault="00DC41EB" w:rsidP="00A8751C">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For purposes of ruling on the </w:t>
      </w:r>
      <w:r w:rsidRPr="00DC41EB">
        <w:rPr>
          <w:rFonts w:ascii="Arial" w:eastAsia="Times New Roman" w:hAnsi="Arial" w:cs="Arial"/>
          <w:i/>
          <w:sz w:val="24"/>
          <w:szCs w:val="24"/>
        </w:rPr>
        <w:t>Motion to Dismiss</w:t>
      </w:r>
      <w:r>
        <w:rPr>
          <w:rFonts w:ascii="Arial" w:eastAsia="Times New Roman" w:hAnsi="Arial" w:cs="Arial"/>
          <w:sz w:val="24"/>
          <w:szCs w:val="24"/>
        </w:rPr>
        <w:t xml:space="preserve">, I consider only the assertions </w:t>
      </w:r>
      <w:r w:rsidR="00616048">
        <w:rPr>
          <w:rFonts w:ascii="Arial" w:eastAsia="Times New Roman" w:hAnsi="Arial" w:cs="Arial"/>
          <w:sz w:val="24"/>
          <w:szCs w:val="24"/>
        </w:rPr>
        <w:t>set fo</w:t>
      </w:r>
      <w:r w:rsidR="00AD3B48">
        <w:rPr>
          <w:rFonts w:ascii="Arial" w:eastAsia="Times New Roman" w:hAnsi="Arial" w:cs="Arial"/>
          <w:sz w:val="24"/>
          <w:szCs w:val="24"/>
        </w:rPr>
        <w:t>rth in Parents’</w:t>
      </w:r>
      <w:r>
        <w:rPr>
          <w:rFonts w:ascii="Arial" w:eastAsia="Times New Roman" w:hAnsi="Arial" w:cs="Arial"/>
          <w:sz w:val="24"/>
          <w:szCs w:val="24"/>
        </w:rPr>
        <w:t xml:space="preserve"> hearing request, which I consider to be true and construe</w:t>
      </w:r>
      <w:r w:rsidR="00A8751C">
        <w:rPr>
          <w:rFonts w:ascii="Arial" w:eastAsia="Times New Roman" w:hAnsi="Arial" w:cs="Arial"/>
          <w:sz w:val="24"/>
          <w:szCs w:val="24"/>
        </w:rPr>
        <w:t xml:space="preserve"> in favor of </w:t>
      </w:r>
      <w:r>
        <w:rPr>
          <w:rFonts w:ascii="Arial" w:eastAsia="Times New Roman" w:hAnsi="Arial" w:cs="Arial"/>
          <w:sz w:val="24"/>
          <w:szCs w:val="24"/>
        </w:rPr>
        <w:t xml:space="preserve">Parents </w:t>
      </w:r>
      <w:r w:rsidR="00931125">
        <w:rPr>
          <w:rFonts w:ascii="Arial" w:eastAsia="Times New Roman" w:hAnsi="Arial" w:cs="Arial"/>
          <w:sz w:val="24"/>
          <w:szCs w:val="24"/>
        </w:rPr>
        <w:t>as the party opposing dismissal</w:t>
      </w:r>
      <w:r w:rsidR="0059631D">
        <w:rPr>
          <w:rFonts w:ascii="Arial" w:eastAsia="Times New Roman" w:hAnsi="Arial" w:cs="Arial"/>
          <w:sz w:val="24"/>
          <w:szCs w:val="24"/>
        </w:rPr>
        <w:t>.</w:t>
      </w:r>
    </w:p>
    <w:p w:rsidR="0059631D" w:rsidRDefault="0059631D" w:rsidP="00A8751C">
      <w:pPr>
        <w:spacing w:after="0" w:line="240" w:lineRule="auto"/>
        <w:ind w:firstLine="720"/>
        <w:rPr>
          <w:rFonts w:ascii="Arial" w:eastAsia="Times New Roman" w:hAnsi="Arial" w:cs="Arial"/>
          <w:sz w:val="24"/>
          <w:szCs w:val="24"/>
        </w:rPr>
      </w:pPr>
    </w:p>
    <w:p w:rsidR="00742BE5" w:rsidRDefault="00A8751C" w:rsidP="00742BE5">
      <w:pPr>
        <w:pStyle w:val="ListParagraph"/>
        <w:numPr>
          <w:ilvl w:val="0"/>
          <w:numId w:val="5"/>
        </w:numPr>
        <w:spacing w:after="0" w:line="240" w:lineRule="auto"/>
        <w:rPr>
          <w:rFonts w:ascii="Arial" w:eastAsia="Times New Roman" w:hAnsi="Arial" w:cs="Arial"/>
          <w:sz w:val="24"/>
          <w:szCs w:val="24"/>
        </w:rPr>
      </w:pPr>
      <w:r w:rsidRPr="00ED26A4">
        <w:rPr>
          <w:rFonts w:ascii="Arial" w:eastAsia="Times New Roman" w:hAnsi="Arial" w:cs="Arial"/>
          <w:sz w:val="24"/>
          <w:szCs w:val="24"/>
        </w:rPr>
        <w:t>Studen</w:t>
      </w:r>
      <w:r w:rsidR="008E71A4" w:rsidRPr="00ED26A4">
        <w:rPr>
          <w:rFonts w:ascii="Arial" w:eastAsia="Times New Roman" w:hAnsi="Arial" w:cs="Arial"/>
          <w:sz w:val="24"/>
          <w:szCs w:val="24"/>
        </w:rPr>
        <w:t>t</w:t>
      </w:r>
      <w:r w:rsidRPr="00ED26A4">
        <w:rPr>
          <w:rFonts w:ascii="Arial" w:eastAsia="Times New Roman" w:hAnsi="Arial" w:cs="Arial"/>
          <w:sz w:val="24"/>
          <w:szCs w:val="24"/>
        </w:rPr>
        <w:t xml:space="preserve"> is </w:t>
      </w:r>
      <w:r w:rsidR="00C012F2">
        <w:rPr>
          <w:rFonts w:ascii="Arial" w:eastAsia="Times New Roman" w:hAnsi="Arial" w:cs="Arial"/>
          <w:sz w:val="24"/>
          <w:szCs w:val="24"/>
        </w:rPr>
        <w:t>10</w:t>
      </w:r>
      <w:r w:rsidR="00B15074">
        <w:rPr>
          <w:rFonts w:ascii="Arial" w:eastAsia="Times New Roman" w:hAnsi="Arial" w:cs="Arial"/>
          <w:sz w:val="24"/>
          <w:szCs w:val="24"/>
        </w:rPr>
        <w:t xml:space="preserve"> years old and is </w:t>
      </w:r>
      <w:r w:rsidR="00D047CA">
        <w:rPr>
          <w:rFonts w:ascii="Arial" w:eastAsia="Times New Roman" w:hAnsi="Arial" w:cs="Arial"/>
          <w:sz w:val="24"/>
          <w:szCs w:val="24"/>
        </w:rPr>
        <w:t xml:space="preserve">a resident of </w:t>
      </w:r>
      <w:r w:rsidR="00C012F2">
        <w:rPr>
          <w:rFonts w:ascii="Arial" w:eastAsia="Times New Roman" w:hAnsi="Arial" w:cs="Arial"/>
          <w:sz w:val="24"/>
          <w:szCs w:val="24"/>
        </w:rPr>
        <w:t>Lincoln.</w:t>
      </w:r>
      <w:r w:rsidR="00D047CA">
        <w:rPr>
          <w:rFonts w:ascii="Arial" w:eastAsia="Times New Roman" w:hAnsi="Arial" w:cs="Arial"/>
          <w:sz w:val="24"/>
          <w:szCs w:val="24"/>
        </w:rPr>
        <w:t xml:space="preserve">  Student is</w:t>
      </w:r>
      <w:r w:rsidR="00D047CA" w:rsidRPr="00ED26A4">
        <w:rPr>
          <w:rFonts w:ascii="Arial" w:eastAsia="Times New Roman" w:hAnsi="Arial" w:cs="Arial"/>
          <w:sz w:val="24"/>
          <w:szCs w:val="24"/>
        </w:rPr>
        <w:t xml:space="preserve"> </w:t>
      </w:r>
      <w:r w:rsidR="00ED26A4" w:rsidRPr="00ED26A4">
        <w:rPr>
          <w:rFonts w:ascii="Arial" w:eastAsia="Times New Roman" w:hAnsi="Arial" w:cs="Arial"/>
          <w:sz w:val="24"/>
          <w:szCs w:val="24"/>
        </w:rPr>
        <w:t xml:space="preserve">eligible for special education </w:t>
      </w:r>
      <w:r w:rsidR="00D047CA">
        <w:rPr>
          <w:rFonts w:ascii="Arial" w:eastAsia="Times New Roman" w:hAnsi="Arial" w:cs="Arial"/>
          <w:sz w:val="24"/>
          <w:szCs w:val="24"/>
        </w:rPr>
        <w:t>services on t</w:t>
      </w:r>
      <w:r w:rsidR="00B15074">
        <w:rPr>
          <w:rFonts w:ascii="Arial" w:eastAsia="Times New Roman" w:hAnsi="Arial" w:cs="Arial"/>
          <w:sz w:val="24"/>
          <w:szCs w:val="24"/>
        </w:rPr>
        <w:t xml:space="preserve">he basis of </w:t>
      </w:r>
      <w:r w:rsidR="000815D5">
        <w:rPr>
          <w:rFonts w:ascii="Arial" w:eastAsia="Times New Roman" w:hAnsi="Arial" w:cs="Arial"/>
          <w:sz w:val="24"/>
          <w:szCs w:val="24"/>
        </w:rPr>
        <w:t xml:space="preserve">a severe </w:t>
      </w:r>
      <w:r w:rsidR="00C012F2">
        <w:rPr>
          <w:rFonts w:ascii="Arial" w:eastAsia="Times New Roman" w:hAnsi="Arial" w:cs="Arial"/>
          <w:sz w:val="24"/>
          <w:szCs w:val="24"/>
        </w:rPr>
        <w:t>lang</w:t>
      </w:r>
      <w:r w:rsidR="00AD3B48">
        <w:rPr>
          <w:rFonts w:ascii="Arial" w:eastAsia="Times New Roman" w:hAnsi="Arial" w:cs="Arial"/>
          <w:sz w:val="24"/>
          <w:szCs w:val="24"/>
        </w:rPr>
        <w:t xml:space="preserve">uage-based learning disability.  </w:t>
      </w:r>
      <w:r w:rsidR="005840C9">
        <w:rPr>
          <w:rFonts w:ascii="Arial" w:eastAsia="Times New Roman" w:hAnsi="Arial" w:cs="Arial"/>
          <w:sz w:val="24"/>
          <w:szCs w:val="24"/>
        </w:rPr>
        <w:t>Student’s learning disability has also impacted his emotional functioning.</w:t>
      </w:r>
      <w:r w:rsidR="00B15074">
        <w:rPr>
          <w:rFonts w:ascii="Arial" w:eastAsia="Times New Roman" w:hAnsi="Arial" w:cs="Arial"/>
          <w:sz w:val="24"/>
          <w:szCs w:val="24"/>
        </w:rPr>
        <w:t xml:space="preserve"> </w:t>
      </w:r>
      <w:r w:rsidR="00ED26A4" w:rsidRPr="00ED26A4">
        <w:rPr>
          <w:rFonts w:ascii="Arial" w:eastAsia="Times New Roman" w:hAnsi="Arial" w:cs="Arial"/>
          <w:sz w:val="24"/>
          <w:szCs w:val="24"/>
        </w:rPr>
        <w:t xml:space="preserve"> </w:t>
      </w:r>
      <w:r w:rsidR="00742BE5" w:rsidRPr="00ED26A4">
        <w:rPr>
          <w:rFonts w:ascii="Arial" w:eastAsia="Times New Roman" w:hAnsi="Arial" w:cs="Arial"/>
          <w:sz w:val="24"/>
          <w:szCs w:val="24"/>
        </w:rPr>
        <w:t xml:space="preserve"> </w:t>
      </w:r>
    </w:p>
    <w:p w:rsidR="00ED26A4" w:rsidRDefault="00ED26A4" w:rsidP="00571D23">
      <w:pPr>
        <w:pStyle w:val="ListParagraph"/>
        <w:spacing w:after="0" w:line="240" w:lineRule="auto"/>
        <w:ind w:left="1080"/>
        <w:rPr>
          <w:rFonts w:ascii="Arial" w:eastAsia="Times New Roman" w:hAnsi="Arial" w:cs="Arial"/>
          <w:sz w:val="24"/>
          <w:szCs w:val="24"/>
        </w:rPr>
      </w:pPr>
    </w:p>
    <w:p w:rsidR="0096627B" w:rsidRDefault="000815D5" w:rsidP="00571D23">
      <w:pPr>
        <w:pStyle w:val="ListParagraph"/>
        <w:numPr>
          <w:ilvl w:val="0"/>
          <w:numId w:val="5"/>
        </w:numPr>
        <w:spacing w:line="240" w:lineRule="auto"/>
        <w:rPr>
          <w:rFonts w:ascii="Arial" w:hAnsi="Arial" w:cs="Arial"/>
          <w:sz w:val="24"/>
          <w:szCs w:val="24"/>
        </w:rPr>
      </w:pPr>
      <w:r>
        <w:rPr>
          <w:rFonts w:ascii="Arial" w:hAnsi="Arial" w:cs="Arial"/>
          <w:sz w:val="24"/>
          <w:szCs w:val="24"/>
        </w:rPr>
        <w:t xml:space="preserve">Student attended Lincoln Public Schools for kindergarten.  Parents unilaterally placed Student at Carroll School for first grade (2015-2016).  Parents and LPS entered a settlement agreement under which Lincoln partially funded Student’s Carroll placement for first grade, and fully funded that placement for second grade (2016-2017) and third grade (2017-2018).  </w:t>
      </w:r>
      <w:r w:rsidR="0096627B">
        <w:rPr>
          <w:rFonts w:ascii="Arial" w:hAnsi="Arial" w:cs="Arial"/>
          <w:sz w:val="24"/>
          <w:szCs w:val="24"/>
        </w:rPr>
        <w:t xml:space="preserve">  </w:t>
      </w:r>
    </w:p>
    <w:p w:rsidR="0096627B" w:rsidRPr="0096627B" w:rsidRDefault="0096627B" w:rsidP="00571D23">
      <w:pPr>
        <w:pStyle w:val="ListParagraph"/>
        <w:spacing w:line="240" w:lineRule="auto"/>
        <w:rPr>
          <w:rFonts w:ascii="Arial" w:hAnsi="Arial" w:cs="Arial"/>
          <w:sz w:val="24"/>
          <w:szCs w:val="24"/>
        </w:rPr>
      </w:pPr>
    </w:p>
    <w:p w:rsidR="00456743" w:rsidRDefault="00277098" w:rsidP="00571D23">
      <w:pPr>
        <w:pStyle w:val="ListParagraph"/>
        <w:numPr>
          <w:ilvl w:val="0"/>
          <w:numId w:val="5"/>
        </w:numPr>
        <w:spacing w:line="240" w:lineRule="auto"/>
        <w:rPr>
          <w:rFonts w:ascii="Arial" w:hAnsi="Arial" w:cs="Arial"/>
          <w:sz w:val="24"/>
          <w:szCs w:val="24"/>
        </w:rPr>
      </w:pPr>
      <w:r>
        <w:rPr>
          <w:rFonts w:ascii="Arial" w:hAnsi="Arial" w:cs="Arial"/>
          <w:sz w:val="24"/>
          <w:szCs w:val="24"/>
        </w:rPr>
        <w:t xml:space="preserve">Lincoln continued to fund </w:t>
      </w:r>
      <w:r w:rsidR="000815D5">
        <w:rPr>
          <w:rFonts w:ascii="Arial" w:hAnsi="Arial" w:cs="Arial"/>
          <w:sz w:val="24"/>
          <w:szCs w:val="24"/>
        </w:rPr>
        <w:t>Student</w:t>
      </w:r>
      <w:r>
        <w:rPr>
          <w:rFonts w:ascii="Arial" w:hAnsi="Arial" w:cs="Arial"/>
          <w:sz w:val="24"/>
          <w:szCs w:val="24"/>
        </w:rPr>
        <w:t>’s placement at</w:t>
      </w:r>
      <w:r w:rsidR="000815D5">
        <w:rPr>
          <w:rFonts w:ascii="Arial" w:hAnsi="Arial" w:cs="Arial"/>
          <w:sz w:val="24"/>
          <w:szCs w:val="24"/>
        </w:rPr>
        <w:t xml:space="preserve"> Carroll for fourth grade (2018-2019) pursuant to a Memorandum of Understanding (MOA) </w:t>
      </w:r>
      <w:r>
        <w:rPr>
          <w:rFonts w:ascii="Arial" w:hAnsi="Arial" w:cs="Arial"/>
          <w:sz w:val="24"/>
          <w:szCs w:val="24"/>
        </w:rPr>
        <w:t xml:space="preserve">which provided for LPS to explore Landmark School as a potential placement for 2019-2020 and required Parents to apply to Landmark “if applicable.”  Parents signed the MOA “to secure funding for Carroll.”  The MOA stated that Parents had not had an opportunity to assess the appropriateness of Landmark for Student.  </w:t>
      </w:r>
    </w:p>
    <w:p w:rsidR="00277098" w:rsidRPr="00277098" w:rsidRDefault="00277098" w:rsidP="00277098">
      <w:pPr>
        <w:pStyle w:val="ListParagraph"/>
        <w:rPr>
          <w:rFonts w:ascii="Arial" w:hAnsi="Arial" w:cs="Arial"/>
          <w:sz w:val="24"/>
          <w:szCs w:val="24"/>
        </w:rPr>
      </w:pPr>
    </w:p>
    <w:p w:rsidR="00277098" w:rsidRDefault="00277098" w:rsidP="00571D23">
      <w:pPr>
        <w:pStyle w:val="ListParagraph"/>
        <w:numPr>
          <w:ilvl w:val="0"/>
          <w:numId w:val="5"/>
        </w:numPr>
        <w:spacing w:line="240" w:lineRule="auto"/>
        <w:rPr>
          <w:rFonts w:ascii="Arial" w:hAnsi="Arial" w:cs="Arial"/>
          <w:sz w:val="24"/>
          <w:szCs w:val="24"/>
        </w:rPr>
      </w:pPr>
      <w:r>
        <w:rPr>
          <w:rFonts w:ascii="Arial" w:hAnsi="Arial" w:cs="Arial"/>
          <w:sz w:val="24"/>
          <w:szCs w:val="24"/>
        </w:rPr>
        <w:t xml:space="preserve">Pursuant to the MOA, Parents applied for Landmark, and Student was accepted for the 2019-2020 school year.  On the advice of former counsel, </w:t>
      </w:r>
      <w:r w:rsidR="00DC41EB">
        <w:rPr>
          <w:rFonts w:ascii="Arial" w:hAnsi="Arial" w:cs="Arial"/>
          <w:sz w:val="24"/>
          <w:szCs w:val="24"/>
        </w:rPr>
        <w:t xml:space="preserve">on </w:t>
      </w:r>
      <w:r w:rsidR="00FA3078">
        <w:rPr>
          <w:rFonts w:ascii="Arial" w:hAnsi="Arial" w:cs="Arial"/>
          <w:sz w:val="24"/>
          <w:szCs w:val="24"/>
        </w:rPr>
        <w:t xml:space="preserve">or about April 3, 2019, </w:t>
      </w:r>
      <w:r>
        <w:rPr>
          <w:rFonts w:ascii="Arial" w:hAnsi="Arial" w:cs="Arial"/>
          <w:sz w:val="24"/>
          <w:szCs w:val="24"/>
        </w:rPr>
        <w:t xml:space="preserve">Parents accepted the Landmark placement but also informed LPS that Carroll was the </w:t>
      </w:r>
      <w:r w:rsidR="00DC41EB">
        <w:rPr>
          <w:rFonts w:ascii="Arial" w:hAnsi="Arial" w:cs="Arial"/>
          <w:sz w:val="24"/>
          <w:szCs w:val="24"/>
        </w:rPr>
        <w:t xml:space="preserve">“only viable option” </w:t>
      </w:r>
      <w:r>
        <w:rPr>
          <w:rFonts w:ascii="Arial" w:hAnsi="Arial" w:cs="Arial"/>
          <w:sz w:val="24"/>
          <w:szCs w:val="24"/>
        </w:rPr>
        <w:t xml:space="preserve">for Student and provided LPS with a letter from Student’s psychiatrist describing the impact on Student from changing schools.  </w:t>
      </w:r>
      <w:r w:rsidR="005840C9">
        <w:rPr>
          <w:rFonts w:ascii="Arial" w:hAnsi="Arial" w:cs="Arial"/>
          <w:sz w:val="24"/>
          <w:szCs w:val="24"/>
        </w:rPr>
        <w:t xml:space="preserve">That letter, dated April 1, 2019, stated that it would be “detrimental to his mental health and his progress to have to change schools, have to make new friends, and have to commute long distances every day.  All of those stresses would undoubtedly be deleterious to [Student’s] emotional state and would undermine further growth for a significant period.”  </w:t>
      </w:r>
    </w:p>
    <w:p w:rsidR="00277098" w:rsidRPr="00277098" w:rsidRDefault="00277098" w:rsidP="00277098">
      <w:pPr>
        <w:pStyle w:val="ListParagraph"/>
        <w:rPr>
          <w:rFonts w:ascii="Arial" w:hAnsi="Arial" w:cs="Arial"/>
          <w:sz w:val="24"/>
          <w:szCs w:val="24"/>
        </w:rPr>
      </w:pPr>
    </w:p>
    <w:p w:rsidR="00CA460A" w:rsidRDefault="00277098" w:rsidP="00254015">
      <w:pPr>
        <w:pStyle w:val="ListParagraph"/>
        <w:numPr>
          <w:ilvl w:val="0"/>
          <w:numId w:val="5"/>
        </w:numPr>
        <w:spacing w:line="240" w:lineRule="auto"/>
        <w:rPr>
          <w:rFonts w:ascii="Arial" w:hAnsi="Arial" w:cs="Arial"/>
          <w:sz w:val="24"/>
          <w:szCs w:val="24"/>
        </w:rPr>
      </w:pPr>
      <w:r>
        <w:rPr>
          <w:rFonts w:ascii="Arial" w:hAnsi="Arial" w:cs="Arial"/>
          <w:sz w:val="24"/>
          <w:szCs w:val="24"/>
        </w:rPr>
        <w:t>Lincoln subsequently agreed to continue to f</w:t>
      </w:r>
      <w:r w:rsidR="00DC41EB">
        <w:rPr>
          <w:rFonts w:ascii="Arial" w:hAnsi="Arial" w:cs="Arial"/>
          <w:sz w:val="24"/>
          <w:szCs w:val="24"/>
        </w:rPr>
        <w:t xml:space="preserve">und Student’s Carroll placement for the period from June 2019 to June 2020; </w:t>
      </w:r>
      <w:r>
        <w:rPr>
          <w:rFonts w:ascii="Arial" w:hAnsi="Arial" w:cs="Arial"/>
          <w:sz w:val="24"/>
          <w:szCs w:val="24"/>
        </w:rPr>
        <w:t xml:space="preserve">however, the District and Carroll have been unable to complete the written agreements that would allow Lincoln to </w:t>
      </w:r>
      <w:r w:rsidR="00254015">
        <w:rPr>
          <w:rFonts w:ascii="Arial" w:hAnsi="Arial" w:cs="Arial"/>
          <w:sz w:val="24"/>
          <w:szCs w:val="24"/>
        </w:rPr>
        <w:t>fund Carroll</w:t>
      </w:r>
      <w:r>
        <w:rPr>
          <w:rFonts w:ascii="Arial" w:hAnsi="Arial" w:cs="Arial"/>
          <w:sz w:val="24"/>
          <w:szCs w:val="24"/>
        </w:rPr>
        <w:t xml:space="preserve">, which is not a DESE-approved special education school.  </w:t>
      </w:r>
    </w:p>
    <w:p w:rsidR="00AA277A" w:rsidRPr="00AA277A" w:rsidRDefault="00AA277A" w:rsidP="00AA277A">
      <w:pPr>
        <w:pStyle w:val="ListParagraph"/>
        <w:rPr>
          <w:rFonts w:ascii="Arial" w:hAnsi="Arial" w:cs="Arial"/>
          <w:sz w:val="24"/>
          <w:szCs w:val="24"/>
        </w:rPr>
      </w:pPr>
    </w:p>
    <w:p w:rsidR="00AA277A" w:rsidRDefault="00AA277A" w:rsidP="00AA277A">
      <w:pPr>
        <w:pStyle w:val="ListParagraph"/>
        <w:spacing w:line="240" w:lineRule="auto"/>
        <w:ind w:left="1080"/>
        <w:rPr>
          <w:rFonts w:ascii="Arial" w:hAnsi="Arial" w:cs="Arial"/>
          <w:sz w:val="24"/>
          <w:szCs w:val="24"/>
        </w:rPr>
      </w:pPr>
    </w:p>
    <w:p w:rsidR="00403EB9" w:rsidRDefault="00403EB9" w:rsidP="00403EB9">
      <w:pPr>
        <w:spacing w:after="0" w:line="240" w:lineRule="auto"/>
        <w:rPr>
          <w:rFonts w:ascii="Arial" w:eastAsia="Times New Roman" w:hAnsi="Arial" w:cs="Arial"/>
          <w:b/>
          <w:sz w:val="24"/>
          <w:szCs w:val="24"/>
        </w:rPr>
      </w:pPr>
    </w:p>
    <w:p w:rsidR="00E31545" w:rsidRPr="00403EB9" w:rsidRDefault="00E31545" w:rsidP="00403EB9">
      <w:pPr>
        <w:pStyle w:val="ListParagraph"/>
        <w:numPr>
          <w:ilvl w:val="0"/>
          <w:numId w:val="9"/>
        </w:numPr>
        <w:spacing w:after="0" w:line="240" w:lineRule="auto"/>
        <w:rPr>
          <w:rFonts w:ascii="Arial" w:eastAsia="Times New Roman" w:hAnsi="Arial" w:cs="Arial"/>
          <w:b/>
          <w:sz w:val="24"/>
          <w:szCs w:val="24"/>
        </w:rPr>
      </w:pPr>
      <w:r w:rsidRPr="00403EB9">
        <w:rPr>
          <w:rFonts w:ascii="Arial" w:eastAsia="Times New Roman" w:hAnsi="Arial" w:cs="Arial"/>
          <w:b/>
          <w:sz w:val="24"/>
          <w:szCs w:val="24"/>
        </w:rPr>
        <w:lastRenderedPageBreak/>
        <w:t>Standard for Ruling on A Motion to Dismiss</w:t>
      </w:r>
      <w:r w:rsidR="00E51948">
        <w:rPr>
          <w:rFonts w:ascii="Arial" w:eastAsia="Times New Roman" w:hAnsi="Arial" w:cs="Arial"/>
          <w:b/>
          <w:sz w:val="24"/>
          <w:szCs w:val="24"/>
        </w:rPr>
        <w:t xml:space="preserve"> </w:t>
      </w:r>
    </w:p>
    <w:p w:rsidR="00FA3078" w:rsidRDefault="00FA3078" w:rsidP="00FA3078">
      <w:pPr>
        <w:spacing w:after="0" w:line="240" w:lineRule="auto"/>
        <w:rPr>
          <w:rFonts w:ascii="Arial" w:eastAsia="Times New Roman" w:hAnsi="Arial" w:cs="Arial"/>
          <w:sz w:val="24"/>
          <w:szCs w:val="24"/>
        </w:rPr>
      </w:pPr>
    </w:p>
    <w:p w:rsidR="00E31545" w:rsidRDefault="00E31545" w:rsidP="00FA3078">
      <w:pPr>
        <w:spacing w:after="0" w:line="240" w:lineRule="auto"/>
        <w:ind w:firstLine="360"/>
        <w:rPr>
          <w:rFonts w:ascii="Arial" w:eastAsia="Times New Roman" w:hAnsi="Arial" w:cs="Arial"/>
          <w:sz w:val="24"/>
          <w:szCs w:val="24"/>
        </w:rPr>
      </w:pPr>
      <w:r>
        <w:rPr>
          <w:rFonts w:ascii="Arial" w:eastAsia="Times New Roman" w:hAnsi="Arial" w:cs="Arial"/>
          <w:sz w:val="24"/>
          <w:szCs w:val="24"/>
        </w:rPr>
        <w:t xml:space="preserve">According to Rule XVI.B.4 of the </w:t>
      </w:r>
      <w:r w:rsidRPr="009D3DAC">
        <w:rPr>
          <w:rFonts w:ascii="Arial" w:eastAsia="Times New Roman" w:hAnsi="Arial" w:cs="Arial"/>
          <w:sz w:val="24"/>
          <w:szCs w:val="24"/>
        </w:rPr>
        <w:t xml:space="preserve">BSEA </w:t>
      </w:r>
      <w:r w:rsidRPr="005417EB">
        <w:rPr>
          <w:rFonts w:ascii="Arial" w:eastAsia="Times New Roman" w:hAnsi="Arial" w:cs="Arial"/>
          <w:i/>
          <w:sz w:val="24"/>
          <w:szCs w:val="24"/>
        </w:rPr>
        <w:t>H</w:t>
      </w:r>
      <w:r w:rsidRPr="009D3DAC">
        <w:rPr>
          <w:rFonts w:ascii="Arial" w:eastAsia="Times New Roman" w:hAnsi="Arial" w:cs="Arial"/>
          <w:i/>
          <w:sz w:val="24"/>
          <w:szCs w:val="24"/>
        </w:rPr>
        <w:t>earing Rules for Special Education Appeals</w:t>
      </w:r>
      <w:r>
        <w:rPr>
          <w:rFonts w:ascii="Arial" w:eastAsia="Times New Roman" w:hAnsi="Arial" w:cs="Arial"/>
          <w:sz w:val="24"/>
          <w:szCs w:val="24"/>
        </w:rPr>
        <w:t>, (</w:t>
      </w:r>
      <w:r w:rsidRPr="006C6B35">
        <w:rPr>
          <w:rFonts w:ascii="Arial" w:eastAsia="Times New Roman" w:hAnsi="Arial" w:cs="Arial"/>
          <w:i/>
          <w:sz w:val="24"/>
          <w:szCs w:val="24"/>
        </w:rPr>
        <w:t>Hearing Rules</w:t>
      </w:r>
      <w:r>
        <w:rPr>
          <w:rFonts w:ascii="Arial" w:eastAsia="Times New Roman" w:hAnsi="Arial" w:cs="Arial"/>
          <w:sz w:val="24"/>
          <w:szCs w:val="24"/>
        </w:rPr>
        <w:t xml:space="preserve">) a hearing officer may dismiss all or part of a hearing request for “failure to state a claim upon which relief may be granted.” </w:t>
      </w:r>
      <w:r w:rsidRPr="00DD2369">
        <w:rPr>
          <w:rFonts w:ascii="Arial" w:eastAsia="Times New Roman" w:hAnsi="Arial" w:cs="Arial"/>
          <w:i/>
          <w:sz w:val="24"/>
          <w:szCs w:val="24"/>
        </w:rPr>
        <w:t>Id</w:t>
      </w:r>
      <w:r>
        <w:rPr>
          <w:rFonts w:ascii="Arial" w:eastAsia="Times New Roman" w:hAnsi="Arial" w:cs="Arial"/>
          <w:sz w:val="24"/>
          <w:szCs w:val="24"/>
        </w:rPr>
        <w:t>.</w:t>
      </w:r>
      <w:r>
        <w:rPr>
          <w:rStyle w:val="FootnoteReference"/>
          <w:rFonts w:ascii="Arial" w:eastAsia="Times New Roman" w:hAnsi="Arial" w:cs="Arial"/>
          <w:sz w:val="24"/>
          <w:szCs w:val="24"/>
        </w:rPr>
        <w:footnoteReference w:id="2"/>
      </w:r>
      <w:r>
        <w:rPr>
          <w:rFonts w:ascii="Arial" w:eastAsia="Times New Roman" w:hAnsi="Arial" w:cs="Arial"/>
          <w:sz w:val="24"/>
          <w:szCs w:val="24"/>
        </w:rPr>
        <w:t xml:space="preserve">  In determining whether to dismiss a claim, a hearing officer must consider as true all facts alleged by the party opposing dismissal.  The hearing officer should not dismiss the case if the f</w:t>
      </w:r>
      <w:r w:rsidR="00DC41EB">
        <w:rPr>
          <w:rFonts w:ascii="Arial" w:eastAsia="Times New Roman" w:hAnsi="Arial" w:cs="Arial"/>
          <w:sz w:val="24"/>
          <w:szCs w:val="24"/>
        </w:rPr>
        <w:t xml:space="preserve">acts alleged in the hearing request, </w:t>
      </w:r>
      <w:r>
        <w:rPr>
          <w:rFonts w:ascii="Arial" w:eastAsia="Times New Roman" w:hAnsi="Arial" w:cs="Arial"/>
          <w:sz w:val="24"/>
          <w:szCs w:val="24"/>
        </w:rPr>
        <w:t xml:space="preserve">if proven, would entitle the non-moving party to relief that the BSEA has authority to grant. </w:t>
      </w:r>
      <w:proofErr w:type="spellStart"/>
      <w:proofErr w:type="gramStart"/>
      <w:r w:rsidRPr="00410139">
        <w:rPr>
          <w:rFonts w:ascii="Arial" w:eastAsia="Times New Roman" w:hAnsi="Arial" w:cs="Arial"/>
          <w:i/>
          <w:sz w:val="24"/>
          <w:szCs w:val="24"/>
        </w:rPr>
        <w:t>Caleron</w:t>
      </w:r>
      <w:proofErr w:type="spellEnd"/>
      <w:r w:rsidRPr="00410139">
        <w:rPr>
          <w:rFonts w:ascii="Arial" w:eastAsia="Times New Roman" w:hAnsi="Arial" w:cs="Arial"/>
          <w:i/>
          <w:sz w:val="24"/>
          <w:szCs w:val="24"/>
        </w:rPr>
        <w:t xml:space="preserve">-Ortiz v. </w:t>
      </w:r>
      <w:proofErr w:type="spellStart"/>
      <w:r w:rsidRPr="00410139">
        <w:rPr>
          <w:rFonts w:ascii="Arial" w:eastAsia="Times New Roman" w:hAnsi="Arial" w:cs="Arial"/>
          <w:i/>
          <w:sz w:val="24"/>
          <w:szCs w:val="24"/>
        </w:rPr>
        <w:t>LaBoy</w:t>
      </w:r>
      <w:proofErr w:type="spellEnd"/>
      <w:r w:rsidRPr="00410139">
        <w:rPr>
          <w:rFonts w:ascii="Arial" w:eastAsia="Times New Roman" w:hAnsi="Arial" w:cs="Arial"/>
          <w:i/>
          <w:sz w:val="24"/>
          <w:szCs w:val="24"/>
        </w:rPr>
        <w:t>-Alvarado</w:t>
      </w:r>
      <w:r>
        <w:rPr>
          <w:rFonts w:ascii="Arial" w:eastAsia="Times New Roman" w:hAnsi="Arial" w:cs="Arial"/>
          <w:sz w:val="24"/>
          <w:szCs w:val="24"/>
        </w:rPr>
        <w:t>, 300 F.3d 60 (1</w:t>
      </w:r>
      <w:r w:rsidRPr="00410139">
        <w:rPr>
          <w:rFonts w:ascii="Arial" w:eastAsia="Times New Roman" w:hAnsi="Arial" w:cs="Arial"/>
          <w:sz w:val="24"/>
          <w:szCs w:val="24"/>
          <w:vertAlign w:val="superscript"/>
        </w:rPr>
        <w:t>st</w:t>
      </w:r>
      <w:r>
        <w:rPr>
          <w:rFonts w:ascii="Arial" w:eastAsia="Times New Roman" w:hAnsi="Arial" w:cs="Arial"/>
          <w:sz w:val="24"/>
          <w:szCs w:val="24"/>
        </w:rPr>
        <w:t xml:space="preserve"> Cir. 2002); </w:t>
      </w:r>
      <w:r w:rsidRPr="009D3DAC">
        <w:rPr>
          <w:rFonts w:ascii="Arial" w:eastAsia="Times New Roman" w:hAnsi="Arial" w:cs="Arial"/>
          <w:i/>
          <w:sz w:val="24"/>
          <w:szCs w:val="24"/>
        </w:rPr>
        <w:t>Ocasio-Hernandez v. Fortunato-</w:t>
      </w:r>
      <w:proofErr w:type="spellStart"/>
      <w:r w:rsidRPr="009D3DAC">
        <w:rPr>
          <w:rFonts w:ascii="Arial" w:eastAsia="Times New Roman" w:hAnsi="Arial" w:cs="Arial"/>
          <w:i/>
          <w:sz w:val="24"/>
          <w:szCs w:val="24"/>
        </w:rPr>
        <w:t>Burset</w:t>
      </w:r>
      <w:proofErr w:type="spellEnd"/>
      <w:r>
        <w:rPr>
          <w:rFonts w:ascii="Arial" w:eastAsia="Times New Roman" w:hAnsi="Arial" w:cs="Arial"/>
          <w:sz w:val="24"/>
          <w:szCs w:val="24"/>
        </w:rPr>
        <w:t>, 640 F.3d. 1 (1</w:t>
      </w:r>
      <w:r w:rsidRPr="009D3DAC">
        <w:rPr>
          <w:rFonts w:ascii="Arial" w:eastAsia="Times New Roman" w:hAnsi="Arial" w:cs="Arial"/>
          <w:sz w:val="24"/>
          <w:szCs w:val="24"/>
          <w:vertAlign w:val="superscript"/>
        </w:rPr>
        <w:t>st</w:t>
      </w:r>
      <w:r>
        <w:rPr>
          <w:rFonts w:ascii="Arial" w:eastAsia="Times New Roman" w:hAnsi="Arial" w:cs="Arial"/>
          <w:sz w:val="24"/>
          <w:szCs w:val="24"/>
        </w:rPr>
        <w:t xml:space="preserve"> Cir. 2011).</w:t>
      </w:r>
      <w:proofErr w:type="gramEnd"/>
      <w:r>
        <w:rPr>
          <w:rFonts w:ascii="Arial" w:eastAsia="Times New Roman" w:hAnsi="Arial" w:cs="Arial"/>
          <w:sz w:val="24"/>
          <w:szCs w:val="24"/>
        </w:rPr>
        <w:t xml:space="preserve">  A motion to dismiss will be denied if “accepting as true well-pleaded factual averments and indulging all reasonable inferences in the plaintiff’s favor…recovery can be justified under any applicable legal theory.” </w:t>
      </w:r>
      <w:r w:rsidRPr="00D047CA">
        <w:rPr>
          <w:rFonts w:ascii="Arial" w:eastAsia="Times New Roman" w:hAnsi="Arial" w:cs="Arial"/>
          <w:i/>
          <w:sz w:val="24"/>
          <w:szCs w:val="24"/>
        </w:rPr>
        <w:t>See</w:t>
      </w:r>
      <w:r>
        <w:rPr>
          <w:rFonts w:ascii="Arial" w:eastAsia="Times New Roman" w:hAnsi="Arial" w:cs="Arial"/>
          <w:sz w:val="24"/>
          <w:szCs w:val="24"/>
        </w:rPr>
        <w:t xml:space="preserve"> </w:t>
      </w:r>
      <w:proofErr w:type="spellStart"/>
      <w:r>
        <w:rPr>
          <w:rFonts w:ascii="Arial" w:eastAsia="Times New Roman" w:hAnsi="Arial" w:cs="Arial"/>
          <w:i/>
          <w:sz w:val="24"/>
          <w:szCs w:val="24"/>
        </w:rPr>
        <w:t>Caleron</w:t>
      </w:r>
      <w:proofErr w:type="spellEnd"/>
      <w:r>
        <w:rPr>
          <w:rFonts w:ascii="Arial" w:eastAsia="Times New Roman" w:hAnsi="Arial" w:cs="Arial"/>
          <w:i/>
          <w:sz w:val="24"/>
          <w:szCs w:val="24"/>
        </w:rPr>
        <w:t>-Ortiz, supra</w:t>
      </w:r>
      <w:r>
        <w:rPr>
          <w:rFonts w:ascii="Arial" w:eastAsia="Times New Roman" w:hAnsi="Arial" w:cs="Arial"/>
          <w:sz w:val="24"/>
          <w:szCs w:val="24"/>
        </w:rPr>
        <w:t xml:space="preserve">. </w:t>
      </w:r>
      <w:r w:rsidRPr="00D047CA">
        <w:rPr>
          <w:rFonts w:ascii="Arial" w:eastAsia="Times New Roman" w:hAnsi="Arial" w:cs="Arial"/>
          <w:i/>
          <w:sz w:val="24"/>
          <w:szCs w:val="24"/>
        </w:rPr>
        <w:t>See also</w:t>
      </w:r>
      <w:r>
        <w:rPr>
          <w:rFonts w:ascii="Arial" w:eastAsia="Times New Roman" w:hAnsi="Arial" w:cs="Arial"/>
          <w:sz w:val="24"/>
          <w:szCs w:val="24"/>
        </w:rPr>
        <w:t xml:space="preserve"> </w:t>
      </w:r>
      <w:r w:rsidRPr="002100E0">
        <w:rPr>
          <w:rFonts w:ascii="Arial" w:eastAsia="Times New Roman" w:hAnsi="Arial" w:cs="Arial"/>
          <w:i/>
          <w:sz w:val="24"/>
          <w:szCs w:val="24"/>
        </w:rPr>
        <w:t>San Juan Cable LLC v. Puerto Rico Telephone</w:t>
      </w:r>
      <w:r>
        <w:rPr>
          <w:rFonts w:ascii="Arial" w:eastAsia="Times New Roman" w:hAnsi="Arial" w:cs="Arial"/>
          <w:sz w:val="24"/>
          <w:szCs w:val="24"/>
        </w:rPr>
        <w:t>, 612 F.3d 25 (1</w:t>
      </w:r>
      <w:r w:rsidRPr="00D047CA">
        <w:rPr>
          <w:rFonts w:ascii="Arial" w:eastAsia="Times New Roman" w:hAnsi="Arial" w:cs="Arial"/>
          <w:sz w:val="24"/>
          <w:szCs w:val="24"/>
          <w:vertAlign w:val="superscript"/>
        </w:rPr>
        <w:t>st</w:t>
      </w:r>
      <w:r>
        <w:rPr>
          <w:rFonts w:ascii="Arial" w:eastAsia="Times New Roman" w:hAnsi="Arial" w:cs="Arial"/>
          <w:sz w:val="24"/>
          <w:szCs w:val="24"/>
        </w:rPr>
        <w:t xml:space="preserve"> Cir. 2010).  The factual allegations must be sufficient to “raise a right to relief above a speculative level on the assumption that the allegations in the complaint are true (even if doubtful in fact.)” </w:t>
      </w:r>
      <w:proofErr w:type="gramStart"/>
      <w:r w:rsidRPr="009D3DAC">
        <w:rPr>
          <w:rFonts w:ascii="Arial" w:eastAsia="Times New Roman" w:hAnsi="Arial" w:cs="Arial"/>
          <w:i/>
          <w:sz w:val="24"/>
          <w:szCs w:val="24"/>
        </w:rPr>
        <w:t xml:space="preserve">Bell Atlantic v. </w:t>
      </w:r>
      <w:proofErr w:type="spellStart"/>
      <w:r w:rsidRPr="009D3DAC">
        <w:rPr>
          <w:rFonts w:ascii="Arial" w:eastAsia="Times New Roman" w:hAnsi="Arial" w:cs="Arial"/>
          <w:i/>
          <w:sz w:val="24"/>
          <w:szCs w:val="24"/>
        </w:rPr>
        <w:t>Twombly</w:t>
      </w:r>
      <w:proofErr w:type="spellEnd"/>
      <w:r>
        <w:rPr>
          <w:rFonts w:ascii="Arial" w:eastAsia="Times New Roman" w:hAnsi="Arial" w:cs="Arial"/>
          <w:sz w:val="24"/>
          <w:szCs w:val="24"/>
        </w:rPr>
        <w:t>, 550 U.S. 554, 555 (2007).</w:t>
      </w:r>
      <w:proofErr w:type="gramEnd"/>
      <w:r>
        <w:rPr>
          <w:rFonts w:ascii="Arial" w:eastAsia="Times New Roman" w:hAnsi="Arial" w:cs="Arial"/>
          <w:sz w:val="24"/>
          <w:szCs w:val="24"/>
        </w:rPr>
        <w:t xml:space="preserve"> </w:t>
      </w:r>
    </w:p>
    <w:p w:rsidR="00E31545" w:rsidRPr="009D3DAC" w:rsidRDefault="00E31545" w:rsidP="00E31545">
      <w:pPr>
        <w:spacing w:after="0" w:line="240" w:lineRule="auto"/>
        <w:rPr>
          <w:rFonts w:ascii="Arial" w:eastAsia="Times New Roman" w:hAnsi="Arial" w:cs="Arial"/>
          <w:sz w:val="24"/>
          <w:szCs w:val="24"/>
        </w:rPr>
      </w:pPr>
    </w:p>
    <w:p w:rsidR="00E31545" w:rsidRDefault="00E31545" w:rsidP="00E31545">
      <w:pPr>
        <w:spacing w:after="0" w:line="240" w:lineRule="auto"/>
        <w:ind w:firstLine="720"/>
        <w:rPr>
          <w:rFonts w:ascii="Arial" w:eastAsia="Times New Roman" w:hAnsi="Arial" w:cs="Arial"/>
          <w:sz w:val="24"/>
          <w:szCs w:val="24"/>
        </w:rPr>
      </w:pPr>
      <w:r>
        <w:rPr>
          <w:rFonts w:ascii="Arial" w:eastAsia="Times New Roman" w:hAnsi="Arial" w:cs="Arial"/>
          <w:sz w:val="24"/>
          <w:szCs w:val="24"/>
        </w:rPr>
        <w:t>The case may be dismissed o</w:t>
      </w:r>
      <w:r w:rsidR="00ED56DE">
        <w:rPr>
          <w:rFonts w:ascii="Arial" w:eastAsia="Times New Roman" w:hAnsi="Arial" w:cs="Arial"/>
          <w:sz w:val="24"/>
          <w:szCs w:val="24"/>
        </w:rPr>
        <w:t>nly if the hearing of</w:t>
      </w:r>
      <w:r w:rsidRPr="009D3DAC">
        <w:rPr>
          <w:rFonts w:ascii="Arial" w:eastAsia="Times New Roman" w:hAnsi="Arial" w:cs="Arial"/>
          <w:sz w:val="24"/>
          <w:szCs w:val="24"/>
        </w:rPr>
        <w:t xml:space="preserve">ficer cannot grant </w:t>
      </w:r>
      <w:r>
        <w:rPr>
          <w:rFonts w:ascii="Arial" w:eastAsia="Times New Roman" w:hAnsi="Arial" w:cs="Arial"/>
          <w:sz w:val="24"/>
          <w:szCs w:val="24"/>
        </w:rPr>
        <w:t xml:space="preserve">any </w:t>
      </w:r>
      <w:r w:rsidRPr="009D3DAC">
        <w:rPr>
          <w:rFonts w:ascii="Arial" w:eastAsia="Times New Roman" w:hAnsi="Arial" w:cs="Arial"/>
          <w:sz w:val="24"/>
          <w:szCs w:val="24"/>
        </w:rPr>
        <w:t>relief under federal</w:t>
      </w:r>
      <w:r>
        <w:rPr>
          <w:rStyle w:val="FootnoteReference"/>
          <w:rFonts w:ascii="Arial" w:eastAsia="Times New Roman" w:hAnsi="Arial" w:cs="Arial"/>
          <w:sz w:val="24"/>
          <w:szCs w:val="24"/>
        </w:rPr>
        <w:footnoteReference w:id="3"/>
      </w:r>
      <w:r w:rsidRPr="009D3DAC">
        <w:rPr>
          <w:rFonts w:ascii="Arial" w:eastAsia="Times New Roman" w:hAnsi="Arial" w:cs="Arial"/>
          <w:sz w:val="24"/>
          <w:szCs w:val="24"/>
        </w:rPr>
        <w:t xml:space="preserve"> or state</w:t>
      </w:r>
      <w:r>
        <w:rPr>
          <w:rStyle w:val="FootnoteReference"/>
          <w:rFonts w:ascii="Arial" w:eastAsia="Times New Roman" w:hAnsi="Arial" w:cs="Arial"/>
          <w:sz w:val="24"/>
          <w:szCs w:val="24"/>
        </w:rPr>
        <w:footnoteReference w:id="4"/>
      </w:r>
      <w:r>
        <w:rPr>
          <w:rFonts w:ascii="Arial" w:eastAsia="Times New Roman" w:hAnsi="Arial" w:cs="Arial"/>
          <w:sz w:val="24"/>
          <w:szCs w:val="24"/>
        </w:rPr>
        <w:t xml:space="preserve"> special education statutes</w:t>
      </w:r>
      <w:r w:rsidRPr="009D3DAC">
        <w:rPr>
          <w:rFonts w:ascii="Arial" w:eastAsia="Times New Roman" w:hAnsi="Arial" w:cs="Arial"/>
          <w:sz w:val="24"/>
          <w:szCs w:val="24"/>
        </w:rPr>
        <w:t xml:space="preserve">, or Section 504 </w:t>
      </w:r>
      <w:r>
        <w:rPr>
          <w:rFonts w:ascii="Arial" w:eastAsia="Times New Roman" w:hAnsi="Arial" w:cs="Arial"/>
          <w:sz w:val="24"/>
          <w:szCs w:val="24"/>
        </w:rPr>
        <w:t>of the Rehabilitation Act.</w:t>
      </w:r>
      <w:r>
        <w:rPr>
          <w:rStyle w:val="FootnoteReference"/>
          <w:rFonts w:ascii="Arial" w:eastAsia="Times New Roman" w:hAnsi="Arial" w:cs="Arial"/>
          <w:sz w:val="24"/>
          <w:szCs w:val="24"/>
        </w:rPr>
        <w:footnoteReference w:id="5"/>
      </w:r>
      <w:r w:rsidRPr="009D3DAC">
        <w:rPr>
          <w:rFonts w:ascii="Arial" w:eastAsia="Times New Roman" w:hAnsi="Arial" w:cs="Arial"/>
          <w:sz w:val="24"/>
          <w:szCs w:val="24"/>
        </w:rPr>
        <w:t xml:space="preserve"> See </w:t>
      </w:r>
      <w:r>
        <w:rPr>
          <w:rFonts w:ascii="Arial" w:eastAsia="Times New Roman" w:hAnsi="Arial" w:cs="Arial"/>
          <w:i/>
          <w:sz w:val="24"/>
          <w:szCs w:val="24"/>
        </w:rPr>
        <w:t xml:space="preserve">Calderon-Ortiz, supra; </w:t>
      </w:r>
      <w:r w:rsidRPr="005417EB">
        <w:rPr>
          <w:rFonts w:ascii="Arial" w:eastAsia="Times New Roman" w:hAnsi="Arial" w:cs="Arial"/>
          <w:i/>
          <w:sz w:val="24"/>
          <w:szCs w:val="24"/>
        </w:rPr>
        <w:t>W</w:t>
      </w:r>
      <w:r>
        <w:rPr>
          <w:rFonts w:ascii="Arial" w:eastAsia="Times New Roman" w:hAnsi="Arial" w:cs="Arial"/>
          <w:i/>
          <w:sz w:val="24"/>
          <w:szCs w:val="24"/>
        </w:rPr>
        <w:t>h</w:t>
      </w:r>
      <w:r w:rsidRPr="009D3DAC">
        <w:rPr>
          <w:rFonts w:ascii="Arial" w:eastAsia="Times New Roman" w:hAnsi="Arial" w:cs="Arial"/>
          <w:i/>
          <w:sz w:val="24"/>
          <w:szCs w:val="24"/>
        </w:rPr>
        <w:t xml:space="preserve">itinsville Plaza Inc. v. </w:t>
      </w:r>
      <w:proofErr w:type="spellStart"/>
      <w:r w:rsidRPr="009D3DAC">
        <w:rPr>
          <w:rFonts w:ascii="Arial" w:eastAsia="Times New Roman" w:hAnsi="Arial" w:cs="Arial"/>
          <w:i/>
          <w:sz w:val="24"/>
          <w:szCs w:val="24"/>
        </w:rPr>
        <w:t>Kotseas</w:t>
      </w:r>
      <w:proofErr w:type="spellEnd"/>
      <w:r w:rsidRPr="009D3DAC">
        <w:rPr>
          <w:rFonts w:ascii="Arial" w:eastAsia="Times New Roman" w:hAnsi="Arial" w:cs="Arial"/>
          <w:sz w:val="24"/>
          <w:szCs w:val="24"/>
        </w:rPr>
        <w:t xml:space="preserve">, 378 Mass. 85, 89 (1979); </w:t>
      </w:r>
      <w:r w:rsidRPr="009D3DAC">
        <w:rPr>
          <w:rFonts w:ascii="Arial" w:eastAsia="Times New Roman" w:hAnsi="Arial" w:cs="Arial"/>
          <w:i/>
          <w:sz w:val="24"/>
          <w:szCs w:val="24"/>
        </w:rPr>
        <w:t>Nader v. Citron</w:t>
      </w:r>
      <w:r w:rsidRPr="009D3DAC">
        <w:rPr>
          <w:rFonts w:ascii="Arial" w:eastAsia="Times New Roman" w:hAnsi="Arial" w:cs="Arial"/>
          <w:sz w:val="24"/>
          <w:szCs w:val="24"/>
        </w:rPr>
        <w:t xml:space="preserve">, 372 Mass. 96, 98 (1977); </w:t>
      </w:r>
      <w:r w:rsidRPr="009D3DAC">
        <w:rPr>
          <w:rFonts w:ascii="Arial" w:eastAsia="Times New Roman" w:hAnsi="Arial" w:cs="Arial"/>
          <w:i/>
          <w:sz w:val="24"/>
          <w:szCs w:val="24"/>
        </w:rPr>
        <w:t>Norfolk County Agricultural School</w:t>
      </w:r>
      <w:r w:rsidRPr="009D3DAC">
        <w:rPr>
          <w:rFonts w:ascii="Arial" w:eastAsia="Times New Roman" w:hAnsi="Arial" w:cs="Arial"/>
          <w:sz w:val="24"/>
          <w:szCs w:val="24"/>
        </w:rPr>
        <w:t>, 45 IDELR, 26 (</w:t>
      </w:r>
      <w:r>
        <w:rPr>
          <w:rFonts w:ascii="Arial" w:eastAsia="Times New Roman" w:hAnsi="Arial" w:cs="Arial"/>
          <w:sz w:val="24"/>
          <w:szCs w:val="24"/>
        </w:rPr>
        <w:t xml:space="preserve">2005).  </w:t>
      </w:r>
      <w:r w:rsidRPr="009D3DAC">
        <w:rPr>
          <w:rFonts w:ascii="Arial" w:eastAsia="Times New Roman" w:hAnsi="Arial" w:cs="Arial"/>
          <w:sz w:val="24"/>
          <w:szCs w:val="24"/>
        </w:rPr>
        <w:t>Conv</w:t>
      </w:r>
      <w:r>
        <w:rPr>
          <w:rFonts w:ascii="Arial" w:eastAsia="Times New Roman" w:hAnsi="Arial" w:cs="Arial"/>
          <w:sz w:val="24"/>
          <w:szCs w:val="24"/>
        </w:rPr>
        <w:t xml:space="preserve">ersely, if the </w:t>
      </w:r>
      <w:r w:rsidRPr="009D3DAC">
        <w:rPr>
          <w:rFonts w:ascii="Arial" w:eastAsia="Times New Roman" w:hAnsi="Arial" w:cs="Arial"/>
          <w:sz w:val="24"/>
          <w:szCs w:val="24"/>
        </w:rPr>
        <w:t xml:space="preserve">allegations </w:t>
      </w:r>
      <w:r>
        <w:rPr>
          <w:rFonts w:ascii="Arial" w:eastAsia="Times New Roman" w:hAnsi="Arial" w:cs="Arial"/>
          <w:sz w:val="24"/>
          <w:szCs w:val="24"/>
        </w:rPr>
        <w:t>of the party opposing dismissal “contain sufficient factual matter…to ‘state a claim to relief that is plausible on its face,’”</w:t>
      </w:r>
      <w:r w:rsidRPr="009D3DAC">
        <w:rPr>
          <w:rFonts w:ascii="Arial" w:eastAsia="Times New Roman" w:hAnsi="Arial" w:cs="Arial"/>
          <w:sz w:val="24"/>
          <w:szCs w:val="24"/>
        </w:rPr>
        <w:t xml:space="preserve"> </w:t>
      </w:r>
      <w:r>
        <w:rPr>
          <w:rFonts w:ascii="Arial" w:eastAsia="Times New Roman" w:hAnsi="Arial" w:cs="Arial"/>
          <w:sz w:val="24"/>
          <w:szCs w:val="24"/>
        </w:rPr>
        <w:t>under any one or more of these statutory provisions,</w:t>
      </w:r>
      <w:r w:rsidRPr="009D3DAC">
        <w:rPr>
          <w:rFonts w:ascii="Arial" w:eastAsia="Times New Roman" w:hAnsi="Arial" w:cs="Arial"/>
          <w:sz w:val="24"/>
          <w:szCs w:val="24"/>
        </w:rPr>
        <w:t xml:space="preserve"> the</w:t>
      </w:r>
      <w:r w:rsidRPr="00EB0858">
        <w:rPr>
          <w:rFonts w:ascii="Arial" w:eastAsia="Times New Roman" w:hAnsi="Arial" w:cs="Arial"/>
          <w:sz w:val="24"/>
          <w:szCs w:val="24"/>
        </w:rPr>
        <w:t xml:space="preserve"> </w:t>
      </w:r>
      <w:r w:rsidRPr="009D3DAC">
        <w:rPr>
          <w:rFonts w:ascii="Arial" w:eastAsia="Times New Roman" w:hAnsi="Arial" w:cs="Arial"/>
          <w:sz w:val="24"/>
          <w:szCs w:val="24"/>
        </w:rPr>
        <w:t xml:space="preserve">matter </w:t>
      </w:r>
      <w:r>
        <w:rPr>
          <w:rFonts w:ascii="Arial" w:eastAsia="Times New Roman" w:hAnsi="Arial" w:cs="Arial"/>
          <w:sz w:val="24"/>
          <w:szCs w:val="24"/>
        </w:rPr>
        <w:t xml:space="preserve">should </w:t>
      </w:r>
      <w:r w:rsidRPr="009D3DAC">
        <w:rPr>
          <w:rFonts w:ascii="Arial" w:eastAsia="Times New Roman" w:hAnsi="Arial" w:cs="Arial"/>
          <w:sz w:val="24"/>
          <w:szCs w:val="24"/>
        </w:rPr>
        <w:t xml:space="preserve">not be dismissed. See </w:t>
      </w:r>
      <w:r w:rsidRPr="00BA64E2">
        <w:rPr>
          <w:rFonts w:ascii="Arial" w:eastAsia="Times New Roman" w:hAnsi="Arial" w:cs="Arial"/>
          <w:i/>
          <w:sz w:val="24"/>
          <w:szCs w:val="24"/>
        </w:rPr>
        <w:t>Haley v. City of Boston</w:t>
      </w:r>
      <w:r>
        <w:rPr>
          <w:rFonts w:ascii="Arial" w:eastAsia="Times New Roman" w:hAnsi="Arial" w:cs="Arial"/>
          <w:sz w:val="24"/>
          <w:szCs w:val="24"/>
        </w:rPr>
        <w:t>, 657 F.3d 39, 46 (1</w:t>
      </w:r>
      <w:r w:rsidRPr="00BA64E2">
        <w:rPr>
          <w:rFonts w:ascii="Arial" w:eastAsia="Times New Roman" w:hAnsi="Arial" w:cs="Arial"/>
          <w:sz w:val="24"/>
          <w:szCs w:val="24"/>
          <w:vertAlign w:val="superscript"/>
        </w:rPr>
        <w:t>st</w:t>
      </w:r>
      <w:r>
        <w:rPr>
          <w:rFonts w:ascii="Arial" w:eastAsia="Times New Roman" w:hAnsi="Arial" w:cs="Arial"/>
          <w:sz w:val="24"/>
          <w:szCs w:val="24"/>
        </w:rPr>
        <w:t xml:space="preserve"> Cir. 2011), quoting </w:t>
      </w:r>
      <w:r w:rsidRPr="009D3DAC">
        <w:rPr>
          <w:rFonts w:ascii="Arial" w:eastAsia="Times New Roman" w:hAnsi="Arial" w:cs="Arial"/>
          <w:i/>
          <w:sz w:val="24"/>
          <w:szCs w:val="24"/>
        </w:rPr>
        <w:t>Ashc</w:t>
      </w:r>
      <w:r>
        <w:rPr>
          <w:rFonts w:ascii="Arial" w:eastAsia="Times New Roman" w:hAnsi="Arial" w:cs="Arial"/>
          <w:i/>
          <w:sz w:val="24"/>
          <w:szCs w:val="24"/>
        </w:rPr>
        <w:t>ro</w:t>
      </w:r>
      <w:r w:rsidRPr="009D3DAC">
        <w:rPr>
          <w:rFonts w:ascii="Arial" w:eastAsia="Times New Roman" w:hAnsi="Arial" w:cs="Arial"/>
          <w:i/>
          <w:sz w:val="24"/>
          <w:szCs w:val="24"/>
        </w:rPr>
        <w:t>ft v. Iqbal</w:t>
      </w:r>
      <w:r w:rsidRPr="009D3DAC">
        <w:rPr>
          <w:rFonts w:ascii="Arial" w:eastAsia="Times New Roman" w:hAnsi="Arial" w:cs="Arial"/>
          <w:sz w:val="24"/>
          <w:szCs w:val="24"/>
        </w:rPr>
        <w:t xml:space="preserve">, </w:t>
      </w:r>
      <w:r>
        <w:rPr>
          <w:rFonts w:ascii="Arial" w:eastAsia="Times New Roman" w:hAnsi="Arial" w:cs="Arial"/>
          <w:sz w:val="24"/>
          <w:szCs w:val="24"/>
        </w:rPr>
        <w:t>556 U.S. 662, 678 (2009)</w:t>
      </w:r>
      <w:r w:rsidRPr="009D3DAC">
        <w:rPr>
          <w:rFonts w:ascii="Arial" w:eastAsia="Times New Roman" w:hAnsi="Arial" w:cs="Arial"/>
          <w:sz w:val="24"/>
          <w:szCs w:val="24"/>
        </w:rPr>
        <w:t>.</w:t>
      </w:r>
    </w:p>
    <w:p w:rsidR="00ED56DE" w:rsidRDefault="00ED56DE" w:rsidP="00E31545">
      <w:pPr>
        <w:spacing w:after="0" w:line="240" w:lineRule="auto"/>
        <w:ind w:firstLine="720"/>
        <w:rPr>
          <w:rFonts w:ascii="Arial" w:eastAsia="Times New Roman" w:hAnsi="Arial" w:cs="Arial"/>
          <w:sz w:val="24"/>
          <w:szCs w:val="24"/>
        </w:rPr>
      </w:pPr>
    </w:p>
    <w:p w:rsidR="00ED56DE" w:rsidRDefault="00ED56DE" w:rsidP="00E31545">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Finally, consistent with opinions from the First Circuit Court of Appeals, hearing officers must liberally construe pleadings filed by </w:t>
      </w:r>
      <w:r w:rsidRPr="00ED56DE">
        <w:rPr>
          <w:rFonts w:ascii="Arial" w:eastAsia="Times New Roman" w:hAnsi="Arial" w:cs="Arial"/>
          <w:i/>
          <w:sz w:val="24"/>
          <w:szCs w:val="24"/>
        </w:rPr>
        <w:t>pro se</w:t>
      </w:r>
      <w:r>
        <w:rPr>
          <w:rFonts w:ascii="Arial" w:eastAsia="Times New Roman" w:hAnsi="Arial" w:cs="Arial"/>
          <w:sz w:val="24"/>
          <w:szCs w:val="24"/>
        </w:rPr>
        <w:t xml:space="preserve"> parties.  </w:t>
      </w:r>
      <w:r w:rsidRPr="004E6E4C">
        <w:rPr>
          <w:rFonts w:ascii="Arial" w:hAnsi="Arial" w:cs="Arial"/>
          <w:sz w:val="24"/>
          <w:szCs w:val="24"/>
        </w:rPr>
        <w:t>“The policy behind affording pro se plaintiffs liberal interpretation is that if they present sufficient facts [to state a claim], the court may intuit the correct cause of action, even if it was imperfectly pled. This principle align</w:t>
      </w:r>
      <w:r w:rsidR="00AA277A">
        <w:rPr>
          <w:rFonts w:ascii="Arial" w:hAnsi="Arial" w:cs="Arial"/>
          <w:sz w:val="24"/>
          <w:szCs w:val="24"/>
        </w:rPr>
        <w:t>s with “[o]</w:t>
      </w:r>
      <w:proofErr w:type="spellStart"/>
      <w:proofErr w:type="gramStart"/>
      <w:r w:rsidR="00AA277A">
        <w:rPr>
          <w:rFonts w:ascii="Arial" w:hAnsi="Arial" w:cs="Arial"/>
          <w:sz w:val="24"/>
          <w:szCs w:val="24"/>
        </w:rPr>
        <w:t>ur</w:t>
      </w:r>
      <w:proofErr w:type="spellEnd"/>
      <w:proofErr w:type="gramEnd"/>
      <w:r w:rsidR="00AA277A">
        <w:rPr>
          <w:rFonts w:ascii="Arial" w:hAnsi="Arial" w:cs="Arial"/>
          <w:sz w:val="24"/>
          <w:szCs w:val="24"/>
        </w:rPr>
        <w:t xml:space="preserve"> judicial system, [</w:t>
      </w:r>
      <w:r w:rsidRPr="004E6E4C">
        <w:rPr>
          <w:rFonts w:ascii="Arial" w:hAnsi="Arial" w:cs="Arial"/>
          <w:sz w:val="24"/>
          <w:szCs w:val="24"/>
        </w:rPr>
        <w:t xml:space="preserve">which] zealously guards the attempts of </w:t>
      </w:r>
      <w:r w:rsidRPr="00AA277A">
        <w:rPr>
          <w:rFonts w:ascii="Arial" w:hAnsi="Arial" w:cs="Arial"/>
          <w:i/>
          <w:sz w:val="24"/>
          <w:szCs w:val="24"/>
        </w:rPr>
        <w:t>pro se</w:t>
      </w:r>
      <w:r w:rsidRPr="004E6E4C">
        <w:rPr>
          <w:rFonts w:ascii="Arial" w:hAnsi="Arial" w:cs="Arial"/>
          <w:sz w:val="24"/>
          <w:szCs w:val="24"/>
        </w:rPr>
        <w:t xml:space="preserve"> litigants on their own behalf” while not ignoring the need for compliance with procedural and substantive law.</w:t>
      </w:r>
      <w:r>
        <w:rPr>
          <w:rFonts w:ascii="Arial" w:hAnsi="Arial" w:cs="Arial"/>
          <w:sz w:val="24"/>
          <w:szCs w:val="24"/>
        </w:rPr>
        <w:t xml:space="preserve">” </w:t>
      </w:r>
      <w:r w:rsidRPr="00ED56DE">
        <w:rPr>
          <w:rFonts w:ascii="Arial" w:eastAsia="Times New Roman" w:hAnsi="Arial" w:cs="Arial"/>
          <w:i/>
          <w:sz w:val="24"/>
          <w:szCs w:val="24"/>
        </w:rPr>
        <w:t xml:space="preserve"> Ahmed v. Rosenblatt</w:t>
      </w:r>
      <w:r>
        <w:rPr>
          <w:rFonts w:ascii="Arial" w:eastAsia="Times New Roman" w:hAnsi="Arial" w:cs="Arial"/>
          <w:sz w:val="24"/>
          <w:szCs w:val="24"/>
        </w:rPr>
        <w:t xml:space="preserve">, </w:t>
      </w:r>
      <w:proofErr w:type="gramStart"/>
      <w:r>
        <w:rPr>
          <w:rFonts w:ascii="Arial" w:eastAsia="Times New Roman" w:hAnsi="Arial" w:cs="Arial"/>
          <w:sz w:val="24"/>
          <w:szCs w:val="24"/>
        </w:rPr>
        <w:t>118  F.3d</w:t>
      </w:r>
      <w:proofErr w:type="gramEnd"/>
      <w:r>
        <w:rPr>
          <w:rFonts w:ascii="Arial" w:eastAsia="Times New Roman" w:hAnsi="Arial" w:cs="Arial"/>
          <w:sz w:val="24"/>
          <w:szCs w:val="24"/>
        </w:rPr>
        <w:t xml:space="preserve"> 886, 890 (1</w:t>
      </w:r>
      <w:r w:rsidRPr="00ED56DE">
        <w:rPr>
          <w:rFonts w:ascii="Arial" w:eastAsia="Times New Roman" w:hAnsi="Arial" w:cs="Arial"/>
          <w:sz w:val="24"/>
          <w:szCs w:val="24"/>
          <w:vertAlign w:val="superscript"/>
        </w:rPr>
        <w:t>st</w:t>
      </w:r>
      <w:r>
        <w:rPr>
          <w:rFonts w:ascii="Arial" w:eastAsia="Times New Roman" w:hAnsi="Arial" w:cs="Arial"/>
          <w:sz w:val="24"/>
          <w:szCs w:val="24"/>
        </w:rPr>
        <w:t xml:space="preserve"> Cir., 1997)</w:t>
      </w:r>
    </w:p>
    <w:p w:rsidR="00AA277A" w:rsidRDefault="00AA277A" w:rsidP="00E31545">
      <w:pPr>
        <w:spacing w:after="0" w:line="240" w:lineRule="auto"/>
        <w:ind w:firstLine="720"/>
        <w:rPr>
          <w:rFonts w:ascii="Arial" w:eastAsia="Times New Roman" w:hAnsi="Arial" w:cs="Arial"/>
          <w:sz w:val="24"/>
          <w:szCs w:val="24"/>
        </w:rPr>
      </w:pPr>
    </w:p>
    <w:p w:rsidR="00AA277A" w:rsidRDefault="00AA277A" w:rsidP="00E31545">
      <w:pPr>
        <w:spacing w:after="0" w:line="240" w:lineRule="auto"/>
        <w:ind w:firstLine="720"/>
        <w:rPr>
          <w:rFonts w:ascii="Arial" w:eastAsia="Times New Roman" w:hAnsi="Arial" w:cs="Arial"/>
          <w:sz w:val="24"/>
          <w:szCs w:val="24"/>
        </w:rPr>
      </w:pPr>
    </w:p>
    <w:p w:rsidR="00AA277A" w:rsidRDefault="00AA277A" w:rsidP="00E31545">
      <w:pPr>
        <w:spacing w:after="0" w:line="240" w:lineRule="auto"/>
        <w:ind w:firstLine="720"/>
        <w:rPr>
          <w:rFonts w:ascii="Arial" w:eastAsia="Times New Roman" w:hAnsi="Arial" w:cs="Arial"/>
          <w:sz w:val="24"/>
          <w:szCs w:val="24"/>
        </w:rPr>
      </w:pPr>
    </w:p>
    <w:p w:rsidR="00E51948" w:rsidRDefault="00E51948" w:rsidP="00E31545">
      <w:pPr>
        <w:spacing w:after="0" w:line="240" w:lineRule="auto"/>
        <w:ind w:firstLine="720"/>
        <w:rPr>
          <w:rFonts w:ascii="Arial" w:eastAsia="Times New Roman" w:hAnsi="Arial" w:cs="Arial"/>
          <w:sz w:val="24"/>
          <w:szCs w:val="24"/>
        </w:rPr>
      </w:pPr>
    </w:p>
    <w:p w:rsidR="007A24AA" w:rsidRPr="007A24AA" w:rsidRDefault="007A24AA" w:rsidP="007A24AA">
      <w:pPr>
        <w:pStyle w:val="ListParagraph"/>
        <w:numPr>
          <w:ilvl w:val="0"/>
          <w:numId w:val="9"/>
        </w:numPr>
        <w:spacing w:after="0" w:line="240" w:lineRule="auto"/>
        <w:rPr>
          <w:rFonts w:ascii="Arial" w:eastAsia="Times New Roman" w:hAnsi="Arial" w:cs="Arial"/>
          <w:b/>
          <w:sz w:val="24"/>
          <w:szCs w:val="24"/>
        </w:rPr>
      </w:pPr>
      <w:r w:rsidRPr="007A24AA">
        <w:rPr>
          <w:rFonts w:ascii="Arial" w:eastAsia="Times New Roman" w:hAnsi="Arial" w:cs="Arial"/>
          <w:b/>
          <w:sz w:val="24"/>
          <w:szCs w:val="24"/>
        </w:rPr>
        <w:lastRenderedPageBreak/>
        <w:t>Discussion</w:t>
      </w:r>
    </w:p>
    <w:p w:rsidR="007A24AA" w:rsidRDefault="007A24AA" w:rsidP="00262B9C">
      <w:pPr>
        <w:spacing w:after="0" w:line="240" w:lineRule="auto"/>
        <w:ind w:firstLine="720"/>
        <w:rPr>
          <w:rFonts w:ascii="Arial" w:eastAsia="Times New Roman" w:hAnsi="Arial" w:cs="Arial"/>
          <w:sz w:val="24"/>
          <w:szCs w:val="24"/>
        </w:rPr>
      </w:pPr>
    </w:p>
    <w:p w:rsidR="00DC41EB" w:rsidRDefault="00A541C5" w:rsidP="00262B9C">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In their hearing request, </w:t>
      </w:r>
      <w:r w:rsidR="00090FCA">
        <w:rPr>
          <w:rFonts w:ascii="Arial" w:eastAsia="Times New Roman" w:hAnsi="Arial" w:cs="Arial"/>
          <w:sz w:val="24"/>
          <w:szCs w:val="24"/>
        </w:rPr>
        <w:t xml:space="preserve">Parents </w:t>
      </w:r>
      <w:r w:rsidR="00262B9C">
        <w:rPr>
          <w:rFonts w:ascii="Arial" w:eastAsia="Times New Roman" w:hAnsi="Arial" w:cs="Arial"/>
          <w:sz w:val="24"/>
          <w:szCs w:val="24"/>
        </w:rPr>
        <w:t>seek</w:t>
      </w:r>
      <w:r w:rsidR="0052794F">
        <w:rPr>
          <w:rFonts w:ascii="Arial" w:eastAsia="Times New Roman" w:hAnsi="Arial" w:cs="Arial"/>
          <w:sz w:val="24"/>
          <w:szCs w:val="24"/>
        </w:rPr>
        <w:t xml:space="preserve"> continued funding for Carroll.</w:t>
      </w:r>
      <w:r>
        <w:rPr>
          <w:rStyle w:val="FootnoteReference"/>
          <w:rFonts w:ascii="Arial" w:eastAsia="Times New Roman" w:hAnsi="Arial" w:cs="Arial"/>
          <w:sz w:val="24"/>
          <w:szCs w:val="24"/>
        </w:rPr>
        <w:footnoteReference w:id="6"/>
      </w:r>
      <w:r w:rsidR="00262B9C">
        <w:rPr>
          <w:rFonts w:ascii="Arial" w:eastAsia="Times New Roman" w:hAnsi="Arial" w:cs="Arial"/>
          <w:sz w:val="24"/>
          <w:szCs w:val="24"/>
        </w:rPr>
        <w:t xml:space="preserve"> </w:t>
      </w:r>
      <w:r w:rsidR="0052794F">
        <w:rPr>
          <w:rFonts w:ascii="Arial" w:eastAsia="Times New Roman" w:hAnsi="Arial" w:cs="Arial"/>
          <w:sz w:val="24"/>
          <w:szCs w:val="24"/>
        </w:rPr>
        <w:t xml:space="preserve"> </w:t>
      </w:r>
      <w:r w:rsidR="00262B9C">
        <w:rPr>
          <w:rFonts w:ascii="Arial" w:eastAsia="Times New Roman" w:hAnsi="Arial" w:cs="Arial"/>
          <w:sz w:val="24"/>
          <w:szCs w:val="24"/>
        </w:rPr>
        <w:t xml:space="preserve">They </w:t>
      </w:r>
      <w:r w:rsidR="00090FCA">
        <w:rPr>
          <w:rFonts w:ascii="Arial" w:eastAsia="Times New Roman" w:hAnsi="Arial" w:cs="Arial"/>
          <w:sz w:val="24"/>
          <w:szCs w:val="24"/>
        </w:rPr>
        <w:t xml:space="preserve">allege that Lincoln ‘s proposed placement at Landmark is inappropriate because it would require Student to disrupt his current, successful placement at Carroll and would involve a much longer commute, both of which would be harmful to his mental health.  </w:t>
      </w:r>
      <w:r w:rsidR="00262B9C">
        <w:rPr>
          <w:rFonts w:ascii="Arial" w:eastAsia="Times New Roman" w:hAnsi="Arial" w:cs="Arial"/>
          <w:sz w:val="24"/>
          <w:szCs w:val="24"/>
        </w:rPr>
        <w:t xml:space="preserve">In its </w:t>
      </w:r>
      <w:r w:rsidR="00262B9C" w:rsidRPr="00262B9C">
        <w:rPr>
          <w:rFonts w:ascii="Arial" w:eastAsia="Times New Roman" w:hAnsi="Arial" w:cs="Arial"/>
          <w:i/>
          <w:sz w:val="24"/>
          <w:szCs w:val="24"/>
        </w:rPr>
        <w:t>Motion to Dismiss</w:t>
      </w:r>
      <w:r w:rsidR="00262B9C">
        <w:rPr>
          <w:rFonts w:ascii="Arial" w:eastAsia="Times New Roman" w:hAnsi="Arial" w:cs="Arial"/>
          <w:sz w:val="24"/>
          <w:szCs w:val="24"/>
        </w:rPr>
        <w:t xml:space="preserve"> Parents’ hearing request, Lincoln argues that because Parents consented to the Landmark placement in the IEP </w:t>
      </w:r>
      <w:r>
        <w:rPr>
          <w:rFonts w:ascii="Arial" w:eastAsia="Times New Roman" w:hAnsi="Arial" w:cs="Arial"/>
          <w:sz w:val="24"/>
          <w:szCs w:val="24"/>
        </w:rPr>
        <w:t xml:space="preserve">covering March 2019 to March </w:t>
      </w:r>
      <w:r w:rsidR="00262B9C">
        <w:rPr>
          <w:rFonts w:ascii="Arial" w:eastAsia="Times New Roman" w:hAnsi="Arial" w:cs="Arial"/>
          <w:sz w:val="24"/>
          <w:szCs w:val="24"/>
        </w:rPr>
        <w:t>2020, and did not subsequently reject the IEP or placement, Parents have failed to state a claim on whi</w:t>
      </w:r>
      <w:r>
        <w:rPr>
          <w:rFonts w:ascii="Arial" w:eastAsia="Times New Roman" w:hAnsi="Arial" w:cs="Arial"/>
          <w:sz w:val="24"/>
          <w:szCs w:val="24"/>
        </w:rPr>
        <w:t xml:space="preserve">ch relief may be granted, because the BSEA may not revisit accepted, expired IEPs that have been fully implemented.  </w:t>
      </w:r>
      <w:r w:rsidR="00262B9C">
        <w:rPr>
          <w:rFonts w:ascii="Arial" w:eastAsia="Times New Roman" w:hAnsi="Arial" w:cs="Arial"/>
          <w:sz w:val="24"/>
          <w:szCs w:val="24"/>
        </w:rPr>
        <w:t xml:space="preserve"> </w:t>
      </w:r>
    </w:p>
    <w:p w:rsidR="00CB241D" w:rsidRDefault="00CB241D" w:rsidP="00CB241D">
      <w:pPr>
        <w:spacing w:after="0" w:line="240" w:lineRule="auto"/>
        <w:rPr>
          <w:rFonts w:ascii="Arial" w:eastAsia="Times New Roman" w:hAnsi="Arial" w:cs="Arial"/>
          <w:sz w:val="24"/>
          <w:szCs w:val="24"/>
        </w:rPr>
      </w:pPr>
    </w:p>
    <w:p w:rsidR="00262B9C" w:rsidRPr="00CB241D" w:rsidRDefault="00CB241D" w:rsidP="00CB241D">
      <w:pPr>
        <w:spacing w:after="0" w:line="240" w:lineRule="auto"/>
        <w:ind w:firstLine="720"/>
        <w:rPr>
          <w:rFonts w:ascii="Arial" w:hAnsi="Arial" w:cs="Arial"/>
          <w:sz w:val="24"/>
          <w:szCs w:val="24"/>
        </w:rPr>
      </w:pPr>
      <w:r w:rsidRPr="00CB241D">
        <w:rPr>
          <w:rFonts w:ascii="Arial" w:hAnsi="Arial" w:cs="Arial"/>
          <w:sz w:val="24"/>
          <w:szCs w:val="24"/>
        </w:rPr>
        <w:t xml:space="preserve"> It is well-established that hearing officers “are precluded from re-opening/revisiting accepted IEPs that have expired where parents have participated in the development of the IEP; parents have received notice of their options for rejection of an IEP and proceeding to a due process hearing; parents have chosen to accept the IEP; and parents have never rejected the IEP during its term.”  </w:t>
      </w:r>
      <w:r w:rsidRPr="00CB241D">
        <w:rPr>
          <w:rFonts w:ascii="Arial" w:hAnsi="Arial" w:cs="Arial"/>
          <w:i/>
          <w:sz w:val="24"/>
          <w:szCs w:val="24"/>
        </w:rPr>
        <w:t>In Re:  Westport Community Schools</w:t>
      </w:r>
      <w:r w:rsidRPr="00CB241D">
        <w:rPr>
          <w:rFonts w:ascii="Arial" w:hAnsi="Arial" w:cs="Arial"/>
          <w:sz w:val="24"/>
          <w:szCs w:val="24"/>
        </w:rPr>
        <w:t xml:space="preserve">, 19 MSER 016 at 111 (Oliver, 2013) (Citations omitted).  </w:t>
      </w:r>
      <w:r w:rsidR="00A541C5" w:rsidRPr="00CB241D">
        <w:rPr>
          <w:rFonts w:ascii="Arial" w:eastAsia="Times New Roman" w:hAnsi="Arial" w:cs="Arial"/>
          <w:sz w:val="24"/>
          <w:szCs w:val="24"/>
        </w:rPr>
        <w:t xml:space="preserve">In this case, however, Parents allege that </w:t>
      </w:r>
      <w:r>
        <w:rPr>
          <w:rFonts w:ascii="Arial" w:eastAsia="Times New Roman" w:hAnsi="Arial" w:cs="Arial"/>
          <w:sz w:val="24"/>
          <w:szCs w:val="24"/>
        </w:rPr>
        <w:t>they signed the consent to place Student at Landmark solely to secure funding for a private placement, that they informed the District that they wished to continue Student’s enrollment at Carroll despite having consented to Landmark, and that, indeed, Lincoln continued to take steps toward obtaining DESE approval for a Carroll placement.  Parents’ hearing reque</w:t>
      </w:r>
      <w:r w:rsidR="001E42F0">
        <w:rPr>
          <w:rFonts w:ascii="Arial" w:eastAsia="Times New Roman" w:hAnsi="Arial" w:cs="Arial"/>
          <w:sz w:val="24"/>
          <w:szCs w:val="24"/>
        </w:rPr>
        <w:t>st seems to put into question whether they fully understood the implications of accepting the proposed placement, or whether, given subse</w:t>
      </w:r>
      <w:r w:rsidR="004E6E4C">
        <w:rPr>
          <w:rFonts w:ascii="Arial" w:eastAsia="Times New Roman" w:hAnsi="Arial" w:cs="Arial"/>
          <w:sz w:val="24"/>
          <w:szCs w:val="24"/>
        </w:rPr>
        <w:t xml:space="preserve">quent events and actions by Lincoln, they should be deemed as having </w:t>
      </w:r>
      <w:r w:rsidR="001E42F0">
        <w:rPr>
          <w:rFonts w:ascii="Arial" w:eastAsia="Times New Roman" w:hAnsi="Arial" w:cs="Arial"/>
          <w:sz w:val="24"/>
          <w:szCs w:val="24"/>
        </w:rPr>
        <w:t xml:space="preserve">rejected said placement.  </w:t>
      </w:r>
    </w:p>
    <w:p w:rsidR="00DC41EB" w:rsidRDefault="00DC41EB" w:rsidP="006C6798">
      <w:pPr>
        <w:pStyle w:val="BodyText"/>
        <w:ind w:firstLine="720"/>
        <w:rPr>
          <w:rFonts w:ascii="Arial" w:hAnsi="Arial" w:cs="Arial"/>
        </w:rPr>
      </w:pPr>
    </w:p>
    <w:p w:rsidR="004E6E4C" w:rsidRDefault="00AB6051" w:rsidP="00AB6051">
      <w:pPr>
        <w:spacing w:line="240" w:lineRule="auto"/>
        <w:ind w:firstLine="720"/>
        <w:rPr>
          <w:rFonts w:ascii="Times New Roman" w:hAnsi="Times New Roman" w:cs="Times New Roman"/>
          <w:sz w:val="24"/>
          <w:szCs w:val="24"/>
        </w:rPr>
      </w:pPr>
      <w:r>
        <w:rPr>
          <w:rFonts w:ascii="Arial" w:hAnsi="Arial" w:cs="Arial"/>
          <w:sz w:val="24"/>
          <w:szCs w:val="24"/>
        </w:rPr>
        <w:t xml:space="preserve">Construing Parents’ hearing request liberally, in light of their </w:t>
      </w:r>
      <w:r w:rsidRPr="00AB6051">
        <w:rPr>
          <w:rFonts w:ascii="Arial" w:hAnsi="Arial" w:cs="Arial"/>
          <w:i/>
          <w:sz w:val="24"/>
          <w:szCs w:val="24"/>
        </w:rPr>
        <w:t>pro se</w:t>
      </w:r>
      <w:r>
        <w:rPr>
          <w:rFonts w:ascii="Arial" w:hAnsi="Arial" w:cs="Arial"/>
          <w:sz w:val="24"/>
          <w:szCs w:val="24"/>
        </w:rPr>
        <w:t xml:space="preserve"> status, I find that they allege that Lincoln’s proposed Landmark placement is inappropriate, they appear to allege that their purported acceptance of the proposed Landmark placement may have been flawed or invalid, and that the relief that they seek is continued funding for Carroll.  Parents’ hearing request</w:t>
      </w:r>
      <w:r w:rsidR="00AA277A">
        <w:rPr>
          <w:rFonts w:ascii="Arial" w:hAnsi="Arial" w:cs="Arial"/>
          <w:sz w:val="24"/>
          <w:szCs w:val="24"/>
        </w:rPr>
        <w:t>, insofar as it seeks funding for Carroll,</w:t>
      </w:r>
      <w:r w:rsidR="00DE377F">
        <w:rPr>
          <w:rStyle w:val="FootnoteReference"/>
          <w:rFonts w:ascii="Arial" w:hAnsi="Arial" w:cs="Arial"/>
          <w:sz w:val="24"/>
          <w:szCs w:val="24"/>
        </w:rPr>
        <w:footnoteReference w:id="7"/>
      </w:r>
      <w:r w:rsidR="00AA277A">
        <w:rPr>
          <w:rFonts w:ascii="Arial" w:hAnsi="Arial" w:cs="Arial"/>
          <w:sz w:val="24"/>
          <w:szCs w:val="24"/>
        </w:rPr>
        <w:t xml:space="preserve"> </w:t>
      </w:r>
      <w:r>
        <w:rPr>
          <w:rFonts w:ascii="Arial" w:hAnsi="Arial" w:cs="Arial"/>
          <w:sz w:val="24"/>
          <w:szCs w:val="24"/>
        </w:rPr>
        <w:t xml:space="preserve">is sufficient to survive Lincoln’s </w:t>
      </w:r>
      <w:r w:rsidRPr="00AB6051">
        <w:rPr>
          <w:rFonts w:ascii="Arial" w:hAnsi="Arial" w:cs="Arial"/>
          <w:i/>
          <w:sz w:val="24"/>
          <w:szCs w:val="24"/>
        </w:rPr>
        <w:t>Motion to Dismiss</w:t>
      </w:r>
      <w:r>
        <w:rPr>
          <w:rFonts w:ascii="Arial" w:hAnsi="Arial" w:cs="Arial"/>
          <w:sz w:val="24"/>
          <w:szCs w:val="24"/>
        </w:rPr>
        <w:t xml:space="preserve">, and such Motion is DENIED.     </w:t>
      </w:r>
    </w:p>
    <w:p w:rsidR="00DC41EB" w:rsidRDefault="00E46D39" w:rsidP="00E46D39">
      <w:pPr>
        <w:pStyle w:val="BodyText"/>
        <w:numPr>
          <w:ilvl w:val="0"/>
          <w:numId w:val="9"/>
        </w:numPr>
        <w:rPr>
          <w:rFonts w:ascii="Arial" w:hAnsi="Arial" w:cs="Arial"/>
          <w:b/>
        </w:rPr>
      </w:pPr>
      <w:r>
        <w:rPr>
          <w:rFonts w:ascii="Arial" w:hAnsi="Arial" w:cs="Arial"/>
          <w:b/>
        </w:rPr>
        <w:t xml:space="preserve"> Additional </w:t>
      </w:r>
      <w:r w:rsidR="00AB6051" w:rsidRPr="00AB6051">
        <w:rPr>
          <w:rFonts w:ascii="Arial" w:hAnsi="Arial" w:cs="Arial"/>
          <w:b/>
        </w:rPr>
        <w:t>Factual Background for Summary Judgment</w:t>
      </w:r>
    </w:p>
    <w:p w:rsidR="00DE377F" w:rsidRDefault="00DE377F" w:rsidP="00DE377F">
      <w:pPr>
        <w:pStyle w:val="BodyText"/>
        <w:ind w:left="360"/>
        <w:rPr>
          <w:rFonts w:ascii="Arial" w:hAnsi="Arial" w:cs="Arial"/>
          <w:b/>
        </w:rPr>
      </w:pPr>
    </w:p>
    <w:p w:rsidR="00DE377F" w:rsidRPr="00DE377F" w:rsidRDefault="00DE377F" w:rsidP="00DE377F">
      <w:pPr>
        <w:pStyle w:val="BodyText"/>
        <w:ind w:firstLine="360"/>
        <w:rPr>
          <w:rFonts w:ascii="Arial" w:hAnsi="Arial" w:cs="Arial"/>
        </w:rPr>
      </w:pPr>
      <w:r w:rsidRPr="00DE377F">
        <w:rPr>
          <w:rFonts w:ascii="Arial" w:hAnsi="Arial" w:cs="Arial"/>
        </w:rPr>
        <w:t xml:space="preserve">The following </w:t>
      </w:r>
      <w:r w:rsidR="000E2D1A">
        <w:rPr>
          <w:rFonts w:ascii="Arial" w:hAnsi="Arial" w:cs="Arial"/>
        </w:rPr>
        <w:t xml:space="preserve">additional </w:t>
      </w:r>
      <w:r w:rsidRPr="00DE377F">
        <w:rPr>
          <w:rFonts w:ascii="Arial" w:hAnsi="Arial" w:cs="Arial"/>
        </w:rPr>
        <w:t xml:space="preserve">factual background is </w:t>
      </w:r>
      <w:r>
        <w:rPr>
          <w:rFonts w:ascii="Arial" w:hAnsi="Arial" w:cs="Arial"/>
        </w:rPr>
        <w:t xml:space="preserve">gleaned from all of the parties submissions to date, considered in the light most favorable to the non-moving party (Parents).  </w:t>
      </w:r>
    </w:p>
    <w:p w:rsidR="00E46D39" w:rsidRDefault="00E46D39" w:rsidP="00E46D39">
      <w:pPr>
        <w:pStyle w:val="BodyText"/>
        <w:rPr>
          <w:rFonts w:ascii="Arial" w:hAnsi="Arial" w:cs="Arial"/>
          <w:b/>
        </w:rPr>
      </w:pPr>
    </w:p>
    <w:p w:rsidR="00E46D39" w:rsidRDefault="00E46D39" w:rsidP="00E46D39">
      <w:pPr>
        <w:pStyle w:val="BodyText"/>
        <w:numPr>
          <w:ilvl w:val="0"/>
          <w:numId w:val="11"/>
        </w:numPr>
        <w:rPr>
          <w:rFonts w:ascii="Arial" w:hAnsi="Arial" w:cs="Arial"/>
        </w:rPr>
      </w:pPr>
      <w:r>
        <w:rPr>
          <w:rFonts w:ascii="Arial" w:hAnsi="Arial" w:cs="Arial"/>
        </w:rPr>
        <w:t>Parents signed Lincoln’s Placement Consent Form, which designated Landmark as Student’s placement, on April 3, 2019.  On April 10, 2019, Parents submitted the form to Lincoln attached to an email which stated the following:  “Please see attached the signed Placement Consent Form where we have consented to the placement at Landmark School.  As we described in the Team meeting, our preference is for [Student] to remain at Carroll, based on the following…”</w:t>
      </w:r>
      <w:r w:rsidR="007A24AA">
        <w:rPr>
          <w:rFonts w:ascii="Arial" w:hAnsi="Arial" w:cs="Arial"/>
        </w:rPr>
        <w:t xml:space="preserve">  </w:t>
      </w:r>
    </w:p>
    <w:p w:rsidR="00E46D39" w:rsidRDefault="00E46D39" w:rsidP="00E46D39">
      <w:pPr>
        <w:pStyle w:val="BodyText"/>
        <w:ind w:left="720"/>
        <w:rPr>
          <w:rFonts w:ascii="Arial" w:hAnsi="Arial" w:cs="Arial"/>
        </w:rPr>
      </w:pPr>
    </w:p>
    <w:p w:rsidR="007A24AA" w:rsidRDefault="00DE377F" w:rsidP="00DE377F">
      <w:pPr>
        <w:pStyle w:val="BodyText"/>
        <w:numPr>
          <w:ilvl w:val="0"/>
          <w:numId w:val="11"/>
        </w:numPr>
        <w:rPr>
          <w:rFonts w:ascii="Arial" w:hAnsi="Arial" w:cs="Arial"/>
        </w:rPr>
      </w:pPr>
      <w:r>
        <w:rPr>
          <w:rFonts w:ascii="Arial" w:hAnsi="Arial" w:cs="Arial"/>
        </w:rPr>
        <w:t xml:space="preserve">In an email dated </w:t>
      </w:r>
      <w:r w:rsidR="007A24AA">
        <w:rPr>
          <w:rFonts w:ascii="Arial" w:hAnsi="Arial" w:cs="Arial"/>
        </w:rPr>
        <w:t xml:space="preserve">May 12, 2019, Parents notified Lincoln that they intended to unilaterally place Student at Carroll for the 2019-2020 school </w:t>
      </w:r>
      <w:proofErr w:type="gramStart"/>
      <w:r w:rsidR="007A24AA">
        <w:rPr>
          <w:rFonts w:ascii="Arial" w:hAnsi="Arial" w:cs="Arial"/>
        </w:rPr>
        <w:t>year</w:t>
      </w:r>
      <w:proofErr w:type="gramEnd"/>
      <w:r w:rsidR="007A24AA">
        <w:rPr>
          <w:rFonts w:ascii="Arial" w:hAnsi="Arial" w:cs="Arial"/>
        </w:rPr>
        <w:t xml:space="preserve">.  </w:t>
      </w:r>
    </w:p>
    <w:p w:rsidR="00DE377F" w:rsidRPr="00DE377F" w:rsidRDefault="00DE377F" w:rsidP="00DE377F">
      <w:pPr>
        <w:pStyle w:val="BodyText"/>
        <w:rPr>
          <w:rFonts w:ascii="Arial" w:hAnsi="Arial" w:cs="Arial"/>
        </w:rPr>
      </w:pPr>
    </w:p>
    <w:p w:rsidR="00DC41EB" w:rsidRPr="007A24AA" w:rsidRDefault="007A24AA" w:rsidP="007A24AA">
      <w:pPr>
        <w:pStyle w:val="BodyText"/>
        <w:numPr>
          <w:ilvl w:val="0"/>
          <w:numId w:val="11"/>
        </w:numPr>
        <w:rPr>
          <w:rFonts w:ascii="Arial" w:hAnsi="Arial" w:cs="Arial"/>
        </w:rPr>
      </w:pPr>
      <w:r>
        <w:rPr>
          <w:rFonts w:ascii="Arial" w:hAnsi="Arial" w:cs="Arial"/>
        </w:rPr>
        <w:t xml:space="preserve">From in or about April through June, 2019, Lincoln and Carroll School attempted to reach agreement on paperwork necessary for DESE approval for public funding; however, no agreement was reached.   </w:t>
      </w:r>
    </w:p>
    <w:p w:rsidR="00DC41EB" w:rsidRDefault="00DC41EB" w:rsidP="006C6798">
      <w:pPr>
        <w:pStyle w:val="BodyText"/>
        <w:ind w:firstLine="720"/>
        <w:rPr>
          <w:rFonts w:ascii="Arial" w:hAnsi="Arial" w:cs="Arial"/>
        </w:rPr>
      </w:pPr>
    </w:p>
    <w:p w:rsidR="00DC41EB" w:rsidRPr="007A24AA" w:rsidRDefault="007A24AA" w:rsidP="007A24AA">
      <w:pPr>
        <w:pStyle w:val="BodyText"/>
        <w:numPr>
          <w:ilvl w:val="0"/>
          <w:numId w:val="9"/>
        </w:numPr>
        <w:rPr>
          <w:rFonts w:ascii="Arial" w:hAnsi="Arial" w:cs="Arial"/>
          <w:b/>
        </w:rPr>
      </w:pPr>
      <w:r w:rsidRPr="007A24AA">
        <w:rPr>
          <w:rFonts w:ascii="Arial" w:hAnsi="Arial" w:cs="Arial"/>
          <w:b/>
        </w:rPr>
        <w:t xml:space="preserve"> Standard for Summary Judgment</w:t>
      </w:r>
    </w:p>
    <w:p w:rsidR="007A24AA" w:rsidRPr="007A24AA" w:rsidRDefault="007A24AA" w:rsidP="007A24AA">
      <w:pPr>
        <w:pStyle w:val="BodyText"/>
        <w:rPr>
          <w:rFonts w:ascii="Arial" w:hAnsi="Arial" w:cs="Arial"/>
          <w:b/>
        </w:rPr>
      </w:pPr>
    </w:p>
    <w:p w:rsidR="006C6798" w:rsidRDefault="006C6798" w:rsidP="007A24AA">
      <w:pPr>
        <w:pStyle w:val="BodyText"/>
        <w:ind w:firstLine="360"/>
        <w:rPr>
          <w:rFonts w:ascii="Arial" w:hAnsi="Arial" w:cs="Arial"/>
        </w:rPr>
      </w:pPr>
      <w:r>
        <w:rPr>
          <w:rFonts w:ascii="Arial" w:hAnsi="Arial" w:cs="Arial"/>
        </w:rPr>
        <w:t xml:space="preserve">Summary judgment is available at the BSEA if “there is no genuine issue of fact relating to all or part of a claim or defense and [the moving party] is entitled to prevail as a matter of law…”  801 CMR 1.01(7)(h).  In determining whether to grant summary judgment, BSEA hearing officers are guided by Rule 56(a) of the Federal Rules of Civil Procedure, which provides that summary judgment shall be granted if “the movant shows that there is no genuine dispute as to any material fact and the movant is entitled to judgment as a matter of law.” </w:t>
      </w:r>
      <w:r w:rsidRPr="009B7730">
        <w:rPr>
          <w:rFonts w:ascii="Arial" w:hAnsi="Arial" w:cs="Arial"/>
          <w:i/>
        </w:rPr>
        <w:t>Id</w:t>
      </w:r>
      <w:r>
        <w:rPr>
          <w:rFonts w:ascii="Arial" w:hAnsi="Arial" w:cs="Arial"/>
        </w:rPr>
        <w:t xml:space="preserve">.  </w:t>
      </w:r>
    </w:p>
    <w:p w:rsidR="006C6798" w:rsidRDefault="006C6798" w:rsidP="006C6798">
      <w:pPr>
        <w:pStyle w:val="BodyText"/>
        <w:rPr>
          <w:rFonts w:ascii="Arial" w:hAnsi="Arial" w:cs="Arial"/>
        </w:rPr>
      </w:pPr>
    </w:p>
    <w:p w:rsidR="006C6798" w:rsidRDefault="006C6798" w:rsidP="006C6798">
      <w:pPr>
        <w:pStyle w:val="BodyText"/>
        <w:ind w:firstLine="720"/>
        <w:rPr>
          <w:rFonts w:ascii="Arial" w:hAnsi="Arial" w:cs="Arial"/>
        </w:rPr>
      </w:pPr>
      <w:r>
        <w:rPr>
          <w:rFonts w:ascii="Arial" w:hAnsi="Arial" w:cs="Arial"/>
        </w:rPr>
        <w:t xml:space="preserve">The BSEA is also guided by Rule 56(a) of the Massachusetts Rules of Civil Procedure, which provides that summary judgment may be granted only if the “pleadings, depositions, answers to interrogatories and admissions on file, together with the affidavits, if any, show that there are no genuine issues as to any material fact and that the moving party is entitled to judgment as a matter of law.”  </w:t>
      </w:r>
      <w:r w:rsidRPr="00B83688">
        <w:rPr>
          <w:rFonts w:ascii="Arial" w:hAnsi="Arial" w:cs="Arial"/>
          <w:i/>
        </w:rPr>
        <w:t>Id</w:t>
      </w:r>
      <w:r>
        <w:rPr>
          <w:rFonts w:ascii="Arial" w:hAnsi="Arial" w:cs="Arial"/>
        </w:rPr>
        <w:t xml:space="preserve">.  See also </w:t>
      </w:r>
      <w:r w:rsidRPr="00CE3606">
        <w:rPr>
          <w:rFonts w:ascii="Arial" w:hAnsi="Arial" w:cs="Arial"/>
          <w:i/>
        </w:rPr>
        <w:t>Rulings on</w:t>
      </w:r>
      <w:r w:rsidRPr="00CE3606">
        <w:rPr>
          <w:rFonts w:ascii="Arial" w:hAnsi="Arial" w:cs="Arial"/>
        </w:rPr>
        <w:t xml:space="preserve"> </w:t>
      </w:r>
      <w:r w:rsidRPr="00CC58DA">
        <w:rPr>
          <w:rFonts w:ascii="Arial" w:hAnsi="Arial" w:cs="Arial"/>
          <w:i/>
        </w:rPr>
        <w:t>Motions for Summary</w:t>
      </w:r>
      <w:r w:rsidRPr="00CE3606">
        <w:rPr>
          <w:rFonts w:ascii="Arial" w:hAnsi="Arial" w:cs="Arial"/>
        </w:rPr>
        <w:t xml:space="preserve"> Judgment</w:t>
      </w:r>
      <w:r>
        <w:rPr>
          <w:rFonts w:ascii="Arial" w:hAnsi="Arial" w:cs="Arial"/>
        </w:rPr>
        <w:t xml:space="preserve"> in:  </w:t>
      </w:r>
      <w:r w:rsidRPr="00B92AED">
        <w:rPr>
          <w:rFonts w:ascii="Arial" w:hAnsi="Arial" w:cs="Arial"/>
          <w:i/>
        </w:rPr>
        <w:t>Zelda v. Bridgewater-Ray</w:t>
      </w:r>
      <w:r>
        <w:rPr>
          <w:rFonts w:ascii="Arial" w:hAnsi="Arial" w:cs="Arial"/>
          <w:i/>
        </w:rPr>
        <w:t>n</w:t>
      </w:r>
      <w:r w:rsidRPr="00B92AED">
        <w:rPr>
          <w:rFonts w:ascii="Arial" w:hAnsi="Arial" w:cs="Arial"/>
          <w:i/>
        </w:rPr>
        <w:t>ham Public Schools and Bristol County Agricultural School</w:t>
      </w:r>
      <w:r>
        <w:rPr>
          <w:rFonts w:ascii="Arial" w:hAnsi="Arial" w:cs="Arial"/>
        </w:rPr>
        <w:t xml:space="preserve">, 12 MSER 4 (Byrne, 2006); </w:t>
      </w:r>
      <w:r w:rsidRPr="00B92AED">
        <w:rPr>
          <w:rFonts w:ascii="Arial" w:hAnsi="Arial" w:cs="Arial"/>
          <w:i/>
        </w:rPr>
        <w:t>In Re Westwood Public Schools</w:t>
      </w:r>
      <w:r>
        <w:rPr>
          <w:rFonts w:ascii="Arial" w:hAnsi="Arial" w:cs="Arial"/>
          <w:i/>
        </w:rPr>
        <w:t>,</w:t>
      </w:r>
      <w:r>
        <w:rPr>
          <w:rFonts w:ascii="Arial" w:hAnsi="Arial" w:cs="Arial"/>
        </w:rPr>
        <w:t xml:space="preserve"> 16 MSER 378 (Figueroa, 2010); </w:t>
      </w:r>
      <w:r w:rsidRPr="00B92AED">
        <w:rPr>
          <w:rFonts w:ascii="Arial" w:hAnsi="Arial" w:cs="Arial"/>
          <w:i/>
        </w:rPr>
        <w:t>In Re: Mike v. Boston Public Schools</w:t>
      </w:r>
      <w:r>
        <w:rPr>
          <w:rFonts w:ascii="Arial" w:hAnsi="Arial" w:cs="Arial"/>
        </w:rPr>
        <w:t xml:space="preserve">, 12 MSER 364 (Oliver, 2010); </w:t>
      </w:r>
      <w:r w:rsidRPr="003B116A">
        <w:rPr>
          <w:rFonts w:ascii="Arial" w:hAnsi="Arial" w:cs="Arial"/>
          <w:i/>
        </w:rPr>
        <w:t>In Re Bridgewater-Raynham Public Schools</w:t>
      </w:r>
      <w:r>
        <w:rPr>
          <w:rFonts w:ascii="Arial" w:hAnsi="Arial" w:cs="Arial"/>
        </w:rPr>
        <w:t xml:space="preserve">, 19 MSER 17 (Figueroa, 2013).  Facts are considered “in the light most favorable to…the non-moving party.”  </w:t>
      </w:r>
      <w:proofErr w:type="spellStart"/>
      <w:r w:rsidRPr="00F34C01">
        <w:rPr>
          <w:rFonts w:ascii="Arial" w:hAnsi="Arial" w:cs="Arial"/>
          <w:i/>
        </w:rPr>
        <w:t>Xiaoyan</w:t>
      </w:r>
      <w:proofErr w:type="spellEnd"/>
      <w:r w:rsidRPr="00F34C01">
        <w:rPr>
          <w:rFonts w:ascii="Arial" w:hAnsi="Arial" w:cs="Arial"/>
          <w:i/>
        </w:rPr>
        <w:t xml:space="preserve"> Tang v. Citizens Bank, N.A.,</w:t>
      </w:r>
      <w:r>
        <w:rPr>
          <w:rFonts w:ascii="Arial" w:hAnsi="Arial" w:cs="Arial"/>
        </w:rPr>
        <w:t xml:space="preserve"> 821 F. 3d 206 (1</w:t>
      </w:r>
      <w:r w:rsidRPr="00F34C01">
        <w:rPr>
          <w:rFonts w:ascii="Arial" w:hAnsi="Arial" w:cs="Arial"/>
          <w:vertAlign w:val="superscript"/>
        </w:rPr>
        <w:t>st</w:t>
      </w:r>
      <w:r>
        <w:rPr>
          <w:rFonts w:ascii="Arial" w:hAnsi="Arial" w:cs="Arial"/>
        </w:rPr>
        <w:t xml:space="preserve"> Cir. 2016), quoting </w:t>
      </w:r>
      <w:r w:rsidRPr="00F34C01">
        <w:rPr>
          <w:rFonts w:ascii="Arial" w:hAnsi="Arial" w:cs="Arial"/>
          <w:i/>
        </w:rPr>
        <w:t xml:space="preserve">Perez-Cordero v. Wal-Mart P.R. Inc., </w:t>
      </w:r>
      <w:r>
        <w:rPr>
          <w:rFonts w:ascii="Arial" w:hAnsi="Arial" w:cs="Arial"/>
        </w:rPr>
        <w:t>656 F. 3d 19, 20 (1</w:t>
      </w:r>
      <w:r w:rsidRPr="00F34C01">
        <w:rPr>
          <w:rFonts w:ascii="Arial" w:hAnsi="Arial" w:cs="Arial"/>
          <w:vertAlign w:val="superscript"/>
        </w:rPr>
        <w:t>st</w:t>
      </w:r>
      <w:r>
        <w:rPr>
          <w:rFonts w:ascii="Arial" w:hAnsi="Arial" w:cs="Arial"/>
        </w:rPr>
        <w:t xml:space="preserve"> Cir. 2011).     </w:t>
      </w:r>
    </w:p>
    <w:p w:rsidR="006C6798" w:rsidRDefault="006C6798" w:rsidP="006C6798">
      <w:pPr>
        <w:pStyle w:val="BodyText"/>
        <w:ind w:firstLine="720"/>
        <w:rPr>
          <w:rFonts w:ascii="Arial" w:hAnsi="Arial" w:cs="Arial"/>
        </w:rPr>
      </w:pPr>
    </w:p>
    <w:p w:rsidR="006C6798" w:rsidRDefault="006C6798" w:rsidP="006C6798">
      <w:pPr>
        <w:pStyle w:val="BodyText"/>
        <w:ind w:firstLine="720"/>
        <w:rPr>
          <w:rFonts w:ascii="Arial" w:hAnsi="Arial" w:cs="Arial"/>
        </w:rPr>
      </w:pPr>
      <w:r>
        <w:rPr>
          <w:rFonts w:ascii="Arial" w:hAnsi="Arial" w:cs="Arial"/>
        </w:rPr>
        <w:t xml:space="preserve">“An issue is ‘genuine’ if it can ‘be resolved in favor of either </w:t>
      </w:r>
      <w:r w:rsidR="00FA3078">
        <w:rPr>
          <w:rFonts w:ascii="Arial" w:hAnsi="Arial" w:cs="Arial"/>
        </w:rPr>
        <w:t>party,’ and a fact is ‘</w:t>
      </w:r>
      <w:proofErr w:type="spellStart"/>
      <w:r w:rsidR="00FA3078">
        <w:rPr>
          <w:rFonts w:ascii="Arial" w:hAnsi="Arial" w:cs="Arial"/>
        </w:rPr>
        <w:t>material’</w:t>
      </w:r>
      <w:r>
        <w:rPr>
          <w:rFonts w:ascii="Arial" w:hAnsi="Arial" w:cs="Arial"/>
        </w:rPr>
        <w:t>if</w:t>
      </w:r>
      <w:proofErr w:type="spellEnd"/>
      <w:r>
        <w:rPr>
          <w:rFonts w:ascii="Arial" w:hAnsi="Arial" w:cs="Arial"/>
        </w:rPr>
        <w:t xml:space="preserve"> it ‘has the potential of affecting the outcome of the case.’”  </w:t>
      </w:r>
      <w:proofErr w:type="gramStart"/>
      <w:r w:rsidRPr="00011243">
        <w:rPr>
          <w:rFonts w:ascii="Arial" w:hAnsi="Arial" w:cs="Arial"/>
          <w:i/>
        </w:rPr>
        <w:t>Tang</w:t>
      </w:r>
      <w:r>
        <w:rPr>
          <w:rFonts w:ascii="Arial" w:hAnsi="Arial" w:cs="Arial"/>
          <w:i/>
        </w:rPr>
        <w:t xml:space="preserve">, </w:t>
      </w:r>
      <w:r w:rsidRPr="00F34C01">
        <w:rPr>
          <w:rFonts w:ascii="Arial" w:hAnsi="Arial" w:cs="Arial"/>
          <w:i/>
        </w:rPr>
        <w:t>supra</w:t>
      </w:r>
      <w:r>
        <w:rPr>
          <w:rFonts w:ascii="Arial" w:hAnsi="Arial" w:cs="Arial"/>
        </w:rPr>
        <w:t xml:space="preserve">, quoting </w:t>
      </w:r>
      <w:r w:rsidRPr="00F34C01">
        <w:rPr>
          <w:rFonts w:ascii="Arial" w:hAnsi="Arial" w:cs="Arial"/>
          <w:i/>
        </w:rPr>
        <w:t>Perez-Cordero</w:t>
      </w:r>
      <w:r>
        <w:rPr>
          <w:rFonts w:ascii="Arial" w:hAnsi="Arial" w:cs="Arial"/>
        </w:rPr>
        <w:t xml:space="preserve">, </w:t>
      </w:r>
      <w:r w:rsidRPr="00F34C01">
        <w:rPr>
          <w:rFonts w:ascii="Arial" w:hAnsi="Arial" w:cs="Arial"/>
          <w:i/>
        </w:rPr>
        <w:t>supra</w:t>
      </w:r>
      <w:r>
        <w:rPr>
          <w:rFonts w:ascii="Arial" w:hAnsi="Arial" w:cs="Arial"/>
        </w:rPr>
        <w:t xml:space="preserve"> at 25, and </w:t>
      </w:r>
      <w:proofErr w:type="spellStart"/>
      <w:r w:rsidRPr="00F34C01">
        <w:rPr>
          <w:rFonts w:ascii="Arial" w:hAnsi="Arial" w:cs="Arial"/>
          <w:i/>
        </w:rPr>
        <w:t>Calero-Cezero</w:t>
      </w:r>
      <w:proofErr w:type="spellEnd"/>
      <w:r w:rsidRPr="00F34C01">
        <w:rPr>
          <w:rFonts w:ascii="Arial" w:hAnsi="Arial" w:cs="Arial"/>
          <w:i/>
        </w:rPr>
        <w:t xml:space="preserve"> v. U.S.</w:t>
      </w:r>
      <w:r>
        <w:rPr>
          <w:rFonts w:ascii="Arial" w:hAnsi="Arial" w:cs="Arial"/>
        </w:rPr>
        <w:t xml:space="preserve"> </w:t>
      </w:r>
      <w:r w:rsidRPr="00F34C01">
        <w:rPr>
          <w:rFonts w:ascii="Arial" w:hAnsi="Arial" w:cs="Arial"/>
          <w:i/>
        </w:rPr>
        <w:t>Dept. o</w:t>
      </w:r>
      <w:r>
        <w:rPr>
          <w:rFonts w:ascii="Arial" w:hAnsi="Arial" w:cs="Arial"/>
          <w:i/>
        </w:rPr>
        <w:t>f J</w:t>
      </w:r>
      <w:r w:rsidRPr="00F34C01">
        <w:rPr>
          <w:rFonts w:ascii="Arial" w:hAnsi="Arial" w:cs="Arial"/>
          <w:i/>
        </w:rPr>
        <w:t>ustice</w:t>
      </w:r>
      <w:r>
        <w:rPr>
          <w:rFonts w:ascii="Arial" w:hAnsi="Arial" w:cs="Arial"/>
        </w:rPr>
        <w:t>, 355 F.3d 6, 19 (1</w:t>
      </w:r>
      <w:r w:rsidRPr="00F34C01">
        <w:rPr>
          <w:rFonts w:ascii="Arial" w:hAnsi="Arial" w:cs="Arial"/>
          <w:vertAlign w:val="superscript"/>
        </w:rPr>
        <w:t>st</w:t>
      </w:r>
      <w:r>
        <w:rPr>
          <w:rFonts w:ascii="Arial" w:hAnsi="Arial" w:cs="Arial"/>
        </w:rPr>
        <w:t xml:space="preserve"> Cir. 2004).</w:t>
      </w:r>
      <w:proofErr w:type="gramEnd"/>
      <w:r>
        <w:rPr>
          <w:rFonts w:ascii="Arial" w:hAnsi="Arial" w:cs="Arial"/>
        </w:rPr>
        <w:t xml:space="preserve">  The moving party has the initial burden of producing evidence that there is no dispute of material fact.  Once the moving party has done so, the burden then shifts to the party opposing summary judgment to establish, via affidavits or other documents, specific facts showing that there is a “genuine issue for trial.”  </w:t>
      </w:r>
      <w:r w:rsidRPr="00011243">
        <w:rPr>
          <w:rFonts w:ascii="Arial" w:hAnsi="Arial" w:cs="Arial"/>
          <w:i/>
        </w:rPr>
        <w:t xml:space="preserve">Celotex Corp. </w:t>
      </w:r>
      <w:r w:rsidRPr="00011243">
        <w:rPr>
          <w:rFonts w:ascii="Arial" w:hAnsi="Arial" w:cs="Arial"/>
          <w:i/>
        </w:rPr>
        <w:lastRenderedPageBreak/>
        <w:t xml:space="preserve">v. </w:t>
      </w:r>
      <w:proofErr w:type="spellStart"/>
      <w:r w:rsidRPr="00011243">
        <w:rPr>
          <w:rFonts w:ascii="Arial" w:hAnsi="Arial" w:cs="Arial"/>
          <w:i/>
        </w:rPr>
        <w:t>Catrell</w:t>
      </w:r>
      <w:proofErr w:type="spellEnd"/>
      <w:r>
        <w:rPr>
          <w:rFonts w:ascii="Arial" w:hAnsi="Arial" w:cs="Arial"/>
        </w:rPr>
        <w:t xml:space="preserve">, 477 U.S. 242, 248-50 (1986); </w:t>
      </w:r>
      <w:r w:rsidRPr="00011243">
        <w:rPr>
          <w:rFonts w:ascii="Arial" w:hAnsi="Arial" w:cs="Arial"/>
          <w:i/>
        </w:rPr>
        <w:t>Anderson v. Liberty Lobby</w:t>
      </w:r>
      <w:r>
        <w:rPr>
          <w:rFonts w:ascii="Arial" w:hAnsi="Arial" w:cs="Arial"/>
        </w:rPr>
        <w:t xml:space="preserve">, </w:t>
      </w:r>
      <w:r w:rsidRPr="00C72BE6">
        <w:rPr>
          <w:rFonts w:ascii="Arial" w:hAnsi="Arial" w:cs="Arial"/>
          <w:i/>
        </w:rPr>
        <w:t>Inc</w:t>
      </w:r>
      <w:r>
        <w:rPr>
          <w:rFonts w:ascii="Arial" w:hAnsi="Arial" w:cs="Arial"/>
        </w:rPr>
        <w:t xml:space="preserve">. 477 U.S. 242, 249 (1986); </w:t>
      </w:r>
      <w:r>
        <w:rPr>
          <w:rFonts w:ascii="Arial" w:hAnsi="Arial" w:cs="Arial"/>
          <w:i/>
        </w:rPr>
        <w:t xml:space="preserve">Kathleen Burns v. </w:t>
      </w:r>
      <w:r w:rsidRPr="003B116A">
        <w:rPr>
          <w:rFonts w:ascii="Arial" w:hAnsi="Arial" w:cs="Arial"/>
          <w:i/>
        </w:rPr>
        <w:t>Johnson</w:t>
      </w:r>
      <w:r>
        <w:rPr>
          <w:rFonts w:ascii="Arial" w:hAnsi="Arial" w:cs="Arial"/>
        </w:rPr>
        <w:t xml:space="preserve">, 2016 WL 3675157 (July 2016).  </w:t>
      </w:r>
    </w:p>
    <w:p w:rsidR="009252CA" w:rsidRDefault="009252CA" w:rsidP="009252CA">
      <w:pPr>
        <w:spacing w:after="0" w:line="240" w:lineRule="auto"/>
        <w:rPr>
          <w:rFonts w:ascii="Arial" w:eastAsia="Times New Roman" w:hAnsi="Arial" w:cs="Arial"/>
          <w:b/>
          <w:sz w:val="24"/>
          <w:szCs w:val="24"/>
        </w:rPr>
      </w:pPr>
    </w:p>
    <w:p w:rsidR="009252CA" w:rsidRPr="006C6798" w:rsidRDefault="009252CA" w:rsidP="00403EB9">
      <w:pPr>
        <w:pStyle w:val="ListParagraph"/>
        <w:numPr>
          <w:ilvl w:val="0"/>
          <w:numId w:val="9"/>
        </w:numPr>
        <w:spacing w:after="0" w:line="240" w:lineRule="auto"/>
        <w:rPr>
          <w:rFonts w:ascii="Arial" w:eastAsia="Times New Roman" w:hAnsi="Arial" w:cs="Arial"/>
          <w:b/>
          <w:sz w:val="24"/>
          <w:szCs w:val="24"/>
          <w:u w:val="single"/>
        </w:rPr>
      </w:pPr>
      <w:r w:rsidRPr="00403EB9">
        <w:rPr>
          <w:rFonts w:ascii="Arial" w:eastAsia="Times New Roman" w:hAnsi="Arial" w:cs="Arial"/>
          <w:sz w:val="24"/>
          <w:szCs w:val="24"/>
        </w:rPr>
        <w:t xml:space="preserve"> </w:t>
      </w:r>
      <w:r w:rsidRPr="00403EB9">
        <w:rPr>
          <w:rFonts w:ascii="Arial" w:eastAsia="Times New Roman" w:hAnsi="Arial" w:cs="Arial"/>
          <w:b/>
          <w:sz w:val="24"/>
          <w:szCs w:val="24"/>
        </w:rPr>
        <w:t>Discussion</w:t>
      </w:r>
      <w:r w:rsidR="007A24AA">
        <w:rPr>
          <w:rFonts w:ascii="Arial" w:eastAsia="Times New Roman" w:hAnsi="Arial" w:cs="Arial"/>
          <w:b/>
          <w:sz w:val="24"/>
          <w:szCs w:val="24"/>
        </w:rPr>
        <w:t xml:space="preserve"> as to Summary Judgment</w:t>
      </w:r>
    </w:p>
    <w:p w:rsidR="006C6798" w:rsidRDefault="006C6798" w:rsidP="006C6798">
      <w:pPr>
        <w:spacing w:after="0" w:line="240" w:lineRule="auto"/>
        <w:ind w:left="360"/>
        <w:rPr>
          <w:rFonts w:ascii="Arial" w:eastAsia="Times New Roman" w:hAnsi="Arial" w:cs="Arial"/>
          <w:b/>
          <w:sz w:val="24"/>
          <w:szCs w:val="24"/>
          <w:u w:val="single"/>
        </w:rPr>
      </w:pPr>
    </w:p>
    <w:p w:rsidR="00222545" w:rsidRDefault="007A24AA" w:rsidP="006C6798">
      <w:pPr>
        <w:spacing w:after="0" w:line="240" w:lineRule="auto"/>
        <w:ind w:firstLine="360"/>
        <w:rPr>
          <w:rFonts w:ascii="Arial" w:eastAsia="Times New Roman" w:hAnsi="Arial" w:cs="Arial"/>
          <w:sz w:val="24"/>
          <w:szCs w:val="24"/>
        </w:rPr>
      </w:pPr>
      <w:r>
        <w:rPr>
          <w:rFonts w:ascii="Arial" w:eastAsia="Times New Roman" w:hAnsi="Arial" w:cs="Arial"/>
          <w:sz w:val="24"/>
          <w:szCs w:val="24"/>
        </w:rPr>
        <w:t xml:space="preserve">Here, Lincoln seeks summary judgment for the same reasons cited as grounds for its </w:t>
      </w:r>
      <w:r w:rsidRPr="007A24AA">
        <w:rPr>
          <w:rFonts w:ascii="Arial" w:eastAsia="Times New Roman" w:hAnsi="Arial" w:cs="Arial"/>
          <w:i/>
          <w:sz w:val="24"/>
          <w:szCs w:val="24"/>
        </w:rPr>
        <w:t>Motion to Dismiss</w:t>
      </w:r>
      <w:r w:rsidR="00222545">
        <w:rPr>
          <w:rFonts w:ascii="Arial" w:eastAsia="Times New Roman" w:hAnsi="Arial" w:cs="Arial"/>
          <w:sz w:val="24"/>
          <w:szCs w:val="24"/>
        </w:rPr>
        <w:t xml:space="preserve">, namely, that the BSEA is precluded from revisiting Parents’ previously accepted IEP, and that as such, the District is entitled to summary judgment as a matter of law.  </w:t>
      </w:r>
      <w:r>
        <w:rPr>
          <w:rFonts w:ascii="Arial" w:eastAsia="Times New Roman" w:hAnsi="Arial" w:cs="Arial"/>
          <w:sz w:val="24"/>
          <w:szCs w:val="24"/>
        </w:rPr>
        <w:t xml:space="preserve"> </w:t>
      </w:r>
    </w:p>
    <w:p w:rsidR="00222545" w:rsidRDefault="00222545" w:rsidP="006C6798">
      <w:pPr>
        <w:spacing w:after="0" w:line="240" w:lineRule="auto"/>
        <w:ind w:firstLine="360"/>
        <w:rPr>
          <w:rFonts w:ascii="Arial" w:eastAsia="Times New Roman" w:hAnsi="Arial" w:cs="Arial"/>
          <w:sz w:val="24"/>
          <w:szCs w:val="24"/>
        </w:rPr>
      </w:pPr>
    </w:p>
    <w:p w:rsidR="00056380" w:rsidRDefault="007A24AA" w:rsidP="00222545">
      <w:pPr>
        <w:spacing w:after="0" w:line="240" w:lineRule="auto"/>
        <w:ind w:firstLine="360"/>
        <w:rPr>
          <w:rFonts w:ascii="Arial" w:eastAsia="Times New Roman" w:hAnsi="Arial" w:cs="Arial"/>
          <w:sz w:val="24"/>
          <w:szCs w:val="24"/>
        </w:rPr>
      </w:pPr>
      <w:r>
        <w:rPr>
          <w:rFonts w:ascii="Arial" w:eastAsia="Times New Roman" w:hAnsi="Arial" w:cs="Arial"/>
          <w:sz w:val="24"/>
          <w:szCs w:val="24"/>
        </w:rPr>
        <w:t>Base</w:t>
      </w:r>
      <w:r w:rsidR="00FA3078">
        <w:rPr>
          <w:rFonts w:ascii="Arial" w:eastAsia="Times New Roman" w:hAnsi="Arial" w:cs="Arial"/>
          <w:sz w:val="24"/>
          <w:szCs w:val="24"/>
        </w:rPr>
        <w:t xml:space="preserve">d on an examination of both parties’ submissions, including but not limited to the pleadings and, in particular, the email thread attached to Parents’ </w:t>
      </w:r>
      <w:r w:rsidR="00FA3078" w:rsidRPr="00FA3078">
        <w:rPr>
          <w:rFonts w:ascii="Arial" w:eastAsia="Times New Roman" w:hAnsi="Arial" w:cs="Arial"/>
          <w:i/>
          <w:sz w:val="24"/>
          <w:szCs w:val="24"/>
        </w:rPr>
        <w:t>Response</w:t>
      </w:r>
      <w:r w:rsidR="00FA3078">
        <w:rPr>
          <w:rFonts w:ascii="Arial" w:eastAsia="Times New Roman" w:hAnsi="Arial" w:cs="Arial"/>
          <w:sz w:val="24"/>
          <w:szCs w:val="24"/>
        </w:rPr>
        <w:t xml:space="preserve"> to Lincoln’s </w:t>
      </w:r>
      <w:r w:rsidR="00FA3078" w:rsidRPr="00FA3078">
        <w:rPr>
          <w:rFonts w:ascii="Arial" w:eastAsia="Times New Roman" w:hAnsi="Arial" w:cs="Arial"/>
          <w:i/>
          <w:sz w:val="24"/>
          <w:szCs w:val="24"/>
        </w:rPr>
        <w:t>Motion</w:t>
      </w:r>
      <w:r w:rsidR="00FA3078">
        <w:rPr>
          <w:rFonts w:ascii="Arial" w:eastAsia="Times New Roman" w:hAnsi="Arial" w:cs="Arial"/>
          <w:sz w:val="24"/>
          <w:szCs w:val="24"/>
        </w:rPr>
        <w:t xml:space="preserve">, which thread contains multiple references to Parents’ reservations about the Landmark placement as well as their statement of intent to unilaterally place Student at Carroll, </w:t>
      </w:r>
      <w:r>
        <w:rPr>
          <w:rFonts w:ascii="Arial" w:eastAsia="Times New Roman" w:hAnsi="Arial" w:cs="Arial"/>
          <w:sz w:val="24"/>
          <w:szCs w:val="24"/>
        </w:rPr>
        <w:t>I find that there is a dispute of material fact</w:t>
      </w:r>
      <w:r w:rsidR="00222545">
        <w:rPr>
          <w:rFonts w:ascii="Arial" w:eastAsia="Times New Roman" w:hAnsi="Arial" w:cs="Arial"/>
          <w:sz w:val="24"/>
          <w:szCs w:val="24"/>
        </w:rPr>
        <w:t xml:space="preserve"> as to the status of Parents’ acceptance of the IEP at issue.  As noted above, on May 11, 2019, Parents notified Lincoln of their intent to unilaterally place Stud</w:t>
      </w:r>
      <w:r w:rsidR="00FA3078">
        <w:rPr>
          <w:rFonts w:ascii="Arial" w:eastAsia="Times New Roman" w:hAnsi="Arial" w:cs="Arial"/>
          <w:sz w:val="24"/>
          <w:szCs w:val="24"/>
        </w:rPr>
        <w:t xml:space="preserve">ent at Carroll.  </w:t>
      </w:r>
      <w:r w:rsidR="00056380">
        <w:rPr>
          <w:rFonts w:ascii="Arial" w:eastAsia="Times New Roman" w:hAnsi="Arial" w:cs="Arial"/>
          <w:sz w:val="24"/>
          <w:szCs w:val="24"/>
        </w:rPr>
        <w:t xml:space="preserve">Such notice </w:t>
      </w:r>
      <w:r w:rsidR="00222545">
        <w:rPr>
          <w:rFonts w:ascii="Arial" w:eastAsia="Times New Roman" w:hAnsi="Arial" w:cs="Arial"/>
          <w:sz w:val="24"/>
          <w:szCs w:val="24"/>
        </w:rPr>
        <w:t xml:space="preserve">could be construed as </w:t>
      </w:r>
      <w:r w:rsidR="00056380">
        <w:rPr>
          <w:rFonts w:ascii="Arial" w:eastAsia="Times New Roman" w:hAnsi="Arial" w:cs="Arial"/>
          <w:sz w:val="24"/>
          <w:szCs w:val="24"/>
        </w:rPr>
        <w:t>a rejection of the previously</w:t>
      </w:r>
      <w:r w:rsidR="00FA3078">
        <w:rPr>
          <w:rFonts w:ascii="Arial" w:eastAsia="Times New Roman" w:hAnsi="Arial" w:cs="Arial"/>
          <w:sz w:val="24"/>
          <w:szCs w:val="24"/>
        </w:rPr>
        <w:t xml:space="preserve">-accepted IEP and/or placement, especially when viewed in conjunction with their repeated statements that they wanted Student to remain at Carroll. </w:t>
      </w:r>
      <w:r w:rsidR="00056380">
        <w:rPr>
          <w:rFonts w:ascii="Arial" w:eastAsia="Times New Roman" w:hAnsi="Arial" w:cs="Arial"/>
          <w:sz w:val="24"/>
          <w:szCs w:val="24"/>
        </w:rPr>
        <w:t xml:space="preserve"> I note also that at the time Parents provided this notice to Lincoln, the IE</w:t>
      </w:r>
      <w:r w:rsidR="00FA3078">
        <w:rPr>
          <w:rFonts w:ascii="Arial" w:eastAsia="Times New Roman" w:hAnsi="Arial" w:cs="Arial"/>
          <w:sz w:val="24"/>
          <w:szCs w:val="24"/>
        </w:rPr>
        <w:t xml:space="preserve">P at issue was still in effect, having been issued in March 2019.  </w:t>
      </w:r>
      <w:r w:rsidR="00056380">
        <w:rPr>
          <w:rFonts w:ascii="Arial" w:eastAsia="Times New Roman" w:hAnsi="Arial" w:cs="Arial"/>
          <w:sz w:val="24"/>
          <w:szCs w:val="24"/>
        </w:rPr>
        <w:t xml:space="preserve">  </w:t>
      </w:r>
    </w:p>
    <w:p w:rsidR="00056380" w:rsidRDefault="00056380" w:rsidP="00222545">
      <w:pPr>
        <w:spacing w:after="0" w:line="240" w:lineRule="auto"/>
        <w:ind w:firstLine="360"/>
        <w:rPr>
          <w:rFonts w:ascii="Arial" w:eastAsia="Times New Roman" w:hAnsi="Arial" w:cs="Arial"/>
          <w:sz w:val="24"/>
          <w:szCs w:val="24"/>
        </w:rPr>
      </w:pPr>
    </w:p>
    <w:p w:rsidR="00E31545" w:rsidRDefault="00056380" w:rsidP="00222545">
      <w:pPr>
        <w:spacing w:after="0" w:line="240" w:lineRule="auto"/>
        <w:ind w:firstLine="360"/>
        <w:rPr>
          <w:rFonts w:ascii="Arial" w:hAnsi="Arial" w:cs="Arial"/>
          <w:b/>
        </w:rPr>
      </w:pPr>
      <w:r>
        <w:rPr>
          <w:rFonts w:ascii="Arial" w:eastAsia="Times New Roman" w:hAnsi="Arial" w:cs="Arial"/>
          <w:sz w:val="24"/>
          <w:szCs w:val="24"/>
        </w:rPr>
        <w:t xml:space="preserve">In light of these circumstances, summary judgment is </w:t>
      </w:r>
      <w:proofErr w:type="spellStart"/>
      <w:r w:rsidR="00FA3078">
        <w:rPr>
          <w:rFonts w:ascii="Arial" w:eastAsia="Times New Roman" w:hAnsi="Arial" w:cs="Arial"/>
          <w:sz w:val="24"/>
          <w:szCs w:val="24"/>
        </w:rPr>
        <w:t>inapproprite</w:t>
      </w:r>
      <w:proofErr w:type="spellEnd"/>
      <w:r>
        <w:rPr>
          <w:rFonts w:ascii="Arial" w:eastAsia="Times New Roman" w:hAnsi="Arial" w:cs="Arial"/>
          <w:sz w:val="24"/>
          <w:szCs w:val="24"/>
        </w:rPr>
        <w:t xml:space="preserve"> and Parents are entitled to prove their allegations at a hearing.    </w:t>
      </w:r>
    </w:p>
    <w:p w:rsidR="00595180" w:rsidRDefault="00595180" w:rsidP="00FE3D94">
      <w:pPr>
        <w:spacing w:after="0" w:line="240" w:lineRule="auto"/>
        <w:ind w:firstLine="720"/>
        <w:rPr>
          <w:rFonts w:ascii="Arial" w:eastAsia="Times New Roman" w:hAnsi="Arial" w:cs="Arial"/>
          <w:b/>
          <w:sz w:val="24"/>
          <w:szCs w:val="24"/>
          <w:u w:val="single"/>
        </w:rPr>
      </w:pPr>
    </w:p>
    <w:p w:rsidR="00E80350" w:rsidRPr="00E80350" w:rsidRDefault="00E80350" w:rsidP="00E80350">
      <w:pPr>
        <w:spacing w:after="0" w:line="240" w:lineRule="auto"/>
        <w:ind w:firstLine="720"/>
        <w:jc w:val="center"/>
        <w:rPr>
          <w:rFonts w:ascii="Arial" w:eastAsia="Times New Roman" w:hAnsi="Arial" w:cs="Arial"/>
          <w:b/>
          <w:sz w:val="24"/>
          <w:szCs w:val="24"/>
          <w:u w:val="single"/>
        </w:rPr>
      </w:pPr>
      <w:r>
        <w:rPr>
          <w:rFonts w:ascii="Arial" w:eastAsia="Times New Roman" w:hAnsi="Arial" w:cs="Arial"/>
          <w:b/>
          <w:sz w:val="24"/>
          <w:szCs w:val="24"/>
          <w:u w:val="single"/>
        </w:rPr>
        <w:t>ORDER</w:t>
      </w:r>
    </w:p>
    <w:p w:rsidR="00101D6C" w:rsidRDefault="00101D6C" w:rsidP="00D33C5B">
      <w:pPr>
        <w:spacing w:after="0" w:line="240" w:lineRule="auto"/>
        <w:rPr>
          <w:rFonts w:ascii="Arial" w:eastAsia="Times New Roman" w:hAnsi="Arial" w:cs="Arial"/>
          <w:sz w:val="24"/>
          <w:szCs w:val="24"/>
        </w:rPr>
      </w:pPr>
    </w:p>
    <w:p w:rsidR="00E601EE" w:rsidRDefault="00DE377F" w:rsidP="008A276E">
      <w:pPr>
        <w:spacing w:line="240" w:lineRule="auto"/>
        <w:ind w:firstLine="720"/>
        <w:rPr>
          <w:rFonts w:ascii="Arial" w:eastAsia="Times New Roman" w:hAnsi="Arial" w:cs="Arial"/>
          <w:sz w:val="24"/>
          <w:szCs w:val="24"/>
        </w:rPr>
      </w:pPr>
      <w:r>
        <w:rPr>
          <w:rFonts w:ascii="Arial" w:hAnsi="Arial" w:cs="Arial"/>
          <w:sz w:val="24"/>
          <w:szCs w:val="24"/>
        </w:rPr>
        <w:t>The Lincoln Public Schools’</w:t>
      </w:r>
      <w:r w:rsidR="00D77427">
        <w:rPr>
          <w:rFonts w:ascii="Arial" w:hAnsi="Arial" w:cs="Arial"/>
          <w:sz w:val="24"/>
          <w:szCs w:val="24"/>
        </w:rPr>
        <w:t xml:space="preserve"> </w:t>
      </w:r>
      <w:r w:rsidR="00D77427" w:rsidRPr="003E7995">
        <w:rPr>
          <w:rFonts w:ascii="Arial" w:hAnsi="Arial" w:cs="Arial"/>
          <w:i/>
          <w:sz w:val="24"/>
          <w:szCs w:val="24"/>
        </w:rPr>
        <w:t>Motion to Dismiss</w:t>
      </w:r>
      <w:r w:rsidR="00D77427">
        <w:rPr>
          <w:rFonts w:ascii="Arial" w:hAnsi="Arial" w:cs="Arial"/>
          <w:sz w:val="24"/>
          <w:szCs w:val="24"/>
        </w:rPr>
        <w:t xml:space="preserve"> </w:t>
      </w:r>
      <w:r>
        <w:rPr>
          <w:rFonts w:ascii="Arial" w:hAnsi="Arial" w:cs="Arial"/>
          <w:sz w:val="24"/>
          <w:szCs w:val="24"/>
        </w:rPr>
        <w:t>is DENIED. Its Motion</w:t>
      </w:r>
      <w:r w:rsidR="00056380">
        <w:rPr>
          <w:rFonts w:ascii="Arial" w:hAnsi="Arial" w:cs="Arial"/>
          <w:sz w:val="24"/>
          <w:szCs w:val="24"/>
        </w:rPr>
        <w:t xml:space="preserve"> for </w:t>
      </w:r>
      <w:r w:rsidR="00056380" w:rsidRPr="00056380">
        <w:rPr>
          <w:rFonts w:ascii="Arial" w:hAnsi="Arial" w:cs="Arial"/>
          <w:i/>
          <w:sz w:val="24"/>
          <w:szCs w:val="24"/>
        </w:rPr>
        <w:t>Summary Judgment</w:t>
      </w:r>
      <w:r w:rsidR="00056380">
        <w:rPr>
          <w:rFonts w:ascii="Arial" w:hAnsi="Arial" w:cs="Arial"/>
          <w:sz w:val="24"/>
          <w:szCs w:val="24"/>
        </w:rPr>
        <w:t xml:space="preserve"> </w:t>
      </w:r>
      <w:r>
        <w:rPr>
          <w:rFonts w:ascii="Arial" w:hAnsi="Arial" w:cs="Arial"/>
          <w:sz w:val="24"/>
          <w:szCs w:val="24"/>
        </w:rPr>
        <w:t>is</w:t>
      </w:r>
      <w:r w:rsidR="00056380">
        <w:rPr>
          <w:rFonts w:ascii="Arial" w:hAnsi="Arial" w:cs="Arial"/>
          <w:sz w:val="24"/>
          <w:szCs w:val="24"/>
        </w:rPr>
        <w:t xml:space="preserve"> DENIED.  Parents may proceed to hearing on their </w:t>
      </w:r>
      <w:r w:rsidR="00307518">
        <w:rPr>
          <w:rFonts w:ascii="Arial" w:hAnsi="Arial" w:cs="Arial"/>
          <w:sz w:val="24"/>
          <w:szCs w:val="24"/>
        </w:rPr>
        <w:t>claims; however, the hearing request as written is ambiguous as to the issues for hearing, and the precise relief sought by Parents.  A conference call will be scheduled to discuss</w:t>
      </w:r>
      <w:r w:rsidR="00FA3078">
        <w:rPr>
          <w:rFonts w:ascii="Arial" w:hAnsi="Arial" w:cs="Arial"/>
          <w:sz w:val="24"/>
          <w:szCs w:val="24"/>
        </w:rPr>
        <w:t xml:space="preserve"> framing the issues for hearing, and may result in an order for Parents to amend their hearing request.</w:t>
      </w:r>
      <w:r w:rsidR="00307518">
        <w:rPr>
          <w:rFonts w:ascii="Arial" w:hAnsi="Arial" w:cs="Arial"/>
          <w:sz w:val="24"/>
          <w:szCs w:val="24"/>
        </w:rPr>
        <w:t xml:space="preserve">  </w:t>
      </w:r>
      <w:r w:rsidR="00056380">
        <w:rPr>
          <w:rFonts w:ascii="Arial" w:hAnsi="Arial" w:cs="Arial"/>
          <w:sz w:val="24"/>
          <w:szCs w:val="24"/>
        </w:rPr>
        <w:t xml:space="preserve"> </w:t>
      </w:r>
    </w:p>
    <w:p w:rsidR="008A276E" w:rsidRDefault="008A276E">
      <w:pPr>
        <w:rPr>
          <w:rFonts w:ascii="Arial" w:eastAsia="Times New Roman" w:hAnsi="Arial" w:cs="Arial"/>
          <w:sz w:val="24"/>
          <w:szCs w:val="24"/>
        </w:rPr>
      </w:pPr>
    </w:p>
    <w:p w:rsidR="003E7995" w:rsidRDefault="003E7995">
      <w:pPr>
        <w:rPr>
          <w:rFonts w:ascii="Arial" w:eastAsia="Times New Roman" w:hAnsi="Arial" w:cs="Arial"/>
          <w:sz w:val="24"/>
          <w:szCs w:val="24"/>
        </w:rPr>
      </w:pPr>
      <w:r>
        <w:rPr>
          <w:rFonts w:ascii="Arial" w:eastAsia="Times New Roman" w:hAnsi="Arial" w:cs="Arial"/>
          <w:sz w:val="24"/>
          <w:szCs w:val="24"/>
        </w:rPr>
        <w:t>By the Hearing Officer,</w:t>
      </w:r>
    </w:p>
    <w:p w:rsidR="00FD2B22" w:rsidRDefault="00FD2B22">
      <w:pPr>
        <w:rPr>
          <w:rFonts w:ascii="Arial" w:eastAsia="Times New Roman" w:hAnsi="Arial" w:cs="Arial"/>
          <w:sz w:val="24"/>
          <w:szCs w:val="24"/>
        </w:rPr>
      </w:pPr>
    </w:p>
    <w:p w:rsidR="008A276E" w:rsidRDefault="003E7995">
      <w:pPr>
        <w:rPr>
          <w:rFonts w:ascii="Arial" w:eastAsia="Times New Roman" w:hAnsi="Arial" w:cs="Arial"/>
          <w:sz w:val="24"/>
          <w:szCs w:val="24"/>
        </w:rPr>
      </w:pPr>
      <w:r>
        <w:rPr>
          <w:rFonts w:ascii="Arial" w:eastAsia="Times New Roman" w:hAnsi="Arial" w:cs="Arial"/>
          <w:sz w:val="24"/>
          <w:szCs w:val="24"/>
        </w:rPr>
        <w:t>______________________</w:t>
      </w:r>
      <w:r w:rsidR="00F32323">
        <w:rPr>
          <w:rFonts w:ascii="Arial" w:eastAsia="Times New Roman" w:hAnsi="Arial" w:cs="Arial"/>
          <w:sz w:val="24"/>
          <w:szCs w:val="24"/>
        </w:rPr>
        <w:tab/>
      </w:r>
      <w:r w:rsidR="00F32323">
        <w:rPr>
          <w:rFonts w:ascii="Arial" w:eastAsia="Times New Roman" w:hAnsi="Arial" w:cs="Arial"/>
          <w:sz w:val="24"/>
          <w:szCs w:val="24"/>
        </w:rPr>
        <w:tab/>
      </w:r>
      <w:r w:rsidR="00F32323">
        <w:rPr>
          <w:rFonts w:ascii="Arial" w:eastAsia="Times New Roman" w:hAnsi="Arial" w:cs="Arial"/>
          <w:sz w:val="24"/>
          <w:szCs w:val="24"/>
        </w:rPr>
        <w:tab/>
      </w:r>
      <w:r w:rsidR="00F32323">
        <w:rPr>
          <w:rFonts w:ascii="Arial" w:eastAsia="Times New Roman" w:hAnsi="Arial" w:cs="Arial"/>
          <w:sz w:val="24"/>
          <w:szCs w:val="24"/>
        </w:rPr>
        <w:tab/>
        <w:t xml:space="preserve">Dated:  </w:t>
      </w:r>
      <w:r w:rsidR="00307518">
        <w:rPr>
          <w:rFonts w:ascii="Arial" w:eastAsia="Times New Roman" w:hAnsi="Arial" w:cs="Arial"/>
          <w:sz w:val="24"/>
          <w:szCs w:val="24"/>
        </w:rPr>
        <w:t>May 1, 2020</w:t>
      </w:r>
    </w:p>
    <w:p w:rsidR="00F32323" w:rsidRDefault="00F32323">
      <w:pPr>
        <w:rPr>
          <w:rFonts w:ascii="Arial" w:eastAsia="Times New Roman" w:hAnsi="Arial" w:cs="Arial"/>
          <w:sz w:val="24"/>
          <w:szCs w:val="24"/>
        </w:rPr>
      </w:pPr>
      <w:r>
        <w:rPr>
          <w:rFonts w:ascii="Arial" w:eastAsia="Times New Roman" w:hAnsi="Arial" w:cs="Arial"/>
          <w:sz w:val="24"/>
          <w:szCs w:val="24"/>
        </w:rPr>
        <w:t>Sara Berman</w:t>
      </w:r>
    </w:p>
    <w:sectPr w:rsidR="00F32323" w:rsidSect="00360CFF">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AD3" w:rsidRDefault="00E27AD3" w:rsidP="00CA40BA">
      <w:pPr>
        <w:spacing w:after="0" w:line="240" w:lineRule="auto"/>
      </w:pPr>
      <w:r>
        <w:separator/>
      </w:r>
    </w:p>
  </w:endnote>
  <w:endnote w:type="continuationSeparator" w:id="0">
    <w:p w:rsidR="00E27AD3" w:rsidRDefault="00E27AD3" w:rsidP="00CA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421678"/>
      <w:docPartObj>
        <w:docPartGallery w:val="Page Numbers (Bottom of Page)"/>
        <w:docPartUnique/>
      </w:docPartObj>
    </w:sdtPr>
    <w:sdtEndPr>
      <w:rPr>
        <w:noProof/>
      </w:rPr>
    </w:sdtEndPr>
    <w:sdtContent>
      <w:p w:rsidR="0096627B" w:rsidRDefault="0096627B">
        <w:pPr>
          <w:pStyle w:val="Footer"/>
          <w:jc w:val="center"/>
        </w:pPr>
        <w:r>
          <w:fldChar w:fldCharType="begin"/>
        </w:r>
        <w:r>
          <w:instrText xml:space="preserve"> PAGE   \* MERGEFORMAT </w:instrText>
        </w:r>
        <w:r>
          <w:fldChar w:fldCharType="separate"/>
        </w:r>
        <w:r w:rsidR="006212FB">
          <w:rPr>
            <w:noProof/>
          </w:rPr>
          <w:t>6</w:t>
        </w:r>
        <w:r>
          <w:rPr>
            <w:noProof/>
          </w:rPr>
          <w:fldChar w:fldCharType="end"/>
        </w:r>
      </w:p>
    </w:sdtContent>
  </w:sdt>
  <w:p w:rsidR="0096627B" w:rsidRDefault="00966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AD3" w:rsidRDefault="00E27AD3" w:rsidP="00CA40BA">
      <w:pPr>
        <w:spacing w:after="0" w:line="240" w:lineRule="auto"/>
      </w:pPr>
      <w:r>
        <w:separator/>
      </w:r>
    </w:p>
  </w:footnote>
  <w:footnote w:type="continuationSeparator" w:id="0">
    <w:p w:rsidR="00E27AD3" w:rsidRDefault="00E27AD3" w:rsidP="00CA40BA">
      <w:pPr>
        <w:spacing w:after="0" w:line="240" w:lineRule="auto"/>
      </w:pPr>
      <w:r>
        <w:continuationSeparator/>
      </w:r>
    </w:p>
  </w:footnote>
  <w:footnote w:id="1">
    <w:p w:rsidR="00505329" w:rsidRPr="00505329" w:rsidRDefault="00505329">
      <w:pPr>
        <w:pStyle w:val="FootnoteText"/>
        <w:rPr>
          <w:rFonts w:ascii="Arial" w:hAnsi="Arial" w:cs="Arial"/>
        </w:rPr>
      </w:pPr>
      <w:r>
        <w:rPr>
          <w:rStyle w:val="FootnoteReference"/>
        </w:rPr>
        <w:footnoteRef/>
      </w:r>
      <w:r>
        <w:t xml:space="preserve"> </w:t>
      </w:r>
      <w:r>
        <w:rPr>
          <w:rFonts w:ascii="Arial" w:hAnsi="Arial" w:cs="Arial"/>
        </w:rPr>
        <w:t xml:space="preserve">Lincoln also filed a challenge to the sufficiency of Parents’ hearing request, which was denied in a separate </w:t>
      </w:r>
      <w:r w:rsidRPr="00505329">
        <w:rPr>
          <w:rFonts w:ascii="Arial" w:hAnsi="Arial" w:cs="Arial"/>
          <w:i/>
        </w:rPr>
        <w:t>Ruling</w:t>
      </w:r>
      <w:r>
        <w:rPr>
          <w:rFonts w:ascii="Arial" w:hAnsi="Arial" w:cs="Arial"/>
        </w:rPr>
        <w:t xml:space="preserve"> on March 6, 2020.</w:t>
      </w:r>
    </w:p>
  </w:footnote>
  <w:footnote w:id="2">
    <w:p w:rsidR="00E31545" w:rsidRPr="0052794F" w:rsidRDefault="00E31545" w:rsidP="00E31545">
      <w:pPr>
        <w:spacing w:after="0" w:line="240" w:lineRule="auto"/>
        <w:rPr>
          <w:rFonts w:ascii="Arial" w:eastAsia="Times New Roman" w:hAnsi="Arial" w:cs="Arial"/>
          <w:sz w:val="20"/>
          <w:szCs w:val="20"/>
        </w:rPr>
      </w:pPr>
      <w:r w:rsidRPr="0052794F">
        <w:rPr>
          <w:rStyle w:val="FootnoteReference"/>
          <w:rFonts w:ascii="Arial" w:hAnsi="Arial" w:cs="Arial"/>
          <w:sz w:val="20"/>
          <w:szCs w:val="20"/>
        </w:rPr>
        <w:footnoteRef/>
      </w:r>
      <w:r w:rsidRPr="0052794F">
        <w:rPr>
          <w:rFonts w:ascii="Arial" w:hAnsi="Arial" w:cs="Arial"/>
          <w:sz w:val="20"/>
          <w:szCs w:val="20"/>
        </w:rPr>
        <w:t xml:space="preserve"> See also </w:t>
      </w:r>
      <w:r w:rsidRPr="0052794F">
        <w:rPr>
          <w:rFonts w:ascii="Arial" w:eastAsia="Times New Roman" w:hAnsi="Arial" w:cs="Arial"/>
          <w:i/>
          <w:sz w:val="20"/>
          <w:szCs w:val="20"/>
        </w:rPr>
        <w:t>Standard Adjudicatory Rules of Practice and Procedure</w:t>
      </w:r>
      <w:r w:rsidRPr="0052794F">
        <w:rPr>
          <w:rFonts w:ascii="Arial" w:eastAsia="Times New Roman" w:hAnsi="Arial" w:cs="Arial"/>
          <w:sz w:val="20"/>
          <w:szCs w:val="20"/>
        </w:rPr>
        <w:t>, 801 CMR 1.01(7</w:t>
      </w:r>
      <w:proofErr w:type="gramStart"/>
      <w:r w:rsidRPr="0052794F">
        <w:rPr>
          <w:rFonts w:ascii="Arial" w:eastAsia="Times New Roman" w:hAnsi="Arial" w:cs="Arial"/>
          <w:sz w:val="20"/>
          <w:szCs w:val="20"/>
        </w:rPr>
        <w:t>)(</w:t>
      </w:r>
      <w:proofErr w:type="gramEnd"/>
      <w:r w:rsidRPr="0052794F">
        <w:rPr>
          <w:rFonts w:ascii="Arial" w:eastAsia="Times New Roman" w:hAnsi="Arial" w:cs="Arial"/>
          <w:sz w:val="20"/>
          <w:szCs w:val="20"/>
        </w:rPr>
        <w:t>g)(3).  These provisions are analogous to Rule 12(b)(6) of the Federal Rules of Civil Procedure which states: “…a party may state the following defenses by motion…failure to state a claim upon which relief may be granted…”  The BSEA is guided by this rule and cases decided thereunder in evaluating motions to dismiss.</w:t>
      </w:r>
    </w:p>
  </w:footnote>
  <w:footnote w:id="3">
    <w:p w:rsidR="00E31545" w:rsidRPr="0052794F" w:rsidRDefault="00E31545" w:rsidP="00E31545">
      <w:pPr>
        <w:pStyle w:val="FootnoteText"/>
        <w:rPr>
          <w:rFonts w:ascii="Arial" w:hAnsi="Arial" w:cs="Arial"/>
        </w:rPr>
      </w:pPr>
      <w:r w:rsidRPr="0052794F">
        <w:rPr>
          <w:rStyle w:val="FootnoteReference"/>
          <w:rFonts w:ascii="Arial" w:hAnsi="Arial" w:cs="Arial"/>
        </w:rPr>
        <w:footnoteRef/>
      </w:r>
      <w:r w:rsidRPr="0052794F">
        <w:rPr>
          <w:rFonts w:ascii="Arial" w:hAnsi="Arial" w:cs="Arial"/>
        </w:rPr>
        <w:t xml:space="preserve"> Individuals with Disabilities Education Act (IDEA), </w:t>
      </w:r>
      <w:r w:rsidRPr="0052794F">
        <w:rPr>
          <w:rFonts w:ascii="Arial" w:eastAsia="Times New Roman" w:hAnsi="Arial" w:cs="Arial"/>
        </w:rPr>
        <w:t xml:space="preserve">20 U.S.C. § 1400 </w:t>
      </w:r>
      <w:proofErr w:type="gramStart"/>
      <w:r w:rsidRPr="0052794F">
        <w:rPr>
          <w:rFonts w:ascii="Arial" w:eastAsia="Times New Roman" w:hAnsi="Arial" w:cs="Arial"/>
          <w:i/>
        </w:rPr>
        <w:t>et</w:t>
      </w:r>
      <w:proofErr w:type="gramEnd"/>
      <w:r w:rsidRPr="0052794F">
        <w:rPr>
          <w:rFonts w:ascii="Arial" w:eastAsia="Times New Roman" w:hAnsi="Arial" w:cs="Arial"/>
          <w:i/>
        </w:rPr>
        <w:t xml:space="preserve">. </w:t>
      </w:r>
      <w:proofErr w:type="spellStart"/>
      <w:r w:rsidRPr="0052794F">
        <w:rPr>
          <w:rFonts w:ascii="Arial" w:eastAsia="Times New Roman" w:hAnsi="Arial" w:cs="Arial"/>
          <w:i/>
        </w:rPr>
        <w:t>seq</w:t>
      </w:r>
      <w:proofErr w:type="spellEnd"/>
    </w:p>
  </w:footnote>
  <w:footnote w:id="4">
    <w:p w:rsidR="00E31545" w:rsidRPr="000F2817" w:rsidRDefault="00E31545" w:rsidP="00E31545">
      <w:pPr>
        <w:pStyle w:val="FootnoteText"/>
      </w:pPr>
      <w:r>
        <w:rPr>
          <w:rStyle w:val="FootnoteReference"/>
        </w:rPr>
        <w:footnoteRef/>
      </w:r>
      <w:r>
        <w:t xml:space="preserve"> </w:t>
      </w:r>
      <w:r w:rsidRPr="000F2817">
        <w:rPr>
          <w:rFonts w:ascii="Arial" w:eastAsia="Times New Roman" w:hAnsi="Arial" w:cs="Arial"/>
        </w:rPr>
        <w:t>M.G.L. 71B</w:t>
      </w:r>
    </w:p>
  </w:footnote>
  <w:footnote w:id="5">
    <w:p w:rsidR="00E31545" w:rsidRPr="000F2817" w:rsidRDefault="00E31545" w:rsidP="00E31545">
      <w:pPr>
        <w:pStyle w:val="FootnoteText"/>
        <w:rPr>
          <w:rFonts w:ascii="Arial" w:hAnsi="Arial" w:cs="Arial"/>
        </w:rPr>
      </w:pPr>
      <w:r w:rsidRPr="000F2817">
        <w:rPr>
          <w:rStyle w:val="FootnoteReference"/>
          <w:rFonts w:ascii="Arial" w:hAnsi="Arial" w:cs="Arial"/>
        </w:rPr>
        <w:footnoteRef/>
      </w:r>
      <w:r w:rsidRPr="000F2817">
        <w:rPr>
          <w:rFonts w:ascii="Arial" w:hAnsi="Arial" w:cs="Arial"/>
        </w:rPr>
        <w:t xml:space="preserve"> </w:t>
      </w:r>
      <w:r w:rsidRPr="000F2817">
        <w:rPr>
          <w:rFonts w:ascii="Arial" w:eastAsia="Times New Roman" w:hAnsi="Arial" w:cs="Arial"/>
        </w:rPr>
        <w:t xml:space="preserve">29 U.S.C. § </w:t>
      </w:r>
      <w:r>
        <w:rPr>
          <w:rFonts w:ascii="Arial" w:eastAsia="Times New Roman" w:hAnsi="Arial" w:cs="Arial"/>
        </w:rPr>
        <w:t>794</w:t>
      </w:r>
    </w:p>
  </w:footnote>
  <w:footnote w:id="6">
    <w:p w:rsidR="00A541C5" w:rsidRPr="00A541C5" w:rsidRDefault="00A541C5">
      <w:pPr>
        <w:pStyle w:val="FootnoteText"/>
        <w:rPr>
          <w:rFonts w:ascii="Arial" w:hAnsi="Arial" w:cs="Arial"/>
        </w:rPr>
      </w:pPr>
      <w:r w:rsidRPr="00A541C5">
        <w:rPr>
          <w:rStyle w:val="FootnoteReference"/>
          <w:rFonts w:ascii="Arial" w:hAnsi="Arial" w:cs="Arial"/>
        </w:rPr>
        <w:footnoteRef/>
      </w:r>
      <w:r w:rsidRPr="00A541C5">
        <w:rPr>
          <w:rFonts w:ascii="Arial" w:hAnsi="Arial" w:cs="Arial"/>
        </w:rPr>
        <w:t xml:space="preserve"> As stated above, Parents </w:t>
      </w:r>
      <w:r>
        <w:rPr>
          <w:rFonts w:ascii="Arial" w:hAnsi="Arial" w:cs="Arial"/>
        </w:rPr>
        <w:t xml:space="preserve">also seek a “settlement agreement” with the District and/or “guidance/modification” regarding regulations and policies concerning public funding for special education schools that are not approved by DESE. The BSEA has no authority to grant this relief, and as such, these claims are dismissed.  In consideration of Parents’ </w:t>
      </w:r>
      <w:r w:rsidRPr="00A541C5">
        <w:rPr>
          <w:rFonts w:ascii="Arial" w:hAnsi="Arial" w:cs="Arial"/>
          <w:i/>
        </w:rPr>
        <w:t>pro se</w:t>
      </w:r>
      <w:r>
        <w:rPr>
          <w:rFonts w:ascii="Arial" w:hAnsi="Arial" w:cs="Arial"/>
        </w:rPr>
        <w:t xml:space="preserve"> status, however, I construe these claims simply as suggestions for how the case might be resolved</w:t>
      </w:r>
      <w:r w:rsidR="0052794F">
        <w:rPr>
          <w:rFonts w:ascii="Arial" w:hAnsi="Arial" w:cs="Arial"/>
        </w:rPr>
        <w:t>.  It is clear</w:t>
      </w:r>
      <w:r>
        <w:rPr>
          <w:rFonts w:ascii="Arial" w:hAnsi="Arial" w:cs="Arial"/>
        </w:rPr>
        <w:t xml:space="preserve"> and that the relief that Parents’ seek is funding for Carroll.  If Parents’ meet their burden of persuasion in this case, the BSEA is certainly authorized to grant such relief.   </w:t>
      </w:r>
    </w:p>
  </w:footnote>
  <w:footnote w:id="7">
    <w:p w:rsidR="00DE377F" w:rsidRPr="00DE377F" w:rsidRDefault="00DE377F">
      <w:pPr>
        <w:pStyle w:val="FootnoteText"/>
        <w:rPr>
          <w:rFonts w:ascii="Arial" w:hAnsi="Arial" w:cs="Arial"/>
        </w:rPr>
      </w:pPr>
      <w:r>
        <w:rPr>
          <w:rStyle w:val="FootnoteReference"/>
        </w:rPr>
        <w:footnoteRef/>
      </w:r>
      <w:r>
        <w:t xml:space="preserve"> </w:t>
      </w:r>
      <w:r>
        <w:rPr>
          <w:rFonts w:ascii="Arial" w:hAnsi="Arial" w:cs="Arial"/>
        </w:rPr>
        <w:t xml:space="preserve">See Note 6, above.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489B"/>
    <w:multiLevelType w:val="hybridMultilevel"/>
    <w:tmpl w:val="618EDAB0"/>
    <w:lvl w:ilvl="0" w:tplc="CF661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50411"/>
    <w:multiLevelType w:val="hybridMultilevel"/>
    <w:tmpl w:val="11A0A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138D9"/>
    <w:multiLevelType w:val="hybridMultilevel"/>
    <w:tmpl w:val="8BEC5C5E"/>
    <w:lvl w:ilvl="0" w:tplc="EC028F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B10253"/>
    <w:multiLevelType w:val="hybridMultilevel"/>
    <w:tmpl w:val="88021AE6"/>
    <w:lvl w:ilvl="0" w:tplc="82600B08">
      <w:start w:val="2"/>
      <w:numFmt w:val="upperRoman"/>
      <w:lvlText w:val="%1."/>
      <w:lvlJc w:val="left"/>
      <w:pPr>
        <w:ind w:left="1080" w:hanging="72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FA5775"/>
    <w:multiLevelType w:val="hybridMultilevel"/>
    <w:tmpl w:val="FB208372"/>
    <w:lvl w:ilvl="0" w:tplc="42A65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D35C5E"/>
    <w:multiLevelType w:val="multilevel"/>
    <w:tmpl w:val="A836A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E975853"/>
    <w:multiLevelType w:val="hybridMultilevel"/>
    <w:tmpl w:val="24A08AD4"/>
    <w:lvl w:ilvl="0" w:tplc="D04ECC5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8F526C"/>
    <w:multiLevelType w:val="hybridMultilevel"/>
    <w:tmpl w:val="B01A6C80"/>
    <w:lvl w:ilvl="0" w:tplc="F43EB5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765DD0"/>
    <w:multiLevelType w:val="multilevel"/>
    <w:tmpl w:val="A37C50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D03E3B"/>
    <w:multiLevelType w:val="hybridMultilevel"/>
    <w:tmpl w:val="6E985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37437F"/>
    <w:multiLevelType w:val="hybridMultilevel"/>
    <w:tmpl w:val="8E605F18"/>
    <w:lvl w:ilvl="0" w:tplc="73F039E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8"/>
  </w:num>
  <w:num w:numId="5">
    <w:abstractNumId w:val="7"/>
  </w:num>
  <w:num w:numId="6">
    <w:abstractNumId w:val="5"/>
  </w:num>
  <w:num w:numId="7">
    <w:abstractNumId w:val="10"/>
  </w:num>
  <w:num w:numId="8">
    <w:abstractNumId w:val="3"/>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5B"/>
    <w:rsid w:val="00004B20"/>
    <w:rsid w:val="00012005"/>
    <w:rsid w:val="00013F03"/>
    <w:rsid w:val="00030556"/>
    <w:rsid w:val="000331B1"/>
    <w:rsid w:val="00035504"/>
    <w:rsid w:val="000432C8"/>
    <w:rsid w:val="000474E8"/>
    <w:rsid w:val="00054174"/>
    <w:rsid w:val="000549EB"/>
    <w:rsid w:val="00056380"/>
    <w:rsid w:val="0007512E"/>
    <w:rsid w:val="000815D5"/>
    <w:rsid w:val="00090FCA"/>
    <w:rsid w:val="000A4368"/>
    <w:rsid w:val="000B155C"/>
    <w:rsid w:val="000E2D1A"/>
    <w:rsid w:val="000F2817"/>
    <w:rsid w:val="00101D6C"/>
    <w:rsid w:val="00116484"/>
    <w:rsid w:val="00136169"/>
    <w:rsid w:val="00150B99"/>
    <w:rsid w:val="00156D43"/>
    <w:rsid w:val="00160F5A"/>
    <w:rsid w:val="00164C8C"/>
    <w:rsid w:val="0017359B"/>
    <w:rsid w:val="00181735"/>
    <w:rsid w:val="001825DF"/>
    <w:rsid w:val="001A3BB0"/>
    <w:rsid w:val="001B3C02"/>
    <w:rsid w:val="001B606E"/>
    <w:rsid w:val="001C7894"/>
    <w:rsid w:val="001D67E7"/>
    <w:rsid w:val="001E42F0"/>
    <w:rsid w:val="001E5143"/>
    <w:rsid w:val="001E5A76"/>
    <w:rsid w:val="0020185E"/>
    <w:rsid w:val="002100E0"/>
    <w:rsid w:val="00222545"/>
    <w:rsid w:val="00242D04"/>
    <w:rsid w:val="00242D3B"/>
    <w:rsid w:val="00246CF8"/>
    <w:rsid w:val="00254015"/>
    <w:rsid w:val="002615E5"/>
    <w:rsid w:val="00262B9C"/>
    <w:rsid w:val="00277098"/>
    <w:rsid w:val="002861DE"/>
    <w:rsid w:val="00286357"/>
    <w:rsid w:val="00294964"/>
    <w:rsid w:val="002A2F17"/>
    <w:rsid w:val="002C666A"/>
    <w:rsid w:val="002C7C07"/>
    <w:rsid w:val="002E66DB"/>
    <w:rsid w:val="0030549C"/>
    <w:rsid w:val="00307518"/>
    <w:rsid w:val="003361C4"/>
    <w:rsid w:val="00336FA1"/>
    <w:rsid w:val="00360CFF"/>
    <w:rsid w:val="00360DE3"/>
    <w:rsid w:val="003640ED"/>
    <w:rsid w:val="003A26A1"/>
    <w:rsid w:val="003C2948"/>
    <w:rsid w:val="003C6F17"/>
    <w:rsid w:val="003D47A2"/>
    <w:rsid w:val="003E4B5E"/>
    <w:rsid w:val="003E7995"/>
    <w:rsid w:val="003F370E"/>
    <w:rsid w:val="003F65E4"/>
    <w:rsid w:val="00403EB9"/>
    <w:rsid w:val="00410139"/>
    <w:rsid w:val="004146EE"/>
    <w:rsid w:val="00437059"/>
    <w:rsid w:val="00451EE9"/>
    <w:rsid w:val="00456743"/>
    <w:rsid w:val="0046104E"/>
    <w:rsid w:val="00467610"/>
    <w:rsid w:val="00470CC5"/>
    <w:rsid w:val="00493A33"/>
    <w:rsid w:val="004E4392"/>
    <w:rsid w:val="004E6E4C"/>
    <w:rsid w:val="004F061E"/>
    <w:rsid w:val="004F6EB2"/>
    <w:rsid w:val="00505329"/>
    <w:rsid w:val="0050574A"/>
    <w:rsid w:val="00516F2D"/>
    <w:rsid w:val="0052725B"/>
    <w:rsid w:val="0052794F"/>
    <w:rsid w:val="005417EB"/>
    <w:rsid w:val="00541ADF"/>
    <w:rsid w:val="00553227"/>
    <w:rsid w:val="00556364"/>
    <w:rsid w:val="00561A34"/>
    <w:rsid w:val="00562798"/>
    <w:rsid w:val="00567E49"/>
    <w:rsid w:val="00571D23"/>
    <w:rsid w:val="005726D4"/>
    <w:rsid w:val="005840C9"/>
    <w:rsid w:val="00584994"/>
    <w:rsid w:val="00584E97"/>
    <w:rsid w:val="00586173"/>
    <w:rsid w:val="00586915"/>
    <w:rsid w:val="00595180"/>
    <w:rsid w:val="0059631D"/>
    <w:rsid w:val="005B2D4E"/>
    <w:rsid w:val="005B4590"/>
    <w:rsid w:val="005C25EB"/>
    <w:rsid w:val="005F3C1E"/>
    <w:rsid w:val="00602E4F"/>
    <w:rsid w:val="00605786"/>
    <w:rsid w:val="006123D1"/>
    <w:rsid w:val="0061248E"/>
    <w:rsid w:val="00616048"/>
    <w:rsid w:val="00616E47"/>
    <w:rsid w:val="006212FB"/>
    <w:rsid w:val="00627563"/>
    <w:rsid w:val="00640E4F"/>
    <w:rsid w:val="0065103A"/>
    <w:rsid w:val="006555D4"/>
    <w:rsid w:val="0066274F"/>
    <w:rsid w:val="00670A76"/>
    <w:rsid w:val="006735E1"/>
    <w:rsid w:val="006805B2"/>
    <w:rsid w:val="00685B87"/>
    <w:rsid w:val="0069221F"/>
    <w:rsid w:val="006A5AA9"/>
    <w:rsid w:val="006C6798"/>
    <w:rsid w:val="006C6B35"/>
    <w:rsid w:val="006E3D1C"/>
    <w:rsid w:val="00700CAB"/>
    <w:rsid w:val="00702DF7"/>
    <w:rsid w:val="0071446A"/>
    <w:rsid w:val="007173BC"/>
    <w:rsid w:val="00722BC3"/>
    <w:rsid w:val="00731064"/>
    <w:rsid w:val="00742BE5"/>
    <w:rsid w:val="007459ED"/>
    <w:rsid w:val="00746FD9"/>
    <w:rsid w:val="00764E9F"/>
    <w:rsid w:val="00765324"/>
    <w:rsid w:val="0078768F"/>
    <w:rsid w:val="007973F0"/>
    <w:rsid w:val="007974F2"/>
    <w:rsid w:val="007A24AA"/>
    <w:rsid w:val="007D3428"/>
    <w:rsid w:val="00836A88"/>
    <w:rsid w:val="00842AE6"/>
    <w:rsid w:val="00850063"/>
    <w:rsid w:val="00872973"/>
    <w:rsid w:val="00877E1A"/>
    <w:rsid w:val="00882054"/>
    <w:rsid w:val="008874AF"/>
    <w:rsid w:val="008A12AE"/>
    <w:rsid w:val="008A276E"/>
    <w:rsid w:val="008A2828"/>
    <w:rsid w:val="008A7CA1"/>
    <w:rsid w:val="008E71A4"/>
    <w:rsid w:val="008F1FB1"/>
    <w:rsid w:val="008F779C"/>
    <w:rsid w:val="009252CA"/>
    <w:rsid w:val="00925C70"/>
    <w:rsid w:val="00931125"/>
    <w:rsid w:val="00957D96"/>
    <w:rsid w:val="0096627B"/>
    <w:rsid w:val="00972CD3"/>
    <w:rsid w:val="0098215E"/>
    <w:rsid w:val="009C579F"/>
    <w:rsid w:val="009D3DAC"/>
    <w:rsid w:val="009F30F4"/>
    <w:rsid w:val="00A050B6"/>
    <w:rsid w:val="00A112C6"/>
    <w:rsid w:val="00A11FD7"/>
    <w:rsid w:val="00A12F1F"/>
    <w:rsid w:val="00A13C9A"/>
    <w:rsid w:val="00A162A9"/>
    <w:rsid w:val="00A23F22"/>
    <w:rsid w:val="00A541C5"/>
    <w:rsid w:val="00A5534E"/>
    <w:rsid w:val="00A6244C"/>
    <w:rsid w:val="00A70F43"/>
    <w:rsid w:val="00A8751C"/>
    <w:rsid w:val="00A97FBC"/>
    <w:rsid w:val="00AA277A"/>
    <w:rsid w:val="00AA3913"/>
    <w:rsid w:val="00AB5860"/>
    <w:rsid w:val="00AB6051"/>
    <w:rsid w:val="00AD3B48"/>
    <w:rsid w:val="00AD4712"/>
    <w:rsid w:val="00AE1B11"/>
    <w:rsid w:val="00AE478D"/>
    <w:rsid w:val="00AE678B"/>
    <w:rsid w:val="00B04796"/>
    <w:rsid w:val="00B135D5"/>
    <w:rsid w:val="00B15074"/>
    <w:rsid w:val="00B67F5D"/>
    <w:rsid w:val="00B8101F"/>
    <w:rsid w:val="00B9103B"/>
    <w:rsid w:val="00BA2471"/>
    <w:rsid w:val="00BA64E2"/>
    <w:rsid w:val="00BB1306"/>
    <w:rsid w:val="00BD4433"/>
    <w:rsid w:val="00C012F2"/>
    <w:rsid w:val="00C038B8"/>
    <w:rsid w:val="00C21E98"/>
    <w:rsid w:val="00C26A19"/>
    <w:rsid w:val="00C35643"/>
    <w:rsid w:val="00C3669E"/>
    <w:rsid w:val="00C84DE4"/>
    <w:rsid w:val="00C86888"/>
    <w:rsid w:val="00CA2AC8"/>
    <w:rsid w:val="00CA40BA"/>
    <w:rsid w:val="00CA460A"/>
    <w:rsid w:val="00CB241D"/>
    <w:rsid w:val="00CF675E"/>
    <w:rsid w:val="00D047CA"/>
    <w:rsid w:val="00D11EF9"/>
    <w:rsid w:val="00D33C5B"/>
    <w:rsid w:val="00D372A7"/>
    <w:rsid w:val="00D43922"/>
    <w:rsid w:val="00D63EEA"/>
    <w:rsid w:val="00D7306F"/>
    <w:rsid w:val="00D77427"/>
    <w:rsid w:val="00D77CE6"/>
    <w:rsid w:val="00D84471"/>
    <w:rsid w:val="00DA3ABF"/>
    <w:rsid w:val="00DB7E88"/>
    <w:rsid w:val="00DC41EB"/>
    <w:rsid w:val="00DD2369"/>
    <w:rsid w:val="00DD5D92"/>
    <w:rsid w:val="00DE377F"/>
    <w:rsid w:val="00DE6256"/>
    <w:rsid w:val="00DF154C"/>
    <w:rsid w:val="00DF7B03"/>
    <w:rsid w:val="00E11697"/>
    <w:rsid w:val="00E21DA2"/>
    <w:rsid w:val="00E27AD3"/>
    <w:rsid w:val="00E27FC5"/>
    <w:rsid w:val="00E31545"/>
    <w:rsid w:val="00E35F9B"/>
    <w:rsid w:val="00E46D39"/>
    <w:rsid w:val="00E51948"/>
    <w:rsid w:val="00E53643"/>
    <w:rsid w:val="00E601EE"/>
    <w:rsid w:val="00E63F73"/>
    <w:rsid w:val="00E7394E"/>
    <w:rsid w:val="00E80067"/>
    <w:rsid w:val="00E80350"/>
    <w:rsid w:val="00E835F1"/>
    <w:rsid w:val="00E84105"/>
    <w:rsid w:val="00E84E7A"/>
    <w:rsid w:val="00E92F96"/>
    <w:rsid w:val="00E93F47"/>
    <w:rsid w:val="00EB0858"/>
    <w:rsid w:val="00EB4B65"/>
    <w:rsid w:val="00EB63C2"/>
    <w:rsid w:val="00EB6796"/>
    <w:rsid w:val="00ED26A4"/>
    <w:rsid w:val="00ED3EEF"/>
    <w:rsid w:val="00ED56DE"/>
    <w:rsid w:val="00EF11E3"/>
    <w:rsid w:val="00EF7EAC"/>
    <w:rsid w:val="00F00A0A"/>
    <w:rsid w:val="00F03B91"/>
    <w:rsid w:val="00F16008"/>
    <w:rsid w:val="00F22389"/>
    <w:rsid w:val="00F27FFE"/>
    <w:rsid w:val="00F32323"/>
    <w:rsid w:val="00F3770C"/>
    <w:rsid w:val="00F61FC8"/>
    <w:rsid w:val="00F64C7F"/>
    <w:rsid w:val="00F8433C"/>
    <w:rsid w:val="00F95257"/>
    <w:rsid w:val="00FA3078"/>
    <w:rsid w:val="00FA3E24"/>
    <w:rsid w:val="00FA597A"/>
    <w:rsid w:val="00FA7DB3"/>
    <w:rsid w:val="00FB5BF8"/>
    <w:rsid w:val="00FC70C9"/>
    <w:rsid w:val="00FD2B22"/>
    <w:rsid w:val="00FE21FC"/>
    <w:rsid w:val="00FE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549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searchterm">
    <w:name w:val="co_searchterm"/>
    <w:basedOn w:val="DefaultParagraphFont"/>
    <w:rsid w:val="00D33C5B"/>
  </w:style>
  <w:style w:type="character" w:styleId="Emphasis">
    <w:name w:val="Emphasis"/>
    <w:basedOn w:val="DefaultParagraphFont"/>
    <w:uiPriority w:val="20"/>
    <w:qFormat/>
    <w:rsid w:val="00D33C5B"/>
    <w:rPr>
      <w:i/>
      <w:iCs/>
    </w:rPr>
  </w:style>
  <w:style w:type="character" w:customStyle="1" w:styleId="costarpage">
    <w:name w:val="co_starpage"/>
    <w:basedOn w:val="DefaultParagraphFont"/>
    <w:rsid w:val="00D33C5B"/>
  </w:style>
  <w:style w:type="paragraph" w:styleId="ListParagraph">
    <w:name w:val="List Paragraph"/>
    <w:basedOn w:val="Normal"/>
    <w:uiPriority w:val="34"/>
    <w:qFormat/>
    <w:rsid w:val="003C6F17"/>
    <w:pPr>
      <w:ind w:left="720"/>
      <w:contextualSpacing/>
    </w:pPr>
  </w:style>
  <w:style w:type="character" w:styleId="Hyperlink">
    <w:name w:val="Hyperlink"/>
    <w:basedOn w:val="DefaultParagraphFont"/>
    <w:uiPriority w:val="99"/>
    <w:unhideWhenUsed/>
    <w:rsid w:val="003361C4"/>
    <w:rPr>
      <w:color w:val="0000FF" w:themeColor="hyperlink"/>
      <w:u w:val="single"/>
    </w:rPr>
  </w:style>
  <w:style w:type="paragraph" w:styleId="FootnoteText">
    <w:name w:val="footnote text"/>
    <w:basedOn w:val="Normal"/>
    <w:link w:val="FootnoteTextChar"/>
    <w:unhideWhenUsed/>
    <w:rsid w:val="00CA40BA"/>
    <w:pPr>
      <w:spacing w:after="0" w:line="240" w:lineRule="auto"/>
    </w:pPr>
    <w:rPr>
      <w:sz w:val="20"/>
      <w:szCs w:val="20"/>
    </w:rPr>
  </w:style>
  <w:style w:type="character" w:customStyle="1" w:styleId="FootnoteTextChar">
    <w:name w:val="Footnote Text Char"/>
    <w:basedOn w:val="DefaultParagraphFont"/>
    <w:link w:val="FootnoteText"/>
    <w:rsid w:val="00CA40BA"/>
    <w:rPr>
      <w:sz w:val="20"/>
      <w:szCs w:val="20"/>
    </w:rPr>
  </w:style>
  <w:style w:type="character" w:styleId="FootnoteReference">
    <w:name w:val="footnote reference"/>
    <w:basedOn w:val="DefaultParagraphFont"/>
    <w:uiPriority w:val="99"/>
    <w:unhideWhenUsed/>
    <w:rsid w:val="00CA40BA"/>
    <w:rPr>
      <w:vertAlign w:val="superscript"/>
    </w:rPr>
  </w:style>
  <w:style w:type="paragraph" w:styleId="Header">
    <w:name w:val="header"/>
    <w:basedOn w:val="Normal"/>
    <w:link w:val="HeaderChar"/>
    <w:uiPriority w:val="99"/>
    <w:unhideWhenUsed/>
    <w:rsid w:val="00360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CFF"/>
  </w:style>
  <w:style w:type="paragraph" w:styleId="Footer">
    <w:name w:val="footer"/>
    <w:basedOn w:val="Normal"/>
    <w:link w:val="FooterChar"/>
    <w:uiPriority w:val="99"/>
    <w:unhideWhenUsed/>
    <w:rsid w:val="00360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CFF"/>
  </w:style>
  <w:style w:type="character" w:customStyle="1" w:styleId="Heading4Char">
    <w:name w:val="Heading 4 Char"/>
    <w:basedOn w:val="DefaultParagraphFont"/>
    <w:link w:val="Heading4"/>
    <w:uiPriority w:val="9"/>
    <w:rsid w:val="000549E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549EB"/>
    <w:pPr>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972CD3"/>
    <w:rPr>
      <w:b/>
      <w:bCs/>
      <w:i/>
      <w:iCs/>
      <w:color w:val="4F81BD" w:themeColor="accent1"/>
    </w:rPr>
  </w:style>
  <w:style w:type="paragraph" w:styleId="BodyText">
    <w:name w:val="Body Text"/>
    <w:basedOn w:val="Normal"/>
    <w:link w:val="BodyTextChar"/>
    <w:rsid w:val="006C679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C679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549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searchterm">
    <w:name w:val="co_searchterm"/>
    <w:basedOn w:val="DefaultParagraphFont"/>
    <w:rsid w:val="00D33C5B"/>
  </w:style>
  <w:style w:type="character" w:styleId="Emphasis">
    <w:name w:val="Emphasis"/>
    <w:basedOn w:val="DefaultParagraphFont"/>
    <w:uiPriority w:val="20"/>
    <w:qFormat/>
    <w:rsid w:val="00D33C5B"/>
    <w:rPr>
      <w:i/>
      <w:iCs/>
    </w:rPr>
  </w:style>
  <w:style w:type="character" w:customStyle="1" w:styleId="costarpage">
    <w:name w:val="co_starpage"/>
    <w:basedOn w:val="DefaultParagraphFont"/>
    <w:rsid w:val="00D33C5B"/>
  </w:style>
  <w:style w:type="paragraph" w:styleId="ListParagraph">
    <w:name w:val="List Paragraph"/>
    <w:basedOn w:val="Normal"/>
    <w:uiPriority w:val="34"/>
    <w:qFormat/>
    <w:rsid w:val="003C6F17"/>
    <w:pPr>
      <w:ind w:left="720"/>
      <w:contextualSpacing/>
    </w:pPr>
  </w:style>
  <w:style w:type="character" w:styleId="Hyperlink">
    <w:name w:val="Hyperlink"/>
    <w:basedOn w:val="DefaultParagraphFont"/>
    <w:uiPriority w:val="99"/>
    <w:unhideWhenUsed/>
    <w:rsid w:val="003361C4"/>
    <w:rPr>
      <w:color w:val="0000FF" w:themeColor="hyperlink"/>
      <w:u w:val="single"/>
    </w:rPr>
  </w:style>
  <w:style w:type="paragraph" w:styleId="FootnoteText">
    <w:name w:val="footnote text"/>
    <w:basedOn w:val="Normal"/>
    <w:link w:val="FootnoteTextChar"/>
    <w:unhideWhenUsed/>
    <w:rsid w:val="00CA40BA"/>
    <w:pPr>
      <w:spacing w:after="0" w:line="240" w:lineRule="auto"/>
    </w:pPr>
    <w:rPr>
      <w:sz w:val="20"/>
      <w:szCs w:val="20"/>
    </w:rPr>
  </w:style>
  <w:style w:type="character" w:customStyle="1" w:styleId="FootnoteTextChar">
    <w:name w:val="Footnote Text Char"/>
    <w:basedOn w:val="DefaultParagraphFont"/>
    <w:link w:val="FootnoteText"/>
    <w:rsid w:val="00CA40BA"/>
    <w:rPr>
      <w:sz w:val="20"/>
      <w:szCs w:val="20"/>
    </w:rPr>
  </w:style>
  <w:style w:type="character" w:styleId="FootnoteReference">
    <w:name w:val="footnote reference"/>
    <w:basedOn w:val="DefaultParagraphFont"/>
    <w:uiPriority w:val="99"/>
    <w:unhideWhenUsed/>
    <w:rsid w:val="00CA40BA"/>
    <w:rPr>
      <w:vertAlign w:val="superscript"/>
    </w:rPr>
  </w:style>
  <w:style w:type="paragraph" w:styleId="Header">
    <w:name w:val="header"/>
    <w:basedOn w:val="Normal"/>
    <w:link w:val="HeaderChar"/>
    <w:uiPriority w:val="99"/>
    <w:unhideWhenUsed/>
    <w:rsid w:val="00360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CFF"/>
  </w:style>
  <w:style w:type="paragraph" w:styleId="Footer">
    <w:name w:val="footer"/>
    <w:basedOn w:val="Normal"/>
    <w:link w:val="FooterChar"/>
    <w:uiPriority w:val="99"/>
    <w:unhideWhenUsed/>
    <w:rsid w:val="00360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CFF"/>
  </w:style>
  <w:style w:type="character" w:customStyle="1" w:styleId="Heading4Char">
    <w:name w:val="Heading 4 Char"/>
    <w:basedOn w:val="DefaultParagraphFont"/>
    <w:link w:val="Heading4"/>
    <w:uiPriority w:val="9"/>
    <w:rsid w:val="000549E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549EB"/>
    <w:pPr>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972CD3"/>
    <w:rPr>
      <w:b/>
      <w:bCs/>
      <w:i/>
      <w:iCs/>
      <w:color w:val="4F81BD" w:themeColor="accent1"/>
    </w:rPr>
  </w:style>
  <w:style w:type="paragraph" w:styleId="BodyText">
    <w:name w:val="Body Text"/>
    <w:basedOn w:val="Normal"/>
    <w:link w:val="BodyTextChar"/>
    <w:rsid w:val="006C679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C679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848849">
      <w:bodyDiv w:val="1"/>
      <w:marLeft w:val="0"/>
      <w:marRight w:val="0"/>
      <w:marTop w:val="0"/>
      <w:marBottom w:val="0"/>
      <w:divBdr>
        <w:top w:val="none" w:sz="0" w:space="0" w:color="auto"/>
        <w:left w:val="none" w:sz="0" w:space="0" w:color="auto"/>
        <w:bottom w:val="none" w:sz="0" w:space="0" w:color="auto"/>
        <w:right w:val="none" w:sz="0" w:space="0" w:color="auto"/>
      </w:divBdr>
    </w:div>
    <w:div w:id="712313773">
      <w:bodyDiv w:val="1"/>
      <w:marLeft w:val="0"/>
      <w:marRight w:val="0"/>
      <w:marTop w:val="0"/>
      <w:marBottom w:val="0"/>
      <w:divBdr>
        <w:top w:val="none" w:sz="0" w:space="0" w:color="auto"/>
        <w:left w:val="none" w:sz="0" w:space="0" w:color="auto"/>
        <w:bottom w:val="none" w:sz="0" w:space="0" w:color="auto"/>
        <w:right w:val="none" w:sz="0" w:space="0" w:color="auto"/>
      </w:divBdr>
      <w:divsChild>
        <w:div w:id="1386685227">
          <w:marLeft w:val="0"/>
          <w:marRight w:val="0"/>
          <w:marTop w:val="0"/>
          <w:marBottom w:val="0"/>
          <w:divBdr>
            <w:top w:val="none" w:sz="0" w:space="0" w:color="auto"/>
            <w:left w:val="none" w:sz="0" w:space="0" w:color="auto"/>
            <w:bottom w:val="none" w:sz="0" w:space="0" w:color="auto"/>
            <w:right w:val="none" w:sz="0" w:space="0" w:color="auto"/>
          </w:divBdr>
          <w:divsChild>
            <w:div w:id="1350788636">
              <w:marLeft w:val="0"/>
              <w:marRight w:val="0"/>
              <w:marTop w:val="0"/>
              <w:marBottom w:val="0"/>
              <w:divBdr>
                <w:top w:val="none" w:sz="0" w:space="0" w:color="auto"/>
                <w:left w:val="none" w:sz="0" w:space="0" w:color="auto"/>
                <w:bottom w:val="none" w:sz="0" w:space="0" w:color="auto"/>
                <w:right w:val="none" w:sz="0" w:space="0" w:color="auto"/>
              </w:divBdr>
              <w:divsChild>
                <w:div w:id="1540169405">
                  <w:marLeft w:val="0"/>
                  <w:marRight w:val="0"/>
                  <w:marTop w:val="0"/>
                  <w:marBottom w:val="0"/>
                  <w:divBdr>
                    <w:top w:val="none" w:sz="0" w:space="0" w:color="auto"/>
                    <w:left w:val="none" w:sz="0" w:space="0" w:color="auto"/>
                    <w:bottom w:val="none" w:sz="0" w:space="0" w:color="auto"/>
                    <w:right w:val="none" w:sz="0" w:space="0" w:color="auto"/>
                  </w:divBdr>
                </w:div>
              </w:divsChild>
            </w:div>
            <w:div w:id="839930519">
              <w:marLeft w:val="0"/>
              <w:marRight w:val="0"/>
              <w:marTop w:val="0"/>
              <w:marBottom w:val="0"/>
              <w:divBdr>
                <w:top w:val="none" w:sz="0" w:space="0" w:color="auto"/>
                <w:left w:val="none" w:sz="0" w:space="0" w:color="auto"/>
                <w:bottom w:val="none" w:sz="0" w:space="0" w:color="auto"/>
                <w:right w:val="none" w:sz="0" w:space="0" w:color="auto"/>
              </w:divBdr>
              <w:divsChild>
                <w:div w:id="1728069217">
                  <w:marLeft w:val="0"/>
                  <w:marRight w:val="0"/>
                  <w:marTop w:val="0"/>
                  <w:marBottom w:val="0"/>
                  <w:divBdr>
                    <w:top w:val="none" w:sz="0" w:space="0" w:color="auto"/>
                    <w:left w:val="none" w:sz="0" w:space="0" w:color="auto"/>
                    <w:bottom w:val="none" w:sz="0" w:space="0" w:color="auto"/>
                    <w:right w:val="none" w:sz="0" w:space="0" w:color="auto"/>
                  </w:divBdr>
                </w:div>
              </w:divsChild>
            </w:div>
            <w:div w:id="21466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8237">
      <w:bodyDiv w:val="1"/>
      <w:marLeft w:val="0"/>
      <w:marRight w:val="0"/>
      <w:marTop w:val="0"/>
      <w:marBottom w:val="0"/>
      <w:divBdr>
        <w:top w:val="none" w:sz="0" w:space="0" w:color="auto"/>
        <w:left w:val="none" w:sz="0" w:space="0" w:color="auto"/>
        <w:bottom w:val="none" w:sz="0" w:space="0" w:color="auto"/>
        <w:right w:val="none" w:sz="0" w:space="0" w:color="auto"/>
      </w:divBdr>
    </w:div>
    <w:div w:id="1540044275">
      <w:bodyDiv w:val="1"/>
      <w:marLeft w:val="0"/>
      <w:marRight w:val="0"/>
      <w:marTop w:val="0"/>
      <w:marBottom w:val="0"/>
      <w:divBdr>
        <w:top w:val="none" w:sz="0" w:space="0" w:color="auto"/>
        <w:left w:val="none" w:sz="0" w:space="0" w:color="auto"/>
        <w:bottom w:val="none" w:sz="0" w:space="0" w:color="auto"/>
        <w:right w:val="none" w:sz="0" w:space="0" w:color="auto"/>
      </w:divBdr>
    </w:div>
    <w:div w:id="1586302075">
      <w:bodyDiv w:val="1"/>
      <w:marLeft w:val="0"/>
      <w:marRight w:val="0"/>
      <w:marTop w:val="0"/>
      <w:marBottom w:val="0"/>
      <w:divBdr>
        <w:top w:val="none" w:sz="0" w:space="0" w:color="auto"/>
        <w:left w:val="none" w:sz="0" w:space="0" w:color="auto"/>
        <w:bottom w:val="none" w:sz="0" w:space="0" w:color="auto"/>
        <w:right w:val="none" w:sz="0" w:space="0" w:color="auto"/>
      </w:divBdr>
      <w:divsChild>
        <w:div w:id="281112046">
          <w:marLeft w:val="0"/>
          <w:marRight w:val="0"/>
          <w:marTop w:val="0"/>
          <w:marBottom w:val="0"/>
          <w:divBdr>
            <w:top w:val="none" w:sz="0" w:space="0" w:color="auto"/>
            <w:left w:val="none" w:sz="0" w:space="0" w:color="auto"/>
            <w:bottom w:val="none" w:sz="0" w:space="0" w:color="auto"/>
            <w:right w:val="none" w:sz="0" w:space="0" w:color="auto"/>
          </w:divBdr>
          <w:divsChild>
            <w:div w:id="1179655906">
              <w:marLeft w:val="0"/>
              <w:marRight w:val="0"/>
              <w:marTop w:val="0"/>
              <w:marBottom w:val="0"/>
              <w:divBdr>
                <w:top w:val="none" w:sz="0" w:space="0" w:color="auto"/>
                <w:left w:val="none" w:sz="0" w:space="0" w:color="auto"/>
                <w:bottom w:val="none" w:sz="0" w:space="0" w:color="auto"/>
                <w:right w:val="none" w:sz="0" w:space="0" w:color="auto"/>
              </w:divBdr>
              <w:divsChild>
                <w:div w:id="1267154780">
                  <w:marLeft w:val="0"/>
                  <w:marRight w:val="0"/>
                  <w:marTop w:val="0"/>
                  <w:marBottom w:val="0"/>
                  <w:divBdr>
                    <w:top w:val="none" w:sz="0" w:space="0" w:color="auto"/>
                    <w:left w:val="none" w:sz="0" w:space="0" w:color="auto"/>
                    <w:bottom w:val="none" w:sz="0" w:space="0" w:color="auto"/>
                    <w:right w:val="none" w:sz="0" w:space="0" w:color="auto"/>
                  </w:divBdr>
                </w:div>
              </w:divsChild>
            </w:div>
            <w:div w:id="316806514">
              <w:marLeft w:val="0"/>
              <w:marRight w:val="0"/>
              <w:marTop w:val="0"/>
              <w:marBottom w:val="0"/>
              <w:divBdr>
                <w:top w:val="none" w:sz="0" w:space="0" w:color="auto"/>
                <w:left w:val="none" w:sz="0" w:space="0" w:color="auto"/>
                <w:bottom w:val="none" w:sz="0" w:space="0" w:color="auto"/>
                <w:right w:val="none" w:sz="0" w:space="0" w:color="auto"/>
              </w:divBdr>
              <w:divsChild>
                <w:div w:id="1592543354">
                  <w:marLeft w:val="0"/>
                  <w:marRight w:val="0"/>
                  <w:marTop w:val="0"/>
                  <w:marBottom w:val="0"/>
                  <w:divBdr>
                    <w:top w:val="none" w:sz="0" w:space="0" w:color="auto"/>
                    <w:left w:val="none" w:sz="0" w:space="0" w:color="auto"/>
                    <w:bottom w:val="none" w:sz="0" w:space="0" w:color="auto"/>
                    <w:right w:val="none" w:sz="0" w:space="0" w:color="auto"/>
                  </w:divBdr>
                </w:div>
              </w:divsChild>
            </w:div>
            <w:div w:id="740449335">
              <w:marLeft w:val="0"/>
              <w:marRight w:val="0"/>
              <w:marTop w:val="0"/>
              <w:marBottom w:val="0"/>
              <w:divBdr>
                <w:top w:val="none" w:sz="0" w:space="0" w:color="auto"/>
                <w:left w:val="none" w:sz="0" w:space="0" w:color="auto"/>
                <w:bottom w:val="none" w:sz="0" w:space="0" w:color="auto"/>
                <w:right w:val="none" w:sz="0" w:space="0" w:color="auto"/>
              </w:divBdr>
              <w:divsChild>
                <w:div w:id="1415513990">
                  <w:marLeft w:val="0"/>
                  <w:marRight w:val="0"/>
                  <w:marTop w:val="0"/>
                  <w:marBottom w:val="0"/>
                  <w:divBdr>
                    <w:top w:val="none" w:sz="0" w:space="0" w:color="auto"/>
                    <w:left w:val="none" w:sz="0" w:space="0" w:color="auto"/>
                    <w:bottom w:val="none" w:sz="0" w:space="0" w:color="auto"/>
                    <w:right w:val="none" w:sz="0" w:space="0" w:color="auto"/>
                  </w:divBdr>
                </w:div>
              </w:divsChild>
            </w:div>
            <w:div w:id="14902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3549F-8E6D-41BF-940A-7F9D1F77B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2235</Words>
  <Characters>12743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 Colleen (ALA)</dc:creator>
  <cp:lastModifiedBy>ANF</cp:lastModifiedBy>
  <cp:revision>2</cp:revision>
  <cp:lastPrinted>2019-07-19T19:32:00Z</cp:lastPrinted>
  <dcterms:created xsi:type="dcterms:W3CDTF">2020-05-05T13:03:00Z</dcterms:created>
  <dcterms:modified xsi:type="dcterms:W3CDTF">2020-05-05T13:03:00Z</dcterms:modified>
</cp:coreProperties>
</file>