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E157BC" w14:textId="77777777" w:rsidR="00767D56" w:rsidRPr="005C671F" w:rsidRDefault="00767D56" w:rsidP="00767D56">
      <w:pPr>
        <w:pStyle w:val="NoSpacing"/>
        <w:jc w:val="center"/>
        <w:rPr>
          <w:rFonts w:ascii="Times New Roman" w:hAnsi="Times New Roman" w:cs="Times New Roman"/>
          <w:b/>
          <w:sz w:val="25"/>
          <w:szCs w:val="25"/>
        </w:rPr>
      </w:pPr>
      <w:bookmarkStart w:id="0" w:name="_GoBack"/>
      <w:bookmarkEnd w:id="0"/>
      <w:r w:rsidRPr="005C671F">
        <w:rPr>
          <w:rFonts w:ascii="Times New Roman" w:hAnsi="Times New Roman" w:cs="Times New Roman"/>
          <w:b/>
          <w:sz w:val="25"/>
          <w:szCs w:val="25"/>
        </w:rPr>
        <w:t>COMMONWEALTH OF MASSACHUSETTS</w:t>
      </w:r>
    </w:p>
    <w:p w14:paraId="06EF997F"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DIVISION OF ADMINISTRATIVE LAW APPEALS</w:t>
      </w:r>
    </w:p>
    <w:p w14:paraId="30E05A94" w14:textId="77777777" w:rsidR="00767D56" w:rsidRPr="005C671F" w:rsidRDefault="00767D56" w:rsidP="00767D56">
      <w:pPr>
        <w:pStyle w:val="NoSpacing"/>
        <w:jc w:val="center"/>
        <w:rPr>
          <w:rFonts w:ascii="Times New Roman" w:hAnsi="Times New Roman" w:cs="Times New Roman"/>
          <w:b/>
          <w:sz w:val="25"/>
          <w:szCs w:val="25"/>
        </w:rPr>
      </w:pPr>
      <w:r w:rsidRPr="005C671F">
        <w:rPr>
          <w:rFonts w:ascii="Times New Roman" w:hAnsi="Times New Roman" w:cs="Times New Roman"/>
          <w:b/>
          <w:sz w:val="25"/>
          <w:szCs w:val="25"/>
        </w:rPr>
        <w:t>BUREAU OF SPECIAL EDUCATION APPEALS</w:t>
      </w:r>
    </w:p>
    <w:p w14:paraId="29FFB782" w14:textId="77777777" w:rsidR="00767D56" w:rsidRPr="005C671F" w:rsidRDefault="00767D56" w:rsidP="00767D56">
      <w:pPr>
        <w:pStyle w:val="NoSpacing"/>
        <w:tabs>
          <w:tab w:val="left" w:pos="5446"/>
        </w:tabs>
        <w:rPr>
          <w:rFonts w:ascii="Times New Roman" w:hAnsi="Times New Roman" w:cs="Times New Roman"/>
          <w:sz w:val="25"/>
          <w:szCs w:val="25"/>
        </w:rPr>
      </w:pPr>
      <w:r w:rsidRPr="005C671F">
        <w:rPr>
          <w:rFonts w:ascii="Times New Roman" w:hAnsi="Times New Roman" w:cs="Times New Roman"/>
          <w:sz w:val="25"/>
          <w:szCs w:val="25"/>
        </w:rPr>
        <w:tab/>
      </w:r>
    </w:p>
    <w:p w14:paraId="522FC49A" w14:textId="77777777" w:rsidR="00767D56" w:rsidRPr="005C671F" w:rsidRDefault="00767D56" w:rsidP="00767D56">
      <w:pPr>
        <w:pStyle w:val="NoSpacing"/>
        <w:jc w:val="center"/>
        <w:rPr>
          <w:rFonts w:ascii="Times New Roman" w:hAnsi="Times New Roman" w:cs="Times New Roman"/>
          <w:sz w:val="24"/>
          <w:szCs w:val="24"/>
        </w:rPr>
      </w:pPr>
    </w:p>
    <w:p w14:paraId="0D9621A3" w14:textId="703D3063" w:rsidR="00767D56" w:rsidRPr="005C671F" w:rsidRDefault="00767D56" w:rsidP="00767D56">
      <w:pPr>
        <w:pStyle w:val="NoSpacing"/>
        <w:rPr>
          <w:rFonts w:ascii="Times New Roman" w:hAnsi="Times New Roman" w:cs="Times New Roman"/>
          <w:sz w:val="24"/>
          <w:szCs w:val="24"/>
        </w:rPr>
      </w:pPr>
      <w:r w:rsidRPr="005C671F">
        <w:rPr>
          <w:rFonts w:ascii="Times New Roman" w:hAnsi="Times New Roman" w:cs="Times New Roman"/>
          <w:sz w:val="24"/>
          <w:szCs w:val="24"/>
        </w:rPr>
        <w:t>In re:    Ollie</w:t>
      </w:r>
      <w:r w:rsidRPr="005C671F">
        <w:rPr>
          <w:rStyle w:val="FootnoteReference"/>
          <w:rFonts w:ascii="Times New Roman" w:hAnsi="Times New Roman" w:cs="Times New Roman"/>
          <w:sz w:val="24"/>
          <w:szCs w:val="24"/>
        </w:rPr>
        <w:footnoteReference w:id="1"/>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r>
      <w:r w:rsidRPr="005C671F">
        <w:rPr>
          <w:rFonts w:ascii="Times New Roman" w:hAnsi="Times New Roman" w:cs="Times New Roman"/>
          <w:sz w:val="24"/>
          <w:szCs w:val="24"/>
        </w:rPr>
        <w:tab/>
        <w:t>BSEA</w:t>
      </w:r>
      <w:r w:rsidRPr="005C671F">
        <w:rPr>
          <w:rFonts w:ascii="Times New Roman" w:hAnsi="Times New Roman" w:cs="Times New Roman"/>
          <w:b/>
          <w:sz w:val="24"/>
          <w:szCs w:val="24"/>
        </w:rPr>
        <w:t xml:space="preserve"> #</w:t>
      </w:r>
      <w:r w:rsidRPr="005C671F">
        <w:rPr>
          <w:rFonts w:ascii="Times New Roman" w:hAnsi="Times New Roman" w:cs="Times New Roman"/>
          <w:sz w:val="24"/>
          <w:szCs w:val="24"/>
        </w:rPr>
        <w:t>200</w:t>
      </w:r>
      <w:r w:rsidR="00EB21FE">
        <w:rPr>
          <w:rFonts w:ascii="Times New Roman" w:hAnsi="Times New Roman" w:cs="Times New Roman"/>
          <w:sz w:val="24"/>
          <w:szCs w:val="24"/>
        </w:rPr>
        <w:t>7894</w:t>
      </w:r>
    </w:p>
    <w:p w14:paraId="53952DF3" w14:textId="77777777" w:rsidR="00767D56" w:rsidRPr="005C671F" w:rsidRDefault="00767D56" w:rsidP="00767D56"/>
    <w:p w14:paraId="0050DFC1" w14:textId="71700C8E" w:rsidR="0093058C" w:rsidRDefault="001D21AA" w:rsidP="00767D56">
      <w:pPr>
        <w:jc w:val="center"/>
        <w:rPr>
          <w:b/>
          <w:bCs/>
          <w:u w:val="single"/>
        </w:rPr>
      </w:pPr>
      <w:r>
        <w:rPr>
          <w:b/>
          <w:bCs/>
          <w:u w:val="single"/>
        </w:rPr>
        <w:t>RULING ON</w:t>
      </w:r>
      <w:r w:rsidR="004F6D14">
        <w:rPr>
          <w:b/>
          <w:bCs/>
          <w:u w:val="single"/>
        </w:rPr>
        <w:t xml:space="preserve"> MULTIPLE </w:t>
      </w:r>
      <w:r w:rsidR="00767D56">
        <w:rPr>
          <w:b/>
          <w:bCs/>
          <w:u w:val="single"/>
        </w:rPr>
        <w:t>MOTIONS</w:t>
      </w:r>
    </w:p>
    <w:p w14:paraId="32AD7D4E" w14:textId="33525229" w:rsidR="00767D56" w:rsidRDefault="00767D56" w:rsidP="00767D56">
      <w:pPr>
        <w:rPr>
          <w:b/>
          <w:bCs/>
          <w:u w:val="single"/>
        </w:rPr>
      </w:pPr>
    </w:p>
    <w:p w14:paraId="7826D0BF" w14:textId="5A0C8CD3" w:rsidR="00767D56" w:rsidRDefault="00720230" w:rsidP="003E7A2F">
      <w:pPr>
        <w:ind w:firstLine="720"/>
      </w:pPr>
      <w:r w:rsidRPr="00331E3A">
        <w:t>This matter comes before the Heari</w:t>
      </w:r>
      <w:r>
        <w:t xml:space="preserve">ng Officer on various motions filed by the parties between May 6 and </w:t>
      </w:r>
      <w:r w:rsidR="00263052">
        <w:t xml:space="preserve">May </w:t>
      </w:r>
      <w:r>
        <w:t xml:space="preserve">11, 2020. </w:t>
      </w:r>
      <w:r w:rsidR="001D21AA">
        <w:t>Arguments regarding each</w:t>
      </w:r>
      <w:r w:rsidR="004F6D14">
        <w:t xml:space="preserve"> motion</w:t>
      </w:r>
      <w:r w:rsidR="001D21AA">
        <w:t xml:space="preserve"> </w:t>
      </w:r>
      <w:r w:rsidR="00767D56">
        <w:t>were heard during a Virtual Motion</w:t>
      </w:r>
      <w:r w:rsidR="00FC03C3">
        <w:t xml:space="preserve"> </w:t>
      </w:r>
      <w:r w:rsidR="00767D56">
        <w:t xml:space="preserve">Hearing via Zoom on May 19, 2020. For the reasons set forth below, </w:t>
      </w:r>
      <w:r w:rsidR="00767D56" w:rsidRPr="005C671F">
        <w:t xml:space="preserve">Parent’s </w:t>
      </w:r>
      <w:r w:rsidR="00410D83">
        <w:rPr>
          <w:i/>
        </w:rPr>
        <w:t>Motion</w:t>
      </w:r>
      <w:r w:rsidR="00767D56" w:rsidRPr="005C671F">
        <w:rPr>
          <w:i/>
        </w:rPr>
        <w:t xml:space="preserve"> for an Independent and Impartial Law Firm </w:t>
      </w:r>
      <w:r w:rsidR="00767D56" w:rsidRPr="005C671F">
        <w:rPr>
          <w:i/>
          <w:iCs/>
        </w:rPr>
        <w:t>to Collect and Produce Discovery Student File Documents</w:t>
      </w:r>
      <w:r>
        <w:t xml:space="preserve">, Parent’s </w:t>
      </w:r>
      <w:r>
        <w:rPr>
          <w:i/>
          <w:iCs/>
        </w:rPr>
        <w:t xml:space="preserve">Request for Hearing Officer to Prevent </w:t>
      </w:r>
      <w:proofErr w:type="spellStart"/>
      <w:r>
        <w:rPr>
          <w:i/>
          <w:iCs/>
        </w:rPr>
        <w:t>Futher</w:t>
      </w:r>
      <w:proofErr w:type="spellEnd"/>
      <w:r>
        <w:rPr>
          <w:i/>
          <w:iCs/>
        </w:rPr>
        <w:t xml:space="preserve"> (sic) Violation of Parent Rights to Comprehensive Student File/and Freedom of Speech,</w:t>
      </w:r>
      <w:r>
        <w:t xml:space="preserve"> </w:t>
      </w:r>
      <w:r w:rsidRPr="004F6D14">
        <w:t xml:space="preserve">and </w:t>
      </w:r>
      <w:r w:rsidR="001D21AA" w:rsidRPr="004F6D14">
        <w:t>Springfield’s</w:t>
      </w:r>
      <w:r w:rsidR="004D1A94" w:rsidRPr="004F6D14">
        <w:t xml:space="preserve"> </w:t>
      </w:r>
      <w:r w:rsidR="00410D83" w:rsidRPr="004F6D14">
        <w:rPr>
          <w:i/>
          <w:iCs/>
        </w:rPr>
        <w:t>Motion</w:t>
      </w:r>
      <w:r w:rsidR="003E7A2F" w:rsidRPr="004F6D14">
        <w:rPr>
          <w:i/>
          <w:iCs/>
        </w:rPr>
        <w:t xml:space="preserve"> that Parent Keep the Information About This Matter Confidential</w:t>
      </w:r>
      <w:r w:rsidR="004D1A94" w:rsidRPr="004F6D14">
        <w:t xml:space="preserve"> are </w:t>
      </w:r>
      <w:r w:rsidRPr="004F6D14">
        <w:t>hereby DENIED</w:t>
      </w:r>
      <w:r w:rsidR="004D1A94" w:rsidRPr="004F6D14">
        <w:t>.</w:t>
      </w:r>
      <w:r w:rsidR="001D21AA">
        <w:t xml:space="preserve"> </w:t>
      </w:r>
      <w:proofErr w:type="gramStart"/>
      <w:r w:rsidR="001D21AA">
        <w:t>Springfield’s</w:t>
      </w:r>
      <w:r w:rsidR="003E7A2F">
        <w:t xml:space="preserve"> </w:t>
      </w:r>
      <w:r w:rsidR="001D21AA">
        <w:t xml:space="preserve"> </w:t>
      </w:r>
      <w:r w:rsidR="00D01910" w:rsidRPr="00D01910">
        <w:rPr>
          <w:i/>
          <w:iCs/>
        </w:rPr>
        <w:t>Motion</w:t>
      </w:r>
      <w:proofErr w:type="gramEnd"/>
      <w:r w:rsidR="00D01910" w:rsidRPr="00D01910">
        <w:rPr>
          <w:i/>
          <w:iCs/>
        </w:rPr>
        <w:t xml:space="preserve"> for Protective Order</w:t>
      </w:r>
      <w:r w:rsidR="00D01910">
        <w:t xml:space="preserve"> and </w:t>
      </w:r>
      <w:r w:rsidR="004D1A94">
        <w:rPr>
          <w:i/>
          <w:iCs/>
        </w:rPr>
        <w:t>Request</w:t>
      </w:r>
      <w:r w:rsidR="003E7A2F" w:rsidRPr="005154C3">
        <w:rPr>
          <w:i/>
          <w:iCs/>
        </w:rPr>
        <w:t xml:space="preserve"> for Order Compelling Complainant to Destroy Inadvertent </w:t>
      </w:r>
      <w:r w:rsidR="00E51A57">
        <w:rPr>
          <w:i/>
          <w:iCs/>
        </w:rPr>
        <w:t xml:space="preserve">(sic) </w:t>
      </w:r>
      <w:r w:rsidR="003E7A2F" w:rsidRPr="005154C3">
        <w:rPr>
          <w:i/>
          <w:iCs/>
        </w:rPr>
        <w:t>Disclosed Documents</w:t>
      </w:r>
      <w:r w:rsidR="004D1A94">
        <w:t xml:space="preserve"> </w:t>
      </w:r>
      <w:r w:rsidR="00D01910">
        <w:t>are hereby ALLOWED</w:t>
      </w:r>
      <w:r w:rsidR="003E7A2F">
        <w:t xml:space="preserve">. </w:t>
      </w:r>
    </w:p>
    <w:p w14:paraId="1FA486E7" w14:textId="4DF70EA0" w:rsidR="006E6B6F" w:rsidRDefault="006E6B6F" w:rsidP="003E7A2F">
      <w:pPr>
        <w:ind w:firstLine="720"/>
      </w:pPr>
    </w:p>
    <w:p w14:paraId="7E11D071" w14:textId="01ADC203" w:rsidR="006E6B6F" w:rsidRPr="005C671F" w:rsidRDefault="006E6B6F" w:rsidP="006E6B6F">
      <w:pPr>
        <w:pStyle w:val="ListParagraph"/>
        <w:numPr>
          <w:ilvl w:val="0"/>
          <w:numId w:val="1"/>
        </w:numPr>
        <w:spacing w:before="100" w:beforeAutospacing="1" w:after="100" w:afterAutospacing="1"/>
        <w:rPr>
          <w:rFonts w:ascii="Times New Roman" w:eastAsia="Times New Roman" w:hAnsi="Times New Roman" w:cs="Times New Roman"/>
        </w:rPr>
      </w:pPr>
      <w:r w:rsidRPr="005C671F">
        <w:rPr>
          <w:rFonts w:ascii="Times New Roman" w:hAnsi="Times New Roman" w:cs="Times New Roman"/>
        </w:rPr>
        <w:t>FACTUAL BACKGROUND AND PROCEDURAL HISTORY</w:t>
      </w:r>
      <w:r w:rsidRPr="005C671F">
        <w:rPr>
          <w:rFonts w:ascii="Times New Roman" w:eastAsia="Times New Roman" w:hAnsi="Times New Roman" w:cs="Times New Roman"/>
        </w:rPr>
        <w:t xml:space="preserve"> </w:t>
      </w:r>
      <w:r w:rsidR="00FC03C3">
        <w:rPr>
          <w:rFonts w:ascii="Times New Roman" w:eastAsia="Times New Roman" w:hAnsi="Times New Roman" w:cs="Times New Roman"/>
        </w:rPr>
        <w:t xml:space="preserve"> </w:t>
      </w:r>
    </w:p>
    <w:p w14:paraId="19F8EFBC" w14:textId="0083A97B" w:rsidR="006E6B6F" w:rsidRDefault="003D56C3" w:rsidP="006E6B6F">
      <w:pPr>
        <w:ind w:firstLine="360"/>
      </w:pPr>
      <w:r>
        <w:t>On February 24, 2020,</w:t>
      </w:r>
      <w:r w:rsidR="006E6B6F" w:rsidRPr="00DE0B88">
        <w:t xml:space="preserve"> Parent filed a </w:t>
      </w:r>
      <w:r w:rsidR="006E6B6F" w:rsidRPr="00DE0B88">
        <w:rPr>
          <w:i/>
          <w:iCs/>
        </w:rPr>
        <w:t>Hearing Request</w:t>
      </w:r>
      <w:r>
        <w:rPr>
          <w:i/>
          <w:iCs/>
        </w:rPr>
        <w:t xml:space="preserve"> </w:t>
      </w:r>
      <w:r w:rsidR="006E6B6F">
        <w:t xml:space="preserve">alleging </w:t>
      </w:r>
      <w:r w:rsidR="004D1A94">
        <w:t xml:space="preserve">multiple </w:t>
      </w:r>
      <w:r w:rsidR="006E6B6F">
        <w:t>violations by Springfield</w:t>
      </w:r>
      <w:r w:rsidR="004F6D14">
        <w:t xml:space="preserve"> Public Schools (Springfield or the District)</w:t>
      </w:r>
      <w:r w:rsidR="006E6B6F">
        <w:t xml:space="preserve"> </w:t>
      </w:r>
      <w:r w:rsidR="004D1A94">
        <w:t>against herself and</w:t>
      </w:r>
      <w:r w:rsidR="006E6B6F">
        <w:t xml:space="preserve"> her son</w:t>
      </w:r>
      <w:r w:rsidR="00E51A57">
        <w:t xml:space="preserve">, </w:t>
      </w:r>
      <w:r w:rsidR="006E6B6F">
        <w:t>Ollie.</w:t>
      </w:r>
      <w:r w:rsidR="004D1A94">
        <w:t xml:space="preserve"> After much discussion, on March 24, 2020, I issued an Order outlining the issues for Hearing. </w:t>
      </w:r>
      <w:r w:rsidR="00A27D61" w:rsidRPr="005C671F">
        <w:t>On April 10, 2020,</w:t>
      </w:r>
      <w:r w:rsidR="004D1A94">
        <w:t xml:space="preserve"> after hearing arguments from both parties,</w:t>
      </w:r>
      <w:r w:rsidR="00A27D61">
        <w:t xml:space="preserve"> I allowed</w:t>
      </w:r>
      <w:r w:rsidR="00A27D61" w:rsidRPr="005C671F">
        <w:t xml:space="preserve"> the District’s </w:t>
      </w:r>
      <w:r w:rsidR="00A27D61" w:rsidRPr="005C671F">
        <w:rPr>
          <w:i/>
          <w:iCs/>
        </w:rPr>
        <w:t>Motion to Postpone</w:t>
      </w:r>
      <w:r w:rsidR="00A27D61" w:rsidRPr="005C671F">
        <w:t xml:space="preserve"> for good cause, </w:t>
      </w:r>
      <w:r w:rsidR="00A27D61">
        <w:t>for reasons discussed therein</w:t>
      </w:r>
      <w:r w:rsidR="00A27D61" w:rsidRPr="005C671F">
        <w:t>.</w:t>
      </w:r>
      <w:r w:rsidR="00A27D61">
        <w:t xml:space="preserve"> The Hearing was scheduled </w:t>
      </w:r>
      <w:r w:rsidR="004D1A94">
        <w:t>to begin</w:t>
      </w:r>
      <w:r w:rsidR="00A27D61">
        <w:t xml:space="preserve"> June 29, 2020. </w:t>
      </w:r>
      <w:r w:rsidR="003035D9">
        <w:t>A</w:t>
      </w:r>
      <w:r w:rsidR="00E560CD">
        <w:t xml:space="preserve">dditional </w:t>
      </w:r>
      <w:r w:rsidR="00E560CD">
        <w:rPr>
          <w:i/>
          <w:iCs/>
        </w:rPr>
        <w:t>Motions</w:t>
      </w:r>
      <w:r w:rsidR="00E560CD">
        <w:t xml:space="preserve"> and </w:t>
      </w:r>
      <w:r w:rsidR="00E560CD">
        <w:rPr>
          <w:i/>
          <w:iCs/>
        </w:rPr>
        <w:t>Requests</w:t>
      </w:r>
      <w:r w:rsidR="003035D9">
        <w:rPr>
          <w:i/>
          <w:iCs/>
        </w:rPr>
        <w:t xml:space="preserve"> </w:t>
      </w:r>
      <w:r w:rsidR="003035D9">
        <w:t>were filed, and t</w:t>
      </w:r>
      <w:r w:rsidR="00E560CD">
        <w:t>hese were addressed</w:t>
      </w:r>
      <w:r w:rsidR="003035D9">
        <w:t>,</w:t>
      </w:r>
      <w:r w:rsidR="00E560CD">
        <w:t xml:space="preserve"> </w:t>
      </w:r>
      <w:r w:rsidR="00BA6C1E">
        <w:t xml:space="preserve">following a telephone </w:t>
      </w:r>
      <w:r w:rsidR="00BA6C1E">
        <w:rPr>
          <w:i/>
          <w:iCs/>
        </w:rPr>
        <w:t>Motion Session</w:t>
      </w:r>
      <w:r w:rsidR="003035D9">
        <w:rPr>
          <w:i/>
          <w:iCs/>
        </w:rPr>
        <w:t>,</w:t>
      </w:r>
      <w:r w:rsidR="00BA6C1E">
        <w:t xml:space="preserve"> in an </w:t>
      </w:r>
      <w:r w:rsidR="003035D9">
        <w:t>O</w:t>
      </w:r>
      <w:r w:rsidR="00BA6C1E">
        <w:t xml:space="preserve">rder dated May 5, 2020. </w:t>
      </w:r>
    </w:p>
    <w:p w14:paraId="6DFE7AF9" w14:textId="5BF9E513" w:rsidR="00BA6C1E" w:rsidRDefault="00BA6C1E" w:rsidP="006E6B6F">
      <w:pPr>
        <w:ind w:firstLine="360"/>
      </w:pPr>
    </w:p>
    <w:p w14:paraId="1CD5EDDC" w14:textId="63CECDBC" w:rsidR="00BA6C1E" w:rsidRDefault="00BA6C1E" w:rsidP="006E6B6F">
      <w:pPr>
        <w:ind w:firstLine="360"/>
      </w:pPr>
      <w:r>
        <w:t xml:space="preserve">On May 4, 2020, Parent filed a </w:t>
      </w:r>
      <w:r>
        <w:rPr>
          <w:i/>
          <w:iCs/>
        </w:rPr>
        <w:t xml:space="preserve">Motion to Amend the Hearing Request </w:t>
      </w:r>
      <w:r>
        <w:t xml:space="preserve">to </w:t>
      </w:r>
      <w:r w:rsidR="003035D9">
        <w:t>allege that</w:t>
      </w:r>
      <w:r>
        <w:t xml:space="preserve"> </w:t>
      </w:r>
      <w:r w:rsidR="003035D9">
        <w:t>the Individualized Education Program (</w:t>
      </w:r>
      <w:r>
        <w:t>IEP</w:t>
      </w:r>
      <w:r w:rsidR="003035D9">
        <w:t>)</w:t>
      </w:r>
      <w:r>
        <w:t xml:space="preserve"> </w:t>
      </w:r>
      <w:r w:rsidR="003035D9">
        <w:t xml:space="preserve">proposed for Ollie, dated 4/16/20 to 4/15/21, denies him a free appropriate public education (FAPE). The District filed its </w:t>
      </w:r>
      <w:r w:rsidR="003035D9">
        <w:rPr>
          <w:i/>
          <w:iCs/>
        </w:rPr>
        <w:t>Response</w:t>
      </w:r>
      <w:r w:rsidR="003035D9">
        <w:t xml:space="preserve"> on May 8, 2020. Although Parent filed a </w:t>
      </w:r>
      <w:r w:rsidR="003035D9">
        <w:rPr>
          <w:i/>
          <w:iCs/>
        </w:rPr>
        <w:t>Response to District’s Response to Parents (sic) Hearing Request</w:t>
      </w:r>
      <w:r w:rsidR="003035D9">
        <w:t xml:space="preserve"> on May 11, 2020, I </w:t>
      </w:r>
      <w:r w:rsidR="00937B8A">
        <w:t>advised the parties</w:t>
      </w:r>
      <w:r w:rsidR="003035D9">
        <w:t xml:space="preserve"> that I would not consider this </w:t>
      </w:r>
      <w:r w:rsidR="003035D9">
        <w:rPr>
          <w:i/>
          <w:iCs/>
        </w:rPr>
        <w:t>Response</w:t>
      </w:r>
      <w:r w:rsidR="003035D9">
        <w:t xml:space="preserve"> or accept further pleadings in this vein</w:t>
      </w:r>
      <w:r w:rsidR="004A5D73">
        <w:t>.</w:t>
      </w:r>
      <w:r w:rsidR="004A5D73">
        <w:rPr>
          <w:rStyle w:val="FootnoteReference"/>
        </w:rPr>
        <w:footnoteReference w:id="2"/>
      </w:r>
      <w:r w:rsidR="004A5D73">
        <w:t xml:space="preserve"> </w:t>
      </w:r>
    </w:p>
    <w:p w14:paraId="6D438973" w14:textId="01A23AE1" w:rsidR="00720230" w:rsidRDefault="00720230" w:rsidP="006E6B6F">
      <w:pPr>
        <w:ind w:firstLine="360"/>
      </w:pPr>
      <w:r>
        <w:lastRenderedPageBreak/>
        <w:tab/>
        <w:t xml:space="preserve">In addition to the motions discussed in detail, below, on May 12, 2020, Parent filed </w:t>
      </w:r>
      <w:r w:rsidR="009B3674">
        <w:t xml:space="preserve">a </w:t>
      </w:r>
      <w:r>
        <w:t xml:space="preserve">document entitled </w:t>
      </w:r>
      <w:r>
        <w:rPr>
          <w:i/>
          <w:iCs/>
        </w:rPr>
        <w:t xml:space="preserve">Request for Hearing Officer to Prevent </w:t>
      </w:r>
      <w:proofErr w:type="spellStart"/>
      <w:r>
        <w:rPr>
          <w:i/>
          <w:iCs/>
        </w:rPr>
        <w:t>Futher</w:t>
      </w:r>
      <w:proofErr w:type="spellEnd"/>
      <w:r>
        <w:rPr>
          <w:i/>
          <w:iCs/>
        </w:rPr>
        <w:t xml:space="preserve"> (sic) Violation of Parent Rights to Comprehensive Student File/ and Freedom of Speech</w:t>
      </w:r>
      <w:r>
        <w:t>.</w:t>
      </w:r>
      <w:r w:rsidR="00D01910">
        <w:t xml:space="preserve"> Although this document contains allegations regarding Parent’s difficulty obtaining Ollie’s file, Springfield “stalking” her social medial, and other issues, it does not contain</w:t>
      </w:r>
      <w:r w:rsidR="004F6D14">
        <w:t xml:space="preserve"> any</w:t>
      </w:r>
      <w:r w:rsidR="00D01910">
        <w:t xml:space="preserve"> </w:t>
      </w:r>
      <w:r w:rsidR="001D21AA">
        <w:t>request</w:t>
      </w:r>
      <w:r w:rsidR="004F6D14">
        <w:t xml:space="preserve"> for </w:t>
      </w:r>
      <w:r w:rsidR="00D01910">
        <w:t>relief. As such, it is DENIED, and Parent is instructed (again) to refrain from filing letters that are more aptly c</w:t>
      </w:r>
      <w:r w:rsidR="009B3674">
        <w:t>haracterized as</w:t>
      </w:r>
      <w:r w:rsidR="00D01910">
        <w:t xml:space="preserve"> complaints about the opposing party than motions.</w:t>
      </w:r>
    </w:p>
    <w:p w14:paraId="67ED905D" w14:textId="77777777" w:rsidR="009B3674" w:rsidRPr="00720230" w:rsidRDefault="009B3674" w:rsidP="006E6B6F">
      <w:pPr>
        <w:ind w:firstLine="360"/>
      </w:pPr>
    </w:p>
    <w:p w14:paraId="71F8E7C7" w14:textId="74E0B5C6" w:rsidR="00482D79" w:rsidRDefault="00482D79" w:rsidP="00482D79"/>
    <w:p w14:paraId="1ADA9390" w14:textId="2F642083" w:rsidR="00C45518" w:rsidRDefault="00482D79" w:rsidP="00C45518">
      <w:pPr>
        <w:pStyle w:val="ListParagraph"/>
        <w:numPr>
          <w:ilvl w:val="0"/>
          <w:numId w:val="1"/>
        </w:numPr>
        <w:rPr>
          <w:rFonts w:ascii="Times New Roman" w:hAnsi="Times New Roman" w:cs="Times New Roman"/>
        </w:rPr>
      </w:pPr>
      <w:r>
        <w:rPr>
          <w:rFonts w:ascii="Times New Roman" w:hAnsi="Times New Roman" w:cs="Times New Roman"/>
        </w:rPr>
        <w:t xml:space="preserve">DISCUSSION </w:t>
      </w:r>
      <w:r w:rsidR="00C45518">
        <w:rPr>
          <w:rFonts w:ascii="Times New Roman" w:hAnsi="Times New Roman" w:cs="Times New Roman"/>
        </w:rPr>
        <w:br/>
      </w:r>
    </w:p>
    <w:p w14:paraId="1736AAE4" w14:textId="1552673E" w:rsidR="00482D79" w:rsidRPr="008D3341" w:rsidRDefault="00410D83" w:rsidP="00C45518">
      <w:pPr>
        <w:pStyle w:val="ListParagraph"/>
        <w:numPr>
          <w:ilvl w:val="1"/>
          <w:numId w:val="1"/>
        </w:numPr>
        <w:rPr>
          <w:rFonts w:ascii="Times New Roman" w:hAnsi="Times New Roman" w:cs="Times New Roman"/>
        </w:rPr>
      </w:pPr>
      <w:r>
        <w:rPr>
          <w:rFonts w:ascii="Times New Roman" w:hAnsi="Times New Roman" w:cs="Times New Roman"/>
          <w:u w:val="single"/>
        </w:rPr>
        <w:t>Motion</w:t>
      </w:r>
      <w:r w:rsidR="00852390">
        <w:rPr>
          <w:rFonts w:ascii="Times New Roman" w:hAnsi="Times New Roman" w:cs="Times New Roman"/>
          <w:u w:val="single"/>
        </w:rPr>
        <w:t xml:space="preserve"> </w:t>
      </w:r>
      <w:r w:rsidR="00C45518">
        <w:rPr>
          <w:rFonts w:ascii="Times New Roman" w:hAnsi="Times New Roman" w:cs="Times New Roman"/>
          <w:u w:val="single"/>
        </w:rPr>
        <w:t>for Impartial Law Firm</w:t>
      </w:r>
    </w:p>
    <w:p w14:paraId="3E9F5851" w14:textId="77777777" w:rsidR="008D3341" w:rsidRPr="008D3341" w:rsidRDefault="008D3341" w:rsidP="008D3341"/>
    <w:p w14:paraId="0993D160" w14:textId="7AE67840" w:rsidR="00C45518" w:rsidRDefault="001F7CEA" w:rsidP="001F7CEA">
      <w:pPr>
        <w:pStyle w:val="ListParagraph"/>
        <w:ind w:left="0" w:firstLine="720"/>
        <w:rPr>
          <w:rFonts w:ascii="Times New Roman" w:hAnsi="Times New Roman" w:cs="Times New Roman"/>
        </w:rPr>
      </w:pPr>
      <w:r>
        <w:rPr>
          <w:rFonts w:ascii="Times New Roman" w:hAnsi="Times New Roman" w:cs="Times New Roman"/>
        </w:rPr>
        <w:t>On May 6, 2020,</w:t>
      </w:r>
      <w:r w:rsidRPr="005C671F">
        <w:rPr>
          <w:rFonts w:ascii="Times New Roman" w:hAnsi="Times New Roman" w:cs="Times New Roman"/>
        </w:rPr>
        <w:t xml:space="preserve"> Parent</w:t>
      </w:r>
      <w:r>
        <w:rPr>
          <w:rFonts w:ascii="Times New Roman" w:hAnsi="Times New Roman" w:cs="Times New Roman"/>
        </w:rPr>
        <w:t xml:space="preserve"> filed </w:t>
      </w:r>
      <w:r w:rsidR="003D56C3">
        <w:rPr>
          <w:rFonts w:ascii="Times New Roman" w:hAnsi="Times New Roman" w:cs="Times New Roman"/>
        </w:rPr>
        <w:t xml:space="preserve">both an initial and an </w:t>
      </w:r>
      <w:r>
        <w:rPr>
          <w:rFonts w:ascii="Times New Roman" w:hAnsi="Times New Roman" w:cs="Times New Roman"/>
        </w:rPr>
        <w:t>a</w:t>
      </w:r>
      <w:r w:rsidR="003D56C3">
        <w:rPr>
          <w:rFonts w:ascii="Times New Roman" w:hAnsi="Times New Roman" w:cs="Times New Roman"/>
        </w:rPr>
        <w:t>mended</w:t>
      </w:r>
      <w:r>
        <w:rPr>
          <w:rFonts w:ascii="Times New Roman" w:hAnsi="Times New Roman" w:cs="Times New Roman"/>
        </w:rPr>
        <w:t xml:space="preserve"> </w:t>
      </w:r>
      <w:r w:rsidRPr="005C671F">
        <w:rPr>
          <w:rFonts w:ascii="Times New Roman" w:hAnsi="Times New Roman" w:cs="Times New Roman"/>
          <w:i/>
          <w:iCs/>
        </w:rPr>
        <w:t xml:space="preserve">Request for an Independent and Impartial Law Firm to </w:t>
      </w:r>
      <w:proofErr w:type="gramStart"/>
      <w:r w:rsidRPr="005C671F">
        <w:rPr>
          <w:rFonts w:ascii="Times New Roman" w:hAnsi="Times New Roman" w:cs="Times New Roman"/>
          <w:i/>
          <w:iCs/>
        </w:rPr>
        <w:t>Collect</w:t>
      </w:r>
      <w:proofErr w:type="gramEnd"/>
      <w:r w:rsidRPr="005C671F">
        <w:rPr>
          <w:rFonts w:ascii="Times New Roman" w:hAnsi="Times New Roman" w:cs="Times New Roman"/>
          <w:i/>
          <w:iCs/>
        </w:rPr>
        <w:t xml:space="preserve"> and Produce Discovery Student File Documents </w:t>
      </w:r>
      <w:r w:rsidRPr="005C671F">
        <w:rPr>
          <w:rFonts w:ascii="Times New Roman" w:hAnsi="Times New Roman" w:cs="Times New Roman"/>
        </w:rPr>
        <w:t xml:space="preserve">“to ensure Springfield stops purposefully withholding documentation from student file and further discovery being requested in this matter.” </w:t>
      </w:r>
      <w:r>
        <w:rPr>
          <w:rFonts w:ascii="Times New Roman" w:hAnsi="Times New Roman" w:cs="Times New Roman"/>
        </w:rPr>
        <w:t>T</w:t>
      </w:r>
      <w:r w:rsidRPr="005C671F">
        <w:rPr>
          <w:rFonts w:ascii="Times New Roman" w:hAnsi="Times New Roman" w:cs="Times New Roman"/>
        </w:rPr>
        <w:t xml:space="preserve">he District filed its </w:t>
      </w:r>
      <w:r w:rsidRPr="005C671F">
        <w:rPr>
          <w:rFonts w:ascii="Times New Roman" w:hAnsi="Times New Roman" w:cs="Times New Roman"/>
          <w:i/>
          <w:iCs/>
        </w:rPr>
        <w:t xml:space="preserve">Opposition </w:t>
      </w:r>
      <w:r w:rsidR="009B3674">
        <w:rPr>
          <w:rFonts w:ascii="Times New Roman" w:hAnsi="Times New Roman" w:cs="Times New Roman"/>
        </w:rPr>
        <w:t xml:space="preserve">on </w:t>
      </w:r>
      <w:r w:rsidRPr="005C671F">
        <w:rPr>
          <w:rFonts w:ascii="Times New Roman" w:hAnsi="Times New Roman" w:cs="Times New Roman"/>
        </w:rPr>
        <w:t>May 11,</w:t>
      </w:r>
      <w:r>
        <w:rPr>
          <w:rFonts w:ascii="Times New Roman" w:hAnsi="Times New Roman" w:cs="Times New Roman"/>
        </w:rPr>
        <w:t xml:space="preserve"> </w:t>
      </w:r>
      <w:r w:rsidRPr="005C671F">
        <w:rPr>
          <w:rFonts w:ascii="Times New Roman" w:hAnsi="Times New Roman" w:cs="Times New Roman"/>
        </w:rPr>
        <w:t>2020</w:t>
      </w:r>
      <w:r w:rsidR="009B3674">
        <w:rPr>
          <w:rFonts w:ascii="Times New Roman" w:hAnsi="Times New Roman" w:cs="Times New Roman"/>
        </w:rPr>
        <w:t>, and the</w:t>
      </w:r>
      <w:r w:rsidRPr="009B3674">
        <w:rPr>
          <w:rFonts w:ascii="Times New Roman" w:hAnsi="Times New Roman" w:cs="Times New Roman"/>
        </w:rPr>
        <w:t xml:space="preserve"> </w:t>
      </w:r>
      <w:r w:rsidR="00B94165">
        <w:rPr>
          <w:rFonts w:ascii="Times New Roman" w:hAnsi="Times New Roman" w:cs="Times New Roman"/>
        </w:rPr>
        <w:t xml:space="preserve">parties offered further arguments </w:t>
      </w:r>
      <w:r w:rsidR="009B3674">
        <w:rPr>
          <w:rFonts w:ascii="Times New Roman" w:hAnsi="Times New Roman" w:cs="Times New Roman"/>
        </w:rPr>
        <w:t>during</w:t>
      </w:r>
      <w:r w:rsidRPr="009B3674">
        <w:rPr>
          <w:rFonts w:ascii="Times New Roman" w:hAnsi="Times New Roman" w:cs="Times New Roman"/>
        </w:rPr>
        <w:t xml:space="preserve"> the </w:t>
      </w:r>
      <w:r w:rsidR="009B3674">
        <w:rPr>
          <w:rFonts w:ascii="Times New Roman" w:hAnsi="Times New Roman" w:cs="Times New Roman"/>
        </w:rPr>
        <w:t>Motion Session</w:t>
      </w:r>
      <w:r w:rsidRPr="009B3674">
        <w:rPr>
          <w:rFonts w:ascii="Times New Roman" w:hAnsi="Times New Roman" w:cs="Times New Roman"/>
        </w:rPr>
        <w:t xml:space="preserve"> on May 19, 2020.</w:t>
      </w:r>
      <w:r>
        <w:rPr>
          <w:rFonts w:ascii="Times New Roman" w:hAnsi="Times New Roman" w:cs="Times New Roman"/>
        </w:rPr>
        <w:t xml:space="preserve"> </w:t>
      </w:r>
    </w:p>
    <w:p w14:paraId="05FB6E76" w14:textId="77777777" w:rsidR="001F7CEA" w:rsidRPr="001F7CEA" w:rsidRDefault="001F7CEA" w:rsidP="001F7CEA">
      <w:pPr>
        <w:pStyle w:val="ListParagraph"/>
        <w:ind w:left="0" w:firstLine="720"/>
        <w:rPr>
          <w:rFonts w:ascii="Times New Roman" w:hAnsi="Times New Roman" w:cs="Times New Roman"/>
        </w:rPr>
      </w:pPr>
    </w:p>
    <w:p w14:paraId="32EF0BEC" w14:textId="38E8D27D" w:rsidR="00E96B6E" w:rsidRPr="00E96B6E" w:rsidRDefault="00937B8A" w:rsidP="00E96B6E">
      <w:pPr>
        <w:pStyle w:val="ListParagraph"/>
        <w:numPr>
          <w:ilvl w:val="2"/>
          <w:numId w:val="1"/>
        </w:numPr>
        <w:rPr>
          <w:rFonts w:ascii="Times New Roman" w:hAnsi="Times New Roman" w:cs="Times New Roman"/>
        </w:rPr>
      </w:pPr>
      <w:r>
        <w:rPr>
          <w:rFonts w:ascii="Times New Roman" w:hAnsi="Times New Roman" w:cs="Times New Roman"/>
          <w:i/>
          <w:iCs/>
        </w:rPr>
        <w:t>Legal Standard</w:t>
      </w:r>
    </w:p>
    <w:p w14:paraId="4A6F2906" w14:textId="44318512" w:rsidR="00BB065C" w:rsidRDefault="00E96B6E" w:rsidP="00E96B6E">
      <w:pPr>
        <w:spacing w:before="100" w:beforeAutospacing="1" w:after="100" w:afterAutospacing="1"/>
        <w:ind w:firstLine="720"/>
        <w:rPr>
          <w:rFonts w:ascii="TimesNewRomanPSMT" w:hAnsi="TimesNewRomanPSMT"/>
        </w:rPr>
      </w:pPr>
      <w:r w:rsidRPr="00E96B6E">
        <w:rPr>
          <w:rFonts w:ascii="TimesNewRomanPSMT" w:hAnsi="TimesNewRomanPSMT"/>
        </w:rPr>
        <w:t>The decision whether to disqualify an attorney</w:t>
      </w:r>
      <w:r w:rsidR="00BB065C">
        <w:rPr>
          <w:rFonts w:ascii="TimesNewRomanPSMT" w:hAnsi="TimesNewRomanPSMT"/>
        </w:rPr>
        <w:t xml:space="preserve"> or law firm</w:t>
      </w:r>
      <w:r w:rsidRPr="00E96B6E">
        <w:rPr>
          <w:rFonts w:ascii="TimesNewRomanPSMT" w:hAnsi="TimesNewRomanPSMT"/>
        </w:rPr>
        <w:t xml:space="preserve"> “ordinarily turns on the peculiar factual situation of the case.”</w:t>
      </w:r>
      <w:r>
        <w:rPr>
          <w:rStyle w:val="FootnoteReference"/>
          <w:rFonts w:ascii="TimesNewRomanPSMT" w:hAnsi="TimesNewRomanPSMT"/>
        </w:rPr>
        <w:footnoteReference w:id="3"/>
      </w:r>
      <w:r>
        <w:rPr>
          <w:rFonts w:ascii="TimesNewRomanPSMT" w:hAnsi="TimesNewRomanPSMT"/>
        </w:rPr>
        <w:t xml:space="preserve"> </w:t>
      </w:r>
      <w:r w:rsidRPr="00E96B6E">
        <w:rPr>
          <w:rFonts w:ascii="TimesNewRomanPSMT" w:hAnsi="TimesNewRomanPSMT"/>
        </w:rPr>
        <w:t>“A party generally enjoys the right to the counsel of his or her choice,”</w:t>
      </w:r>
      <w:r>
        <w:rPr>
          <w:rStyle w:val="FootnoteReference"/>
          <w:rFonts w:ascii="TimesNewRomanPSMT" w:hAnsi="TimesNewRomanPSMT"/>
        </w:rPr>
        <w:footnoteReference w:id="4"/>
      </w:r>
      <w:r>
        <w:rPr>
          <w:rFonts w:ascii="TimesNewRomanPSMT" w:hAnsi="TimesNewRomanPSMT"/>
        </w:rPr>
        <w:t xml:space="preserve"> </w:t>
      </w:r>
      <w:r w:rsidRPr="0064182B">
        <w:rPr>
          <w:rFonts w:ascii="TimesNewRomanPSMT" w:hAnsi="TimesNewRomanPSMT"/>
        </w:rPr>
        <w:t xml:space="preserve">and courts have made clear that the relationship between a lawyer and client is one </w:t>
      </w:r>
      <w:r w:rsidRPr="0064182B">
        <w:rPr>
          <w:rFonts w:ascii="TimesNewRomanPSMT" w:hAnsi="TimesNewRomanPSMT"/>
        </w:rPr>
        <w:lastRenderedPageBreak/>
        <w:t xml:space="preserve">that </w:t>
      </w:r>
      <w:r w:rsidRPr="00E96B6E">
        <w:rPr>
          <w:rFonts w:ascii="TimesNewRomanPSMT" w:hAnsi="TimesNewRomanPSMT"/>
        </w:rPr>
        <w:t>should not be lightly interrupted.</w:t>
      </w:r>
      <w:r>
        <w:rPr>
          <w:rStyle w:val="FootnoteReference"/>
          <w:rFonts w:ascii="TimesNewRomanPSMT" w:hAnsi="TimesNewRomanPSMT"/>
        </w:rPr>
        <w:footnoteReference w:id="5"/>
      </w:r>
      <w:r>
        <w:rPr>
          <w:rFonts w:ascii="TimesNewRomanPSMT" w:hAnsi="TimesNewRomanPSMT"/>
        </w:rPr>
        <w:t xml:space="preserve"> </w:t>
      </w:r>
      <w:r w:rsidRPr="00E96B6E">
        <w:rPr>
          <w:rFonts w:ascii="TimesNewRomanPSMT" w:hAnsi="TimesNewRomanPSMT"/>
        </w:rPr>
        <w:t>Therefore, the burden rests on the party seeking disqualification to establish the need to interfere with this relationship.</w:t>
      </w:r>
      <w:r>
        <w:rPr>
          <w:rStyle w:val="FootnoteReference"/>
          <w:rFonts w:ascii="TimesNewRomanPSMT" w:hAnsi="TimesNewRomanPSMT"/>
        </w:rPr>
        <w:footnoteReference w:id="6"/>
      </w:r>
      <w:r w:rsidR="00BB065C">
        <w:rPr>
          <w:rFonts w:ascii="TimesNewRomanPSMT" w:hAnsi="TimesNewRomanPSMT"/>
        </w:rPr>
        <w:t xml:space="preserve"> </w:t>
      </w:r>
    </w:p>
    <w:p w14:paraId="3F74F13C" w14:textId="02CF3B6C" w:rsidR="008E1660" w:rsidRDefault="00BB065C" w:rsidP="008E1660">
      <w:pPr>
        <w:spacing w:before="100" w:beforeAutospacing="1" w:after="100" w:afterAutospacing="1"/>
        <w:ind w:firstLine="720"/>
        <w:rPr>
          <w:rFonts w:ascii="TimesNewRomanPSMT" w:hAnsi="TimesNewRomanPSMT"/>
        </w:rPr>
      </w:pPr>
      <w:r w:rsidRPr="00BB065C">
        <w:rPr>
          <w:rFonts w:ascii="TimesNewRomanPSMT" w:hAnsi="TimesNewRomanPSMT"/>
        </w:rPr>
        <w:t>Although circumstances exist where it may be an appropriate measure, the authority to disqualify legal counsel “should be exercised sparingly and only in the most exceptional circumstances.”</w:t>
      </w:r>
      <w:r>
        <w:rPr>
          <w:rStyle w:val="FootnoteReference"/>
          <w:rFonts w:ascii="TimesNewRomanPSMT" w:hAnsi="TimesNewRomanPSMT"/>
        </w:rPr>
        <w:footnoteReference w:id="7"/>
      </w:r>
      <w:r>
        <w:rPr>
          <w:rFonts w:ascii="TimesNewRomanPSMT" w:hAnsi="TimesNewRomanPSMT"/>
        </w:rPr>
        <w:t xml:space="preserve"> </w:t>
      </w:r>
      <w:r w:rsidRPr="0064182B">
        <w:rPr>
          <w:rFonts w:ascii="TimesNewRomanPSMT" w:hAnsi="TimesNewRomanPSMT"/>
        </w:rPr>
        <w:t>Courts have recognized that a party may have standing to move for disqualification of opposing counsel where a fiduciary duty ran from that counsel to the moving</w:t>
      </w:r>
      <w:r>
        <w:rPr>
          <w:rFonts w:ascii="TimesNewRomanPSMT" w:hAnsi="TimesNewRomanPSMT"/>
        </w:rPr>
        <w:t xml:space="preserve"> </w:t>
      </w:r>
      <w:r w:rsidRPr="00BB065C">
        <w:rPr>
          <w:rFonts w:ascii="TimesNewRomanPSMT" w:hAnsi="TimesNewRomanPSMT"/>
        </w:rPr>
        <w:t>party (i.e. a current or former client),</w:t>
      </w:r>
      <w:r>
        <w:rPr>
          <w:rStyle w:val="FootnoteReference"/>
          <w:rFonts w:ascii="TimesNewRomanPSMT" w:hAnsi="TimesNewRomanPSMT"/>
        </w:rPr>
        <w:footnoteReference w:id="8"/>
      </w:r>
      <w:r>
        <w:rPr>
          <w:rFonts w:ascii="TimesNewRomanPSMT" w:hAnsi="TimesNewRomanPSMT"/>
        </w:rPr>
        <w:t xml:space="preserve"> as, for example, </w:t>
      </w:r>
      <w:r w:rsidR="008E1660">
        <w:rPr>
          <w:rFonts w:ascii="TimesNewRomanPSMT" w:hAnsi="TimesNewRomanPSMT"/>
        </w:rPr>
        <w:t xml:space="preserve">confidences may exist from the first representation that would be relevant to the second. </w:t>
      </w:r>
      <w:r w:rsidR="008E1660" w:rsidRPr="008E1660">
        <w:rPr>
          <w:rFonts w:ascii="TimesNewRomanPSMT" w:hAnsi="TimesNewRomanPSMT"/>
        </w:rPr>
        <w:t>However, even in these circumstances, “disqualification is a drastic measure which courts should hesitate to impose except when absolutely necessary.”</w:t>
      </w:r>
      <w:r w:rsidR="008E1660">
        <w:rPr>
          <w:rStyle w:val="FootnoteReference"/>
          <w:rFonts w:ascii="TimesNewRomanPSMT" w:hAnsi="TimesNewRomanPSMT"/>
        </w:rPr>
        <w:footnoteReference w:id="9"/>
      </w:r>
      <w:r w:rsidR="008E1660">
        <w:rPr>
          <w:rFonts w:ascii="TimesNewRomanPSMT" w:hAnsi="TimesNewRomanPSMT"/>
        </w:rPr>
        <w:t xml:space="preserve"> </w:t>
      </w:r>
      <w:r w:rsidR="008E1660" w:rsidRPr="008E1660">
        <w:rPr>
          <w:rFonts w:ascii="TimesNewRomanPSMT" w:hAnsi="TimesNewRomanPSMT"/>
        </w:rPr>
        <w:t>Furthermore, courts are reluctant to disqualify an attorney for alleged</w:t>
      </w:r>
      <w:r w:rsidR="008E1660">
        <w:rPr>
          <w:rFonts w:ascii="TimesNewRomanPSMT" w:hAnsi="TimesNewRomanPSMT"/>
        </w:rPr>
        <w:t xml:space="preserve"> </w:t>
      </w:r>
      <w:r w:rsidR="008E1660" w:rsidRPr="008E1660">
        <w:rPr>
          <w:rFonts w:ascii="TimesNewRomanPSMT" w:hAnsi="TimesNewRomanPSMT"/>
        </w:rPr>
        <w:t>ethical violations when the moving party is using disqualification as a tactical weapon.</w:t>
      </w:r>
      <w:r w:rsidR="008E1660">
        <w:rPr>
          <w:rStyle w:val="FootnoteReference"/>
          <w:rFonts w:ascii="TimesNewRomanPSMT" w:hAnsi="TimesNewRomanPSMT"/>
        </w:rPr>
        <w:footnoteReference w:id="10"/>
      </w:r>
    </w:p>
    <w:p w14:paraId="1484A5F5" w14:textId="00ABA03B" w:rsidR="00C45518" w:rsidRPr="00C45518" w:rsidRDefault="008E1660" w:rsidP="008E1660">
      <w:pPr>
        <w:spacing w:before="100" w:beforeAutospacing="1" w:after="100" w:afterAutospacing="1"/>
        <w:ind w:firstLine="720"/>
      </w:pPr>
      <w:r w:rsidRPr="0064182B">
        <w:rPr>
          <w:rFonts w:ascii="TimesNewRomanPSMT" w:hAnsi="TimesNewRomanPSMT"/>
        </w:rPr>
        <w:t>Legal counsel may also be disqualified where counsel is likely to participate as a witness, “and could give testimony on behalf of his client on other than formal or uncontested matters.”</w:t>
      </w:r>
      <w:r>
        <w:rPr>
          <w:rStyle w:val="FootnoteReference"/>
          <w:rFonts w:ascii="TimesNewRomanPSMT" w:hAnsi="TimesNewRomanPSMT"/>
        </w:rPr>
        <w:footnoteReference w:id="11"/>
      </w:r>
      <w:r>
        <w:rPr>
          <w:rFonts w:ascii="TimesNewRomanPSMT" w:hAnsi="TimesNewRomanPSMT"/>
          <w:position w:val="10"/>
          <w:sz w:val="16"/>
          <w:szCs w:val="16"/>
        </w:rPr>
        <w:t xml:space="preserve"> </w:t>
      </w:r>
      <w:r w:rsidRPr="0064182B">
        <w:rPr>
          <w:rFonts w:ascii="TimesNewRomanPSMT" w:hAnsi="TimesNewRomanPSMT"/>
        </w:rPr>
        <w:t xml:space="preserve">In such a case, the court is instructed to </w:t>
      </w:r>
      <w:r w:rsidRPr="0064182B">
        <w:rPr>
          <w:rFonts w:ascii="TimesNewRomanPSMT" w:hAnsi="TimesNewRomanPSMT"/>
          <w:color w:val="1E1E1E"/>
        </w:rPr>
        <w:t xml:space="preserve">look to whether the attorney is likely to “withhold crucial testimony from his client because he prefers to continue as counsel,” to </w:t>
      </w:r>
      <w:r w:rsidRPr="0064182B">
        <w:rPr>
          <w:rFonts w:ascii="TimesNewRomanPSMT" w:hAnsi="TimesNewRomanPSMT"/>
        </w:rPr>
        <w:t>determine whether “continued participation as counsel taints the legal system or the trial of the cause before it.”</w:t>
      </w:r>
      <w:r>
        <w:rPr>
          <w:rStyle w:val="FootnoteReference"/>
          <w:rFonts w:ascii="TimesNewRomanPSMT" w:hAnsi="TimesNewRomanPSMT"/>
        </w:rPr>
        <w:footnoteReference w:id="12"/>
      </w:r>
    </w:p>
    <w:p w14:paraId="75CE0D6E" w14:textId="6A5939FD" w:rsidR="00C45518" w:rsidRPr="00C45518" w:rsidRDefault="00C45518" w:rsidP="00C45518"/>
    <w:p w14:paraId="47A76C79" w14:textId="62427091" w:rsidR="00DA686A" w:rsidRPr="00937B8A" w:rsidRDefault="00C45518" w:rsidP="00DA686A">
      <w:pPr>
        <w:pStyle w:val="ListParagraph"/>
        <w:numPr>
          <w:ilvl w:val="2"/>
          <w:numId w:val="1"/>
        </w:numPr>
        <w:rPr>
          <w:rFonts w:ascii="Times New Roman" w:hAnsi="Times New Roman" w:cs="Times New Roman"/>
          <w:i/>
          <w:iCs/>
        </w:rPr>
      </w:pPr>
      <w:r w:rsidRPr="00937B8A">
        <w:rPr>
          <w:rFonts w:ascii="Times New Roman" w:hAnsi="Times New Roman" w:cs="Times New Roman"/>
          <w:i/>
          <w:iCs/>
        </w:rPr>
        <w:t xml:space="preserve">Application of Legal Standard </w:t>
      </w:r>
    </w:p>
    <w:p w14:paraId="69D62C2E" w14:textId="77777777" w:rsidR="00FC03C3" w:rsidRDefault="00FC03C3" w:rsidP="004E07BD">
      <w:pPr>
        <w:ind w:firstLine="720"/>
      </w:pPr>
    </w:p>
    <w:p w14:paraId="39A3E3B3" w14:textId="2BFAB22F" w:rsidR="00615B8C" w:rsidRDefault="00DA686A" w:rsidP="00B94165">
      <w:pPr>
        <w:ind w:firstLine="720"/>
      </w:pPr>
      <w:r>
        <w:t>For Parent</w:t>
      </w:r>
      <w:r w:rsidR="00937B8A">
        <w:t xml:space="preserve"> to prevail on this</w:t>
      </w:r>
      <w:r>
        <w:t xml:space="preserve"> </w:t>
      </w:r>
      <w:r w:rsidRPr="00DA686A">
        <w:rPr>
          <w:i/>
          <w:iCs/>
        </w:rPr>
        <w:t>Motion</w:t>
      </w:r>
      <w:r w:rsidR="00937B8A">
        <w:t>, she must demonstrate that</w:t>
      </w:r>
      <w:r w:rsidR="00615B8C">
        <w:t xml:space="preserve"> the facts of this case merit disqualification of</w:t>
      </w:r>
      <w:r w:rsidR="00937B8A">
        <w:t xml:space="preserve"> Springfield’s </w:t>
      </w:r>
      <w:r w:rsidR="00615B8C">
        <w:t xml:space="preserve">chosen </w:t>
      </w:r>
      <w:r w:rsidR="00937B8A">
        <w:t xml:space="preserve">legal </w:t>
      </w:r>
      <w:r w:rsidR="00615B8C">
        <w:t xml:space="preserve">counsel. </w:t>
      </w:r>
      <w:r w:rsidR="000D5DB2">
        <w:t>Parent</w:t>
      </w:r>
      <w:r w:rsidR="00615B8C">
        <w:t>’s chief complaint is Springfield’s compliance with her discovery requests. As counsel for the District explained, Springfield’s slight delay in producing evidence is related to school closures in connection with the COVID-19 pandemic and the District’s compliance with ADA accommodations requested by Parent.</w:t>
      </w:r>
      <w:r w:rsidR="00615B8C">
        <w:rPr>
          <w:rStyle w:val="FootnoteReference"/>
        </w:rPr>
        <w:footnoteReference w:id="13"/>
      </w:r>
      <w:r w:rsidR="00615B8C">
        <w:t xml:space="preserve"> Parent has not alleged</w:t>
      </w:r>
      <w:proofErr w:type="gramStart"/>
      <w:r w:rsidR="00615B8C">
        <w:t>,</w:t>
      </w:r>
      <w:proofErr w:type="gramEnd"/>
      <w:r w:rsidR="00615B8C">
        <w:t xml:space="preserve"> much less established, the existence of a fiduciary duty, ethical violations, or that Springfield’s counsel is likely to participate as a witness in the proceedings. Instead, she appears to be seeking </w:t>
      </w:r>
      <w:r w:rsidR="005146A0">
        <w:t>dis</w:t>
      </w:r>
      <w:r w:rsidR="00615B8C">
        <w:t>qualification as a tactical weapon.</w:t>
      </w:r>
      <w:r w:rsidR="00615B8C">
        <w:rPr>
          <w:rStyle w:val="FootnoteReference"/>
        </w:rPr>
        <w:footnoteReference w:id="14"/>
      </w:r>
    </w:p>
    <w:p w14:paraId="1EB2538F" w14:textId="2346BFE8" w:rsidR="00EA3678" w:rsidRDefault="000D5DB2" w:rsidP="004E07BD">
      <w:pPr>
        <w:ind w:firstLine="720"/>
      </w:pPr>
      <w:r>
        <w:lastRenderedPageBreak/>
        <w:t xml:space="preserve"> </w:t>
      </w:r>
    </w:p>
    <w:p w14:paraId="00FDD1DA" w14:textId="445937ED" w:rsidR="00DA686A" w:rsidRDefault="005146A0" w:rsidP="005146A0">
      <w:pPr>
        <w:ind w:firstLine="720"/>
      </w:pPr>
      <w:r>
        <w:t xml:space="preserve">For these reasons, </w:t>
      </w:r>
      <w:r w:rsidR="00EA3678" w:rsidRPr="00EA3678">
        <w:t xml:space="preserve">Parent’s </w:t>
      </w:r>
      <w:r w:rsidR="007C67F8">
        <w:rPr>
          <w:i/>
          <w:iCs/>
        </w:rPr>
        <w:t>Motion</w:t>
      </w:r>
      <w:r w:rsidR="00852390" w:rsidRPr="005C671F">
        <w:rPr>
          <w:i/>
          <w:iCs/>
        </w:rPr>
        <w:t xml:space="preserve"> for an Independent and Impartial Law Firm to </w:t>
      </w:r>
      <w:proofErr w:type="gramStart"/>
      <w:r w:rsidR="00852390" w:rsidRPr="005C671F">
        <w:rPr>
          <w:i/>
          <w:iCs/>
        </w:rPr>
        <w:t>Collect</w:t>
      </w:r>
      <w:proofErr w:type="gramEnd"/>
      <w:r w:rsidR="00852390" w:rsidRPr="005C671F">
        <w:rPr>
          <w:i/>
          <w:iCs/>
        </w:rPr>
        <w:t xml:space="preserve"> and Produce Discovery Student File Documents </w:t>
      </w:r>
      <w:r w:rsidR="00EA3678" w:rsidRPr="00EA3678">
        <w:t>is</w:t>
      </w:r>
      <w:r w:rsidR="004E07BD">
        <w:t xml:space="preserve"> D</w:t>
      </w:r>
      <w:r>
        <w:t>ENIED</w:t>
      </w:r>
      <w:r w:rsidR="004E07BD">
        <w:t xml:space="preserve">. </w:t>
      </w:r>
    </w:p>
    <w:p w14:paraId="5F821C0E" w14:textId="77777777" w:rsidR="00DA686A" w:rsidRPr="00C45518" w:rsidRDefault="00DA686A" w:rsidP="00C7064A">
      <w:pPr>
        <w:ind w:left="720"/>
      </w:pPr>
    </w:p>
    <w:p w14:paraId="3F2529D5" w14:textId="60A6E33F" w:rsidR="00C45518" w:rsidRPr="00C45518" w:rsidRDefault="005146A0" w:rsidP="00C45518">
      <w:pPr>
        <w:pStyle w:val="ListParagraph"/>
        <w:numPr>
          <w:ilvl w:val="1"/>
          <w:numId w:val="1"/>
        </w:numPr>
        <w:rPr>
          <w:rFonts w:ascii="Times New Roman" w:hAnsi="Times New Roman" w:cs="Times New Roman"/>
        </w:rPr>
      </w:pPr>
      <w:r>
        <w:rPr>
          <w:rFonts w:ascii="Times New Roman" w:hAnsi="Times New Roman" w:cs="Times New Roman"/>
          <w:u w:val="single"/>
        </w:rPr>
        <w:t>Request for Directive to Parent Regarding Confidentiality</w:t>
      </w:r>
    </w:p>
    <w:p w14:paraId="76F34D48" w14:textId="1E2C03BB" w:rsidR="00C45518" w:rsidRDefault="00C45518" w:rsidP="00C45518"/>
    <w:p w14:paraId="52DDD15E" w14:textId="41403E02" w:rsidR="00C45518" w:rsidRPr="009D1E39" w:rsidRDefault="00AC542B" w:rsidP="00A71E69">
      <w:pPr>
        <w:pStyle w:val="ListParagraph"/>
        <w:ind w:left="0" w:firstLine="720"/>
        <w:rPr>
          <w:rFonts w:ascii="Times New Roman" w:hAnsi="Times New Roman" w:cs="Times New Roman"/>
          <w:i/>
          <w:iCs/>
        </w:rPr>
      </w:pPr>
      <w:r>
        <w:rPr>
          <w:rFonts w:ascii="Times New Roman" w:hAnsi="Times New Roman" w:cs="Times New Roman"/>
        </w:rPr>
        <w:t xml:space="preserve">On May 11, 2020, the District filed </w:t>
      </w:r>
      <w:r w:rsidR="005146A0">
        <w:rPr>
          <w:rFonts w:ascii="Times New Roman" w:hAnsi="Times New Roman" w:cs="Times New Roman"/>
        </w:rPr>
        <w:t xml:space="preserve">a letter requesting that the </w:t>
      </w:r>
      <w:r w:rsidR="00EB1E56">
        <w:rPr>
          <w:rFonts w:ascii="Times New Roman" w:hAnsi="Times New Roman" w:cs="Times New Roman"/>
        </w:rPr>
        <w:t>Bureau of Special Education Appeals (</w:t>
      </w:r>
      <w:r w:rsidR="005146A0">
        <w:rPr>
          <w:rFonts w:ascii="Times New Roman" w:hAnsi="Times New Roman" w:cs="Times New Roman"/>
        </w:rPr>
        <w:t>BSEA</w:t>
      </w:r>
      <w:r w:rsidR="00EB1E56">
        <w:rPr>
          <w:rFonts w:ascii="Times New Roman" w:hAnsi="Times New Roman" w:cs="Times New Roman"/>
        </w:rPr>
        <w:t>)</w:t>
      </w:r>
      <w:r w:rsidR="005146A0">
        <w:rPr>
          <w:rFonts w:ascii="Times New Roman" w:hAnsi="Times New Roman" w:cs="Times New Roman"/>
        </w:rPr>
        <w:t xml:space="preserve"> provide to Parent a “directive around keeping information about this matter confidential,” alleging that Parent had shared information regarding confidential proceedings on a public forum. </w:t>
      </w:r>
      <w:r w:rsidR="00DE54BC">
        <w:rPr>
          <w:rFonts w:ascii="Times New Roman" w:hAnsi="Times New Roman" w:cs="Times New Roman"/>
        </w:rPr>
        <w:t xml:space="preserve">Specifically, Springfield appears to object to information regarding the city’s expenditures in this case. </w:t>
      </w:r>
      <w:r w:rsidR="00AB2EA6">
        <w:rPr>
          <w:rFonts w:ascii="Times New Roman" w:hAnsi="Times New Roman" w:cs="Times New Roman"/>
        </w:rPr>
        <w:t xml:space="preserve">The same day, </w:t>
      </w:r>
      <w:r w:rsidR="002E1721">
        <w:rPr>
          <w:rFonts w:ascii="Times New Roman" w:hAnsi="Times New Roman" w:cs="Times New Roman"/>
        </w:rPr>
        <w:t xml:space="preserve">Parent filed a </w:t>
      </w:r>
      <w:r w:rsidR="009D1E39">
        <w:rPr>
          <w:rFonts w:ascii="Times New Roman" w:hAnsi="Times New Roman" w:cs="Times New Roman"/>
          <w:i/>
          <w:iCs/>
        </w:rPr>
        <w:t>Response</w:t>
      </w:r>
      <w:r w:rsidR="002E1721">
        <w:rPr>
          <w:rFonts w:ascii="Times New Roman" w:hAnsi="Times New Roman" w:cs="Times New Roman"/>
        </w:rPr>
        <w:t xml:space="preserve"> i</w:t>
      </w:r>
      <w:r w:rsidR="009D1E39">
        <w:rPr>
          <w:rFonts w:ascii="Times New Roman" w:hAnsi="Times New Roman" w:cs="Times New Roman"/>
        </w:rPr>
        <w:t>n opposition to this request,</w:t>
      </w:r>
      <w:r w:rsidR="00D97080">
        <w:rPr>
          <w:rFonts w:ascii="Times New Roman" w:hAnsi="Times New Roman" w:cs="Times New Roman"/>
        </w:rPr>
        <w:t xml:space="preserve"> asserting</w:t>
      </w:r>
      <w:r w:rsidR="004F6D14">
        <w:rPr>
          <w:rFonts w:ascii="Times New Roman" w:hAnsi="Times New Roman" w:cs="Times New Roman"/>
        </w:rPr>
        <w:t xml:space="preserve"> that Springfield</w:t>
      </w:r>
      <w:r w:rsidR="00D97080">
        <w:rPr>
          <w:rFonts w:ascii="Times New Roman" w:hAnsi="Times New Roman" w:cs="Times New Roman"/>
        </w:rPr>
        <w:t xml:space="preserve"> </w:t>
      </w:r>
      <w:r w:rsidR="005146A0">
        <w:rPr>
          <w:rFonts w:ascii="Times New Roman" w:hAnsi="Times New Roman" w:cs="Times New Roman"/>
        </w:rPr>
        <w:t>was “stalking</w:t>
      </w:r>
      <w:r w:rsidR="00A71E69">
        <w:rPr>
          <w:rFonts w:ascii="Times New Roman" w:hAnsi="Times New Roman" w:cs="Times New Roman"/>
        </w:rPr>
        <w:t xml:space="preserve"> [her] personal Facebook for reasons to file things against” her, and that her </w:t>
      </w:r>
      <w:r w:rsidR="002E1721">
        <w:rPr>
          <w:rFonts w:ascii="Times New Roman" w:hAnsi="Times New Roman" w:cs="Times New Roman"/>
        </w:rPr>
        <w:t>post revealed nothing confidential.</w:t>
      </w:r>
      <w:r w:rsidR="00B94165">
        <w:rPr>
          <w:rFonts w:ascii="Times New Roman" w:hAnsi="Times New Roman" w:cs="Times New Roman"/>
        </w:rPr>
        <w:t xml:space="preserve"> The parties offered further arguments </w:t>
      </w:r>
      <w:r w:rsidR="00A71E69">
        <w:rPr>
          <w:rFonts w:ascii="Times New Roman" w:hAnsi="Times New Roman" w:cs="Times New Roman"/>
        </w:rPr>
        <w:t>during the Motion Session</w:t>
      </w:r>
      <w:r w:rsidR="00A71E69" w:rsidRPr="009B3674">
        <w:rPr>
          <w:rFonts w:ascii="Times New Roman" w:hAnsi="Times New Roman" w:cs="Times New Roman"/>
        </w:rPr>
        <w:t xml:space="preserve"> on May 19, 2020.</w:t>
      </w:r>
    </w:p>
    <w:p w14:paraId="00AAD543" w14:textId="67AF1C38" w:rsidR="00C45518" w:rsidRPr="00A71E69" w:rsidRDefault="00C45518" w:rsidP="00C45518">
      <w:pPr>
        <w:rPr>
          <w:i/>
          <w:iCs/>
        </w:rPr>
      </w:pPr>
    </w:p>
    <w:p w14:paraId="4F3FF0AB" w14:textId="77777777" w:rsidR="00937B8A" w:rsidRPr="00A71E69" w:rsidRDefault="00937B8A" w:rsidP="00937B8A">
      <w:pPr>
        <w:pStyle w:val="ListParagraph"/>
        <w:numPr>
          <w:ilvl w:val="2"/>
          <w:numId w:val="1"/>
        </w:numPr>
        <w:rPr>
          <w:rFonts w:ascii="Times New Roman" w:hAnsi="Times New Roman" w:cs="Times New Roman"/>
          <w:i/>
          <w:iCs/>
        </w:rPr>
      </w:pPr>
      <w:r w:rsidRPr="00A71E69">
        <w:rPr>
          <w:rFonts w:ascii="Times New Roman" w:hAnsi="Times New Roman" w:cs="Times New Roman"/>
          <w:i/>
          <w:iCs/>
        </w:rPr>
        <w:t xml:space="preserve">Legal Standard for BSEA Jurisdiction </w:t>
      </w:r>
    </w:p>
    <w:p w14:paraId="6300B2E0" w14:textId="77777777" w:rsidR="00937B8A" w:rsidRDefault="00937B8A" w:rsidP="00A71E69">
      <w:pPr>
        <w:spacing w:before="240"/>
        <w:ind w:firstLine="720"/>
      </w:pPr>
      <w:r w:rsidRPr="00B955D6">
        <w:t>Among other things, the IDEA, 20 U.S.C</w:t>
      </w:r>
      <w:r w:rsidRPr="00A71E69">
        <w:rPr>
          <w:i/>
          <w:iCs/>
        </w:rPr>
        <w:t>.</w:t>
      </w:r>
      <w:r w:rsidRPr="00B955D6">
        <w:t xml:space="preserve"> § 1400 </w:t>
      </w:r>
      <w:r w:rsidRPr="00B955D6">
        <w:rPr>
          <w:i/>
        </w:rPr>
        <w:t>et seq.</w:t>
      </w:r>
      <w:r w:rsidRPr="00B955D6">
        <w:t xml:space="preserve"> provides parents with a formal complaint process with respect to “any matter relating to the identification, evaluation, or educational placement of the child, or the provision of a free appropriate public education to such child.”</w:t>
      </w:r>
      <w:r>
        <w:rPr>
          <w:rStyle w:val="FootnoteReference"/>
        </w:rPr>
        <w:footnoteReference w:id="15"/>
      </w:r>
      <w:r w:rsidRPr="00B955D6">
        <w:t xml:space="preserve"> In Massachusetts the BSEA is the administrative agency before which any impartial due process hearing regarding these issues takes place. The BSEA is an agency of limited jurisdiction; it has jurisdiction over requests for hearing filed by: </w:t>
      </w:r>
    </w:p>
    <w:p w14:paraId="2CDB24A7" w14:textId="77777777" w:rsidR="00937B8A" w:rsidRDefault="00937B8A" w:rsidP="00937B8A">
      <w:pPr>
        <w:spacing w:before="240"/>
        <w:ind w:left="1440"/>
      </w:pPr>
      <w:r w:rsidRPr="00B955D6">
        <w:t>a parent or school district   . . . on any matter concerning the eligibility, evaluation, placement, IEP, provision of special education in accordance with state and federal law, or procedural protections of state and federal law for students with disabilities. A parent of a student with a disability may also request a hearing on any issue involving the denial of the free appropriate public education guaranteed by Section 504 . . .</w:t>
      </w:r>
      <w:r>
        <w:rPr>
          <w:rStyle w:val="FootnoteReference"/>
        </w:rPr>
        <w:footnoteReference w:id="16"/>
      </w:r>
    </w:p>
    <w:p w14:paraId="44E7415A" w14:textId="320B092A" w:rsidR="00A71E69" w:rsidRDefault="00937B8A" w:rsidP="00A71E69">
      <w:pPr>
        <w:spacing w:before="240"/>
        <w:ind w:firstLine="720"/>
      </w:pPr>
      <w:r w:rsidRPr="00B955D6">
        <w:t>BSEA jurisdiction extends to IDEA-based claims as well.</w:t>
      </w:r>
      <w:r>
        <w:rPr>
          <w:rStyle w:val="FootnoteReference"/>
        </w:rPr>
        <w:footnoteReference w:id="17"/>
      </w:r>
      <w:r w:rsidRPr="00B955D6">
        <w:t xml:space="preserve"> The First Circuit held, in a</w:t>
      </w:r>
      <w:r w:rsidRPr="00B955D6">
        <w:rPr>
          <w:sz w:val="36"/>
          <w:szCs w:val="36"/>
        </w:rPr>
        <w:t xml:space="preserve"> </w:t>
      </w:r>
      <w:r w:rsidRPr="00B955D6">
        <w:t>case</w:t>
      </w:r>
      <w:r w:rsidRPr="00B955D6">
        <w:rPr>
          <w:sz w:val="36"/>
          <w:szCs w:val="36"/>
        </w:rPr>
        <w:t xml:space="preserve"> </w:t>
      </w:r>
      <w:r w:rsidRPr="00B955D6">
        <w:t>addressing exhaustion of claims filed under 42 U.S.C. § 1983, that the BSEA is not deprived of jurisdiction by the fact that certain claims are not based directly upon violations of the IDEA, nor by the fact that the relief a complainant seeks cannot be awarded by the agency.</w:t>
      </w:r>
      <w:r>
        <w:rPr>
          <w:rStyle w:val="FootnoteReference"/>
        </w:rPr>
        <w:footnoteReference w:id="18"/>
      </w:r>
      <w:r w:rsidRPr="00B955D6">
        <w:t xml:space="preserve"> The IDEA’s exhaustion requirement ensures that the BSEA is able to develop a factual record and apply its “specialized knowledge” in an IDEA-based claim.</w:t>
      </w:r>
      <w:r>
        <w:rPr>
          <w:rStyle w:val="FootnoteReference"/>
        </w:rPr>
        <w:footnoteReference w:id="19"/>
      </w:r>
      <w:r w:rsidRPr="00B955D6">
        <w:t xml:space="preserve"> Whether a claim is IDEA-based turns on whether the underlying claim is one of violation of the IDEA; a claim is not IDEA-based, and therefore not properly before the BSEA, where a student solely seeks money damages for tort like damages not subsumed in a federal claim, or “where there are no factual </w:t>
      </w:r>
      <w:r w:rsidRPr="00B955D6">
        <w:lastRenderedPageBreak/>
        <w:t xml:space="preserve">allegations to indicate that a dispute exists concerning the individual student’s eligibility under the IDEA or Section 504 or the discharge of the School’s procedural and substantive responsibilities under the IDEA or Section 504.” </w:t>
      </w:r>
      <w:r>
        <w:rPr>
          <w:rStyle w:val="FootnoteReference"/>
        </w:rPr>
        <w:footnoteReference w:id="20"/>
      </w:r>
      <w:r w:rsidRPr="00B955D6">
        <w:t xml:space="preserve"> </w:t>
      </w:r>
    </w:p>
    <w:p w14:paraId="6C6B5CE8" w14:textId="77777777" w:rsidR="00A71E69" w:rsidRPr="00C45518" w:rsidRDefault="00A71E69" w:rsidP="00A71E69">
      <w:pPr>
        <w:spacing w:before="240"/>
        <w:ind w:firstLine="720"/>
      </w:pPr>
    </w:p>
    <w:p w14:paraId="0D719846" w14:textId="6DD82983" w:rsidR="00C45518" w:rsidRPr="00A71E69" w:rsidRDefault="00C45518" w:rsidP="007C67F8">
      <w:pPr>
        <w:pStyle w:val="ListParagraph"/>
        <w:numPr>
          <w:ilvl w:val="2"/>
          <w:numId w:val="1"/>
        </w:numPr>
        <w:rPr>
          <w:rFonts w:ascii="Times New Roman" w:hAnsi="Times New Roman" w:cs="Times New Roman"/>
          <w:i/>
          <w:iCs/>
        </w:rPr>
      </w:pPr>
      <w:r w:rsidRPr="00A71E69">
        <w:rPr>
          <w:rFonts w:ascii="Times New Roman" w:hAnsi="Times New Roman" w:cs="Times New Roman"/>
          <w:i/>
          <w:iCs/>
        </w:rPr>
        <w:t>Application of Legal Standard</w:t>
      </w:r>
    </w:p>
    <w:p w14:paraId="589544EE" w14:textId="723F4CEB" w:rsidR="001D6753" w:rsidRPr="00B94165" w:rsidRDefault="00A71E69" w:rsidP="001D6753">
      <w:pPr>
        <w:spacing w:before="240"/>
        <w:ind w:firstLine="720"/>
      </w:pPr>
      <w:r>
        <w:t>Al</w:t>
      </w:r>
      <w:r w:rsidRPr="00B94165">
        <w:t>though BSEA proceedings are confidential and closed to the public unless Parent request otherwise,</w:t>
      </w:r>
      <w:r w:rsidRPr="00B94165">
        <w:rPr>
          <w:rStyle w:val="FootnoteReference"/>
        </w:rPr>
        <w:footnoteReference w:id="21"/>
      </w:r>
      <w:r w:rsidRPr="00B94165">
        <w:t xml:space="preserve"> </w:t>
      </w:r>
      <w:r w:rsidR="00DE54BC" w:rsidRPr="00B94165">
        <w:t>a claim that Parent has shared information regarding a BSEA case is</w:t>
      </w:r>
      <w:r w:rsidR="00EB1E56" w:rsidRPr="00B94165">
        <w:t xml:space="preserve"> neither within the jurisdiction of the BSEA as set forth above, nor is it IDEA-based.</w:t>
      </w:r>
      <w:r w:rsidR="00EB1E56" w:rsidRPr="00B94165">
        <w:rPr>
          <w:rStyle w:val="FootnoteReference"/>
        </w:rPr>
        <w:footnoteReference w:id="22"/>
      </w:r>
      <w:r w:rsidR="009D1E39">
        <w:t xml:space="preserve"> </w:t>
      </w:r>
      <w:r w:rsidR="00EB1E56" w:rsidRPr="00B94165">
        <w:t>As such, the District’s request is DENIED.</w:t>
      </w:r>
      <w:r w:rsidR="001D6753" w:rsidRPr="00B94165">
        <w:t xml:space="preserve"> </w:t>
      </w:r>
    </w:p>
    <w:p w14:paraId="5B0CF0DB" w14:textId="77777777" w:rsidR="00BE0527" w:rsidRPr="00B94165" w:rsidRDefault="00BE0527" w:rsidP="00EB1E56"/>
    <w:p w14:paraId="225AA642" w14:textId="14D86B71" w:rsidR="00D01910" w:rsidRPr="00B94165" w:rsidRDefault="00D01910" w:rsidP="00C45518">
      <w:pPr>
        <w:pStyle w:val="ListParagraph"/>
        <w:numPr>
          <w:ilvl w:val="1"/>
          <w:numId w:val="1"/>
        </w:numPr>
        <w:rPr>
          <w:rFonts w:ascii="Times New Roman" w:hAnsi="Times New Roman" w:cs="Times New Roman"/>
        </w:rPr>
      </w:pPr>
      <w:r w:rsidRPr="00B94165">
        <w:rPr>
          <w:rFonts w:ascii="Times New Roman" w:hAnsi="Times New Roman" w:cs="Times New Roman"/>
          <w:u w:val="single"/>
        </w:rPr>
        <w:t xml:space="preserve">Motion for Protective Order </w:t>
      </w:r>
    </w:p>
    <w:p w14:paraId="4D9E80DA" w14:textId="77777777" w:rsidR="00C14957" w:rsidRPr="00B94165" w:rsidRDefault="00C14957" w:rsidP="00C14957">
      <w:pPr>
        <w:pStyle w:val="ListParagraph"/>
        <w:ind w:left="1440"/>
        <w:rPr>
          <w:rFonts w:ascii="Times New Roman" w:hAnsi="Times New Roman" w:cs="Times New Roman"/>
        </w:rPr>
      </w:pPr>
    </w:p>
    <w:p w14:paraId="10E509C3" w14:textId="4F7A4805" w:rsidR="00C14957" w:rsidRPr="00B94165" w:rsidRDefault="00C14957" w:rsidP="00C14957">
      <w:pPr>
        <w:ind w:left="720"/>
      </w:pPr>
      <w:r w:rsidRPr="00B94165">
        <w:t xml:space="preserve">On May 11, 2020, Springfield filed a </w:t>
      </w:r>
      <w:r w:rsidRPr="00B94165">
        <w:rPr>
          <w:i/>
          <w:iCs/>
        </w:rPr>
        <w:t xml:space="preserve">Motion for a Protective Order </w:t>
      </w:r>
      <w:r w:rsidRPr="00B94165">
        <w:t>regarding several</w:t>
      </w:r>
    </w:p>
    <w:p w14:paraId="550BA993" w14:textId="4EF3D552" w:rsidR="00B94165" w:rsidRPr="00C45518" w:rsidRDefault="00C14957" w:rsidP="00B94165">
      <w:pPr>
        <w:pStyle w:val="ListParagraph"/>
        <w:ind w:left="0"/>
        <w:rPr>
          <w:rFonts w:ascii="Times New Roman" w:hAnsi="Times New Roman" w:cs="Times New Roman"/>
        </w:rPr>
      </w:pPr>
      <w:proofErr w:type="gramStart"/>
      <w:r w:rsidRPr="00B94165">
        <w:rPr>
          <w:rFonts w:ascii="Times New Roman" w:hAnsi="Times New Roman" w:cs="Times New Roman"/>
        </w:rPr>
        <w:t>categories</w:t>
      </w:r>
      <w:proofErr w:type="gramEnd"/>
      <w:r w:rsidRPr="00B94165">
        <w:rPr>
          <w:rFonts w:ascii="Times New Roman" w:hAnsi="Times New Roman" w:cs="Times New Roman"/>
        </w:rPr>
        <w:t xml:space="preserve"> of information Parent requested through discovery. Specifically, Parent requested (1) Budget and expenditure knowledge; (2) Lawsuit and settlement information (including how much SPS has paid out in legal settlement</w:t>
      </w:r>
      <w:r w:rsidR="00A02680" w:rsidRPr="00B94165">
        <w:rPr>
          <w:rFonts w:ascii="Times New Roman" w:hAnsi="Times New Roman" w:cs="Times New Roman"/>
        </w:rPr>
        <w:t xml:space="preserve">); (3) Office of Civil Rights (OCR) complaints; and (4) Cell phone/texting records from about September 2018-present. Parent later limited her fourth request to “text messages of the Springfield school districts </w:t>
      </w:r>
      <w:r w:rsidR="009D1E39">
        <w:rPr>
          <w:rFonts w:ascii="Times New Roman" w:hAnsi="Times New Roman" w:cs="Times New Roman"/>
        </w:rPr>
        <w:t>(</w:t>
      </w:r>
      <w:r w:rsidR="009D1E39">
        <w:rPr>
          <w:rFonts w:ascii="Times New Roman" w:hAnsi="Times New Roman" w:cs="Times New Roman"/>
          <w:i/>
          <w:iCs/>
        </w:rPr>
        <w:t>sic</w:t>
      </w:r>
      <w:r w:rsidR="009D1E39">
        <w:rPr>
          <w:rFonts w:ascii="Times New Roman" w:hAnsi="Times New Roman" w:cs="Times New Roman"/>
        </w:rPr>
        <w:t xml:space="preserve">) </w:t>
      </w:r>
      <w:r w:rsidR="00A02680" w:rsidRPr="00B94165">
        <w:rPr>
          <w:rFonts w:ascii="Times New Roman" w:hAnsi="Times New Roman" w:cs="Times New Roman"/>
        </w:rPr>
        <w:t>business cell phones pertaining to [Ollie and herself] for dates between about September 2018 to present.” The District agreed to produce the fourth category of information, as limited</w:t>
      </w:r>
      <w:r w:rsidR="003D56C3" w:rsidRPr="00B94165">
        <w:rPr>
          <w:rFonts w:ascii="Times New Roman" w:hAnsi="Times New Roman" w:cs="Times New Roman"/>
        </w:rPr>
        <w:t xml:space="preserve">, but objected to the remaining discovery requests as irrelevant, unreliable, burdensome, </w:t>
      </w:r>
      <w:r w:rsidR="00D97080">
        <w:rPr>
          <w:rFonts w:ascii="Times New Roman" w:hAnsi="Times New Roman" w:cs="Times New Roman"/>
        </w:rPr>
        <w:t>and costly, and argued tha</w:t>
      </w:r>
      <w:r w:rsidR="004F6D14">
        <w:rPr>
          <w:rFonts w:ascii="Times New Roman" w:hAnsi="Times New Roman" w:cs="Times New Roman"/>
        </w:rPr>
        <w:t>t said requests</w:t>
      </w:r>
      <w:r w:rsidR="00D97080">
        <w:rPr>
          <w:rFonts w:ascii="Times New Roman" w:hAnsi="Times New Roman" w:cs="Times New Roman"/>
        </w:rPr>
        <w:t xml:space="preserve"> </w:t>
      </w:r>
      <w:r w:rsidR="003D56C3" w:rsidRPr="00B94165">
        <w:rPr>
          <w:rFonts w:ascii="Times New Roman" w:hAnsi="Times New Roman" w:cs="Times New Roman"/>
        </w:rPr>
        <w:t>would not provide evidence or information probative of the issues in this matter</w:t>
      </w:r>
      <w:r w:rsidR="003D56C3">
        <w:t xml:space="preserve">. </w:t>
      </w:r>
      <w:r w:rsidR="00B94165">
        <w:rPr>
          <w:rFonts w:ascii="Times New Roman" w:hAnsi="Times New Roman" w:cs="Times New Roman"/>
        </w:rPr>
        <w:t>The parties offered further arguments during the Motion Session</w:t>
      </w:r>
      <w:r w:rsidR="00B94165" w:rsidRPr="009B3674">
        <w:rPr>
          <w:rFonts w:ascii="Times New Roman" w:hAnsi="Times New Roman" w:cs="Times New Roman"/>
        </w:rPr>
        <w:t xml:space="preserve"> on May 19, 2020.</w:t>
      </w:r>
      <w:r w:rsidR="00B94165">
        <w:rPr>
          <w:rFonts w:ascii="Times New Roman" w:hAnsi="Times New Roman" w:cs="Times New Roman"/>
        </w:rPr>
        <w:t xml:space="preserve"> </w:t>
      </w:r>
    </w:p>
    <w:p w14:paraId="087CBDCD" w14:textId="348A2702" w:rsidR="00EB1E56" w:rsidRDefault="00EB1E56" w:rsidP="00C14957"/>
    <w:p w14:paraId="330740C8" w14:textId="6BBE088D" w:rsidR="00EB1E56" w:rsidRDefault="00EB1E56" w:rsidP="00A23C4A">
      <w:pPr>
        <w:pStyle w:val="ListParagraph"/>
        <w:numPr>
          <w:ilvl w:val="0"/>
          <w:numId w:val="6"/>
        </w:numPr>
        <w:rPr>
          <w:rFonts w:ascii="Times New Roman" w:hAnsi="Times New Roman" w:cs="Times New Roman"/>
          <w:i/>
          <w:iCs/>
        </w:rPr>
      </w:pPr>
      <w:r w:rsidRPr="00EB1E56">
        <w:rPr>
          <w:rFonts w:ascii="Times New Roman" w:hAnsi="Times New Roman" w:cs="Times New Roman"/>
          <w:i/>
          <w:iCs/>
        </w:rPr>
        <w:t>Legal Standard</w:t>
      </w:r>
    </w:p>
    <w:p w14:paraId="745B023B" w14:textId="693F8F56" w:rsidR="00A23C4A" w:rsidRDefault="00A23C4A" w:rsidP="00A23C4A">
      <w:pPr>
        <w:rPr>
          <w:i/>
          <w:iCs/>
        </w:rPr>
      </w:pPr>
    </w:p>
    <w:p w14:paraId="0872EA77" w14:textId="77777777" w:rsidR="00A23C4A" w:rsidRDefault="00A23C4A" w:rsidP="00A23C4A">
      <w:pPr>
        <w:ind w:left="720"/>
      </w:pPr>
      <w:r>
        <w:t>Although BSEA Hearing Officers are not bound by the rules of evidence applicable to</w:t>
      </w:r>
    </w:p>
    <w:p w14:paraId="3B998BFB" w14:textId="77777777" w:rsidR="00A23C4A" w:rsidRDefault="00A23C4A" w:rsidP="00A23C4A">
      <w:proofErr w:type="gramStart"/>
      <w:r>
        <w:t>courts</w:t>
      </w:r>
      <w:proofErr w:type="gramEnd"/>
      <w:r>
        <w:t>, we do receive and consider only evidence that is “relevant and reliable,”</w:t>
      </w:r>
      <w:r>
        <w:rPr>
          <w:rStyle w:val="FootnoteReference"/>
        </w:rPr>
        <w:footnoteReference w:id="23"/>
      </w:r>
      <w:r>
        <w:t xml:space="preserve"> and we are authorized to issue Protective Orders “to protect a party from undue burden, expense, delay, or as otherwise deemed appropriate.”</w:t>
      </w:r>
      <w:r>
        <w:rPr>
          <w:rStyle w:val="FootnoteReference"/>
        </w:rPr>
        <w:footnoteReference w:id="24"/>
      </w:r>
      <w:r>
        <w:t xml:space="preserve"> </w:t>
      </w:r>
    </w:p>
    <w:p w14:paraId="466AC0CA" w14:textId="77777777" w:rsidR="00A23C4A" w:rsidRPr="00A23C4A" w:rsidRDefault="00A23C4A" w:rsidP="00A23C4A">
      <w:pPr>
        <w:rPr>
          <w:i/>
          <w:iCs/>
        </w:rPr>
      </w:pPr>
    </w:p>
    <w:p w14:paraId="739EB2C1" w14:textId="14FE6B57" w:rsidR="00A23C4A" w:rsidRDefault="00A23C4A" w:rsidP="00A23C4A">
      <w:pPr>
        <w:pStyle w:val="ListParagraph"/>
        <w:numPr>
          <w:ilvl w:val="0"/>
          <w:numId w:val="6"/>
        </w:numPr>
        <w:rPr>
          <w:rFonts w:ascii="Times New Roman" w:hAnsi="Times New Roman" w:cs="Times New Roman"/>
          <w:i/>
          <w:iCs/>
        </w:rPr>
      </w:pPr>
      <w:r>
        <w:rPr>
          <w:rFonts w:ascii="Times New Roman" w:hAnsi="Times New Roman" w:cs="Times New Roman"/>
          <w:i/>
          <w:iCs/>
        </w:rPr>
        <w:t>Application of Legal Standard</w:t>
      </w:r>
    </w:p>
    <w:p w14:paraId="5F3EC70B" w14:textId="1F453DBB" w:rsidR="00EB1E56" w:rsidRDefault="00EB1E56" w:rsidP="00A23C4A">
      <w:pPr>
        <w:spacing w:before="240"/>
        <w:ind w:firstLine="720"/>
      </w:pPr>
      <w:r>
        <w:t xml:space="preserve">As explained to the parties during the </w:t>
      </w:r>
      <w:r>
        <w:rPr>
          <w:i/>
          <w:iCs/>
        </w:rPr>
        <w:t xml:space="preserve">Motion Session </w:t>
      </w:r>
      <w:r>
        <w:t xml:space="preserve">on May 19, 2020, discovery requests in BSEA proceedings generally address information </w:t>
      </w:r>
      <w:r w:rsidR="00A23C4A">
        <w:t>of direct</w:t>
      </w:r>
      <w:r w:rsidR="004F6D14">
        <w:t xml:space="preserve"> relevance to the student</w:t>
      </w:r>
      <w:r w:rsidR="00A23C4A">
        <w:t xml:space="preserve"> </w:t>
      </w:r>
      <w:proofErr w:type="spellStart"/>
      <w:r w:rsidR="00A23C4A">
        <w:t>student</w:t>
      </w:r>
      <w:proofErr w:type="spellEnd"/>
      <w:r w:rsidR="00A23C4A">
        <w:t xml:space="preserve"> and his educational programming. There is no question that production </w:t>
      </w:r>
      <w:r w:rsidR="00AA7B38">
        <w:t xml:space="preserve">of the </w:t>
      </w:r>
      <w:r w:rsidR="00A23C4A">
        <w:t xml:space="preserve">information listed in the first three categories of Springfield’s </w:t>
      </w:r>
      <w:r w:rsidR="00A23C4A">
        <w:rPr>
          <w:i/>
          <w:iCs/>
        </w:rPr>
        <w:t xml:space="preserve">Motion </w:t>
      </w:r>
      <w:r w:rsidR="00A23C4A">
        <w:t xml:space="preserve">would be burdensome, and </w:t>
      </w:r>
      <w:r w:rsidR="00A23C4A">
        <w:lastRenderedPageBreak/>
        <w:t>Parent has not established that it is relevant to the claims that remain before me, or even</w:t>
      </w:r>
      <w:r w:rsidR="00AA7B38">
        <w:t xml:space="preserve"> that it is</w:t>
      </w:r>
      <w:r w:rsidR="00A23C4A">
        <w:t xml:space="preserve"> likely to lead to the discovery of relevant evidence.</w:t>
      </w:r>
      <w:r w:rsidR="00A23C4A">
        <w:rPr>
          <w:rStyle w:val="FootnoteReference"/>
        </w:rPr>
        <w:footnoteReference w:id="25"/>
      </w:r>
      <w:r w:rsidR="00A23C4A">
        <w:t xml:space="preserve"> </w:t>
      </w:r>
    </w:p>
    <w:p w14:paraId="06F6438E" w14:textId="62983CB1" w:rsidR="00AA7B38" w:rsidRPr="00AA7B38" w:rsidRDefault="00AA7B38" w:rsidP="00A23C4A">
      <w:pPr>
        <w:spacing w:before="240"/>
        <w:ind w:firstLine="720"/>
      </w:pPr>
      <w:r>
        <w:t xml:space="preserve">As such, the District’s </w:t>
      </w:r>
      <w:r>
        <w:rPr>
          <w:i/>
          <w:iCs/>
        </w:rPr>
        <w:t xml:space="preserve">Motion for a Protective Order </w:t>
      </w:r>
      <w:r>
        <w:t>is hereby ALLOWED.</w:t>
      </w:r>
    </w:p>
    <w:p w14:paraId="1B5E89C8" w14:textId="77777777" w:rsidR="00C14957" w:rsidRPr="00C14957" w:rsidRDefault="00C14957" w:rsidP="00C14957">
      <w:pPr>
        <w:ind w:left="720"/>
      </w:pPr>
    </w:p>
    <w:p w14:paraId="364707E9" w14:textId="70E9D574" w:rsidR="00C45518" w:rsidRPr="00B337B1" w:rsidRDefault="00C45518" w:rsidP="00C45518">
      <w:pPr>
        <w:pStyle w:val="ListParagraph"/>
        <w:numPr>
          <w:ilvl w:val="1"/>
          <w:numId w:val="1"/>
        </w:numPr>
        <w:rPr>
          <w:rFonts w:ascii="Times New Roman" w:hAnsi="Times New Roman" w:cs="Times New Roman"/>
        </w:rPr>
      </w:pPr>
      <w:r>
        <w:rPr>
          <w:rFonts w:ascii="Times New Roman" w:hAnsi="Times New Roman" w:cs="Times New Roman"/>
          <w:u w:val="single"/>
        </w:rPr>
        <w:t>Motion to Compel Parent to Destroy Inadvertent</w:t>
      </w:r>
      <w:r w:rsidR="003D56C3">
        <w:rPr>
          <w:rFonts w:ascii="Times New Roman" w:hAnsi="Times New Roman" w:cs="Times New Roman"/>
          <w:u w:val="single"/>
        </w:rPr>
        <w:t xml:space="preserve"> (</w:t>
      </w:r>
      <w:r w:rsidR="003D56C3">
        <w:rPr>
          <w:rFonts w:ascii="Times New Roman" w:hAnsi="Times New Roman" w:cs="Times New Roman"/>
          <w:i/>
          <w:iCs/>
          <w:u w:val="single"/>
        </w:rPr>
        <w:t>sic</w:t>
      </w:r>
      <w:r w:rsidR="003D56C3">
        <w:rPr>
          <w:rFonts w:ascii="Times New Roman" w:hAnsi="Times New Roman" w:cs="Times New Roman"/>
          <w:u w:val="single"/>
        </w:rPr>
        <w:t>)</w:t>
      </w:r>
      <w:r>
        <w:rPr>
          <w:rFonts w:ascii="Times New Roman" w:hAnsi="Times New Roman" w:cs="Times New Roman"/>
          <w:u w:val="single"/>
        </w:rPr>
        <w:t xml:space="preserve"> Disclosed Documents</w:t>
      </w:r>
    </w:p>
    <w:p w14:paraId="5FC26C19" w14:textId="0C1D1108" w:rsidR="00B337B1" w:rsidRDefault="00B337B1" w:rsidP="00B337B1">
      <w:pPr>
        <w:pStyle w:val="ListParagraph"/>
        <w:ind w:left="1440"/>
        <w:rPr>
          <w:rFonts w:ascii="Times New Roman" w:hAnsi="Times New Roman" w:cs="Times New Roman"/>
        </w:rPr>
      </w:pPr>
    </w:p>
    <w:p w14:paraId="16B12714" w14:textId="293B2F26" w:rsidR="007F2B65" w:rsidRPr="00B94165" w:rsidRDefault="007F2B65" w:rsidP="007F2B65">
      <w:pPr>
        <w:ind w:firstLine="720"/>
      </w:pPr>
      <w:r>
        <w:t xml:space="preserve">On May 11, 2020, the District filed a </w:t>
      </w:r>
      <w:r w:rsidR="003D56C3">
        <w:rPr>
          <w:i/>
          <w:iCs/>
        </w:rPr>
        <w:t>Request</w:t>
      </w:r>
      <w:r w:rsidRPr="005154C3">
        <w:rPr>
          <w:i/>
          <w:iCs/>
        </w:rPr>
        <w:t xml:space="preserve"> for Order Compelling Complainant to Destroy Inadvertent</w:t>
      </w:r>
      <w:r w:rsidR="003D56C3">
        <w:rPr>
          <w:i/>
          <w:iCs/>
        </w:rPr>
        <w:t xml:space="preserve"> </w:t>
      </w:r>
      <w:r w:rsidR="003D56C3">
        <w:t xml:space="preserve">(sic) </w:t>
      </w:r>
      <w:r w:rsidRPr="005154C3">
        <w:rPr>
          <w:i/>
          <w:iCs/>
        </w:rPr>
        <w:t xml:space="preserve">Disclosed </w:t>
      </w:r>
      <w:r w:rsidRPr="00AA7B38">
        <w:rPr>
          <w:i/>
          <w:iCs/>
        </w:rPr>
        <w:t>Documents</w:t>
      </w:r>
      <w:r w:rsidR="00AA7B38">
        <w:t xml:space="preserve">, asserting that it had realized after the fact that it had mistakenly produced to Parent </w:t>
      </w:r>
      <w:r>
        <w:t xml:space="preserve">irrelevant documents and documents containing other students’ private information on May 4, 2020. </w:t>
      </w:r>
      <w:r w:rsidR="00DA3E95">
        <w:t xml:space="preserve">On May 9, 2020, the District sent a letter to Parent explaining that pages identified as </w:t>
      </w:r>
      <w:r w:rsidR="00DA3E95" w:rsidRPr="00C36ABE">
        <w:t>Bates Stamped S</w:t>
      </w:r>
      <w:r w:rsidR="00371F47">
        <w:t>pringfield School District (SPS)</w:t>
      </w:r>
      <w:r w:rsidR="00DA3E95" w:rsidRPr="00C36ABE">
        <w:t xml:space="preserve"> 370-484 and SPS 517 – 544</w:t>
      </w:r>
      <w:r w:rsidR="00DA3E95">
        <w:t>, and about 100 pages of a</w:t>
      </w:r>
      <w:r w:rsidR="00371F47">
        <w:t>n</w:t>
      </w:r>
      <w:r w:rsidR="00DA3E95">
        <w:t xml:space="preserve"> </w:t>
      </w:r>
      <w:r w:rsidR="00DA3E95" w:rsidRPr="00C36ABE">
        <w:t>SPS employee</w:t>
      </w:r>
      <w:r w:rsidR="00DA3E95">
        <w:t>’s</w:t>
      </w:r>
      <w:r w:rsidR="00DA3E95" w:rsidRPr="00C36ABE">
        <w:t xml:space="preserve"> Outlook inbox, a PRS black form for a S</w:t>
      </w:r>
      <w:r w:rsidR="009D1E39">
        <w:t>pringfield</w:t>
      </w:r>
      <w:r w:rsidR="00DA3E95" w:rsidRPr="00C36ABE">
        <w:t xml:space="preserve"> student, and special education documents relating to another student</w:t>
      </w:r>
      <w:r w:rsidR="009D1E39">
        <w:t>,</w:t>
      </w:r>
      <w:r w:rsidR="00DA3E95">
        <w:t xml:space="preserve"> were inadvertently disclosed.</w:t>
      </w:r>
      <w:r w:rsidR="00AA7B38">
        <w:t xml:space="preserve"> Springfield</w:t>
      </w:r>
      <w:r w:rsidR="00DA3E95" w:rsidRPr="00DA3E95">
        <w:t xml:space="preserve"> informed Parent it did not know how those documents were included in the discovery </w:t>
      </w:r>
      <w:r w:rsidR="00AA7B38">
        <w:t xml:space="preserve">and </w:t>
      </w:r>
      <w:r w:rsidR="00DA3E95" w:rsidRPr="00DA3E95">
        <w:t xml:space="preserve">requested that Parent either return those documents to the District or destroy them and let the District know </w:t>
      </w:r>
      <w:r w:rsidR="00AA7B38">
        <w:t>they had been des</w:t>
      </w:r>
      <w:r w:rsidR="00B94165">
        <w:t>t</w:t>
      </w:r>
      <w:r w:rsidR="00AA7B38">
        <w:t>r</w:t>
      </w:r>
      <w:r w:rsidR="00B94165">
        <w:t>o</w:t>
      </w:r>
      <w:r w:rsidR="00AA7B38">
        <w:t>yed</w:t>
      </w:r>
      <w:r w:rsidR="00DA3E95" w:rsidRPr="00DA3E95">
        <w:t xml:space="preserve">. On May 11, 2020, Parent filed a </w:t>
      </w:r>
      <w:r w:rsidR="00DA3E95" w:rsidRPr="00DA3E95">
        <w:rPr>
          <w:i/>
          <w:iCs/>
        </w:rPr>
        <w:t>Response</w:t>
      </w:r>
      <w:r w:rsidR="009D1E39">
        <w:rPr>
          <w:i/>
          <w:iCs/>
        </w:rPr>
        <w:t xml:space="preserve"> </w:t>
      </w:r>
      <w:r w:rsidR="009D1E39">
        <w:t>to the District’s request, contending</w:t>
      </w:r>
      <w:r w:rsidR="00DA3E95" w:rsidRPr="00DA3E95">
        <w:rPr>
          <w:i/>
          <w:iCs/>
        </w:rPr>
        <w:t xml:space="preserve"> </w:t>
      </w:r>
      <w:r w:rsidR="00DA3E95" w:rsidRPr="00DA3E95">
        <w:t>that</w:t>
      </w:r>
      <w:r w:rsidR="00AA7B38">
        <w:t xml:space="preserve"> it was she </w:t>
      </w:r>
      <w:r w:rsidR="00DA3E95" w:rsidRPr="00DA3E95">
        <w:t>who noticed the inadvertent discovery and</w:t>
      </w:r>
      <w:r w:rsidR="00AA7B38">
        <w:t xml:space="preserve"> brought it to the District’s</w:t>
      </w:r>
      <w:r w:rsidR="004F6D14">
        <w:t xml:space="preserve"> attention on</w:t>
      </w:r>
      <w:r w:rsidR="00AA7B38">
        <w:t xml:space="preserve"> </w:t>
      </w:r>
      <w:r w:rsidR="00DA3E95" w:rsidRPr="00DA3E95">
        <w:t>May 8, 2020.</w:t>
      </w:r>
      <w:r w:rsidR="009D1E39">
        <w:t xml:space="preserve"> </w:t>
      </w:r>
      <w:r w:rsidR="00B94165">
        <w:t>The parties offered further arguments during the Motion Session on</w:t>
      </w:r>
      <w:r w:rsidR="00B4014E">
        <w:t xml:space="preserve"> May 19, </w:t>
      </w:r>
      <w:r w:rsidR="00B94165">
        <w:t xml:space="preserve">2020, and Parent was cautioned not to share any of the information she had received unless and until </w:t>
      </w:r>
      <w:r w:rsidR="00724397">
        <w:t>such action was permitted by the</w:t>
      </w:r>
      <w:r w:rsidR="00B94165">
        <w:t xml:space="preserve"> instant </w:t>
      </w:r>
      <w:r w:rsidR="00B94165">
        <w:rPr>
          <w:i/>
          <w:iCs/>
        </w:rPr>
        <w:t>Ruling</w:t>
      </w:r>
      <w:r w:rsidR="00B94165">
        <w:t>.</w:t>
      </w:r>
    </w:p>
    <w:p w14:paraId="5223201E" w14:textId="77777777" w:rsidR="007F2B65" w:rsidRPr="007F2B65" w:rsidRDefault="007F2B65" w:rsidP="007F2B65"/>
    <w:p w14:paraId="2F1701C7" w14:textId="5E42C614" w:rsidR="00B337B1" w:rsidRDefault="00C45518" w:rsidP="00C45518">
      <w:pPr>
        <w:pStyle w:val="ListParagraph"/>
        <w:numPr>
          <w:ilvl w:val="2"/>
          <w:numId w:val="1"/>
        </w:numPr>
        <w:rPr>
          <w:rFonts w:ascii="Times New Roman" w:hAnsi="Times New Roman" w:cs="Times New Roman"/>
          <w:i/>
          <w:iCs/>
        </w:rPr>
      </w:pPr>
      <w:r w:rsidRPr="00AA7B38">
        <w:rPr>
          <w:rFonts w:ascii="Times New Roman" w:hAnsi="Times New Roman" w:cs="Times New Roman"/>
          <w:i/>
          <w:iCs/>
        </w:rPr>
        <w:t xml:space="preserve">Legal Standard </w:t>
      </w:r>
      <w:r w:rsidR="00B337B1" w:rsidRPr="00AA7B38">
        <w:rPr>
          <w:rFonts w:ascii="Times New Roman" w:hAnsi="Times New Roman" w:cs="Times New Roman"/>
          <w:i/>
          <w:iCs/>
        </w:rPr>
        <w:t>for</w:t>
      </w:r>
      <w:r w:rsidR="009D1E39">
        <w:rPr>
          <w:rFonts w:ascii="Times New Roman" w:hAnsi="Times New Roman" w:cs="Times New Roman"/>
          <w:i/>
          <w:iCs/>
        </w:rPr>
        <w:t xml:space="preserve"> Protected</w:t>
      </w:r>
      <w:r w:rsidR="00B337B1" w:rsidRPr="00AA7B38">
        <w:rPr>
          <w:rFonts w:ascii="Times New Roman" w:hAnsi="Times New Roman" w:cs="Times New Roman"/>
          <w:i/>
          <w:iCs/>
        </w:rPr>
        <w:t xml:space="preserve"> Information Produced in Discovery Inadvertently</w:t>
      </w:r>
    </w:p>
    <w:p w14:paraId="4BABEE33" w14:textId="55F3094A" w:rsidR="00B94165" w:rsidRDefault="00B94165" w:rsidP="00B94165">
      <w:pPr>
        <w:rPr>
          <w:i/>
          <w:iCs/>
        </w:rPr>
      </w:pPr>
    </w:p>
    <w:p w14:paraId="24F6DD95" w14:textId="01402701" w:rsidR="00B94165" w:rsidRDefault="00B94165" w:rsidP="009D1E39">
      <w:pPr>
        <w:ind w:firstLine="720"/>
      </w:pPr>
      <w:r>
        <w:t xml:space="preserve">Although the BSEA is not bound to follow the </w:t>
      </w:r>
      <w:r w:rsidRPr="00AA7B38">
        <w:rPr>
          <w:i/>
          <w:iCs/>
        </w:rPr>
        <w:t>Massachusetts</w:t>
      </w:r>
      <w:r>
        <w:t xml:space="preserve"> or </w:t>
      </w:r>
      <w:r w:rsidRPr="00DA0D72">
        <w:rPr>
          <w:i/>
          <w:iCs/>
        </w:rPr>
        <w:t>Federal Rules of Civil Procedure</w:t>
      </w:r>
      <w:r w:rsidRPr="005833E8">
        <w:t xml:space="preserve">, </w:t>
      </w:r>
      <w:r>
        <w:t xml:space="preserve">these rules provide helpful guidance for this situation. Pursuant to </w:t>
      </w:r>
      <w:r w:rsidRPr="00DA0D72">
        <w:rPr>
          <w:i/>
          <w:iCs/>
        </w:rPr>
        <w:t>F</w:t>
      </w:r>
      <w:r>
        <w:rPr>
          <w:i/>
          <w:iCs/>
        </w:rPr>
        <w:t>.R.C.P.</w:t>
      </w:r>
      <w:r>
        <w:t xml:space="preserve"> </w:t>
      </w:r>
      <w:r w:rsidRPr="005833E8">
        <w:t>26(b</w:t>
      </w:r>
      <w:proofErr w:type="gramStart"/>
      <w:r w:rsidRPr="005833E8">
        <w:t>)(</w:t>
      </w:r>
      <w:proofErr w:type="gramEnd"/>
      <w:r w:rsidRPr="005833E8">
        <w:t>5)(B)</w:t>
      </w:r>
      <w:r>
        <w:t>:</w:t>
      </w:r>
    </w:p>
    <w:p w14:paraId="1524F03D" w14:textId="77777777" w:rsidR="009D1E39" w:rsidRDefault="009D1E39" w:rsidP="009D1E39">
      <w:pPr>
        <w:ind w:firstLine="720"/>
      </w:pPr>
    </w:p>
    <w:p w14:paraId="2D9F64FD" w14:textId="77777777" w:rsidR="00B94165" w:rsidRDefault="00B94165" w:rsidP="00B94165">
      <w:pPr>
        <w:ind w:left="1440"/>
        <w:rPr>
          <w:color w:val="000000"/>
          <w:shd w:val="clear" w:color="auto" w:fill="FFFFFF"/>
        </w:rPr>
      </w:pPr>
      <w:r>
        <w:rPr>
          <w:rStyle w:val="cohl"/>
          <w:color w:val="000000"/>
          <w:bdr w:val="none" w:sz="0" w:space="0" w:color="auto" w:frame="1"/>
          <w:shd w:val="clear" w:color="auto" w:fill="FFFFFF"/>
        </w:rPr>
        <w:t>[T]</w:t>
      </w:r>
      <w:r w:rsidRPr="005833E8">
        <w:rPr>
          <w:rStyle w:val="cohl"/>
          <w:color w:val="000000"/>
          <w:bdr w:val="none" w:sz="0" w:space="0" w:color="auto" w:frame="1"/>
          <w:shd w:val="clear" w:color="auto" w:fill="FFFFFF"/>
        </w:rPr>
        <w:t>he party making the claim may notify any party that received the information of the claim and the basis for it</w:t>
      </w:r>
      <w:r w:rsidRPr="005833E8">
        <w:rPr>
          <w:color w:val="000000"/>
          <w:shd w:val="clear" w:color="auto" w:fill="FFFFFF"/>
        </w:rPr>
        <w:t>.</w:t>
      </w:r>
      <w:r w:rsidRPr="005833E8">
        <w:rPr>
          <w:rStyle w:val="apple-converted-space"/>
          <w:color w:val="000000"/>
          <w:bdr w:val="none" w:sz="0" w:space="0" w:color="auto" w:frame="1"/>
          <w:shd w:val="clear" w:color="auto" w:fill="FFFFFF"/>
        </w:rPr>
        <w:t> </w:t>
      </w:r>
      <w:r w:rsidRPr="005833E8">
        <w:rPr>
          <w:rStyle w:val="cohl"/>
          <w:color w:val="000000"/>
          <w:bdr w:val="none" w:sz="0" w:space="0" w:color="auto" w:frame="1"/>
          <w:shd w:val="clear" w:color="auto" w:fill="FFFFFF"/>
        </w:rPr>
        <w:t>After being notified, a party must promptly return, sequester, or destroy the specified information and any copies it has</w:t>
      </w:r>
      <w:r w:rsidRPr="005833E8">
        <w:rPr>
          <w:color w:val="000000"/>
          <w:shd w:val="clear" w:color="auto" w:fill="FFFFFF"/>
        </w:rPr>
        <w:t>; must not use or disclose the information until the claim is resolved; must take reasonable steps to retrieve the information if the party disclosed it before being notified; and may promptly present the information to the court under seal for a determination of the claim. The producing party must preserve the information until the claim is resolved.</w:t>
      </w:r>
    </w:p>
    <w:p w14:paraId="56F1F8CD" w14:textId="77777777" w:rsidR="00B94165" w:rsidRDefault="00B94165" w:rsidP="00B94165">
      <w:pPr>
        <w:ind w:left="1440"/>
      </w:pPr>
    </w:p>
    <w:p w14:paraId="2067C67B" w14:textId="15633AB3" w:rsidR="00B94165" w:rsidRPr="00B94165" w:rsidRDefault="00B94165" w:rsidP="00B94165">
      <w:pPr>
        <w:pStyle w:val="NoSpacing"/>
        <w:ind w:firstLine="720"/>
        <w:rPr>
          <w:rFonts w:ascii="Times New Roman" w:hAnsi="Times New Roman" w:cs="Times New Roman"/>
          <w:sz w:val="24"/>
          <w:szCs w:val="24"/>
        </w:rPr>
      </w:pPr>
      <w:r>
        <w:rPr>
          <w:rFonts w:ascii="Times New Roman" w:hAnsi="Times New Roman" w:cs="Times New Roman"/>
          <w:sz w:val="24"/>
          <w:szCs w:val="24"/>
        </w:rPr>
        <w:t>I bear this in mind as I examine the three sections of material that the District claims to have inadvertently disclosed.</w:t>
      </w:r>
    </w:p>
    <w:p w14:paraId="624F6A6E" w14:textId="77777777" w:rsidR="00B94165" w:rsidRDefault="00B94165" w:rsidP="00B94165">
      <w:pPr>
        <w:pStyle w:val="ListParagraph"/>
        <w:ind w:left="2160"/>
        <w:rPr>
          <w:rFonts w:ascii="Times New Roman" w:hAnsi="Times New Roman" w:cs="Times New Roman"/>
          <w:i/>
          <w:iCs/>
        </w:rPr>
      </w:pPr>
    </w:p>
    <w:p w14:paraId="4A93F38B" w14:textId="7644DB35" w:rsidR="00B94165" w:rsidRPr="00AA7B38" w:rsidRDefault="00B94165" w:rsidP="00C45518">
      <w:pPr>
        <w:pStyle w:val="ListParagraph"/>
        <w:numPr>
          <w:ilvl w:val="2"/>
          <w:numId w:val="1"/>
        </w:numPr>
        <w:rPr>
          <w:rFonts w:ascii="Times New Roman" w:hAnsi="Times New Roman" w:cs="Times New Roman"/>
          <w:i/>
          <w:iCs/>
        </w:rPr>
      </w:pPr>
      <w:r>
        <w:rPr>
          <w:rFonts w:ascii="Times New Roman" w:hAnsi="Times New Roman" w:cs="Times New Roman"/>
          <w:i/>
          <w:iCs/>
        </w:rPr>
        <w:t>Application of Legal Standard</w:t>
      </w:r>
    </w:p>
    <w:p w14:paraId="1C56BA43" w14:textId="0F11C95F" w:rsidR="00B13B33" w:rsidRPr="00EC7BA6" w:rsidRDefault="00B13B33" w:rsidP="00B4014E"/>
    <w:p w14:paraId="76D1D144" w14:textId="77777777" w:rsidR="00B94165" w:rsidRPr="00EC7BA6" w:rsidRDefault="00B94165" w:rsidP="00B94165">
      <w:pPr>
        <w:pStyle w:val="NoSpacing"/>
        <w:ind w:firstLine="720"/>
        <w:rPr>
          <w:rFonts w:ascii="Times New Roman" w:hAnsi="Times New Roman" w:cs="Times New Roman"/>
          <w:sz w:val="24"/>
          <w:szCs w:val="24"/>
          <w:u w:val="single"/>
        </w:rPr>
      </w:pPr>
    </w:p>
    <w:p w14:paraId="27FEA965" w14:textId="30223630" w:rsidR="00C45518" w:rsidRPr="00EC7BA6" w:rsidRDefault="00B94165" w:rsidP="00B94165">
      <w:pPr>
        <w:pStyle w:val="NoSpacing"/>
        <w:numPr>
          <w:ilvl w:val="0"/>
          <w:numId w:val="8"/>
        </w:numPr>
        <w:rPr>
          <w:rFonts w:ascii="Times New Roman" w:hAnsi="Times New Roman" w:cs="Times New Roman"/>
          <w:sz w:val="24"/>
          <w:szCs w:val="24"/>
        </w:rPr>
      </w:pPr>
      <w:r w:rsidRPr="00EC7BA6">
        <w:rPr>
          <w:rFonts w:ascii="Times New Roman" w:hAnsi="Times New Roman" w:cs="Times New Roman"/>
          <w:sz w:val="24"/>
          <w:szCs w:val="24"/>
          <w:u w:val="single"/>
        </w:rPr>
        <w:t>B</w:t>
      </w:r>
      <w:r w:rsidR="001C0F8F" w:rsidRPr="00EC7BA6">
        <w:rPr>
          <w:rFonts w:ascii="Times New Roman" w:hAnsi="Times New Roman" w:cs="Times New Roman"/>
          <w:sz w:val="24"/>
          <w:szCs w:val="24"/>
          <w:u w:val="single"/>
        </w:rPr>
        <w:t>ates Stamped SPS 370</w:t>
      </w:r>
      <w:r w:rsidR="00E1180D" w:rsidRPr="00EC7BA6">
        <w:rPr>
          <w:rFonts w:ascii="Times New Roman" w:hAnsi="Times New Roman" w:cs="Times New Roman"/>
          <w:sz w:val="24"/>
          <w:szCs w:val="24"/>
          <w:u w:val="single"/>
        </w:rPr>
        <w:t xml:space="preserve"> – </w:t>
      </w:r>
      <w:r w:rsidR="001C0F8F" w:rsidRPr="00EC7BA6">
        <w:rPr>
          <w:rFonts w:ascii="Times New Roman" w:hAnsi="Times New Roman" w:cs="Times New Roman"/>
          <w:sz w:val="24"/>
          <w:szCs w:val="24"/>
          <w:u w:val="single"/>
        </w:rPr>
        <w:t>484</w:t>
      </w:r>
    </w:p>
    <w:p w14:paraId="2B8598A5" w14:textId="3F3DB72D" w:rsidR="00724397" w:rsidRPr="00EC7BA6" w:rsidRDefault="00724397" w:rsidP="00724397">
      <w:pPr>
        <w:pStyle w:val="NoSpacing"/>
        <w:ind w:left="2520"/>
        <w:rPr>
          <w:rFonts w:ascii="Times New Roman" w:hAnsi="Times New Roman" w:cs="Times New Roman"/>
          <w:sz w:val="24"/>
          <w:szCs w:val="24"/>
          <w:u w:val="single"/>
        </w:rPr>
      </w:pPr>
    </w:p>
    <w:p w14:paraId="196074FA" w14:textId="77777777" w:rsidR="00724397" w:rsidRPr="00EC7BA6" w:rsidRDefault="00724397" w:rsidP="00724397">
      <w:pPr>
        <w:ind w:firstLine="720"/>
      </w:pPr>
      <w:r w:rsidRPr="00EC7BA6">
        <w:t>The information in this section of materials consists of PRS forms for students other than Ollie. After some discussion, Parent agreed to destroy them, as they are not relevant to this matter and contain privileged information.</w:t>
      </w:r>
    </w:p>
    <w:p w14:paraId="3DA90CE5" w14:textId="77777777" w:rsidR="00724397" w:rsidRPr="00EC7BA6" w:rsidRDefault="00724397" w:rsidP="00724397">
      <w:pPr>
        <w:pStyle w:val="NoSpacing"/>
        <w:ind w:left="2520"/>
        <w:rPr>
          <w:rFonts w:ascii="Times New Roman" w:hAnsi="Times New Roman" w:cs="Times New Roman"/>
          <w:sz w:val="24"/>
          <w:szCs w:val="24"/>
        </w:rPr>
      </w:pPr>
    </w:p>
    <w:p w14:paraId="0F1E12A4" w14:textId="46C391CB" w:rsidR="00B94165" w:rsidRPr="00EC7BA6" w:rsidRDefault="00724397" w:rsidP="00B94165">
      <w:pPr>
        <w:pStyle w:val="NoSpacing"/>
        <w:numPr>
          <w:ilvl w:val="0"/>
          <w:numId w:val="8"/>
        </w:numPr>
        <w:rPr>
          <w:rFonts w:ascii="Times New Roman" w:hAnsi="Times New Roman" w:cs="Times New Roman"/>
          <w:sz w:val="24"/>
          <w:szCs w:val="24"/>
        </w:rPr>
      </w:pPr>
      <w:r w:rsidRPr="00EC7BA6">
        <w:rPr>
          <w:rFonts w:ascii="Times New Roman" w:hAnsi="Times New Roman" w:cs="Times New Roman"/>
          <w:sz w:val="24"/>
          <w:szCs w:val="24"/>
          <w:u w:val="single"/>
        </w:rPr>
        <w:t>Bates Stamped SPS 517 – 544</w:t>
      </w:r>
    </w:p>
    <w:p w14:paraId="773C221B" w14:textId="58F56470" w:rsidR="00724397" w:rsidRPr="00EC7BA6" w:rsidRDefault="00724397" w:rsidP="00724397">
      <w:pPr>
        <w:pStyle w:val="NoSpacing"/>
        <w:rPr>
          <w:rFonts w:ascii="Times New Roman" w:hAnsi="Times New Roman" w:cs="Times New Roman"/>
          <w:sz w:val="24"/>
          <w:szCs w:val="24"/>
          <w:u w:val="single"/>
        </w:rPr>
      </w:pPr>
    </w:p>
    <w:p w14:paraId="7A4DEC43" w14:textId="77777777" w:rsidR="00724397" w:rsidRPr="00EC7BA6" w:rsidRDefault="00724397" w:rsidP="00724397">
      <w:pPr>
        <w:ind w:left="720"/>
      </w:pPr>
      <w:r w:rsidRPr="00EC7BA6">
        <w:t>Although Parent was reluctant to destroy the information contained in this section, which</w:t>
      </w:r>
    </w:p>
    <w:p w14:paraId="1A6DD12F" w14:textId="6D457D12" w:rsidR="00724397" w:rsidRPr="00EC7BA6" w:rsidRDefault="00724397" w:rsidP="00724397">
      <w:r w:rsidRPr="00EC7BA6">
        <w:t>includes an IEP for another student and nothing regarding Ollie, the District acted properly upon discovering it had inadvertently disclosed to Parent information that is both irrelevant and privileged by notifying her and requesting that she return or destroy it.</w:t>
      </w:r>
    </w:p>
    <w:p w14:paraId="32D9650B" w14:textId="59062C43" w:rsidR="00724397" w:rsidRPr="00EC7BA6" w:rsidRDefault="00724397" w:rsidP="00724397">
      <w:pPr>
        <w:pStyle w:val="NoSpacing"/>
        <w:rPr>
          <w:rFonts w:ascii="Times New Roman" w:hAnsi="Times New Roman" w:cs="Times New Roman"/>
          <w:sz w:val="24"/>
          <w:szCs w:val="24"/>
          <w:u w:val="single"/>
        </w:rPr>
      </w:pPr>
    </w:p>
    <w:p w14:paraId="5CDCFB4D" w14:textId="77777777" w:rsidR="00724397" w:rsidRPr="00EC7BA6" w:rsidRDefault="00724397" w:rsidP="00724397">
      <w:pPr>
        <w:pStyle w:val="NoSpacing"/>
        <w:ind w:left="2520"/>
        <w:rPr>
          <w:rFonts w:ascii="Times New Roman" w:hAnsi="Times New Roman" w:cs="Times New Roman"/>
          <w:sz w:val="24"/>
          <w:szCs w:val="24"/>
        </w:rPr>
      </w:pPr>
    </w:p>
    <w:p w14:paraId="18DF7D2D" w14:textId="48FA71F0" w:rsidR="00724397" w:rsidRPr="00EC7BA6" w:rsidRDefault="00724397" w:rsidP="00B94165">
      <w:pPr>
        <w:pStyle w:val="NoSpacing"/>
        <w:numPr>
          <w:ilvl w:val="0"/>
          <w:numId w:val="8"/>
        </w:numPr>
        <w:rPr>
          <w:rFonts w:ascii="Times New Roman" w:hAnsi="Times New Roman" w:cs="Times New Roman"/>
          <w:sz w:val="24"/>
          <w:szCs w:val="24"/>
        </w:rPr>
      </w:pPr>
      <w:r w:rsidRPr="00EC7BA6">
        <w:rPr>
          <w:rFonts w:ascii="Times New Roman" w:hAnsi="Times New Roman" w:cs="Times New Roman"/>
          <w:sz w:val="24"/>
          <w:szCs w:val="24"/>
          <w:u w:val="single"/>
        </w:rPr>
        <w:t>100 Pages of a Springfield Employee’s Outlook Inbox</w:t>
      </w:r>
    </w:p>
    <w:p w14:paraId="4AF1E5AB" w14:textId="3D04B706" w:rsidR="004D5EAD" w:rsidRPr="00EC7BA6" w:rsidRDefault="004D5EAD" w:rsidP="004D5EAD">
      <w:pPr>
        <w:pStyle w:val="NoSpacing"/>
        <w:rPr>
          <w:rFonts w:ascii="Times New Roman" w:hAnsi="Times New Roman" w:cs="Times New Roman"/>
          <w:sz w:val="24"/>
          <w:szCs w:val="24"/>
          <w:u w:val="single"/>
        </w:rPr>
      </w:pPr>
    </w:p>
    <w:p w14:paraId="6688FE6B" w14:textId="77777777" w:rsidR="004D5EAD" w:rsidRDefault="004D5EAD" w:rsidP="004D5EAD">
      <w:pPr>
        <w:ind w:firstLine="720"/>
      </w:pPr>
      <w:r w:rsidRPr="00EC7BA6">
        <w:t>These documents contain students’ first and last names and their</w:t>
      </w:r>
      <w:r>
        <w:t xml:space="preserve"> student identification (ID) numbers. Parent asserts that she has the right to retain the documents in this section since Ollie’s name and ID number appear in these documents along with those of other students. The District acted appropriately upon discovering that it had inadvertently disclosed this information by notifying Parent and requesting its return.</w:t>
      </w:r>
    </w:p>
    <w:p w14:paraId="78EE3C37" w14:textId="77777777" w:rsidR="004D5EAD" w:rsidRPr="004D5EAD" w:rsidRDefault="004D5EAD" w:rsidP="004D5EAD">
      <w:pPr>
        <w:pStyle w:val="NoSpacing"/>
        <w:rPr>
          <w:rFonts w:ascii="Times New Roman" w:hAnsi="Times New Roman" w:cs="Times New Roman"/>
          <w:sz w:val="24"/>
          <w:szCs w:val="24"/>
        </w:rPr>
      </w:pPr>
    </w:p>
    <w:p w14:paraId="149214F7" w14:textId="67859B55" w:rsidR="004D5EAD" w:rsidRPr="00B94165" w:rsidRDefault="004D5EAD" w:rsidP="00B94165">
      <w:pPr>
        <w:pStyle w:val="NoSpacing"/>
        <w:numPr>
          <w:ilvl w:val="0"/>
          <w:numId w:val="8"/>
        </w:numPr>
        <w:rPr>
          <w:rFonts w:ascii="Times New Roman" w:hAnsi="Times New Roman" w:cs="Times New Roman"/>
          <w:sz w:val="24"/>
          <w:szCs w:val="24"/>
        </w:rPr>
      </w:pPr>
      <w:r>
        <w:rPr>
          <w:rFonts w:ascii="Times New Roman" w:hAnsi="Times New Roman" w:cs="Times New Roman"/>
          <w:u w:val="single"/>
        </w:rPr>
        <w:t>Next Steps</w:t>
      </w:r>
    </w:p>
    <w:p w14:paraId="20CFE9F2" w14:textId="634EAAC6" w:rsidR="004D5EAD" w:rsidRDefault="004D5EAD" w:rsidP="0066317C">
      <w:pPr>
        <w:ind w:firstLine="720"/>
      </w:pPr>
    </w:p>
    <w:p w14:paraId="2239D8EF" w14:textId="4968B22E" w:rsidR="004D5EAD" w:rsidRDefault="004D5EAD" w:rsidP="004D5EAD">
      <w:pPr>
        <w:ind w:firstLine="720"/>
      </w:pPr>
      <w:r>
        <w:t xml:space="preserve">As I have determined that all of this privileged information was disclosed inadvertently, and that Springfield took the appropriate steps, the District is entitled to its requested Order. The District’s </w:t>
      </w:r>
      <w:r>
        <w:rPr>
          <w:i/>
          <w:iCs/>
        </w:rPr>
        <w:t xml:space="preserve">Request for </w:t>
      </w:r>
      <w:r w:rsidRPr="00DA3E95">
        <w:rPr>
          <w:i/>
          <w:iCs/>
        </w:rPr>
        <w:t>Order Compelling Complainant to Destroy Inadvertent</w:t>
      </w:r>
      <w:r>
        <w:rPr>
          <w:i/>
          <w:iCs/>
        </w:rPr>
        <w:t xml:space="preserve"> (sic)</w:t>
      </w:r>
      <w:r w:rsidRPr="00DA3E95">
        <w:rPr>
          <w:i/>
          <w:iCs/>
        </w:rPr>
        <w:t xml:space="preserve"> Disclosed Documents</w:t>
      </w:r>
      <w:r>
        <w:t xml:space="preserve"> is hereby ALLOWED. </w:t>
      </w:r>
      <w:r w:rsidRPr="00DA3E95">
        <w:t xml:space="preserve">Parent </w:t>
      </w:r>
      <w:r>
        <w:t>must either return all of these documents to the District or destroy them</w:t>
      </w:r>
      <w:r w:rsidR="009D1E39">
        <w:t>. She must also</w:t>
      </w:r>
      <w:r>
        <w:t xml:space="preserve"> send a letter to the District and the BSEA affirming that she has done so, and that she has not shared any of the information with anyone.</w:t>
      </w:r>
    </w:p>
    <w:p w14:paraId="3A270B0F" w14:textId="06E01FEF" w:rsidR="0066317C" w:rsidRDefault="0066317C" w:rsidP="0066317C">
      <w:pPr>
        <w:ind w:firstLine="720"/>
      </w:pPr>
    </w:p>
    <w:p w14:paraId="5F35D35D" w14:textId="77777777" w:rsidR="0066317C" w:rsidRPr="004D5EAD" w:rsidRDefault="0066317C" w:rsidP="0066317C">
      <w:pPr>
        <w:ind w:firstLine="720"/>
      </w:pPr>
    </w:p>
    <w:p w14:paraId="706AF9FF" w14:textId="05729105" w:rsidR="00CB0B2A" w:rsidRPr="004D5EAD" w:rsidRDefault="00AC542B" w:rsidP="00CB0B2A">
      <w:r w:rsidRPr="004D5EAD">
        <w:t>CONCLUSION</w:t>
      </w:r>
    </w:p>
    <w:p w14:paraId="17321668" w14:textId="77777777" w:rsidR="00757B35" w:rsidRPr="004D5EAD" w:rsidRDefault="00757B35" w:rsidP="00CB0B2A"/>
    <w:p w14:paraId="1E05B6EC" w14:textId="307F902D" w:rsidR="004D5EAD" w:rsidRPr="004D5EAD" w:rsidRDefault="00CB0B2A" w:rsidP="00CB0B2A">
      <w:pPr>
        <w:pStyle w:val="NoSpacing"/>
        <w:ind w:firstLine="360"/>
        <w:rPr>
          <w:rFonts w:ascii="Times New Roman" w:hAnsi="Times New Roman" w:cs="Times New Roman"/>
          <w:sz w:val="24"/>
          <w:szCs w:val="24"/>
        </w:rPr>
      </w:pPr>
      <w:r w:rsidRPr="004D5EAD">
        <w:rPr>
          <w:rFonts w:ascii="Times New Roman" w:hAnsi="Times New Roman" w:cs="Times New Roman"/>
          <w:sz w:val="24"/>
          <w:szCs w:val="24"/>
        </w:rPr>
        <w:t xml:space="preserve">Upon consideration of </w:t>
      </w:r>
      <w:r w:rsidR="004D5EAD" w:rsidRPr="004D5EAD">
        <w:rPr>
          <w:rFonts w:ascii="Times New Roman" w:hAnsi="Times New Roman" w:cs="Times New Roman"/>
          <w:sz w:val="24"/>
          <w:szCs w:val="24"/>
        </w:rPr>
        <w:t xml:space="preserve">the </w:t>
      </w:r>
      <w:r w:rsidR="009D1E39">
        <w:rPr>
          <w:rFonts w:ascii="Times New Roman" w:hAnsi="Times New Roman" w:cs="Times New Roman"/>
          <w:sz w:val="24"/>
          <w:szCs w:val="24"/>
        </w:rPr>
        <w:t>multiple</w:t>
      </w:r>
      <w:r w:rsidR="004D5EAD" w:rsidRPr="004D5EAD">
        <w:rPr>
          <w:rFonts w:ascii="Times New Roman" w:hAnsi="Times New Roman" w:cs="Times New Roman"/>
          <w:sz w:val="24"/>
          <w:szCs w:val="24"/>
        </w:rPr>
        <w:t xml:space="preserve"> motions before me, and the arguments of the parties, I conclude the following:</w:t>
      </w:r>
    </w:p>
    <w:p w14:paraId="3274F615" w14:textId="77777777" w:rsidR="004D5EAD" w:rsidRPr="004D5EAD" w:rsidRDefault="004D5EAD" w:rsidP="00CB0B2A">
      <w:pPr>
        <w:pStyle w:val="NoSpacing"/>
        <w:ind w:firstLine="360"/>
        <w:rPr>
          <w:rFonts w:ascii="Times New Roman" w:hAnsi="Times New Roman" w:cs="Times New Roman"/>
          <w:sz w:val="24"/>
          <w:szCs w:val="24"/>
        </w:rPr>
      </w:pPr>
    </w:p>
    <w:p w14:paraId="662B9A31" w14:textId="172E293E" w:rsidR="00CB0B2A" w:rsidRPr="004D5EAD" w:rsidRDefault="00CB0B2A" w:rsidP="00CB0B2A">
      <w:pPr>
        <w:pStyle w:val="NoSpacing"/>
        <w:ind w:firstLine="360"/>
        <w:rPr>
          <w:rFonts w:ascii="Times New Roman" w:hAnsi="Times New Roman" w:cs="Times New Roman"/>
          <w:sz w:val="24"/>
          <w:szCs w:val="24"/>
        </w:rPr>
      </w:pPr>
      <w:r w:rsidRPr="004D5EAD">
        <w:rPr>
          <w:rFonts w:ascii="Times New Roman" w:hAnsi="Times New Roman" w:cs="Times New Roman"/>
          <w:sz w:val="24"/>
          <w:szCs w:val="24"/>
        </w:rPr>
        <w:t xml:space="preserve">Parent’s </w:t>
      </w:r>
      <w:r w:rsidR="00757B35" w:rsidRPr="004D5EAD">
        <w:rPr>
          <w:rFonts w:ascii="Times New Roman" w:hAnsi="Times New Roman" w:cs="Times New Roman"/>
          <w:i/>
          <w:iCs/>
          <w:sz w:val="24"/>
          <w:szCs w:val="24"/>
        </w:rPr>
        <w:t>Motion</w:t>
      </w:r>
      <w:r w:rsidRPr="004D5EAD">
        <w:rPr>
          <w:rFonts w:ascii="Times New Roman" w:hAnsi="Times New Roman" w:cs="Times New Roman"/>
          <w:i/>
          <w:iCs/>
          <w:sz w:val="24"/>
          <w:szCs w:val="24"/>
        </w:rPr>
        <w:t xml:space="preserve"> for an Independent and Impartial Law Firm to </w:t>
      </w:r>
      <w:proofErr w:type="gramStart"/>
      <w:r w:rsidRPr="004D5EAD">
        <w:rPr>
          <w:rFonts w:ascii="Times New Roman" w:hAnsi="Times New Roman" w:cs="Times New Roman"/>
          <w:i/>
          <w:iCs/>
          <w:sz w:val="24"/>
          <w:szCs w:val="24"/>
        </w:rPr>
        <w:t>Collect</w:t>
      </w:r>
      <w:proofErr w:type="gramEnd"/>
      <w:r w:rsidRPr="004D5EAD">
        <w:rPr>
          <w:rFonts w:ascii="Times New Roman" w:hAnsi="Times New Roman" w:cs="Times New Roman"/>
          <w:i/>
          <w:iCs/>
          <w:sz w:val="24"/>
          <w:szCs w:val="24"/>
        </w:rPr>
        <w:t xml:space="preserve"> and Produce Discovery Student File Documents</w:t>
      </w:r>
      <w:r w:rsidR="004D5EAD" w:rsidRPr="004D5EAD">
        <w:rPr>
          <w:rFonts w:ascii="Times New Roman" w:hAnsi="Times New Roman" w:cs="Times New Roman"/>
          <w:i/>
          <w:iCs/>
          <w:sz w:val="24"/>
          <w:szCs w:val="24"/>
        </w:rPr>
        <w:t xml:space="preserve"> </w:t>
      </w:r>
      <w:r w:rsidR="004D5EAD" w:rsidRPr="004D5EAD">
        <w:rPr>
          <w:rFonts w:ascii="Times New Roman" w:hAnsi="Times New Roman" w:cs="Times New Roman"/>
          <w:sz w:val="24"/>
          <w:szCs w:val="24"/>
        </w:rPr>
        <w:t>is DENIED.</w:t>
      </w:r>
      <w:r w:rsidR="000A0169" w:rsidRPr="004D5EAD">
        <w:rPr>
          <w:rFonts w:ascii="Times New Roman" w:hAnsi="Times New Roman" w:cs="Times New Roman"/>
          <w:sz w:val="24"/>
          <w:szCs w:val="24"/>
        </w:rPr>
        <w:t xml:space="preserve"> </w:t>
      </w:r>
    </w:p>
    <w:p w14:paraId="60F0DD01" w14:textId="135B5305" w:rsidR="004D5EAD" w:rsidRPr="004D5EAD" w:rsidRDefault="004D5EAD" w:rsidP="00CB0B2A">
      <w:pPr>
        <w:pStyle w:val="NoSpacing"/>
        <w:ind w:firstLine="360"/>
        <w:rPr>
          <w:rFonts w:ascii="Times New Roman" w:hAnsi="Times New Roman" w:cs="Times New Roman"/>
          <w:sz w:val="24"/>
          <w:szCs w:val="24"/>
        </w:rPr>
      </w:pPr>
    </w:p>
    <w:p w14:paraId="318CB09F" w14:textId="21EA05B9" w:rsidR="004D5EAD" w:rsidRPr="004D5EAD" w:rsidRDefault="004D5EAD" w:rsidP="00CB0B2A">
      <w:pPr>
        <w:pStyle w:val="NoSpacing"/>
        <w:ind w:firstLine="360"/>
        <w:rPr>
          <w:rFonts w:ascii="Times New Roman" w:hAnsi="Times New Roman" w:cs="Times New Roman"/>
          <w:sz w:val="24"/>
          <w:szCs w:val="24"/>
        </w:rPr>
      </w:pPr>
      <w:r w:rsidRPr="004D5EAD">
        <w:rPr>
          <w:rFonts w:ascii="Times New Roman" w:hAnsi="Times New Roman" w:cs="Times New Roman"/>
          <w:sz w:val="24"/>
          <w:szCs w:val="24"/>
        </w:rPr>
        <w:t xml:space="preserve">Springfield’s </w:t>
      </w:r>
      <w:r w:rsidRPr="004D5EAD">
        <w:rPr>
          <w:rFonts w:ascii="Times New Roman" w:hAnsi="Times New Roman" w:cs="Times New Roman"/>
          <w:i/>
          <w:iCs/>
          <w:sz w:val="24"/>
          <w:szCs w:val="24"/>
        </w:rPr>
        <w:t xml:space="preserve">Request for Directive to Parent Regarding Confidentiality </w:t>
      </w:r>
      <w:r w:rsidRPr="004D5EAD">
        <w:rPr>
          <w:rFonts w:ascii="Times New Roman" w:hAnsi="Times New Roman" w:cs="Times New Roman"/>
          <w:sz w:val="24"/>
          <w:szCs w:val="24"/>
        </w:rPr>
        <w:t>is DENIED.</w:t>
      </w:r>
    </w:p>
    <w:p w14:paraId="29EA5AC2" w14:textId="1EA88212" w:rsidR="004D5EAD" w:rsidRPr="004D5EAD" w:rsidRDefault="004D5EAD" w:rsidP="00CB0B2A">
      <w:pPr>
        <w:pStyle w:val="NoSpacing"/>
        <w:ind w:firstLine="360"/>
        <w:rPr>
          <w:rFonts w:ascii="Times New Roman" w:hAnsi="Times New Roman" w:cs="Times New Roman"/>
          <w:sz w:val="24"/>
          <w:szCs w:val="24"/>
        </w:rPr>
      </w:pPr>
    </w:p>
    <w:p w14:paraId="4192ABDB" w14:textId="4B9EC6BE" w:rsidR="004D5EAD" w:rsidRPr="00EC7BA6" w:rsidRDefault="004D5EAD" w:rsidP="00CB0B2A">
      <w:pPr>
        <w:pStyle w:val="NoSpacing"/>
        <w:ind w:firstLine="360"/>
        <w:rPr>
          <w:rFonts w:ascii="Times New Roman" w:hAnsi="Times New Roman" w:cs="Times New Roman"/>
          <w:sz w:val="24"/>
          <w:szCs w:val="24"/>
        </w:rPr>
      </w:pPr>
      <w:r w:rsidRPr="00EC7BA6">
        <w:rPr>
          <w:rFonts w:ascii="Times New Roman" w:hAnsi="Times New Roman" w:cs="Times New Roman"/>
          <w:sz w:val="24"/>
          <w:szCs w:val="24"/>
        </w:rPr>
        <w:t xml:space="preserve">Springfield’s </w:t>
      </w:r>
      <w:r w:rsidRPr="00EC7BA6">
        <w:rPr>
          <w:rFonts w:ascii="Times New Roman" w:hAnsi="Times New Roman" w:cs="Times New Roman"/>
          <w:i/>
          <w:iCs/>
          <w:sz w:val="24"/>
          <w:szCs w:val="24"/>
        </w:rPr>
        <w:t xml:space="preserve">Motion for Protective Order </w:t>
      </w:r>
      <w:r w:rsidRPr="00EC7BA6">
        <w:rPr>
          <w:rFonts w:ascii="Times New Roman" w:hAnsi="Times New Roman" w:cs="Times New Roman"/>
          <w:sz w:val="24"/>
          <w:szCs w:val="24"/>
        </w:rPr>
        <w:t>is ALLOWED.</w:t>
      </w:r>
    </w:p>
    <w:p w14:paraId="37417B7F" w14:textId="5AAA0ECB" w:rsidR="00CB0B2A" w:rsidRPr="00EC7BA6" w:rsidRDefault="00CB0B2A" w:rsidP="00CB0B2A"/>
    <w:p w14:paraId="1F29FA6C" w14:textId="7EEAA766" w:rsidR="00EC7BA6" w:rsidRPr="00EC7BA6" w:rsidRDefault="00EC7BA6" w:rsidP="00EC7BA6">
      <w:pPr>
        <w:pStyle w:val="NoSpacing"/>
        <w:ind w:firstLine="360"/>
        <w:rPr>
          <w:rFonts w:ascii="Times New Roman" w:hAnsi="Times New Roman" w:cs="Times New Roman"/>
          <w:sz w:val="24"/>
          <w:szCs w:val="24"/>
        </w:rPr>
      </w:pPr>
      <w:r w:rsidRPr="00EC7BA6">
        <w:rPr>
          <w:rFonts w:ascii="Times New Roman" w:hAnsi="Times New Roman" w:cs="Times New Roman"/>
          <w:sz w:val="24"/>
          <w:szCs w:val="24"/>
        </w:rPr>
        <w:lastRenderedPageBreak/>
        <w:t>Springfield’s</w:t>
      </w:r>
      <w:r w:rsidR="00362C47" w:rsidRPr="00EC7BA6">
        <w:rPr>
          <w:rFonts w:ascii="Times New Roman" w:hAnsi="Times New Roman" w:cs="Times New Roman"/>
          <w:sz w:val="24"/>
          <w:szCs w:val="24"/>
        </w:rPr>
        <w:t xml:space="preserve"> </w:t>
      </w:r>
      <w:r w:rsidRPr="00EC7BA6">
        <w:rPr>
          <w:rFonts w:ascii="Times New Roman" w:hAnsi="Times New Roman" w:cs="Times New Roman"/>
          <w:i/>
          <w:iCs/>
          <w:sz w:val="24"/>
          <w:szCs w:val="24"/>
        </w:rPr>
        <w:t xml:space="preserve">Request for Order Compelling Complainant to Destroy Inadvertent </w:t>
      </w:r>
      <w:r w:rsidRPr="00EC7BA6">
        <w:rPr>
          <w:rFonts w:ascii="Times New Roman" w:hAnsi="Times New Roman" w:cs="Times New Roman"/>
          <w:sz w:val="24"/>
          <w:szCs w:val="24"/>
        </w:rPr>
        <w:t xml:space="preserve">(sic) </w:t>
      </w:r>
      <w:r w:rsidRPr="00EC7BA6">
        <w:rPr>
          <w:rFonts w:ascii="Times New Roman" w:hAnsi="Times New Roman" w:cs="Times New Roman"/>
          <w:i/>
          <w:iCs/>
          <w:sz w:val="24"/>
          <w:szCs w:val="24"/>
        </w:rPr>
        <w:t>Disclosed Documents</w:t>
      </w:r>
      <w:r>
        <w:rPr>
          <w:rFonts w:ascii="Times New Roman" w:hAnsi="Times New Roman" w:cs="Times New Roman"/>
          <w:sz w:val="24"/>
          <w:szCs w:val="24"/>
        </w:rPr>
        <w:t xml:space="preserve"> is ALLOWED.</w:t>
      </w:r>
    </w:p>
    <w:p w14:paraId="7B2C630B" w14:textId="77777777" w:rsidR="00EC7BA6" w:rsidRPr="00EC7BA6" w:rsidRDefault="00EC7BA6" w:rsidP="00EC7BA6">
      <w:pPr>
        <w:pStyle w:val="NoSpacing"/>
        <w:rPr>
          <w:rFonts w:ascii="Times New Roman" w:hAnsi="Times New Roman" w:cs="Times New Roman"/>
          <w:sz w:val="24"/>
          <w:szCs w:val="24"/>
        </w:rPr>
      </w:pPr>
    </w:p>
    <w:p w14:paraId="70E7E2B5" w14:textId="77777777" w:rsidR="00EC7BA6" w:rsidRPr="00EC7BA6" w:rsidRDefault="00EC7BA6" w:rsidP="00EC7BA6">
      <w:pPr>
        <w:pStyle w:val="NoSpacing"/>
        <w:rPr>
          <w:rFonts w:ascii="Times New Roman" w:hAnsi="Times New Roman" w:cs="Times New Roman"/>
          <w:sz w:val="24"/>
          <w:szCs w:val="24"/>
        </w:rPr>
      </w:pPr>
    </w:p>
    <w:p w14:paraId="598EF636" w14:textId="4DE08F28" w:rsidR="000A0169" w:rsidRPr="00EC7BA6" w:rsidRDefault="00362C47" w:rsidP="00EC7BA6">
      <w:pPr>
        <w:pStyle w:val="NoSpacing"/>
        <w:rPr>
          <w:rFonts w:ascii="Times New Roman" w:hAnsi="Times New Roman" w:cs="Times New Roman"/>
          <w:sz w:val="24"/>
          <w:szCs w:val="24"/>
        </w:rPr>
      </w:pPr>
      <w:r w:rsidRPr="00EC7BA6">
        <w:rPr>
          <w:rFonts w:ascii="Times New Roman" w:hAnsi="Times New Roman" w:cs="Times New Roman"/>
          <w:sz w:val="24"/>
          <w:szCs w:val="24"/>
        </w:rPr>
        <w:t>ORDER</w:t>
      </w:r>
      <w:r w:rsidR="000A0169" w:rsidRPr="00EC7BA6">
        <w:rPr>
          <w:rFonts w:ascii="Times New Roman" w:hAnsi="Times New Roman" w:cs="Times New Roman"/>
          <w:sz w:val="24"/>
          <w:szCs w:val="24"/>
        </w:rPr>
        <w:t xml:space="preserve"> </w:t>
      </w:r>
    </w:p>
    <w:p w14:paraId="3C0EFB4C" w14:textId="25CB6C00" w:rsidR="000A0169" w:rsidRPr="004D5EAD" w:rsidRDefault="000A0169" w:rsidP="00CB0B2A"/>
    <w:p w14:paraId="07FB0A3B" w14:textId="4AF1E97B" w:rsidR="000A0169" w:rsidRDefault="000A0169" w:rsidP="00CB0B2A">
      <w:r w:rsidRPr="004D5EAD">
        <w:tab/>
        <w:t xml:space="preserve">Parent is hereby directed to </w:t>
      </w:r>
      <w:r w:rsidR="00EC7BA6">
        <w:t xml:space="preserve">either return or </w:t>
      </w:r>
      <w:r w:rsidRPr="004D5EAD">
        <w:t>destroy all inadvertently disclosed documents in her possession and report their destruction to the District</w:t>
      </w:r>
      <w:r w:rsidR="00EC7BA6">
        <w:t>, affirming that they have not been shared with anyone, no later than close of business on May 29, 2020.</w:t>
      </w:r>
      <w:r w:rsidR="009D1E39">
        <w:t xml:space="preserve"> She is also directed to notify the BSEA on June 1, 2020 that this has occurred.</w:t>
      </w:r>
    </w:p>
    <w:p w14:paraId="5AA87379" w14:textId="0B62D23C" w:rsidR="00EC7BA6" w:rsidRDefault="00EC7BA6" w:rsidP="00CB0B2A"/>
    <w:p w14:paraId="03A5404C" w14:textId="411E75EB" w:rsidR="00EC7BA6" w:rsidRDefault="00EC7BA6" w:rsidP="00CB0B2A">
      <w:r>
        <w:tab/>
        <w:t>Given the sheer volume of filings in this matter,</w:t>
      </w:r>
      <w:r w:rsidR="00B4014E">
        <w:t xml:space="preserve"> unless it is an emergency regarding health and safety, all motions, requests, and letters in this matter shall only be filed on Mondays. </w:t>
      </w:r>
      <w:r>
        <w:t>No filings will be accepted on any other days, and anything that is sent outside of thes</w:t>
      </w:r>
      <w:r w:rsidR="00B13B33">
        <w:t>e parameters will</w:t>
      </w:r>
      <w:r w:rsidR="00B4014E">
        <w:t xml:space="preserve"> not be considered by the Hearing Officer.</w:t>
      </w:r>
    </w:p>
    <w:p w14:paraId="1BABD443" w14:textId="29FADE71" w:rsidR="00EC7BA6" w:rsidRDefault="00EC7BA6" w:rsidP="00CB0B2A"/>
    <w:p w14:paraId="18344F33" w14:textId="2EB66AF3" w:rsidR="00EC7BA6" w:rsidRPr="00EC7BA6" w:rsidRDefault="00EC7BA6" w:rsidP="00CB0B2A">
      <w:r w:rsidRPr="00EC7BA6">
        <w:tab/>
        <w:t>A further Virtual Pre-Hearing Conference will take place via Zoom at 11:00 AM on June 3, 2020.</w:t>
      </w:r>
    </w:p>
    <w:p w14:paraId="2731B39C" w14:textId="38C43E84" w:rsidR="00EC7BA6" w:rsidRPr="00EC7BA6" w:rsidRDefault="00EC7BA6" w:rsidP="00CB0B2A"/>
    <w:p w14:paraId="7F648319" w14:textId="59E5E144" w:rsidR="00EC7BA6" w:rsidRPr="00EC7BA6" w:rsidRDefault="00EC7BA6" w:rsidP="00EC7BA6">
      <w:pPr>
        <w:pStyle w:val="NoSpacing"/>
        <w:rPr>
          <w:rFonts w:ascii="Times New Roman" w:hAnsi="Times New Roman" w:cs="Times New Roman"/>
          <w:sz w:val="24"/>
          <w:szCs w:val="24"/>
        </w:rPr>
      </w:pPr>
      <w:r w:rsidRPr="00EC7BA6">
        <w:rPr>
          <w:rFonts w:ascii="Times New Roman" w:hAnsi="Times New Roman" w:cs="Times New Roman"/>
          <w:sz w:val="24"/>
          <w:szCs w:val="24"/>
        </w:rPr>
        <w:tab/>
        <w:t>The matter will proceed to Hearing on June 29 and 30 and July 13, 16, and 17, 2020.</w:t>
      </w:r>
    </w:p>
    <w:p w14:paraId="5B9F156F" w14:textId="4E065AB4" w:rsidR="00EC7BA6" w:rsidRPr="00EC7BA6" w:rsidRDefault="00EC7BA6" w:rsidP="00CB0B2A"/>
    <w:p w14:paraId="7D405F3C" w14:textId="29928918" w:rsidR="00757B35" w:rsidRPr="00EC7BA6" w:rsidRDefault="00757B35" w:rsidP="00CB0B2A"/>
    <w:p w14:paraId="75A220C7" w14:textId="2B34CC2C" w:rsidR="00757B35" w:rsidRPr="004D5EAD" w:rsidRDefault="00757B35" w:rsidP="00CB0B2A"/>
    <w:p w14:paraId="15CE3577" w14:textId="77777777" w:rsidR="00B03E60" w:rsidRPr="004D5EAD" w:rsidRDefault="00B03E60" w:rsidP="00B03E60"/>
    <w:p w14:paraId="6A38E131" w14:textId="7B4095B7" w:rsidR="00B03E60" w:rsidRPr="004D5EAD" w:rsidRDefault="00B03E60" w:rsidP="00B03E60">
      <w:r w:rsidRPr="004D5EAD">
        <w:t>By the Hearing Officer,</w:t>
      </w:r>
      <w:r w:rsidR="001A50D8">
        <w:rPr>
          <w:rStyle w:val="FootnoteReference"/>
        </w:rPr>
        <w:footnoteReference w:id="26"/>
      </w:r>
    </w:p>
    <w:p w14:paraId="2323FDC7" w14:textId="77777777" w:rsidR="00B03E60" w:rsidRPr="004D5EAD" w:rsidRDefault="00B03E60" w:rsidP="00B03E60">
      <w:r w:rsidRPr="004D5EAD">
        <w:t xml:space="preserve">          /s/</w:t>
      </w:r>
    </w:p>
    <w:p w14:paraId="36CB8121" w14:textId="77777777" w:rsidR="00B03E60" w:rsidRPr="004D5EAD" w:rsidRDefault="00B03E60" w:rsidP="00B03E60">
      <w:r w:rsidRPr="004D5EAD">
        <w:t>Amy Reichbach</w:t>
      </w:r>
    </w:p>
    <w:p w14:paraId="38258D8E" w14:textId="0B827B0F" w:rsidR="00B03E60" w:rsidRPr="004D5EAD" w:rsidRDefault="00B03E60" w:rsidP="00B03E60">
      <w:r w:rsidRPr="004D5EAD">
        <w:t>Date:  May 2</w:t>
      </w:r>
      <w:r w:rsidR="00EC7BA6">
        <w:t>8</w:t>
      </w:r>
      <w:r w:rsidRPr="004D5EAD">
        <w:t>, 2020</w:t>
      </w:r>
    </w:p>
    <w:p w14:paraId="23896D75" w14:textId="77777777" w:rsidR="00B03E60" w:rsidRPr="004D5EAD" w:rsidRDefault="00B03E60" w:rsidP="00CB0B2A"/>
    <w:sectPr w:rsidR="00B03E60" w:rsidRPr="004D5EAD" w:rsidSect="00BF12D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89DD4C" w14:textId="77777777" w:rsidR="00623F44" w:rsidRDefault="00623F44" w:rsidP="00767D56">
      <w:r>
        <w:separator/>
      </w:r>
    </w:p>
  </w:endnote>
  <w:endnote w:type="continuationSeparator" w:id="0">
    <w:p w14:paraId="4D618FF0" w14:textId="77777777" w:rsidR="00623F44" w:rsidRDefault="00623F44" w:rsidP="00767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NewRomanPSMT">
    <w:altName w:val="Times New Roman"/>
    <w:panose1 w:val="00000000000000000000"/>
    <w:charset w:val="00"/>
    <w:family w:val="roman"/>
    <w:notTrueType/>
    <w:pitch w:val="default"/>
  </w:font>
  <w:font w:name="TimesNewRomanPS">
    <w:altName w:val="Times New Roman"/>
    <w:panose1 w:val="00000000000000000000"/>
    <w:charset w:val="00"/>
    <w:family w:val="roman"/>
    <w:notTrueType/>
    <w:pitch w:val="default"/>
  </w:font>
  <w:font w:name="Yu Gothic Light">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955627"/>
      <w:docPartObj>
        <w:docPartGallery w:val="Page Numbers (Bottom of Page)"/>
        <w:docPartUnique/>
      </w:docPartObj>
    </w:sdtPr>
    <w:sdtEndPr>
      <w:rPr>
        <w:noProof/>
      </w:rPr>
    </w:sdtEndPr>
    <w:sdtContent>
      <w:p w14:paraId="1BD708F8" w14:textId="7B68DA11" w:rsidR="00A11405" w:rsidRDefault="00A11405">
        <w:pPr>
          <w:pStyle w:val="Footer"/>
          <w:jc w:val="center"/>
        </w:pPr>
        <w:r>
          <w:fldChar w:fldCharType="begin"/>
        </w:r>
        <w:r>
          <w:instrText xml:space="preserve"> PAGE   \* MERGEFORMAT </w:instrText>
        </w:r>
        <w:r>
          <w:fldChar w:fldCharType="separate"/>
        </w:r>
        <w:r w:rsidR="001F0F77">
          <w:rPr>
            <w:noProof/>
          </w:rPr>
          <w:t>1</w:t>
        </w:r>
        <w:r>
          <w:rPr>
            <w:noProof/>
          </w:rPr>
          <w:fldChar w:fldCharType="end"/>
        </w:r>
      </w:p>
    </w:sdtContent>
  </w:sdt>
  <w:p w14:paraId="1BF873B0" w14:textId="77777777" w:rsidR="00A11405" w:rsidRDefault="00A1140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47ABC" w14:textId="77777777" w:rsidR="00623F44" w:rsidRDefault="00623F44" w:rsidP="00767D56">
      <w:r>
        <w:separator/>
      </w:r>
    </w:p>
  </w:footnote>
  <w:footnote w:type="continuationSeparator" w:id="0">
    <w:p w14:paraId="0CB167BE" w14:textId="77777777" w:rsidR="00623F44" w:rsidRDefault="00623F44" w:rsidP="00767D56">
      <w:r>
        <w:continuationSeparator/>
      </w:r>
    </w:p>
  </w:footnote>
  <w:footnote w:id="1">
    <w:p w14:paraId="1D10A4E9" w14:textId="77777777" w:rsidR="00D97080" w:rsidRPr="00A57253" w:rsidRDefault="00D97080" w:rsidP="00767D56">
      <w:pPr>
        <w:pStyle w:val="FootnoteText"/>
        <w:rPr>
          <w:rFonts w:ascii="Times New Roman" w:hAnsi="Times New Roman" w:cs="Times New Roman"/>
        </w:rPr>
      </w:pPr>
      <w:r w:rsidRPr="006F0B8C">
        <w:rPr>
          <w:rStyle w:val="FootnoteReference"/>
          <w:rFonts w:ascii="Times New Roman" w:hAnsi="Times New Roman" w:cs="Times New Roman"/>
        </w:rPr>
        <w:footnoteRef/>
      </w:r>
      <w:r>
        <w:rPr>
          <w:rFonts w:ascii="Times New Roman" w:hAnsi="Times New Roman" w:cs="Times New Roman"/>
        </w:rPr>
        <w:t xml:space="preserve"> “Ollie</w:t>
      </w:r>
      <w:r w:rsidRPr="006F0B8C">
        <w:rPr>
          <w:rFonts w:ascii="Times New Roman" w:hAnsi="Times New Roman" w:cs="Times New Roman"/>
        </w:rPr>
        <w:t xml:space="preserve">” is a pseudonym chosen by the Hearing Officer to protect the privacy of the Student in documents available </w:t>
      </w:r>
      <w:r w:rsidRPr="00A57253">
        <w:rPr>
          <w:rFonts w:ascii="Times New Roman" w:hAnsi="Times New Roman" w:cs="Times New Roman"/>
        </w:rPr>
        <w:t>to the public.</w:t>
      </w:r>
    </w:p>
  </w:footnote>
  <w:footnote w:id="2">
    <w:p w14:paraId="19ACDF6C" w14:textId="22A53709" w:rsidR="00D97080" w:rsidRPr="00A57253" w:rsidRDefault="00D97080">
      <w:pPr>
        <w:pStyle w:val="FootnoteText"/>
        <w:rPr>
          <w:rFonts w:ascii="Times New Roman" w:hAnsi="Times New Roman" w:cs="Times New Roman"/>
        </w:rPr>
      </w:pPr>
      <w:r w:rsidRPr="00A57253">
        <w:rPr>
          <w:rStyle w:val="FootnoteReference"/>
          <w:rFonts w:ascii="Times New Roman" w:hAnsi="Times New Roman" w:cs="Times New Roman"/>
        </w:rPr>
        <w:footnoteRef/>
      </w:r>
      <w:r w:rsidRPr="00A57253">
        <w:rPr>
          <w:rFonts w:ascii="Times New Roman" w:hAnsi="Times New Roman" w:cs="Times New Roman"/>
        </w:rPr>
        <w:t xml:space="preserve"> </w:t>
      </w:r>
      <w:r>
        <w:rPr>
          <w:rFonts w:ascii="Times New Roman" w:hAnsi="Times New Roman" w:cs="Times New Roman"/>
        </w:rPr>
        <w:t xml:space="preserve">Since the filing of the motions and requests addressed in this </w:t>
      </w:r>
      <w:r>
        <w:rPr>
          <w:rFonts w:ascii="Times New Roman" w:hAnsi="Times New Roman" w:cs="Times New Roman"/>
          <w:i/>
          <w:iCs/>
        </w:rPr>
        <w:t>Ruling</w:t>
      </w:r>
      <w:r>
        <w:rPr>
          <w:rFonts w:ascii="Times New Roman" w:hAnsi="Times New Roman" w:cs="Times New Roman"/>
        </w:rPr>
        <w:t>, the</w:t>
      </w:r>
      <w:r w:rsidRPr="00A57253">
        <w:rPr>
          <w:rFonts w:ascii="Times New Roman" w:hAnsi="Times New Roman" w:cs="Times New Roman"/>
        </w:rPr>
        <w:t xml:space="preserve"> following </w:t>
      </w:r>
      <w:r>
        <w:rPr>
          <w:rFonts w:ascii="Times New Roman" w:hAnsi="Times New Roman" w:cs="Times New Roman"/>
        </w:rPr>
        <w:t>additional motions and requests have been file</w:t>
      </w:r>
      <w:r w:rsidR="004F6D14">
        <w:rPr>
          <w:rFonts w:ascii="Times New Roman" w:hAnsi="Times New Roman" w:cs="Times New Roman"/>
        </w:rPr>
        <w:t>d, s</w:t>
      </w:r>
      <w:r>
        <w:rPr>
          <w:rFonts w:ascii="Times New Roman" w:hAnsi="Times New Roman" w:cs="Times New Roman"/>
        </w:rPr>
        <w:t>ome of which will be addressed during the next Virtual</w:t>
      </w:r>
      <w:r w:rsidRPr="00A57253">
        <w:rPr>
          <w:rFonts w:ascii="Times New Roman" w:hAnsi="Times New Roman" w:cs="Times New Roman"/>
        </w:rPr>
        <w:t xml:space="preserve"> Pre-Hearing Conference on June 3, 2020:</w:t>
      </w:r>
    </w:p>
    <w:p w14:paraId="404BB4FB" w14:textId="4B8B9012" w:rsidR="00D97080" w:rsidRPr="003035D9" w:rsidRDefault="00D97080" w:rsidP="00B81596">
      <w:pPr>
        <w:pStyle w:val="FootnoteText"/>
        <w:numPr>
          <w:ilvl w:val="0"/>
          <w:numId w:val="2"/>
        </w:numPr>
        <w:rPr>
          <w:rFonts w:ascii="Times New Roman" w:hAnsi="Times New Roman" w:cs="Times New Roman"/>
          <w:i/>
          <w:iCs/>
        </w:rPr>
      </w:pPr>
      <w:r w:rsidRPr="00A57253">
        <w:rPr>
          <w:rFonts w:ascii="Times New Roman" w:hAnsi="Times New Roman" w:cs="Times New Roman"/>
        </w:rPr>
        <w:t xml:space="preserve">On April 24, 2020, Parent filed a </w:t>
      </w:r>
      <w:r w:rsidRPr="00A57253">
        <w:rPr>
          <w:rFonts w:ascii="Times New Roman" w:hAnsi="Times New Roman" w:cs="Times New Roman"/>
          <w:i/>
          <w:iCs/>
        </w:rPr>
        <w:t>List of Witnesses</w:t>
      </w:r>
      <w:r w:rsidRPr="00A57253">
        <w:rPr>
          <w:rFonts w:ascii="Times New Roman" w:hAnsi="Times New Roman" w:cs="Times New Roman"/>
        </w:rPr>
        <w:t xml:space="preserve"> and wrote the word “subpoena” next to the names of witnesses she wished to have come before the Hearing Officer. On</w:t>
      </w:r>
      <w:r>
        <w:rPr>
          <w:rFonts w:ascii="Times New Roman" w:hAnsi="Times New Roman" w:cs="Times New Roman"/>
        </w:rPr>
        <w:t xml:space="preserve"> April</w:t>
      </w:r>
      <w:r w:rsidRPr="00A57253">
        <w:rPr>
          <w:rFonts w:ascii="Times New Roman" w:hAnsi="Times New Roman" w:cs="Times New Roman"/>
        </w:rPr>
        <w:t xml:space="preserve"> 27, 2020 the District filed a </w:t>
      </w:r>
      <w:r w:rsidRPr="00A57253">
        <w:rPr>
          <w:rFonts w:ascii="Times New Roman" w:hAnsi="Times New Roman" w:cs="Times New Roman"/>
          <w:i/>
          <w:iCs/>
        </w:rPr>
        <w:t>Motion to Exclude Parent Witnesses on the Basis of Relevancy</w:t>
      </w:r>
      <w:r w:rsidRPr="00A57253">
        <w:rPr>
          <w:rFonts w:ascii="Times New Roman" w:hAnsi="Times New Roman" w:cs="Times New Roman"/>
        </w:rPr>
        <w:t xml:space="preserve">, </w:t>
      </w:r>
      <w:r>
        <w:rPr>
          <w:rFonts w:ascii="Times New Roman" w:hAnsi="Times New Roman" w:cs="Times New Roman"/>
        </w:rPr>
        <w:t xml:space="preserve">which it revised and resubmitted </w:t>
      </w:r>
      <w:r w:rsidRPr="00A57253">
        <w:rPr>
          <w:rFonts w:ascii="Times New Roman" w:hAnsi="Times New Roman" w:cs="Times New Roman"/>
        </w:rPr>
        <w:t xml:space="preserve">April 28, 2020. </w:t>
      </w:r>
      <w:r>
        <w:rPr>
          <w:rFonts w:ascii="Times New Roman" w:hAnsi="Times New Roman" w:cs="Times New Roman"/>
        </w:rPr>
        <w:t xml:space="preserve">I deferred consideration of Springfield’s </w:t>
      </w:r>
      <w:r w:rsidRPr="003035D9">
        <w:rPr>
          <w:rFonts w:ascii="Times New Roman" w:hAnsi="Times New Roman" w:cs="Times New Roman"/>
          <w:i/>
          <w:iCs/>
        </w:rPr>
        <w:t>Motion</w:t>
      </w:r>
      <w:r>
        <w:rPr>
          <w:rFonts w:ascii="Times New Roman" w:hAnsi="Times New Roman" w:cs="Times New Roman"/>
        </w:rPr>
        <w:t>, as</w:t>
      </w:r>
      <w:r w:rsidR="00E51A57">
        <w:rPr>
          <w:rFonts w:ascii="Times New Roman" w:hAnsi="Times New Roman" w:cs="Times New Roman"/>
        </w:rPr>
        <w:t xml:space="preserve"> Parent’s</w:t>
      </w:r>
      <w:r>
        <w:rPr>
          <w:rFonts w:ascii="Times New Roman" w:hAnsi="Times New Roman" w:cs="Times New Roman"/>
        </w:rPr>
        <w:t xml:space="preserve"> </w:t>
      </w:r>
      <w:r>
        <w:rPr>
          <w:rFonts w:ascii="Times New Roman" w:hAnsi="Times New Roman" w:cs="Times New Roman"/>
          <w:i/>
          <w:iCs/>
        </w:rPr>
        <w:t xml:space="preserve">List of Witnesses </w:t>
      </w:r>
      <w:r>
        <w:rPr>
          <w:rFonts w:ascii="Times New Roman" w:hAnsi="Times New Roman" w:cs="Times New Roman"/>
        </w:rPr>
        <w:t>was not in accordance with the procedure for requesting</w:t>
      </w:r>
      <w:r w:rsidR="004F6D14">
        <w:rPr>
          <w:rFonts w:ascii="Times New Roman" w:hAnsi="Times New Roman" w:cs="Times New Roman"/>
        </w:rPr>
        <w:t xml:space="preserve"> subpoenas</w:t>
      </w:r>
      <w:r>
        <w:rPr>
          <w:rFonts w:ascii="Times New Roman" w:hAnsi="Times New Roman" w:cs="Times New Roman"/>
        </w:rPr>
        <w:t xml:space="preserve"> outlined in </w:t>
      </w:r>
      <w:r w:rsidRPr="00B81596">
        <w:rPr>
          <w:rFonts w:ascii="Times New Roman" w:hAnsi="Times New Roman" w:cs="Times New Roman"/>
        </w:rPr>
        <w:t xml:space="preserve">BSEA </w:t>
      </w:r>
      <w:r w:rsidRPr="00B81596">
        <w:rPr>
          <w:rFonts w:ascii="Times New Roman" w:hAnsi="Times New Roman" w:cs="Times New Roman"/>
          <w:i/>
          <w:iCs/>
        </w:rPr>
        <w:t>Hearing Rule VII</w:t>
      </w:r>
      <w:r>
        <w:rPr>
          <w:rFonts w:ascii="Times New Roman" w:hAnsi="Times New Roman" w:cs="Times New Roman"/>
          <w:i/>
          <w:iCs/>
        </w:rPr>
        <w:t xml:space="preserve">. </w:t>
      </w:r>
      <w:r>
        <w:rPr>
          <w:rFonts w:ascii="Times New Roman" w:hAnsi="Times New Roman" w:cs="Times New Roman"/>
        </w:rPr>
        <w:t xml:space="preserve">On May 25, Parent updated her </w:t>
      </w:r>
      <w:r>
        <w:rPr>
          <w:rFonts w:ascii="Times New Roman" w:hAnsi="Times New Roman" w:cs="Times New Roman"/>
          <w:i/>
          <w:iCs/>
        </w:rPr>
        <w:t xml:space="preserve">List of Witnesses to be </w:t>
      </w:r>
      <w:proofErr w:type="gramStart"/>
      <w:r>
        <w:rPr>
          <w:rFonts w:ascii="Times New Roman" w:hAnsi="Times New Roman" w:cs="Times New Roman"/>
          <w:i/>
          <w:iCs/>
        </w:rPr>
        <w:t>Subpoenaed</w:t>
      </w:r>
      <w:proofErr w:type="gramEnd"/>
      <w:r>
        <w:rPr>
          <w:rFonts w:ascii="Times New Roman" w:hAnsi="Times New Roman" w:cs="Times New Roman"/>
          <w:i/>
          <w:iCs/>
        </w:rPr>
        <w:t xml:space="preserve">. </w:t>
      </w:r>
      <w:r>
        <w:rPr>
          <w:rFonts w:ascii="Times New Roman" w:hAnsi="Times New Roman" w:cs="Times New Roman"/>
        </w:rPr>
        <w:t>She also requested that subpoenas be issued for three other individuals, but again did not specify th</w:t>
      </w:r>
      <w:r w:rsidR="00E51A57">
        <w:rPr>
          <w:rFonts w:ascii="Times New Roman" w:hAnsi="Times New Roman" w:cs="Times New Roman"/>
        </w:rPr>
        <w:t>e</w:t>
      </w:r>
      <w:r>
        <w:rPr>
          <w:rFonts w:ascii="Times New Roman" w:hAnsi="Times New Roman" w:cs="Times New Roman"/>
        </w:rPr>
        <w:t xml:space="preserve"> date or location for the witness to appear.</w:t>
      </w:r>
    </w:p>
    <w:p w14:paraId="1682EC46" w14:textId="0D3E0B80" w:rsidR="00D97080" w:rsidRPr="005146A0" w:rsidRDefault="00D97080" w:rsidP="00A57253">
      <w:pPr>
        <w:pStyle w:val="FootnoteText"/>
        <w:numPr>
          <w:ilvl w:val="0"/>
          <w:numId w:val="2"/>
        </w:numPr>
      </w:pPr>
      <w:r>
        <w:rPr>
          <w:rFonts w:ascii="Times New Roman" w:hAnsi="Times New Roman" w:cs="Times New Roman"/>
        </w:rPr>
        <w:t xml:space="preserve">On May 14, 2020, less than one week before the </w:t>
      </w:r>
      <w:r>
        <w:rPr>
          <w:rFonts w:ascii="Times New Roman" w:hAnsi="Times New Roman" w:cs="Times New Roman"/>
          <w:i/>
          <w:iCs/>
        </w:rPr>
        <w:t xml:space="preserve">Motion </w:t>
      </w:r>
      <w:r w:rsidRPr="005146A0">
        <w:rPr>
          <w:rFonts w:ascii="Times New Roman" w:hAnsi="Times New Roman" w:cs="Times New Roman"/>
          <w:i/>
          <w:iCs/>
        </w:rPr>
        <w:t>Session</w:t>
      </w:r>
      <w:r>
        <w:rPr>
          <w:rFonts w:ascii="Times New Roman" w:hAnsi="Times New Roman" w:cs="Times New Roman"/>
        </w:rPr>
        <w:t xml:space="preserve">, </w:t>
      </w:r>
      <w:r w:rsidRPr="005146A0">
        <w:rPr>
          <w:rFonts w:ascii="Times New Roman" w:hAnsi="Times New Roman" w:cs="Times New Roman"/>
        </w:rPr>
        <w:t>Parent</w:t>
      </w:r>
      <w:r>
        <w:rPr>
          <w:rFonts w:ascii="Times New Roman" w:hAnsi="Times New Roman" w:cs="Times New Roman"/>
        </w:rPr>
        <w:t xml:space="preserve"> filed a letter entitled </w:t>
      </w:r>
      <w:r>
        <w:rPr>
          <w:rFonts w:ascii="Times New Roman" w:hAnsi="Times New Roman" w:cs="Times New Roman"/>
          <w:i/>
          <w:iCs/>
        </w:rPr>
        <w:t>District Continued Purposeful Denial of Comprehensive Student File.</w:t>
      </w:r>
    </w:p>
    <w:p w14:paraId="3B4288E8" w14:textId="7BFC3B7C" w:rsidR="00D97080" w:rsidRPr="00235615" w:rsidRDefault="00D97080" w:rsidP="00A57253">
      <w:pPr>
        <w:pStyle w:val="FootnoteText"/>
        <w:numPr>
          <w:ilvl w:val="0"/>
          <w:numId w:val="2"/>
        </w:numPr>
      </w:pPr>
      <w:r w:rsidRPr="00A57253">
        <w:rPr>
          <w:rFonts w:ascii="Times New Roman" w:hAnsi="Times New Roman" w:cs="Times New Roman"/>
        </w:rPr>
        <w:t>On May 20, 2020</w:t>
      </w:r>
      <w:r>
        <w:rPr>
          <w:rFonts w:ascii="Times New Roman" w:hAnsi="Times New Roman" w:cs="Times New Roman"/>
        </w:rPr>
        <w:t xml:space="preserve"> and May 26, 2020</w:t>
      </w:r>
      <w:r w:rsidRPr="00A57253">
        <w:rPr>
          <w:rFonts w:ascii="Times New Roman" w:hAnsi="Times New Roman" w:cs="Times New Roman"/>
        </w:rPr>
        <w:t xml:space="preserve"> Parent filed a </w:t>
      </w:r>
      <w:r w:rsidRPr="00A57253">
        <w:rPr>
          <w:rFonts w:ascii="Times New Roman" w:hAnsi="Times New Roman" w:cs="Times New Roman"/>
          <w:i/>
          <w:iCs/>
        </w:rPr>
        <w:t>Motion to Compe</w:t>
      </w:r>
      <w:r>
        <w:rPr>
          <w:rFonts w:ascii="Times New Roman" w:hAnsi="Times New Roman" w:cs="Times New Roman"/>
          <w:i/>
          <w:iCs/>
        </w:rPr>
        <w:t>l</w:t>
      </w:r>
      <w:r>
        <w:rPr>
          <w:rFonts w:ascii="Times New Roman" w:hAnsi="Times New Roman" w:cs="Times New Roman"/>
        </w:rPr>
        <w:t xml:space="preserve"> requesting sanctions for the District’s failure to provide all inter office emails between staff in a timely manner</w:t>
      </w:r>
    </w:p>
    <w:p w14:paraId="4ECD85C7" w14:textId="34E6C376" w:rsidR="00D97080" w:rsidRPr="00410D83" w:rsidRDefault="00D97080" w:rsidP="00A57253">
      <w:pPr>
        <w:pStyle w:val="FootnoteText"/>
        <w:numPr>
          <w:ilvl w:val="0"/>
          <w:numId w:val="2"/>
        </w:numPr>
      </w:pPr>
      <w:r>
        <w:rPr>
          <w:rFonts w:ascii="Times New Roman" w:hAnsi="Times New Roman" w:cs="Times New Roman"/>
        </w:rPr>
        <w:t>On May 21, 2020, the District requested a</w:t>
      </w:r>
      <w:r>
        <w:rPr>
          <w:rFonts w:ascii="Times New Roman" w:hAnsi="Times New Roman" w:cs="Times New Roman"/>
          <w:i/>
          <w:iCs/>
        </w:rPr>
        <w:t xml:space="preserve"> Subpoena </w:t>
      </w:r>
      <w:proofErr w:type="spellStart"/>
      <w:r>
        <w:rPr>
          <w:rFonts w:ascii="Times New Roman" w:hAnsi="Times New Roman" w:cs="Times New Roman"/>
          <w:i/>
          <w:iCs/>
        </w:rPr>
        <w:t>Duces</w:t>
      </w:r>
      <w:proofErr w:type="spellEnd"/>
      <w:r>
        <w:rPr>
          <w:rFonts w:ascii="Times New Roman" w:hAnsi="Times New Roman" w:cs="Times New Roman"/>
          <w:i/>
          <w:iCs/>
        </w:rPr>
        <w:t xml:space="preserve"> </w:t>
      </w:r>
      <w:proofErr w:type="spellStart"/>
      <w:r>
        <w:rPr>
          <w:rFonts w:ascii="Times New Roman" w:hAnsi="Times New Roman" w:cs="Times New Roman"/>
          <w:i/>
          <w:iCs/>
        </w:rPr>
        <w:t>Tecum</w:t>
      </w:r>
      <w:proofErr w:type="spellEnd"/>
      <w:r>
        <w:rPr>
          <w:rFonts w:ascii="Times New Roman" w:hAnsi="Times New Roman" w:cs="Times New Roman"/>
        </w:rPr>
        <w:t xml:space="preserve"> for Ollie’s employment records. Ms. McGovern, an advocate who is “standing in” for Ollie, requested that she be permitted to obtain these records instead. </w:t>
      </w:r>
    </w:p>
    <w:p w14:paraId="421C27CE" w14:textId="77777777" w:rsidR="00D97080" w:rsidRPr="009B3674" w:rsidRDefault="00D97080" w:rsidP="00A57253">
      <w:pPr>
        <w:pStyle w:val="FootnoteText"/>
        <w:numPr>
          <w:ilvl w:val="0"/>
          <w:numId w:val="2"/>
        </w:numPr>
      </w:pPr>
      <w:r>
        <w:rPr>
          <w:rFonts w:ascii="Times New Roman" w:hAnsi="Times New Roman" w:cs="Times New Roman"/>
        </w:rPr>
        <w:t xml:space="preserve">On May 25, 2020, Parent filed a </w:t>
      </w:r>
      <w:r>
        <w:rPr>
          <w:rFonts w:ascii="Times New Roman" w:hAnsi="Times New Roman" w:cs="Times New Roman"/>
          <w:i/>
          <w:iCs/>
        </w:rPr>
        <w:t>Motion to Change Venue</w:t>
      </w:r>
      <w:r>
        <w:rPr>
          <w:rFonts w:ascii="Times New Roman" w:hAnsi="Times New Roman" w:cs="Times New Roman"/>
        </w:rPr>
        <w:t>.</w:t>
      </w:r>
    </w:p>
    <w:p w14:paraId="7B83DFBD" w14:textId="4DBCC494" w:rsidR="00D97080" w:rsidRPr="00EF51FC" w:rsidRDefault="00D97080" w:rsidP="00A57253">
      <w:pPr>
        <w:pStyle w:val="FootnoteText"/>
        <w:numPr>
          <w:ilvl w:val="0"/>
          <w:numId w:val="2"/>
        </w:numPr>
      </w:pPr>
      <w:r>
        <w:rPr>
          <w:rFonts w:ascii="Times New Roman" w:hAnsi="Times New Roman" w:cs="Times New Roman"/>
        </w:rPr>
        <w:t xml:space="preserve">On May 25, Parent filed two </w:t>
      </w:r>
      <w:proofErr w:type="gramStart"/>
      <w:r>
        <w:rPr>
          <w:rFonts w:ascii="Times New Roman" w:hAnsi="Times New Roman" w:cs="Times New Roman"/>
          <w:i/>
          <w:iCs/>
        </w:rPr>
        <w:t>Subpoena</w:t>
      </w:r>
      <w:proofErr w:type="gramEnd"/>
      <w:r>
        <w:rPr>
          <w:rFonts w:ascii="Times New Roman" w:hAnsi="Times New Roman" w:cs="Times New Roman"/>
          <w:i/>
          <w:iCs/>
        </w:rPr>
        <w:t xml:space="preserve"> for Personnel Records</w:t>
      </w:r>
      <w:r>
        <w:rPr>
          <w:rFonts w:ascii="Times New Roman" w:hAnsi="Times New Roman" w:cs="Times New Roman"/>
        </w:rPr>
        <w:t xml:space="preserve">, once again failing to comply with BSEA </w:t>
      </w:r>
      <w:r>
        <w:rPr>
          <w:rFonts w:ascii="Times New Roman" w:hAnsi="Times New Roman" w:cs="Times New Roman"/>
          <w:i/>
          <w:iCs/>
        </w:rPr>
        <w:t xml:space="preserve">Hearing Rules </w:t>
      </w:r>
      <w:r>
        <w:rPr>
          <w:rFonts w:ascii="Times New Roman" w:hAnsi="Times New Roman" w:cs="Times New Roman"/>
        </w:rPr>
        <w:t>for subpoena requests.</w:t>
      </w:r>
    </w:p>
    <w:p w14:paraId="4DDAD661" w14:textId="4FDBA897" w:rsidR="00D97080" w:rsidRPr="009B3674" w:rsidRDefault="00D97080" w:rsidP="00A57253">
      <w:pPr>
        <w:pStyle w:val="FootnoteText"/>
        <w:numPr>
          <w:ilvl w:val="0"/>
          <w:numId w:val="2"/>
        </w:numPr>
      </w:pPr>
      <w:r>
        <w:rPr>
          <w:rFonts w:ascii="Times New Roman" w:hAnsi="Times New Roman" w:cs="Times New Roman"/>
        </w:rPr>
        <w:t xml:space="preserve">On May 26, 2020, Parent filed a </w:t>
      </w:r>
      <w:r>
        <w:rPr>
          <w:rFonts w:ascii="Times New Roman" w:hAnsi="Times New Roman" w:cs="Times New Roman"/>
          <w:i/>
          <w:iCs/>
        </w:rPr>
        <w:t xml:space="preserve">Motion for Reconsideration IEP Audio </w:t>
      </w:r>
      <w:r w:rsidRPr="009B3674">
        <w:rPr>
          <w:rFonts w:ascii="Times New Roman" w:hAnsi="Times New Roman" w:cs="Times New Roman"/>
          <w:i/>
          <w:iCs/>
        </w:rPr>
        <w:t>Tapes</w:t>
      </w:r>
      <w:r>
        <w:rPr>
          <w:rFonts w:ascii="Times New Roman" w:hAnsi="Times New Roman" w:cs="Times New Roman"/>
        </w:rPr>
        <w:t xml:space="preserve">; a </w:t>
      </w:r>
      <w:r>
        <w:rPr>
          <w:rFonts w:ascii="Times New Roman" w:hAnsi="Times New Roman" w:cs="Times New Roman"/>
          <w:i/>
          <w:iCs/>
        </w:rPr>
        <w:t>Request for Protective Order</w:t>
      </w:r>
      <w:r>
        <w:rPr>
          <w:rFonts w:ascii="Times New Roman" w:hAnsi="Times New Roman" w:cs="Times New Roman"/>
        </w:rPr>
        <w:t xml:space="preserve">; and </w:t>
      </w:r>
      <w:r>
        <w:rPr>
          <w:rFonts w:ascii="Times New Roman" w:hAnsi="Times New Roman" w:cs="Times New Roman"/>
          <w:i/>
          <w:iCs/>
        </w:rPr>
        <w:t>Parent’s First Request for Expedited Discovery Production of Documents and Interrogatories</w:t>
      </w:r>
      <w:r>
        <w:rPr>
          <w:rFonts w:ascii="Times New Roman" w:hAnsi="Times New Roman" w:cs="Times New Roman"/>
        </w:rPr>
        <w:t>.</w:t>
      </w:r>
    </w:p>
    <w:p w14:paraId="38DF89E3" w14:textId="48C987F9" w:rsidR="00D97080" w:rsidRPr="00EC7BA6" w:rsidRDefault="00D97080" w:rsidP="00A57253">
      <w:pPr>
        <w:pStyle w:val="FootnoteText"/>
        <w:numPr>
          <w:ilvl w:val="0"/>
          <w:numId w:val="2"/>
        </w:numPr>
      </w:pPr>
      <w:r>
        <w:rPr>
          <w:rFonts w:ascii="Times New Roman" w:hAnsi="Times New Roman" w:cs="Times New Roman"/>
        </w:rPr>
        <w:t xml:space="preserve">On May 26, 2020, Springfield filed a </w:t>
      </w:r>
      <w:r>
        <w:rPr>
          <w:rFonts w:ascii="Times New Roman" w:hAnsi="Times New Roman" w:cs="Times New Roman"/>
          <w:i/>
          <w:iCs/>
        </w:rPr>
        <w:t>Response</w:t>
      </w:r>
      <w:r>
        <w:rPr>
          <w:rFonts w:ascii="Times New Roman" w:hAnsi="Times New Roman" w:cs="Times New Roman"/>
        </w:rPr>
        <w:t xml:space="preserve"> to Parent’s requests for documents and interrogatories and her request for a protective order, seeking a protective order of its own and denial of Parent’s request for one.</w:t>
      </w:r>
    </w:p>
    <w:p w14:paraId="76723C90" w14:textId="15D2B880" w:rsidR="00D97080" w:rsidRDefault="00D97080" w:rsidP="00A57253">
      <w:pPr>
        <w:pStyle w:val="FootnoteText"/>
        <w:numPr>
          <w:ilvl w:val="0"/>
          <w:numId w:val="2"/>
        </w:numPr>
      </w:pPr>
      <w:r>
        <w:rPr>
          <w:rFonts w:ascii="Times New Roman" w:hAnsi="Times New Roman" w:cs="Times New Roman"/>
        </w:rPr>
        <w:t xml:space="preserve">On May 27, 2020, Parent filed a </w:t>
      </w:r>
      <w:r>
        <w:rPr>
          <w:rFonts w:ascii="Times New Roman" w:hAnsi="Times New Roman" w:cs="Times New Roman"/>
          <w:i/>
          <w:iCs/>
        </w:rPr>
        <w:t xml:space="preserve">Response to District’s Protective Order Request/Concern for Personal Safety from District </w:t>
      </w:r>
      <w:r>
        <w:rPr>
          <w:rFonts w:ascii="Times New Roman" w:hAnsi="Times New Roman" w:cs="Times New Roman"/>
        </w:rPr>
        <w:t xml:space="preserve">and a Corrected version of the same </w:t>
      </w:r>
      <w:r>
        <w:rPr>
          <w:rFonts w:ascii="Times New Roman" w:hAnsi="Times New Roman" w:cs="Times New Roman"/>
          <w:i/>
          <w:iCs/>
        </w:rPr>
        <w:t>Response</w:t>
      </w:r>
      <w:r>
        <w:rPr>
          <w:rFonts w:ascii="Times New Roman" w:hAnsi="Times New Roman" w:cs="Times New Roman"/>
        </w:rPr>
        <w:t>. She also sent an email to Springfield’s Attorney regarding her accommodations, copied to the Hearing Officer in disregard of a prior Order that the Hearing Officer only be contacted with requests for BSEA action.</w:t>
      </w:r>
    </w:p>
  </w:footnote>
  <w:footnote w:id="3">
    <w:p w14:paraId="38C721BB" w14:textId="6AFFC23B" w:rsidR="00D97080" w:rsidRPr="00E96B6E" w:rsidRDefault="00D97080" w:rsidP="00E96B6E">
      <w:pPr>
        <w:pStyle w:val="NormalWeb"/>
      </w:pPr>
      <w:r w:rsidRPr="00E96B6E">
        <w:rPr>
          <w:rStyle w:val="FootnoteReference"/>
          <w:sz w:val="20"/>
          <w:szCs w:val="20"/>
        </w:rPr>
        <w:footnoteRef/>
      </w:r>
      <w:r w:rsidRPr="00E96B6E">
        <w:rPr>
          <w:sz w:val="20"/>
          <w:szCs w:val="20"/>
        </w:rPr>
        <w:t xml:space="preserve"> </w:t>
      </w:r>
      <w:proofErr w:type="gramStart"/>
      <w:r w:rsidRPr="00E96B6E">
        <w:rPr>
          <w:rFonts w:ascii="TimesNewRomanPS" w:hAnsi="TimesNewRomanPS"/>
          <w:i/>
          <w:iCs/>
          <w:sz w:val="20"/>
          <w:szCs w:val="20"/>
        </w:rPr>
        <w:t xml:space="preserve">Firestone Tire &amp; Rubber Co. v. </w:t>
      </w:r>
      <w:proofErr w:type="spellStart"/>
      <w:r w:rsidRPr="00E96B6E">
        <w:rPr>
          <w:rFonts w:ascii="TimesNewRomanPS" w:hAnsi="TimesNewRomanPS"/>
          <w:i/>
          <w:iCs/>
          <w:sz w:val="20"/>
          <w:szCs w:val="20"/>
        </w:rPr>
        <w:t>Risjord</w:t>
      </w:r>
      <w:proofErr w:type="spellEnd"/>
      <w:r w:rsidRPr="00E96B6E">
        <w:rPr>
          <w:rFonts w:ascii="TimesNewRomanPSMT" w:hAnsi="TimesNewRomanPSMT"/>
          <w:sz w:val="20"/>
          <w:szCs w:val="20"/>
        </w:rPr>
        <w:t>, 449 U.S. 368, 377 (1981).</w:t>
      </w:r>
      <w:proofErr w:type="gramEnd"/>
      <w:r w:rsidRPr="00E96B6E">
        <w:rPr>
          <w:rFonts w:ascii="TimesNewRomanPSMT" w:hAnsi="TimesNewRomanPSMT"/>
          <w:sz w:val="20"/>
          <w:szCs w:val="20"/>
        </w:rPr>
        <w:t xml:space="preserve"> </w:t>
      </w:r>
    </w:p>
  </w:footnote>
  <w:footnote w:id="4">
    <w:p w14:paraId="6909A350" w14:textId="05D0E395" w:rsidR="00D97080" w:rsidRPr="00E96B6E" w:rsidRDefault="00D97080" w:rsidP="00E96B6E">
      <w:pPr>
        <w:pStyle w:val="NormalWeb"/>
      </w:pPr>
      <w:r w:rsidRPr="00E96B6E">
        <w:rPr>
          <w:rStyle w:val="FootnoteReference"/>
          <w:sz w:val="20"/>
          <w:szCs w:val="20"/>
        </w:rPr>
        <w:footnoteRef/>
      </w:r>
      <w:r w:rsidRPr="00E96B6E">
        <w:t xml:space="preserve"> </w:t>
      </w:r>
      <w:proofErr w:type="spellStart"/>
      <w:proofErr w:type="gramStart"/>
      <w:r w:rsidRPr="00E96B6E">
        <w:rPr>
          <w:rFonts w:ascii="TimesNewRomanPS" w:hAnsi="TimesNewRomanPS"/>
          <w:i/>
          <w:iCs/>
          <w:sz w:val="20"/>
          <w:szCs w:val="20"/>
        </w:rPr>
        <w:t>Steinert</w:t>
      </w:r>
      <w:proofErr w:type="spellEnd"/>
      <w:r w:rsidRPr="00E96B6E">
        <w:rPr>
          <w:rFonts w:ascii="TimesNewRomanPS" w:hAnsi="TimesNewRomanPS"/>
          <w:i/>
          <w:iCs/>
          <w:sz w:val="20"/>
          <w:szCs w:val="20"/>
        </w:rPr>
        <w:t xml:space="preserve"> v. </w:t>
      </w:r>
      <w:proofErr w:type="spellStart"/>
      <w:r w:rsidRPr="00E96B6E">
        <w:rPr>
          <w:rFonts w:ascii="TimesNewRomanPS" w:hAnsi="TimesNewRomanPS"/>
          <w:i/>
          <w:iCs/>
          <w:sz w:val="20"/>
          <w:szCs w:val="20"/>
        </w:rPr>
        <w:t>Steinert</w:t>
      </w:r>
      <w:proofErr w:type="spellEnd"/>
      <w:r w:rsidRPr="00E96B6E">
        <w:rPr>
          <w:rFonts w:ascii="TimesNewRomanPSMT" w:hAnsi="TimesNewRomanPSMT"/>
          <w:sz w:val="20"/>
          <w:szCs w:val="20"/>
        </w:rPr>
        <w:t>, 73 Mass. App. Ct. 287, 288 (2008).</w:t>
      </w:r>
      <w:proofErr w:type="gramEnd"/>
    </w:p>
  </w:footnote>
  <w:footnote w:id="5">
    <w:p w14:paraId="68180466" w14:textId="42DBA1FB" w:rsidR="00D97080" w:rsidRPr="00E96B6E" w:rsidRDefault="00D97080">
      <w:pPr>
        <w:pStyle w:val="FootnoteText"/>
        <w:rPr>
          <w:rFonts w:ascii="Times New Roman" w:hAnsi="Times New Roman" w:cs="Times New Roman"/>
        </w:rPr>
      </w:pPr>
      <w:r w:rsidRPr="00E96B6E">
        <w:rPr>
          <w:rStyle w:val="FootnoteReference"/>
          <w:rFonts w:ascii="Times New Roman" w:hAnsi="Times New Roman" w:cs="Times New Roman"/>
        </w:rPr>
        <w:footnoteRef/>
      </w:r>
      <w:r w:rsidRPr="00E96B6E">
        <w:rPr>
          <w:rFonts w:ascii="Times New Roman" w:hAnsi="Times New Roman" w:cs="Times New Roman"/>
        </w:rPr>
        <w:t xml:space="preserve"> </w:t>
      </w:r>
      <w:r w:rsidRPr="0064182B">
        <w:rPr>
          <w:rFonts w:ascii="Times New Roman" w:hAnsi="Times New Roman" w:cs="Times New Roman"/>
          <w:i/>
          <w:iCs/>
        </w:rPr>
        <w:t>Adoption of Erica</w:t>
      </w:r>
      <w:r w:rsidRPr="0064182B">
        <w:rPr>
          <w:rFonts w:ascii="Times New Roman" w:hAnsi="Times New Roman" w:cs="Times New Roman"/>
        </w:rPr>
        <w:t xml:space="preserve">, 426 Mass. 55, 58 (1997); </w:t>
      </w:r>
      <w:r w:rsidRPr="0064182B">
        <w:rPr>
          <w:rFonts w:ascii="Times New Roman" w:hAnsi="Times New Roman" w:cs="Times New Roman"/>
          <w:color w:val="1E1E1E"/>
        </w:rPr>
        <w:t xml:space="preserve">see </w:t>
      </w:r>
      <w:r w:rsidRPr="0064182B">
        <w:rPr>
          <w:rFonts w:ascii="Times New Roman" w:hAnsi="Times New Roman" w:cs="Times New Roman"/>
          <w:i/>
          <w:iCs/>
          <w:color w:val="1E1E1E"/>
        </w:rPr>
        <w:t>Mailer v. Mailer</w:t>
      </w:r>
      <w:r w:rsidRPr="0064182B">
        <w:rPr>
          <w:rFonts w:ascii="Times New Roman" w:hAnsi="Times New Roman" w:cs="Times New Roman"/>
          <w:color w:val="1E1E1E"/>
        </w:rPr>
        <w:t>, 390 Mass. 371, 373 (1983).</w:t>
      </w:r>
    </w:p>
  </w:footnote>
  <w:footnote w:id="6">
    <w:p w14:paraId="76830D83" w14:textId="23371A18" w:rsidR="00D97080" w:rsidRDefault="00D97080">
      <w:pPr>
        <w:pStyle w:val="FootnoteText"/>
      </w:pPr>
      <w:r w:rsidRPr="00E96B6E">
        <w:rPr>
          <w:rStyle w:val="FootnoteReference"/>
          <w:rFonts w:ascii="Times New Roman" w:hAnsi="Times New Roman" w:cs="Times New Roman"/>
        </w:rPr>
        <w:footnoteRef/>
      </w:r>
      <w:r>
        <w:t xml:space="preserve"> </w:t>
      </w:r>
      <w:r w:rsidRPr="0064182B">
        <w:rPr>
          <w:rFonts w:ascii="TimesNewRomanPSMT" w:hAnsi="TimesNewRomanPSMT"/>
        </w:rPr>
        <w:t xml:space="preserve">See </w:t>
      </w:r>
      <w:proofErr w:type="spellStart"/>
      <w:r w:rsidRPr="0064182B">
        <w:rPr>
          <w:rFonts w:ascii="TimesNewRomanPS" w:hAnsi="TimesNewRomanPS"/>
          <w:i/>
          <w:iCs/>
        </w:rPr>
        <w:t>Steinert</w:t>
      </w:r>
      <w:proofErr w:type="spellEnd"/>
      <w:r w:rsidRPr="0064182B">
        <w:rPr>
          <w:rFonts w:ascii="TimesNewRomanPS" w:hAnsi="TimesNewRomanPS"/>
          <w:i/>
          <w:iCs/>
        </w:rPr>
        <w:t xml:space="preserve"> v. </w:t>
      </w:r>
      <w:proofErr w:type="spellStart"/>
      <w:r w:rsidRPr="0064182B">
        <w:rPr>
          <w:rFonts w:ascii="TimesNewRomanPS" w:hAnsi="TimesNewRomanPS"/>
          <w:i/>
          <w:iCs/>
        </w:rPr>
        <w:t>Steinert</w:t>
      </w:r>
      <w:proofErr w:type="spellEnd"/>
      <w:r w:rsidRPr="0064182B">
        <w:rPr>
          <w:rFonts w:ascii="TimesNewRomanPSMT" w:hAnsi="TimesNewRomanPSMT"/>
        </w:rPr>
        <w:t>, 73 Mass. App. Ct. 287, 288 (2008).</w:t>
      </w:r>
    </w:p>
  </w:footnote>
  <w:footnote w:id="7">
    <w:p w14:paraId="078A8E15" w14:textId="3DA90C6B" w:rsidR="00D97080" w:rsidRDefault="00D97080">
      <w:pPr>
        <w:pStyle w:val="FootnoteText"/>
      </w:pPr>
      <w:r w:rsidRPr="00BB065C">
        <w:rPr>
          <w:rStyle w:val="FootnoteReference"/>
          <w:rFonts w:ascii="Times New Roman" w:hAnsi="Times New Roman" w:cs="Times New Roman"/>
        </w:rPr>
        <w:footnoteRef/>
      </w:r>
      <w:r>
        <w:t xml:space="preserve"> </w:t>
      </w:r>
      <w:proofErr w:type="spellStart"/>
      <w:proofErr w:type="gramStart"/>
      <w:r w:rsidRPr="0064182B">
        <w:rPr>
          <w:rFonts w:ascii="TimesNewRomanPS" w:hAnsi="TimesNewRomanPS"/>
          <w:i/>
          <w:iCs/>
        </w:rPr>
        <w:t>Masiello</w:t>
      </w:r>
      <w:proofErr w:type="spellEnd"/>
      <w:r w:rsidRPr="0064182B">
        <w:rPr>
          <w:rFonts w:ascii="TimesNewRomanPS" w:hAnsi="TimesNewRomanPS"/>
          <w:i/>
          <w:iCs/>
        </w:rPr>
        <w:t xml:space="preserve"> v. Perini Corp.</w:t>
      </w:r>
      <w:r w:rsidRPr="0064182B">
        <w:rPr>
          <w:rFonts w:ascii="TimesNewRomanPSMT" w:hAnsi="TimesNewRomanPSMT"/>
        </w:rPr>
        <w:t>, 394 Mass. 842, 850 (1985).</w:t>
      </w:r>
      <w:proofErr w:type="gramEnd"/>
    </w:p>
  </w:footnote>
  <w:footnote w:id="8">
    <w:p w14:paraId="0DA346DF" w14:textId="13E55B70" w:rsidR="00D97080" w:rsidRPr="00BB065C" w:rsidRDefault="00D97080">
      <w:pPr>
        <w:pStyle w:val="FootnoteText"/>
        <w:rPr>
          <w:rFonts w:ascii="Times New Roman" w:hAnsi="Times New Roman" w:cs="Times New Roman"/>
        </w:rPr>
      </w:pPr>
      <w:r w:rsidRPr="00BB065C">
        <w:rPr>
          <w:rStyle w:val="FootnoteReference"/>
          <w:rFonts w:ascii="Times New Roman" w:hAnsi="Times New Roman" w:cs="Times New Roman"/>
        </w:rPr>
        <w:footnoteRef/>
      </w:r>
      <w:r w:rsidRPr="00BB065C">
        <w:rPr>
          <w:rFonts w:ascii="Times New Roman" w:hAnsi="Times New Roman" w:cs="Times New Roman"/>
        </w:rPr>
        <w:t xml:space="preserve"> </w:t>
      </w:r>
      <w:r w:rsidRPr="0064182B">
        <w:rPr>
          <w:rFonts w:ascii="Times New Roman" w:hAnsi="Times New Roman" w:cs="Times New Roman"/>
        </w:rPr>
        <w:t xml:space="preserve">See, e.g., </w:t>
      </w:r>
      <w:r w:rsidRPr="0064182B">
        <w:rPr>
          <w:rFonts w:ascii="Times New Roman" w:hAnsi="Times New Roman" w:cs="Times New Roman"/>
          <w:i/>
          <w:iCs/>
        </w:rPr>
        <w:t>Great Lakes Const., Inc. v. Burman</w:t>
      </w:r>
      <w:r w:rsidRPr="0064182B">
        <w:rPr>
          <w:rFonts w:ascii="Times New Roman" w:hAnsi="Times New Roman" w:cs="Times New Roman"/>
        </w:rPr>
        <w:t xml:space="preserve">, 114 Cal. </w:t>
      </w:r>
      <w:proofErr w:type="spellStart"/>
      <w:r w:rsidRPr="0064182B">
        <w:rPr>
          <w:rFonts w:ascii="Times New Roman" w:hAnsi="Times New Roman" w:cs="Times New Roman"/>
        </w:rPr>
        <w:t>Rptr</w:t>
      </w:r>
      <w:proofErr w:type="spellEnd"/>
      <w:r w:rsidRPr="0064182B">
        <w:rPr>
          <w:rFonts w:ascii="Times New Roman" w:hAnsi="Times New Roman" w:cs="Times New Roman"/>
        </w:rPr>
        <w:t xml:space="preserve">. 3d 301, 307-08 (2010) (“A ‘standing’ requirement is implicit in disqualification motions. </w:t>
      </w:r>
      <w:proofErr w:type="gramStart"/>
      <w:r w:rsidRPr="0064182B">
        <w:rPr>
          <w:rFonts w:ascii="Times New Roman" w:hAnsi="Times New Roman" w:cs="Times New Roman"/>
        </w:rPr>
        <w:t xml:space="preserve">Generally, before the disqualification of an attorney is proper, the complaining party must have or must have had an attorney-client relationship with that attorney”); </w:t>
      </w:r>
      <w:proofErr w:type="spellStart"/>
      <w:r w:rsidRPr="0064182B">
        <w:rPr>
          <w:rFonts w:ascii="Times New Roman" w:hAnsi="Times New Roman" w:cs="Times New Roman"/>
          <w:i/>
          <w:iCs/>
        </w:rPr>
        <w:t>Strasbourger</w:t>
      </w:r>
      <w:proofErr w:type="spellEnd"/>
      <w:r w:rsidRPr="0064182B">
        <w:rPr>
          <w:rFonts w:ascii="Times New Roman" w:hAnsi="Times New Roman" w:cs="Times New Roman"/>
          <w:i/>
          <w:iCs/>
        </w:rPr>
        <w:t xml:space="preserve"> Pearson </w:t>
      </w:r>
      <w:proofErr w:type="spellStart"/>
      <w:r w:rsidRPr="0064182B">
        <w:rPr>
          <w:rFonts w:ascii="Times New Roman" w:hAnsi="Times New Roman" w:cs="Times New Roman"/>
          <w:i/>
          <w:iCs/>
        </w:rPr>
        <w:t>Tulcin</w:t>
      </w:r>
      <w:proofErr w:type="spellEnd"/>
      <w:r w:rsidRPr="0064182B">
        <w:rPr>
          <w:rFonts w:ascii="Times New Roman" w:hAnsi="Times New Roman" w:cs="Times New Roman"/>
          <w:i/>
          <w:iCs/>
        </w:rPr>
        <w:t xml:space="preserve"> Wolff Inc. v. Wiz Tech., Inc.</w:t>
      </w:r>
      <w:r w:rsidRPr="0064182B">
        <w:rPr>
          <w:rFonts w:ascii="Times New Roman" w:hAnsi="Times New Roman" w:cs="Times New Roman"/>
        </w:rPr>
        <w:t xml:space="preserve">, 82 Ca. </w:t>
      </w:r>
      <w:proofErr w:type="spellStart"/>
      <w:r w:rsidRPr="0064182B">
        <w:rPr>
          <w:rFonts w:ascii="Times New Roman" w:hAnsi="Times New Roman" w:cs="Times New Roman"/>
        </w:rPr>
        <w:t>Rptr</w:t>
      </w:r>
      <w:proofErr w:type="spellEnd"/>
      <w:r w:rsidRPr="0064182B">
        <w:rPr>
          <w:rFonts w:ascii="Times New Roman" w:hAnsi="Times New Roman" w:cs="Times New Roman"/>
        </w:rPr>
        <w:t>. 2d 326, 329 (1999).</w:t>
      </w:r>
      <w:proofErr w:type="gramEnd"/>
      <w:r w:rsidRPr="0064182B">
        <w:rPr>
          <w:rFonts w:ascii="Times New Roman" w:hAnsi="Times New Roman" w:cs="Times New Roman"/>
        </w:rPr>
        <w:t xml:space="preserve"> </w:t>
      </w:r>
      <w:r w:rsidRPr="0064182B">
        <w:rPr>
          <w:rFonts w:ascii="Times New Roman" w:hAnsi="Times New Roman" w:cs="Times New Roman"/>
          <w:i/>
          <w:iCs/>
        </w:rPr>
        <w:t>Cf</w:t>
      </w:r>
      <w:r w:rsidRPr="0064182B">
        <w:rPr>
          <w:rFonts w:ascii="Times New Roman" w:hAnsi="Times New Roman" w:cs="Times New Roman"/>
        </w:rPr>
        <w:t>. Mass. R. Prof. C. 1.9(a) (“[a] lawyer who has formerly represented a client in a matter shall not thereafter represent another person in the same or a substantially related matter in which that</w:t>
      </w:r>
      <w:r w:rsidR="004F6D14">
        <w:rPr>
          <w:rFonts w:ascii="Times New Roman" w:hAnsi="Times New Roman" w:cs="Times New Roman"/>
        </w:rPr>
        <w:t xml:space="preserve"> person’s </w:t>
      </w:r>
      <w:r w:rsidRPr="0064182B">
        <w:rPr>
          <w:rFonts w:ascii="Times New Roman" w:hAnsi="Times New Roman" w:cs="Times New Roman"/>
        </w:rPr>
        <w:t>interests are materially adverse to the interests of the former client unless the former client consents after consultation”).</w:t>
      </w:r>
    </w:p>
  </w:footnote>
  <w:footnote w:id="9">
    <w:p w14:paraId="7F752D07" w14:textId="299E37E4" w:rsidR="00D97080" w:rsidRDefault="00D97080">
      <w:pPr>
        <w:pStyle w:val="FootnoteText"/>
      </w:pPr>
      <w:r w:rsidRPr="008E1660">
        <w:rPr>
          <w:rStyle w:val="FootnoteReference"/>
          <w:rFonts w:ascii="Times New Roman" w:hAnsi="Times New Roman" w:cs="Times New Roman"/>
        </w:rPr>
        <w:footnoteRef/>
      </w:r>
      <w:r w:rsidRPr="008E1660">
        <w:rPr>
          <w:rFonts w:ascii="Times New Roman" w:hAnsi="Times New Roman" w:cs="Times New Roman"/>
        </w:rPr>
        <w:t xml:space="preserve"> </w:t>
      </w:r>
      <w:proofErr w:type="gramStart"/>
      <w:r w:rsidRPr="0064182B">
        <w:rPr>
          <w:rFonts w:ascii="TimesNewRomanPS" w:hAnsi="TimesNewRomanPS"/>
          <w:i/>
          <w:iCs/>
        </w:rPr>
        <w:t xml:space="preserve">Freeman v. Chicago Musical Instrument Co., </w:t>
      </w:r>
      <w:r w:rsidRPr="0064182B">
        <w:rPr>
          <w:rFonts w:ascii="TimesNewRomanPSMT" w:hAnsi="TimesNewRomanPSMT"/>
        </w:rPr>
        <w:t>689 F.2d 715, 721 (7th Cir.1982).</w:t>
      </w:r>
      <w:proofErr w:type="gramEnd"/>
    </w:p>
  </w:footnote>
  <w:footnote w:id="10">
    <w:p w14:paraId="3D63E662" w14:textId="154F119A" w:rsidR="00D97080" w:rsidRDefault="00D97080">
      <w:pPr>
        <w:pStyle w:val="FootnoteText"/>
      </w:pPr>
      <w:r w:rsidRPr="008E1660">
        <w:rPr>
          <w:rStyle w:val="FootnoteReference"/>
          <w:rFonts w:ascii="Times New Roman" w:hAnsi="Times New Roman" w:cs="Times New Roman"/>
        </w:rPr>
        <w:footnoteRef/>
      </w:r>
      <w:r w:rsidRPr="008E1660">
        <w:rPr>
          <w:rFonts w:ascii="Times New Roman" w:hAnsi="Times New Roman" w:cs="Times New Roman"/>
        </w:rPr>
        <w:t xml:space="preserve"> </w:t>
      </w:r>
      <w:r w:rsidRPr="0064182B">
        <w:rPr>
          <w:rFonts w:ascii="TimesNewRomanPSMT" w:hAnsi="TimesNewRomanPSMT"/>
        </w:rPr>
        <w:t xml:space="preserve">See </w:t>
      </w:r>
      <w:proofErr w:type="spellStart"/>
      <w:r w:rsidRPr="0064182B">
        <w:rPr>
          <w:rFonts w:ascii="TimesNewRomanPS" w:hAnsi="TimesNewRomanPS"/>
          <w:i/>
          <w:iCs/>
        </w:rPr>
        <w:t>Serody</w:t>
      </w:r>
      <w:proofErr w:type="spellEnd"/>
      <w:r w:rsidRPr="0064182B">
        <w:rPr>
          <w:rFonts w:ascii="TimesNewRomanPS" w:hAnsi="TimesNewRomanPS"/>
          <w:i/>
          <w:iCs/>
        </w:rPr>
        <w:t xml:space="preserve"> v. </w:t>
      </w:r>
      <w:proofErr w:type="spellStart"/>
      <w:r w:rsidRPr="0064182B">
        <w:rPr>
          <w:rFonts w:ascii="TimesNewRomanPS" w:hAnsi="TimesNewRomanPS"/>
          <w:i/>
          <w:iCs/>
        </w:rPr>
        <w:t>Serody</w:t>
      </w:r>
      <w:proofErr w:type="spellEnd"/>
      <w:r w:rsidRPr="0064182B">
        <w:rPr>
          <w:rFonts w:ascii="TimesNewRomanPSMT" w:hAnsi="TimesNewRomanPSMT"/>
        </w:rPr>
        <w:t>, 19 Mass. App. Ct. 411, 414 (1985).</w:t>
      </w:r>
    </w:p>
  </w:footnote>
  <w:footnote w:id="11">
    <w:p w14:paraId="60CBE106" w14:textId="7CDB05BF" w:rsidR="00D97080" w:rsidRDefault="00D97080">
      <w:pPr>
        <w:pStyle w:val="FootnoteText"/>
      </w:pPr>
      <w:r w:rsidRPr="008E1660">
        <w:rPr>
          <w:rStyle w:val="FootnoteReference"/>
          <w:rFonts w:ascii="Times New Roman" w:hAnsi="Times New Roman" w:cs="Times New Roman"/>
        </w:rPr>
        <w:footnoteRef/>
      </w:r>
      <w:r w:rsidRPr="008E1660">
        <w:rPr>
          <w:rFonts w:ascii="Times New Roman" w:hAnsi="Times New Roman" w:cs="Times New Roman"/>
        </w:rPr>
        <w:t xml:space="preserve"> </w:t>
      </w:r>
      <w:proofErr w:type="spellStart"/>
      <w:proofErr w:type="gramStart"/>
      <w:r w:rsidRPr="0064182B">
        <w:rPr>
          <w:rFonts w:ascii="TimesNewRomanPS" w:hAnsi="TimesNewRomanPS"/>
          <w:i/>
          <w:iCs/>
        </w:rPr>
        <w:t>Brynes</w:t>
      </w:r>
      <w:proofErr w:type="spellEnd"/>
      <w:r w:rsidRPr="0064182B">
        <w:rPr>
          <w:rFonts w:ascii="TimesNewRomanPS" w:hAnsi="TimesNewRomanPS"/>
          <w:i/>
          <w:iCs/>
        </w:rPr>
        <w:t xml:space="preserve"> v. </w:t>
      </w:r>
      <w:proofErr w:type="spellStart"/>
      <w:r w:rsidRPr="0064182B">
        <w:rPr>
          <w:rFonts w:ascii="TimesNewRomanPS" w:hAnsi="TimesNewRomanPS"/>
          <w:i/>
          <w:iCs/>
        </w:rPr>
        <w:t>Jamitkowski</w:t>
      </w:r>
      <w:proofErr w:type="spellEnd"/>
      <w:r w:rsidRPr="0064182B">
        <w:rPr>
          <w:rFonts w:ascii="TimesNewRomanPSMT" w:hAnsi="TimesNewRomanPSMT"/>
        </w:rPr>
        <w:t>, 29 Mass. App. Ct. 107, 109 (1990).</w:t>
      </w:r>
      <w:proofErr w:type="gramEnd"/>
    </w:p>
  </w:footnote>
  <w:footnote w:id="12">
    <w:p w14:paraId="2DE7EEB4" w14:textId="69209350" w:rsidR="00D97080" w:rsidRPr="005146A0" w:rsidRDefault="00D97080">
      <w:pPr>
        <w:pStyle w:val="FootnoteText"/>
        <w:rPr>
          <w:rFonts w:ascii="Times New Roman" w:hAnsi="Times New Roman" w:cs="Times New Roman"/>
        </w:rPr>
      </w:pPr>
      <w:r w:rsidRPr="008E1660">
        <w:rPr>
          <w:rStyle w:val="FootnoteReference"/>
          <w:rFonts w:ascii="Times New Roman" w:hAnsi="Times New Roman" w:cs="Times New Roman"/>
        </w:rPr>
        <w:footnoteRef/>
      </w:r>
      <w:r w:rsidRPr="008E1660">
        <w:rPr>
          <w:rFonts w:ascii="Times New Roman" w:hAnsi="Times New Roman" w:cs="Times New Roman"/>
        </w:rPr>
        <w:t xml:space="preserve"> </w:t>
      </w:r>
      <w:proofErr w:type="spellStart"/>
      <w:r w:rsidRPr="0064182B">
        <w:rPr>
          <w:rFonts w:ascii="TimesNewRomanPS" w:hAnsi="TimesNewRomanPS"/>
          <w:i/>
          <w:iCs/>
        </w:rPr>
        <w:t>Borman</w:t>
      </w:r>
      <w:proofErr w:type="spellEnd"/>
      <w:r w:rsidRPr="0064182B">
        <w:rPr>
          <w:rFonts w:ascii="TimesNewRomanPS" w:hAnsi="TimesNewRomanPS"/>
          <w:i/>
          <w:iCs/>
        </w:rPr>
        <w:t xml:space="preserve"> v. </w:t>
      </w:r>
      <w:proofErr w:type="spellStart"/>
      <w:r w:rsidRPr="0064182B">
        <w:rPr>
          <w:rFonts w:ascii="TimesNewRomanPS" w:hAnsi="TimesNewRomanPS"/>
          <w:i/>
          <w:iCs/>
        </w:rPr>
        <w:t>Borman</w:t>
      </w:r>
      <w:proofErr w:type="spellEnd"/>
      <w:r w:rsidRPr="0064182B">
        <w:rPr>
          <w:rFonts w:ascii="TimesNewRomanPS" w:hAnsi="TimesNewRomanPS"/>
          <w:i/>
          <w:iCs/>
        </w:rPr>
        <w:t xml:space="preserve">, </w:t>
      </w:r>
      <w:r w:rsidRPr="0064182B">
        <w:rPr>
          <w:rFonts w:ascii="TimesNewRomanPSMT" w:hAnsi="TimesNewRomanPSMT"/>
        </w:rPr>
        <w:t xml:space="preserve">378 Mass. 775, 787 (1979); see </w:t>
      </w:r>
      <w:proofErr w:type="spellStart"/>
      <w:r w:rsidRPr="0064182B">
        <w:rPr>
          <w:rFonts w:ascii="TimesNewRomanPS" w:hAnsi="TimesNewRomanPS"/>
          <w:i/>
          <w:iCs/>
        </w:rPr>
        <w:t>Jamitkowski</w:t>
      </w:r>
      <w:proofErr w:type="spellEnd"/>
      <w:r w:rsidRPr="0064182B">
        <w:rPr>
          <w:rFonts w:ascii="TimesNewRomanPSMT" w:hAnsi="TimesNewRomanPSMT"/>
        </w:rPr>
        <w:t>, 29 Mass. App. Ct. at 110 (</w:t>
      </w:r>
      <w:proofErr w:type="spellStart"/>
      <w:r w:rsidRPr="0064182B">
        <w:rPr>
          <w:rFonts w:ascii="TimesNewRomanPS" w:hAnsi="TimesNewRomanPS"/>
          <w:i/>
          <w:iCs/>
        </w:rPr>
        <w:t>Borman</w:t>
      </w:r>
      <w:proofErr w:type="spellEnd"/>
      <w:r w:rsidRPr="0064182B">
        <w:rPr>
          <w:rFonts w:ascii="TimesNewRomanPS" w:hAnsi="TimesNewRomanPS"/>
          <w:i/>
          <w:iCs/>
        </w:rPr>
        <w:t xml:space="preserve"> </w:t>
      </w:r>
      <w:r w:rsidRPr="0064182B">
        <w:rPr>
          <w:rFonts w:ascii="TimesNewRomanPSMT" w:hAnsi="TimesNewRomanPSMT"/>
        </w:rPr>
        <w:t xml:space="preserve">“sounds a cautionary note </w:t>
      </w:r>
      <w:r w:rsidRPr="005146A0">
        <w:rPr>
          <w:rFonts w:ascii="Times New Roman" w:hAnsi="Times New Roman" w:cs="Times New Roman"/>
        </w:rPr>
        <w:t>about judicial disqualification of counsel”).</w:t>
      </w:r>
    </w:p>
  </w:footnote>
  <w:footnote w:id="13">
    <w:p w14:paraId="4DAE73EC" w14:textId="2A193080" w:rsidR="00D97080" w:rsidRPr="005146A0" w:rsidRDefault="00D97080">
      <w:pPr>
        <w:pStyle w:val="FootnoteText"/>
        <w:rPr>
          <w:rFonts w:ascii="Times New Roman" w:hAnsi="Times New Roman" w:cs="Times New Roman"/>
        </w:rPr>
      </w:pPr>
      <w:r w:rsidRPr="005146A0">
        <w:rPr>
          <w:rStyle w:val="FootnoteReference"/>
          <w:rFonts w:ascii="Times New Roman" w:hAnsi="Times New Roman" w:cs="Times New Roman"/>
        </w:rPr>
        <w:footnoteRef/>
      </w:r>
      <w:r w:rsidRPr="005146A0">
        <w:rPr>
          <w:rFonts w:ascii="Times New Roman" w:hAnsi="Times New Roman" w:cs="Times New Roman"/>
        </w:rPr>
        <w:t xml:space="preserve"> Moreover, as I explained to Parent during th</w:t>
      </w:r>
      <w:r w:rsidR="004F6D14">
        <w:rPr>
          <w:rFonts w:ascii="Times New Roman" w:hAnsi="Times New Roman" w:cs="Times New Roman"/>
        </w:rPr>
        <w:t>e Motion Session</w:t>
      </w:r>
      <w:r>
        <w:rPr>
          <w:rFonts w:ascii="Times New Roman" w:hAnsi="Times New Roman" w:cs="Times New Roman"/>
        </w:rPr>
        <w:t xml:space="preserve"> </w:t>
      </w:r>
      <w:r w:rsidRPr="005146A0">
        <w:rPr>
          <w:rFonts w:ascii="Times New Roman" w:hAnsi="Times New Roman" w:cs="Times New Roman"/>
        </w:rPr>
        <w:t>th</w:t>
      </w:r>
      <w:r>
        <w:rPr>
          <w:rFonts w:ascii="Times New Roman" w:hAnsi="Times New Roman" w:cs="Times New Roman"/>
        </w:rPr>
        <w:t>at took</w:t>
      </w:r>
      <w:r w:rsidRPr="005146A0">
        <w:rPr>
          <w:rFonts w:ascii="Times New Roman" w:hAnsi="Times New Roman" w:cs="Times New Roman"/>
        </w:rPr>
        <w:t xml:space="preserve"> place on May 19, 2020, the appropriate</w:t>
      </w:r>
      <w:r>
        <w:rPr>
          <w:rFonts w:ascii="Times New Roman" w:hAnsi="Times New Roman" w:cs="Times New Roman"/>
        </w:rPr>
        <w:t xml:space="preserve"> </w:t>
      </w:r>
      <w:r w:rsidRPr="005146A0">
        <w:rPr>
          <w:rFonts w:ascii="Times New Roman" w:hAnsi="Times New Roman" w:cs="Times New Roman"/>
        </w:rPr>
        <w:t xml:space="preserve">remedy for discovery violations is a </w:t>
      </w:r>
      <w:r>
        <w:rPr>
          <w:rFonts w:ascii="Times New Roman" w:hAnsi="Times New Roman" w:cs="Times New Roman"/>
        </w:rPr>
        <w:t>m</w:t>
      </w:r>
      <w:r w:rsidRPr="005146A0">
        <w:rPr>
          <w:rFonts w:ascii="Times New Roman" w:hAnsi="Times New Roman" w:cs="Times New Roman"/>
        </w:rPr>
        <w:t xml:space="preserve">otion to </w:t>
      </w:r>
      <w:r>
        <w:rPr>
          <w:rFonts w:ascii="Times New Roman" w:hAnsi="Times New Roman" w:cs="Times New Roman"/>
        </w:rPr>
        <w:t>c</w:t>
      </w:r>
      <w:r w:rsidRPr="005146A0">
        <w:rPr>
          <w:rFonts w:ascii="Times New Roman" w:hAnsi="Times New Roman" w:cs="Times New Roman"/>
        </w:rPr>
        <w:t xml:space="preserve">ompel and/or a </w:t>
      </w:r>
      <w:r>
        <w:rPr>
          <w:rFonts w:ascii="Times New Roman" w:hAnsi="Times New Roman" w:cs="Times New Roman"/>
        </w:rPr>
        <w:t>m</w:t>
      </w:r>
      <w:r w:rsidRPr="005146A0">
        <w:rPr>
          <w:rFonts w:ascii="Times New Roman" w:hAnsi="Times New Roman" w:cs="Times New Roman"/>
        </w:rPr>
        <w:t xml:space="preserve">otion for </w:t>
      </w:r>
      <w:r>
        <w:rPr>
          <w:rFonts w:ascii="Times New Roman" w:hAnsi="Times New Roman" w:cs="Times New Roman"/>
        </w:rPr>
        <w:t>s</w:t>
      </w:r>
      <w:r w:rsidRPr="005146A0">
        <w:rPr>
          <w:rFonts w:ascii="Times New Roman" w:hAnsi="Times New Roman" w:cs="Times New Roman"/>
        </w:rPr>
        <w:t xml:space="preserve">anctions, not an attempt to disqualify legal counsel. </w:t>
      </w:r>
    </w:p>
  </w:footnote>
  <w:footnote w:id="14">
    <w:p w14:paraId="1E9033A9" w14:textId="205F48E7" w:rsidR="00D97080" w:rsidRDefault="00D97080">
      <w:pPr>
        <w:pStyle w:val="FootnoteText"/>
      </w:pPr>
      <w:r>
        <w:rPr>
          <w:rStyle w:val="FootnoteReference"/>
        </w:rPr>
        <w:footnoteRef/>
      </w:r>
      <w:r>
        <w:t xml:space="preserve"> </w:t>
      </w:r>
      <w:r w:rsidRPr="0064182B">
        <w:rPr>
          <w:rFonts w:ascii="TimesNewRomanPSMT" w:hAnsi="TimesNewRomanPSMT"/>
        </w:rPr>
        <w:t xml:space="preserve">See </w:t>
      </w:r>
      <w:proofErr w:type="spellStart"/>
      <w:r w:rsidRPr="00615B8C">
        <w:rPr>
          <w:rFonts w:ascii="TimesNewRomanPS" w:hAnsi="TimesNewRomanPS"/>
          <w:i/>
          <w:iCs/>
        </w:rPr>
        <w:t>Serody</w:t>
      </w:r>
      <w:proofErr w:type="spellEnd"/>
      <w:r>
        <w:rPr>
          <w:rFonts w:ascii="TimesNewRomanPS" w:hAnsi="TimesNewRomanPS"/>
        </w:rPr>
        <w:t xml:space="preserve">, </w:t>
      </w:r>
      <w:r w:rsidRPr="00615B8C">
        <w:rPr>
          <w:rFonts w:ascii="TimesNewRomanPSMT" w:hAnsi="TimesNewRomanPSMT"/>
        </w:rPr>
        <w:t>19</w:t>
      </w:r>
      <w:r w:rsidRPr="0064182B">
        <w:rPr>
          <w:rFonts w:ascii="TimesNewRomanPSMT" w:hAnsi="TimesNewRomanPSMT"/>
        </w:rPr>
        <w:t xml:space="preserve"> Mass. App. Ct. </w:t>
      </w:r>
      <w:r>
        <w:rPr>
          <w:rFonts w:ascii="TimesNewRomanPSMT" w:hAnsi="TimesNewRomanPSMT"/>
        </w:rPr>
        <w:t>at</w:t>
      </w:r>
      <w:r w:rsidRPr="0064182B">
        <w:rPr>
          <w:rFonts w:ascii="TimesNewRomanPSMT" w:hAnsi="TimesNewRomanPSMT"/>
        </w:rPr>
        <w:t xml:space="preserve"> 414.</w:t>
      </w:r>
    </w:p>
  </w:footnote>
  <w:footnote w:id="15">
    <w:p w14:paraId="70340588" w14:textId="77777777" w:rsidR="00D97080" w:rsidRPr="00F51C3F" w:rsidRDefault="00D97080" w:rsidP="00937B8A">
      <w:pPr>
        <w:pStyle w:val="FootnoteText"/>
        <w:rPr>
          <w:rFonts w:ascii="Times New Roman" w:hAnsi="Times New Roman" w:cs="Times New Roman"/>
        </w:rPr>
      </w:pPr>
      <w:r w:rsidRPr="00F51C3F">
        <w:rPr>
          <w:rStyle w:val="FootnoteReference"/>
          <w:rFonts w:ascii="Times New Roman" w:hAnsi="Times New Roman" w:cs="Times New Roman"/>
        </w:rPr>
        <w:footnoteRef/>
      </w:r>
      <w:r w:rsidRPr="00F51C3F">
        <w:rPr>
          <w:rFonts w:ascii="Times New Roman" w:hAnsi="Times New Roman" w:cs="Times New Roman"/>
        </w:rPr>
        <w:t xml:space="preserve"> 20 U.S.C. § 1415(b</w:t>
      </w:r>
      <w:proofErr w:type="gramStart"/>
      <w:r w:rsidRPr="00F51C3F">
        <w:rPr>
          <w:rFonts w:ascii="Times New Roman" w:hAnsi="Times New Roman" w:cs="Times New Roman"/>
        </w:rPr>
        <w:t>)(</w:t>
      </w:r>
      <w:proofErr w:type="gramEnd"/>
      <w:r w:rsidRPr="00F51C3F">
        <w:rPr>
          <w:rFonts w:ascii="Times New Roman" w:hAnsi="Times New Roman" w:cs="Times New Roman"/>
        </w:rPr>
        <w:t>6).</w:t>
      </w:r>
    </w:p>
  </w:footnote>
  <w:footnote w:id="16">
    <w:p w14:paraId="16C52786" w14:textId="77777777" w:rsidR="00D97080" w:rsidRPr="00F51C3F" w:rsidRDefault="00D97080" w:rsidP="00937B8A">
      <w:pPr>
        <w:pStyle w:val="FootnoteText"/>
        <w:rPr>
          <w:rFonts w:ascii="Times New Roman" w:hAnsi="Times New Roman" w:cs="Times New Roman"/>
        </w:rPr>
      </w:pPr>
      <w:r w:rsidRPr="00F51C3F">
        <w:rPr>
          <w:rStyle w:val="FootnoteReference"/>
          <w:rFonts w:ascii="Times New Roman" w:hAnsi="Times New Roman" w:cs="Times New Roman"/>
        </w:rPr>
        <w:footnoteRef/>
      </w:r>
      <w:r w:rsidRPr="00F51C3F">
        <w:rPr>
          <w:rFonts w:ascii="Times New Roman" w:hAnsi="Times New Roman" w:cs="Times New Roman"/>
        </w:rPr>
        <w:t xml:space="preserve"> 603 CMR 28.08(3</w:t>
      </w:r>
      <w:proofErr w:type="gramStart"/>
      <w:r w:rsidRPr="00F51C3F">
        <w:rPr>
          <w:rFonts w:ascii="Times New Roman" w:hAnsi="Times New Roman" w:cs="Times New Roman"/>
        </w:rPr>
        <w:t>)(</w:t>
      </w:r>
      <w:proofErr w:type="gramEnd"/>
      <w:r w:rsidRPr="00F51C3F">
        <w:rPr>
          <w:rFonts w:ascii="Times New Roman" w:hAnsi="Times New Roman" w:cs="Times New Roman"/>
        </w:rPr>
        <w:t>a)</w:t>
      </w:r>
      <w:r>
        <w:rPr>
          <w:rFonts w:ascii="Times New Roman" w:hAnsi="Times New Roman" w:cs="Times New Roman"/>
        </w:rPr>
        <w:t>.</w:t>
      </w:r>
    </w:p>
  </w:footnote>
  <w:footnote w:id="17">
    <w:p w14:paraId="2489EF90" w14:textId="77777777" w:rsidR="00D97080" w:rsidRPr="004535CF" w:rsidRDefault="00D97080" w:rsidP="00937B8A">
      <w:pPr>
        <w:pStyle w:val="FootnoteText"/>
        <w:rPr>
          <w:rFonts w:ascii="Times New Roman" w:hAnsi="Times New Roman" w:cs="Times New Roman"/>
        </w:rPr>
      </w:pPr>
      <w:r w:rsidRPr="00F51C3F">
        <w:rPr>
          <w:rStyle w:val="FootnoteReference"/>
          <w:rFonts w:ascii="Times New Roman" w:hAnsi="Times New Roman" w:cs="Times New Roman"/>
        </w:rPr>
        <w:footnoteRef/>
      </w:r>
      <w:r w:rsidRPr="00F51C3F">
        <w:rPr>
          <w:rFonts w:ascii="Times New Roman" w:hAnsi="Times New Roman" w:cs="Times New Roman"/>
        </w:rPr>
        <w:t xml:space="preserve"> The IDEA’s exhaustion requirement is not limited to IDEA claims, as it “applies even when the suit is brought pursuant to a different statute so long as the party is seeking relief that is available under subchapter II of IDEA.”  </w:t>
      </w:r>
      <w:r w:rsidRPr="00F51C3F">
        <w:rPr>
          <w:rFonts w:ascii="Times New Roman" w:hAnsi="Times New Roman" w:cs="Times New Roman"/>
          <w:i/>
        </w:rPr>
        <w:t xml:space="preserve">Rose v. </w:t>
      </w:r>
      <w:proofErr w:type="spellStart"/>
      <w:r w:rsidRPr="00F51C3F">
        <w:rPr>
          <w:rFonts w:ascii="Times New Roman" w:hAnsi="Times New Roman" w:cs="Times New Roman"/>
          <w:i/>
        </w:rPr>
        <w:t>Yeaw</w:t>
      </w:r>
      <w:proofErr w:type="spellEnd"/>
      <w:r w:rsidRPr="00F51C3F">
        <w:rPr>
          <w:rFonts w:ascii="Times New Roman" w:hAnsi="Times New Roman" w:cs="Times New Roman"/>
        </w:rPr>
        <w:t>, 214 F.3d 206, 210 (1st Cir. 2000).</w:t>
      </w:r>
      <w:r w:rsidRPr="004535CF">
        <w:rPr>
          <w:rFonts w:ascii="Times New Roman" w:hAnsi="Times New Roman" w:cs="Times New Roman"/>
        </w:rPr>
        <w:t xml:space="preserve">  </w:t>
      </w:r>
    </w:p>
  </w:footnote>
  <w:footnote w:id="18">
    <w:p w14:paraId="5AB81D69" w14:textId="77777777" w:rsidR="00D97080" w:rsidRPr="004535CF" w:rsidRDefault="00D97080" w:rsidP="00937B8A">
      <w:pPr>
        <w:pStyle w:val="FootnoteText"/>
        <w:rPr>
          <w:rFonts w:ascii="Times New Roman" w:hAnsi="Times New Roman" w:cs="Times New Roman"/>
        </w:rPr>
      </w:pPr>
      <w:r w:rsidRPr="004535CF">
        <w:rPr>
          <w:rStyle w:val="FootnoteReference"/>
          <w:rFonts w:ascii="Times New Roman" w:hAnsi="Times New Roman" w:cs="Times New Roman"/>
        </w:rPr>
        <w:footnoteRef/>
      </w:r>
      <w:r w:rsidRPr="004535CF">
        <w:rPr>
          <w:rFonts w:ascii="Times New Roman" w:hAnsi="Times New Roman" w:cs="Times New Roman"/>
        </w:rPr>
        <w:t xml:space="preserve"> See </w:t>
      </w:r>
      <w:r w:rsidRPr="004535CF">
        <w:rPr>
          <w:rFonts w:ascii="Times New Roman" w:hAnsi="Times New Roman" w:cs="Times New Roman"/>
          <w:i/>
        </w:rPr>
        <w:t>Frazier v. Fairhaven Sch. Comm.</w:t>
      </w:r>
      <w:r w:rsidRPr="004535CF">
        <w:rPr>
          <w:rFonts w:ascii="Times New Roman" w:hAnsi="Times New Roman" w:cs="Times New Roman"/>
        </w:rPr>
        <w:t xml:space="preserve">, </w:t>
      </w:r>
      <w:proofErr w:type="gramStart"/>
      <w:r w:rsidRPr="004535CF">
        <w:rPr>
          <w:rFonts w:ascii="Times New Roman" w:hAnsi="Times New Roman" w:cs="Times New Roman"/>
        </w:rPr>
        <w:t>276 F.3d 52, 59, 64</w:t>
      </w:r>
      <w:proofErr w:type="gramEnd"/>
      <w:r w:rsidRPr="004535CF">
        <w:rPr>
          <w:rFonts w:ascii="Times New Roman" w:hAnsi="Times New Roman" w:cs="Times New Roman"/>
        </w:rPr>
        <w:t xml:space="preserve"> (1st Cir. 2002).</w:t>
      </w:r>
    </w:p>
  </w:footnote>
  <w:footnote w:id="19">
    <w:p w14:paraId="644D2487" w14:textId="77777777" w:rsidR="00D97080" w:rsidRPr="004535CF" w:rsidRDefault="00D97080" w:rsidP="00937B8A">
      <w:pPr>
        <w:pStyle w:val="FootnoteText"/>
        <w:rPr>
          <w:rFonts w:ascii="Times New Roman" w:hAnsi="Times New Roman" w:cs="Times New Roman"/>
        </w:rPr>
      </w:pPr>
      <w:r w:rsidRPr="004535CF">
        <w:rPr>
          <w:rStyle w:val="FootnoteReference"/>
          <w:rFonts w:ascii="Times New Roman" w:hAnsi="Times New Roman" w:cs="Times New Roman"/>
        </w:rPr>
        <w:footnoteRef/>
      </w:r>
      <w:r w:rsidRPr="004535CF">
        <w:rPr>
          <w:rFonts w:ascii="Times New Roman" w:hAnsi="Times New Roman" w:cs="Times New Roman"/>
        </w:rPr>
        <w:t xml:space="preserve"> </w:t>
      </w:r>
      <w:proofErr w:type="gramStart"/>
      <w:r w:rsidRPr="004535CF">
        <w:rPr>
          <w:rFonts w:ascii="Times New Roman" w:hAnsi="Times New Roman" w:cs="Times New Roman"/>
          <w:i/>
        </w:rPr>
        <w:t>Id</w:t>
      </w:r>
      <w:r w:rsidRPr="004535CF">
        <w:rPr>
          <w:rFonts w:ascii="Times New Roman" w:hAnsi="Times New Roman" w:cs="Times New Roman"/>
        </w:rPr>
        <w:t>. at 60.</w:t>
      </w:r>
      <w:proofErr w:type="gramEnd"/>
    </w:p>
  </w:footnote>
  <w:footnote w:id="20">
    <w:p w14:paraId="7E7F31A5" w14:textId="77777777" w:rsidR="00D97080" w:rsidRPr="00A23C4A" w:rsidRDefault="00D97080" w:rsidP="00937B8A">
      <w:pPr>
        <w:pStyle w:val="FootnoteText"/>
        <w:rPr>
          <w:rFonts w:ascii="Times New Roman" w:hAnsi="Times New Roman" w:cs="Times New Roman"/>
        </w:rPr>
      </w:pPr>
      <w:r w:rsidRPr="00A23C4A">
        <w:rPr>
          <w:rStyle w:val="FootnoteReference"/>
          <w:rFonts w:ascii="Times New Roman" w:hAnsi="Times New Roman" w:cs="Times New Roman"/>
        </w:rPr>
        <w:footnoteRef/>
      </w:r>
      <w:r w:rsidRPr="00A23C4A">
        <w:rPr>
          <w:rFonts w:ascii="Times New Roman" w:hAnsi="Times New Roman" w:cs="Times New Roman"/>
        </w:rPr>
        <w:t xml:space="preserve"> </w:t>
      </w:r>
      <w:r w:rsidRPr="00A23C4A">
        <w:rPr>
          <w:rFonts w:ascii="Times New Roman" w:hAnsi="Times New Roman" w:cs="Times New Roman"/>
          <w:i/>
        </w:rPr>
        <w:t xml:space="preserve">In Re </w:t>
      </w:r>
      <w:proofErr w:type="spellStart"/>
      <w:r w:rsidRPr="00A23C4A">
        <w:rPr>
          <w:rFonts w:ascii="Times New Roman" w:hAnsi="Times New Roman" w:cs="Times New Roman"/>
          <w:i/>
        </w:rPr>
        <w:t>Xylia</w:t>
      </w:r>
      <w:proofErr w:type="spellEnd"/>
      <w:r w:rsidRPr="00A23C4A">
        <w:rPr>
          <w:rFonts w:ascii="Times New Roman" w:hAnsi="Times New Roman" w:cs="Times New Roman"/>
        </w:rPr>
        <w:t>, (BSEA #12-0781, 18 MSER 373, 376 (Byrne 2012); see</w:t>
      </w:r>
      <w:r w:rsidRPr="00A23C4A">
        <w:rPr>
          <w:rFonts w:ascii="Times New Roman" w:hAnsi="Times New Roman" w:cs="Times New Roman"/>
          <w:i/>
        </w:rPr>
        <w:t xml:space="preserve"> Diaz-Fonseca v. Puerto Rico</w:t>
      </w:r>
      <w:r w:rsidRPr="00A23C4A">
        <w:rPr>
          <w:rFonts w:ascii="Times New Roman" w:hAnsi="Times New Roman" w:cs="Times New Roman"/>
        </w:rPr>
        <w:t xml:space="preserve">, 451 F.3d 13, 29 (2006); </w:t>
      </w:r>
      <w:r w:rsidRPr="00A23C4A">
        <w:rPr>
          <w:rFonts w:ascii="Times New Roman" w:hAnsi="Times New Roman" w:cs="Times New Roman"/>
          <w:i/>
        </w:rPr>
        <w:t>Frazier</w:t>
      </w:r>
      <w:r w:rsidRPr="00A23C4A">
        <w:rPr>
          <w:rFonts w:ascii="Times New Roman" w:hAnsi="Times New Roman" w:cs="Times New Roman"/>
        </w:rPr>
        <w:t>, 276 F.3d at 64.</w:t>
      </w:r>
    </w:p>
  </w:footnote>
  <w:footnote w:id="21">
    <w:p w14:paraId="33C04FF8" w14:textId="110E8DAB" w:rsidR="00D97080" w:rsidRPr="00A23C4A" w:rsidRDefault="00D97080">
      <w:pPr>
        <w:pStyle w:val="FootnoteText"/>
        <w:rPr>
          <w:rFonts w:ascii="Times New Roman" w:hAnsi="Times New Roman" w:cs="Times New Roman"/>
          <w:i/>
          <w:iCs/>
        </w:rPr>
      </w:pPr>
      <w:r w:rsidRPr="00A23C4A">
        <w:rPr>
          <w:rStyle w:val="FootnoteReference"/>
          <w:rFonts w:ascii="Times New Roman" w:hAnsi="Times New Roman" w:cs="Times New Roman"/>
        </w:rPr>
        <w:footnoteRef/>
      </w:r>
      <w:r w:rsidRPr="00A23C4A">
        <w:rPr>
          <w:rFonts w:ascii="Times New Roman" w:hAnsi="Times New Roman" w:cs="Times New Roman"/>
        </w:rPr>
        <w:t xml:space="preserve"> BSEA </w:t>
      </w:r>
      <w:r w:rsidRPr="00A23C4A">
        <w:rPr>
          <w:rFonts w:ascii="Times New Roman" w:hAnsi="Times New Roman" w:cs="Times New Roman"/>
          <w:i/>
          <w:iCs/>
        </w:rPr>
        <w:t xml:space="preserve">Hearing Rule </w:t>
      </w:r>
      <w:proofErr w:type="gramStart"/>
      <w:r w:rsidRPr="00A23C4A">
        <w:rPr>
          <w:rFonts w:ascii="Times New Roman" w:hAnsi="Times New Roman" w:cs="Times New Roman"/>
          <w:i/>
          <w:iCs/>
        </w:rPr>
        <w:t>IX(</w:t>
      </w:r>
      <w:proofErr w:type="gramEnd"/>
      <w:r w:rsidRPr="00A23C4A">
        <w:rPr>
          <w:rFonts w:ascii="Times New Roman" w:hAnsi="Times New Roman" w:cs="Times New Roman"/>
          <w:i/>
          <w:iCs/>
        </w:rPr>
        <w:t>A).</w:t>
      </w:r>
    </w:p>
  </w:footnote>
  <w:footnote w:id="22">
    <w:p w14:paraId="75A19B41" w14:textId="5C4A98AA" w:rsidR="00D97080" w:rsidRPr="00A23C4A" w:rsidRDefault="00D97080">
      <w:pPr>
        <w:pStyle w:val="FootnoteText"/>
        <w:rPr>
          <w:rFonts w:ascii="Times New Roman" w:hAnsi="Times New Roman" w:cs="Times New Roman"/>
        </w:rPr>
      </w:pPr>
      <w:r w:rsidRPr="00A23C4A">
        <w:rPr>
          <w:rStyle w:val="FootnoteReference"/>
          <w:rFonts w:ascii="Times New Roman" w:hAnsi="Times New Roman" w:cs="Times New Roman"/>
        </w:rPr>
        <w:footnoteRef/>
      </w:r>
      <w:r w:rsidRPr="00A23C4A">
        <w:rPr>
          <w:rFonts w:ascii="Times New Roman" w:hAnsi="Times New Roman" w:cs="Times New Roman"/>
        </w:rPr>
        <w:t xml:space="preserve"> See </w:t>
      </w:r>
      <w:r w:rsidRPr="00A23C4A">
        <w:rPr>
          <w:rFonts w:ascii="Times New Roman" w:hAnsi="Times New Roman" w:cs="Times New Roman"/>
          <w:i/>
        </w:rPr>
        <w:t xml:space="preserve">Frazier, </w:t>
      </w:r>
      <w:proofErr w:type="gramStart"/>
      <w:r w:rsidRPr="00A23C4A">
        <w:rPr>
          <w:rFonts w:ascii="Times New Roman" w:hAnsi="Times New Roman" w:cs="Times New Roman"/>
        </w:rPr>
        <w:t>276 F.3d at 60</w:t>
      </w:r>
      <w:proofErr w:type="gramEnd"/>
      <w:r w:rsidRPr="00A23C4A">
        <w:rPr>
          <w:rFonts w:ascii="Times New Roman" w:hAnsi="Times New Roman" w:cs="Times New Roman"/>
        </w:rPr>
        <w:t>.</w:t>
      </w:r>
    </w:p>
  </w:footnote>
  <w:footnote w:id="23">
    <w:p w14:paraId="0C9BF13B" w14:textId="77777777" w:rsidR="00D97080" w:rsidRPr="00A23C4A" w:rsidRDefault="00D97080" w:rsidP="00A23C4A">
      <w:pPr>
        <w:pStyle w:val="FootnoteText"/>
        <w:rPr>
          <w:rFonts w:ascii="Times New Roman" w:hAnsi="Times New Roman" w:cs="Times New Roman"/>
        </w:rPr>
      </w:pPr>
      <w:r w:rsidRPr="00A23C4A">
        <w:rPr>
          <w:rStyle w:val="FootnoteReference"/>
          <w:rFonts w:ascii="Times New Roman" w:hAnsi="Times New Roman" w:cs="Times New Roman"/>
        </w:rPr>
        <w:footnoteRef/>
      </w:r>
      <w:r w:rsidRPr="00A23C4A">
        <w:rPr>
          <w:rFonts w:ascii="Times New Roman" w:hAnsi="Times New Roman" w:cs="Times New Roman"/>
        </w:rPr>
        <w:t xml:space="preserve"> BSEA </w:t>
      </w:r>
      <w:r w:rsidRPr="00A23C4A">
        <w:rPr>
          <w:rFonts w:ascii="Times New Roman" w:hAnsi="Times New Roman" w:cs="Times New Roman"/>
          <w:i/>
          <w:iCs/>
        </w:rPr>
        <w:t>Hearing Rule IX(C).</w:t>
      </w:r>
    </w:p>
  </w:footnote>
  <w:footnote w:id="24">
    <w:p w14:paraId="55821E21" w14:textId="77777777" w:rsidR="00D97080" w:rsidRDefault="00D97080" w:rsidP="00A23C4A">
      <w:pPr>
        <w:pStyle w:val="FootnoteText"/>
      </w:pPr>
      <w:r w:rsidRPr="00A23C4A">
        <w:rPr>
          <w:rStyle w:val="FootnoteReference"/>
          <w:rFonts w:ascii="Times New Roman" w:hAnsi="Times New Roman" w:cs="Times New Roman"/>
        </w:rPr>
        <w:footnoteRef/>
      </w:r>
      <w:r w:rsidRPr="00A23C4A">
        <w:rPr>
          <w:rFonts w:ascii="Times New Roman" w:hAnsi="Times New Roman" w:cs="Times New Roman"/>
        </w:rPr>
        <w:t xml:space="preserve"> BSEA </w:t>
      </w:r>
      <w:r w:rsidRPr="00A23C4A">
        <w:rPr>
          <w:rFonts w:ascii="Times New Roman" w:hAnsi="Times New Roman" w:cs="Times New Roman"/>
          <w:i/>
          <w:iCs/>
        </w:rPr>
        <w:t>Hearing Rule V(C).</w:t>
      </w:r>
    </w:p>
  </w:footnote>
  <w:footnote w:id="25">
    <w:p w14:paraId="24E06C05" w14:textId="0E26B809" w:rsidR="00D97080" w:rsidRPr="00AA7B38" w:rsidRDefault="00D97080">
      <w:pPr>
        <w:pStyle w:val="FootnoteText"/>
        <w:rPr>
          <w:rFonts w:ascii="Times New Roman" w:hAnsi="Times New Roman" w:cs="Times New Roman"/>
        </w:rPr>
      </w:pPr>
      <w:r w:rsidRPr="00AA7B38">
        <w:rPr>
          <w:rStyle w:val="FootnoteReference"/>
          <w:rFonts w:ascii="Times New Roman" w:hAnsi="Times New Roman" w:cs="Times New Roman"/>
        </w:rPr>
        <w:footnoteRef/>
      </w:r>
      <w:r w:rsidRPr="00AA7B38">
        <w:rPr>
          <w:rFonts w:ascii="Times New Roman" w:hAnsi="Times New Roman" w:cs="Times New Roman"/>
        </w:rPr>
        <w:t xml:space="preserve"> This information appears to be more relevant to some claims Parent initially filed in</w:t>
      </w:r>
      <w:r w:rsidR="00B4014E">
        <w:rPr>
          <w:rFonts w:ascii="Times New Roman" w:hAnsi="Times New Roman" w:cs="Times New Roman"/>
        </w:rPr>
        <w:t xml:space="preserve"> a </w:t>
      </w:r>
      <w:r w:rsidRPr="00AA7B38">
        <w:rPr>
          <w:rFonts w:ascii="Times New Roman" w:hAnsi="Times New Roman" w:cs="Times New Roman"/>
        </w:rPr>
        <w:t>previous matter, which were dismissed for lack of BSEA jurisdiction.</w:t>
      </w:r>
      <w:r>
        <w:rPr>
          <w:rFonts w:ascii="Times New Roman" w:hAnsi="Times New Roman" w:cs="Times New Roman"/>
        </w:rPr>
        <w:t xml:space="preserve"> As I explained during the </w:t>
      </w:r>
      <w:r>
        <w:rPr>
          <w:rFonts w:ascii="Times New Roman" w:hAnsi="Times New Roman" w:cs="Times New Roman"/>
          <w:i/>
          <w:iCs/>
        </w:rPr>
        <w:t>Motion Session</w:t>
      </w:r>
      <w:r>
        <w:rPr>
          <w:rFonts w:ascii="Times New Roman" w:hAnsi="Times New Roman" w:cs="Times New Roman"/>
        </w:rPr>
        <w:t>, this information might be obtained more appropriately by means of a request pursuant to the Public Records Act.</w:t>
      </w:r>
    </w:p>
  </w:footnote>
  <w:footnote w:id="26">
    <w:p w14:paraId="77BC92ED" w14:textId="728714ED" w:rsidR="00D97080" w:rsidRPr="001A50D8" w:rsidRDefault="00D97080">
      <w:pPr>
        <w:pStyle w:val="FootnoteText"/>
        <w:rPr>
          <w:rFonts w:ascii="Times New Roman" w:hAnsi="Times New Roman" w:cs="Times New Roman"/>
        </w:rPr>
      </w:pPr>
      <w:r w:rsidRPr="001A50D8">
        <w:rPr>
          <w:rStyle w:val="FootnoteReference"/>
          <w:rFonts w:ascii="Times New Roman" w:hAnsi="Times New Roman" w:cs="Times New Roman"/>
        </w:rPr>
        <w:footnoteRef/>
      </w:r>
      <w:r w:rsidRPr="001A50D8">
        <w:rPr>
          <w:rFonts w:ascii="Times New Roman" w:hAnsi="Times New Roman" w:cs="Times New Roman"/>
        </w:rPr>
        <w:t xml:space="preserve"> The Hearing Officer acknowledges the diligent assistance of legal intern Alison </w:t>
      </w:r>
      <w:proofErr w:type="spellStart"/>
      <w:r w:rsidRPr="001A50D8">
        <w:rPr>
          <w:rFonts w:ascii="Times New Roman" w:hAnsi="Times New Roman" w:cs="Times New Roman"/>
        </w:rPr>
        <w:t>Sexson</w:t>
      </w:r>
      <w:proofErr w:type="spellEnd"/>
      <w:r w:rsidRPr="001A50D8">
        <w:rPr>
          <w:rFonts w:ascii="Times New Roman" w:hAnsi="Times New Roman" w:cs="Times New Roman"/>
        </w:rPr>
        <w:t xml:space="preserve"> in the preparation of this Ruling.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C75A9"/>
    <w:multiLevelType w:val="multilevel"/>
    <w:tmpl w:val="6DB409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FFD128C"/>
    <w:multiLevelType w:val="hybridMultilevel"/>
    <w:tmpl w:val="5CAA5C4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
    <w:nsid w:val="1EFB46BC"/>
    <w:multiLevelType w:val="hybridMultilevel"/>
    <w:tmpl w:val="0E66BBF8"/>
    <w:lvl w:ilvl="0" w:tplc="D6C03720">
      <w:start w:val="1"/>
      <w:numFmt w:val="lowerLetter"/>
      <w:lvlText w:val="%1."/>
      <w:lvlJc w:val="left"/>
      <w:pPr>
        <w:ind w:left="3240" w:hanging="360"/>
      </w:pPr>
      <w:rPr>
        <w:rFonts w:hint="default"/>
        <w:u w:val="single"/>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
    <w:nsid w:val="2E6D37A8"/>
    <w:multiLevelType w:val="hybridMultilevel"/>
    <w:tmpl w:val="E2E06882"/>
    <w:lvl w:ilvl="0" w:tplc="838AAB2A">
      <w:start w:val="1"/>
      <w:numFmt w:val="lowerRoman"/>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nsid w:val="2EBD409E"/>
    <w:multiLevelType w:val="hybridMultilevel"/>
    <w:tmpl w:val="D8B8A9B2"/>
    <w:lvl w:ilvl="0" w:tplc="476EAEB0">
      <w:start w:val="1"/>
      <w:numFmt w:val="upperRoman"/>
      <w:lvlText w:val="%1."/>
      <w:lvlJc w:val="right"/>
      <w:pPr>
        <w:ind w:left="720" w:hanging="360"/>
      </w:pPr>
      <w:rPr>
        <w:rFonts w:ascii="Times New Roman" w:hAnsi="Times New Roman" w:cs="Times New Roman" w:hint="default"/>
      </w:rPr>
    </w:lvl>
    <w:lvl w:ilvl="1" w:tplc="04090015">
      <w:start w:val="1"/>
      <w:numFmt w:val="upp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EAF7F0F"/>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6">
    <w:nsid w:val="59427635"/>
    <w:multiLevelType w:val="hybridMultilevel"/>
    <w:tmpl w:val="0D98FA66"/>
    <w:lvl w:ilvl="0" w:tplc="C86C623C">
      <w:start w:val="1"/>
      <w:numFmt w:val="decimal"/>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2EE0756"/>
    <w:multiLevelType w:val="hybridMultilevel"/>
    <w:tmpl w:val="D5D61214"/>
    <w:lvl w:ilvl="0" w:tplc="E992276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nsid w:val="687D4A88"/>
    <w:multiLevelType w:val="hybridMultilevel"/>
    <w:tmpl w:val="8E745FE8"/>
    <w:lvl w:ilvl="0" w:tplc="6FBAACC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4"/>
  </w:num>
  <w:num w:numId="2">
    <w:abstractNumId w:val="6"/>
  </w:num>
  <w:num w:numId="3">
    <w:abstractNumId w:val="0"/>
  </w:num>
  <w:num w:numId="4">
    <w:abstractNumId w:val="1"/>
  </w:num>
  <w:num w:numId="5">
    <w:abstractNumId w:val="8"/>
  </w:num>
  <w:num w:numId="6">
    <w:abstractNumId w:val="3"/>
  </w:num>
  <w:num w:numId="7">
    <w:abstractNumId w:val="2"/>
  </w:num>
  <w:num w:numId="8">
    <w:abstractNumId w:val="7"/>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7D56"/>
    <w:rsid w:val="00076540"/>
    <w:rsid w:val="000A0169"/>
    <w:rsid w:val="000D5DB2"/>
    <w:rsid w:val="001662E8"/>
    <w:rsid w:val="001A50D8"/>
    <w:rsid w:val="001C0F8F"/>
    <w:rsid w:val="001D21AA"/>
    <w:rsid w:val="001D6753"/>
    <w:rsid w:val="001E6097"/>
    <w:rsid w:val="001F0F77"/>
    <w:rsid w:val="001F7CEA"/>
    <w:rsid w:val="00235615"/>
    <w:rsid w:val="00263052"/>
    <w:rsid w:val="00284B3D"/>
    <w:rsid w:val="002A5ED4"/>
    <w:rsid w:val="002C7B50"/>
    <w:rsid w:val="002E1721"/>
    <w:rsid w:val="0030143F"/>
    <w:rsid w:val="003035D9"/>
    <w:rsid w:val="00350FE9"/>
    <w:rsid w:val="00362C47"/>
    <w:rsid w:val="00371F47"/>
    <w:rsid w:val="003D56C3"/>
    <w:rsid w:val="003E7A2F"/>
    <w:rsid w:val="00410D83"/>
    <w:rsid w:val="0043751F"/>
    <w:rsid w:val="004712B7"/>
    <w:rsid w:val="00482D79"/>
    <w:rsid w:val="004A24EE"/>
    <w:rsid w:val="004A5565"/>
    <w:rsid w:val="004A5D73"/>
    <w:rsid w:val="004D1A94"/>
    <w:rsid w:val="004D5EAD"/>
    <w:rsid w:val="004E07BD"/>
    <w:rsid w:val="004F6D14"/>
    <w:rsid w:val="005146A0"/>
    <w:rsid w:val="005E218C"/>
    <w:rsid w:val="00615B8C"/>
    <w:rsid w:val="00623F44"/>
    <w:rsid w:val="0066317C"/>
    <w:rsid w:val="006E6B6F"/>
    <w:rsid w:val="00720230"/>
    <w:rsid w:val="00724397"/>
    <w:rsid w:val="0075476A"/>
    <w:rsid w:val="00757B35"/>
    <w:rsid w:val="00757DC0"/>
    <w:rsid w:val="00767D56"/>
    <w:rsid w:val="007C67F8"/>
    <w:rsid w:val="007F2B65"/>
    <w:rsid w:val="0081744B"/>
    <w:rsid w:val="0083238A"/>
    <w:rsid w:val="00852390"/>
    <w:rsid w:val="008C02AE"/>
    <w:rsid w:val="008C1833"/>
    <w:rsid w:val="008D3341"/>
    <w:rsid w:val="008E1660"/>
    <w:rsid w:val="0093058C"/>
    <w:rsid w:val="00937B8A"/>
    <w:rsid w:val="009429B0"/>
    <w:rsid w:val="00995747"/>
    <w:rsid w:val="009B3674"/>
    <w:rsid w:val="009B7AD5"/>
    <w:rsid w:val="009D1E39"/>
    <w:rsid w:val="00A02680"/>
    <w:rsid w:val="00A11405"/>
    <w:rsid w:val="00A23255"/>
    <w:rsid w:val="00A23C4A"/>
    <w:rsid w:val="00A27D61"/>
    <w:rsid w:val="00A57253"/>
    <w:rsid w:val="00A71E69"/>
    <w:rsid w:val="00AA7B38"/>
    <w:rsid w:val="00AB2EA6"/>
    <w:rsid w:val="00AB637D"/>
    <w:rsid w:val="00AC542B"/>
    <w:rsid w:val="00B03E60"/>
    <w:rsid w:val="00B13B33"/>
    <w:rsid w:val="00B337B1"/>
    <w:rsid w:val="00B4014E"/>
    <w:rsid w:val="00B61CE1"/>
    <w:rsid w:val="00B81596"/>
    <w:rsid w:val="00B94165"/>
    <w:rsid w:val="00BA633C"/>
    <w:rsid w:val="00BA6C1E"/>
    <w:rsid w:val="00BB065C"/>
    <w:rsid w:val="00BE0527"/>
    <w:rsid w:val="00BF12D3"/>
    <w:rsid w:val="00C14957"/>
    <w:rsid w:val="00C21CFD"/>
    <w:rsid w:val="00C346BB"/>
    <w:rsid w:val="00C41115"/>
    <w:rsid w:val="00C45518"/>
    <w:rsid w:val="00C5063F"/>
    <w:rsid w:val="00C7064A"/>
    <w:rsid w:val="00CB0B2A"/>
    <w:rsid w:val="00D01910"/>
    <w:rsid w:val="00D510E7"/>
    <w:rsid w:val="00D97080"/>
    <w:rsid w:val="00DA3E95"/>
    <w:rsid w:val="00DA686A"/>
    <w:rsid w:val="00DE54BC"/>
    <w:rsid w:val="00E1180D"/>
    <w:rsid w:val="00E51A57"/>
    <w:rsid w:val="00E560CD"/>
    <w:rsid w:val="00E96B6E"/>
    <w:rsid w:val="00EA3678"/>
    <w:rsid w:val="00EB1E56"/>
    <w:rsid w:val="00EB21FE"/>
    <w:rsid w:val="00EB3A33"/>
    <w:rsid w:val="00EC7BA6"/>
    <w:rsid w:val="00EF51FC"/>
    <w:rsid w:val="00F77847"/>
    <w:rsid w:val="00F96EC5"/>
    <w:rsid w:val="00FB75B0"/>
    <w:rsid w:val="00FC03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D2EFE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D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56"/>
    <w:rPr>
      <w:sz w:val="18"/>
      <w:szCs w:val="18"/>
    </w:rPr>
  </w:style>
  <w:style w:type="character" w:customStyle="1" w:styleId="BalloonTextChar">
    <w:name w:val="Balloon Text Char"/>
    <w:basedOn w:val="DefaultParagraphFont"/>
    <w:link w:val="BalloonText"/>
    <w:uiPriority w:val="99"/>
    <w:semiHidden/>
    <w:rsid w:val="00767D56"/>
    <w:rPr>
      <w:rFonts w:ascii="Times New Roman" w:hAnsi="Times New Roman" w:cs="Times New Roman"/>
      <w:sz w:val="18"/>
      <w:szCs w:val="18"/>
    </w:rPr>
  </w:style>
  <w:style w:type="paragraph" w:styleId="NoSpacing">
    <w:name w:val="No Spacing"/>
    <w:uiPriority w:val="1"/>
    <w:qFormat/>
    <w:rsid w:val="00767D56"/>
    <w:rPr>
      <w:sz w:val="22"/>
      <w:szCs w:val="22"/>
    </w:rPr>
  </w:style>
  <w:style w:type="paragraph" w:styleId="FootnoteText">
    <w:name w:val="footnote text"/>
    <w:basedOn w:val="Normal"/>
    <w:link w:val="FootnoteTextChar"/>
    <w:unhideWhenUsed/>
    <w:rsid w:val="00767D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767D56"/>
    <w:rPr>
      <w:sz w:val="20"/>
      <w:szCs w:val="20"/>
    </w:rPr>
  </w:style>
  <w:style w:type="character" w:styleId="FootnoteReference">
    <w:name w:val="footnote reference"/>
    <w:basedOn w:val="DefaultParagraphFont"/>
    <w:uiPriority w:val="99"/>
    <w:unhideWhenUsed/>
    <w:rsid w:val="00767D56"/>
    <w:rPr>
      <w:vertAlign w:val="superscript"/>
    </w:rPr>
  </w:style>
  <w:style w:type="character" w:styleId="CommentReference">
    <w:name w:val="annotation reference"/>
    <w:basedOn w:val="DefaultParagraphFont"/>
    <w:uiPriority w:val="99"/>
    <w:semiHidden/>
    <w:unhideWhenUsed/>
    <w:rsid w:val="006E6B6F"/>
    <w:rPr>
      <w:sz w:val="16"/>
      <w:szCs w:val="16"/>
    </w:rPr>
  </w:style>
  <w:style w:type="paragraph" w:styleId="CommentText">
    <w:name w:val="annotation text"/>
    <w:basedOn w:val="Normal"/>
    <w:link w:val="CommentTextChar"/>
    <w:uiPriority w:val="99"/>
    <w:semiHidden/>
    <w:unhideWhenUsed/>
    <w:rsid w:val="006E6B6F"/>
    <w:rPr>
      <w:sz w:val="20"/>
      <w:szCs w:val="20"/>
    </w:rPr>
  </w:style>
  <w:style w:type="character" w:customStyle="1" w:styleId="CommentTextChar">
    <w:name w:val="Comment Text Char"/>
    <w:basedOn w:val="DefaultParagraphFont"/>
    <w:link w:val="CommentText"/>
    <w:uiPriority w:val="99"/>
    <w:semiHidden/>
    <w:rsid w:val="006E6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B6F"/>
    <w:rPr>
      <w:b/>
      <w:bCs/>
    </w:rPr>
  </w:style>
  <w:style w:type="character" w:customStyle="1" w:styleId="CommentSubjectChar">
    <w:name w:val="Comment Subject Char"/>
    <w:basedOn w:val="CommentTextChar"/>
    <w:link w:val="CommentSubject"/>
    <w:uiPriority w:val="99"/>
    <w:semiHidden/>
    <w:rsid w:val="006E6B6F"/>
    <w:rPr>
      <w:rFonts w:ascii="Times New Roman" w:eastAsia="Times New Roman" w:hAnsi="Times New Roman" w:cs="Times New Roman"/>
      <w:b/>
      <w:bCs/>
      <w:sz w:val="20"/>
      <w:szCs w:val="20"/>
    </w:rPr>
  </w:style>
  <w:style w:type="paragraph" w:styleId="ListParagraph">
    <w:name w:val="List Paragraph"/>
    <w:basedOn w:val="Normal"/>
    <w:uiPriority w:val="34"/>
    <w:qFormat/>
    <w:rsid w:val="006E6B6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57253"/>
  </w:style>
  <w:style w:type="character" w:customStyle="1" w:styleId="apple-converted-space">
    <w:name w:val="apple-converted-space"/>
    <w:basedOn w:val="DefaultParagraphFont"/>
    <w:rsid w:val="00350FE9"/>
  </w:style>
  <w:style w:type="character" w:customStyle="1" w:styleId="cohl">
    <w:name w:val="co_hl"/>
    <w:basedOn w:val="DefaultParagraphFont"/>
    <w:rsid w:val="00350FE9"/>
  </w:style>
  <w:style w:type="paragraph" w:styleId="Header">
    <w:name w:val="header"/>
    <w:basedOn w:val="Normal"/>
    <w:link w:val="HeaderChar"/>
    <w:uiPriority w:val="99"/>
    <w:unhideWhenUsed/>
    <w:rsid w:val="009B3674"/>
    <w:pPr>
      <w:tabs>
        <w:tab w:val="center" w:pos="4680"/>
        <w:tab w:val="right" w:pos="9360"/>
      </w:tabs>
    </w:pPr>
  </w:style>
  <w:style w:type="character" w:customStyle="1" w:styleId="HeaderChar">
    <w:name w:val="Header Char"/>
    <w:basedOn w:val="DefaultParagraphFont"/>
    <w:link w:val="Header"/>
    <w:uiPriority w:val="99"/>
    <w:rsid w:val="009B3674"/>
    <w:rPr>
      <w:rFonts w:ascii="Times New Roman" w:eastAsia="Times New Roman" w:hAnsi="Times New Roman" w:cs="Times New Roman"/>
    </w:rPr>
  </w:style>
  <w:style w:type="paragraph" w:styleId="Footer">
    <w:name w:val="footer"/>
    <w:basedOn w:val="Normal"/>
    <w:link w:val="FooterChar"/>
    <w:uiPriority w:val="99"/>
    <w:unhideWhenUsed/>
    <w:rsid w:val="009B3674"/>
    <w:pPr>
      <w:tabs>
        <w:tab w:val="center" w:pos="4680"/>
        <w:tab w:val="right" w:pos="9360"/>
      </w:tabs>
    </w:pPr>
  </w:style>
  <w:style w:type="character" w:customStyle="1" w:styleId="FooterChar">
    <w:name w:val="Footer Char"/>
    <w:basedOn w:val="DefaultParagraphFont"/>
    <w:link w:val="Footer"/>
    <w:uiPriority w:val="99"/>
    <w:rsid w:val="009B3674"/>
    <w:rPr>
      <w:rFonts w:ascii="Times New Roman" w:eastAsia="Times New Roman" w:hAnsi="Times New Roman"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7D56"/>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67D56"/>
    <w:rPr>
      <w:sz w:val="18"/>
      <w:szCs w:val="18"/>
    </w:rPr>
  </w:style>
  <w:style w:type="character" w:customStyle="1" w:styleId="BalloonTextChar">
    <w:name w:val="Balloon Text Char"/>
    <w:basedOn w:val="DefaultParagraphFont"/>
    <w:link w:val="BalloonText"/>
    <w:uiPriority w:val="99"/>
    <w:semiHidden/>
    <w:rsid w:val="00767D56"/>
    <w:rPr>
      <w:rFonts w:ascii="Times New Roman" w:hAnsi="Times New Roman" w:cs="Times New Roman"/>
      <w:sz w:val="18"/>
      <w:szCs w:val="18"/>
    </w:rPr>
  </w:style>
  <w:style w:type="paragraph" w:styleId="NoSpacing">
    <w:name w:val="No Spacing"/>
    <w:uiPriority w:val="1"/>
    <w:qFormat/>
    <w:rsid w:val="00767D56"/>
    <w:rPr>
      <w:sz w:val="22"/>
      <w:szCs w:val="22"/>
    </w:rPr>
  </w:style>
  <w:style w:type="paragraph" w:styleId="FootnoteText">
    <w:name w:val="footnote text"/>
    <w:basedOn w:val="Normal"/>
    <w:link w:val="FootnoteTextChar"/>
    <w:unhideWhenUsed/>
    <w:rsid w:val="00767D5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rsid w:val="00767D56"/>
    <w:rPr>
      <w:sz w:val="20"/>
      <w:szCs w:val="20"/>
    </w:rPr>
  </w:style>
  <w:style w:type="character" w:styleId="FootnoteReference">
    <w:name w:val="footnote reference"/>
    <w:basedOn w:val="DefaultParagraphFont"/>
    <w:uiPriority w:val="99"/>
    <w:unhideWhenUsed/>
    <w:rsid w:val="00767D56"/>
    <w:rPr>
      <w:vertAlign w:val="superscript"/>
    </w:rPr>
  </w:style>
  <w:style w:type="character" w:styleId="CommentReference">
    <w:name w:val="annotation reference"/>
    <w:basedOn w:val="DefaultParagraphFont"/>
    <w:uiPriority w:val="99"/>
    <w:semiHidden/>
    <w:unhideWhenUsed/>
    <w:rsid w:val="006E6B6F"/>
    <w:rPr>
      <w:sz w:val="16"/>
      <w:szCs w:val="16"/>
    </w:rPr>
  </w:style>
  <w:style w:type="paragraph" w:styleId="CommentText">
    <w:name w:val="annotation text"/>
    <w:basedOn w:val="Normal"/>
    <w:link w:val="CommentTextChar"/>
    <w:uiPriority w:val="99"/>
    <w:semiHidden/>
    <w:unhideWhenUsed/>
    <w:rsid w:val="006E6B6F"/>
    <w:rPr>
      <w:sz w:val="20"/>
      <w:szCs w:val="20"/>
    </w:rPr>
  </w:style>
  <w:style w:type="character" w:customStyle="1" w:styleId="CommentTextChar">
    <w:name w:val="Comment Text Char"/>
    <w:basedOn w:val="DefaultParagraphFont"/>
    <w:link w:val="CommentText"/>
    <w:uiPriority w:val="99"/>
    <w:semiHidden/>
    <w:rsid w:val="006E6B6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E6B6F"/>
    <w:rPr>
      <w:b/>
      <w:bCs/>
    </w:rPr>
  </w:style>
  <w:style w:type="character" w:customStyle="1" w:styleId="CommentSubjectChar">
    <w:name w:val="Comment Subject Char"/>
    <w:basedOn w:val="CommentTextChar"/>
    <w:link w:val="CommentSubject"/>
    <w:uiPriority w:val="99"/>
    <w:semiHidden/>
    <w:rsid w:val="006E6B6F"/>
    <w:rPr>
      <w:rFonts w:ascii="Times New Roman" w:eastAsia="Times New Roman" w:hAnsi="Times New Roman" w:cs="Times New Roman"/>
      <w:b/>
      <w:bCs/>
      <w:sz w:val="20"/>
      <w:szCs w:val="20"/>
    </w:rPr>
  </w:style>
  <w:style w:type="paragraph" w:styleId="ListParagraph">
    <w:name w:val="List Paragraph"/>
    <w:basedOn w:val="Normal"/>
    <w:uiPriority w:val="34"/>
    <w:qFormat/>
    <w:rsid w:val="006E6B6F"/>
    <w:pPr>
      <w:ind w:left="720"/>
      <w:contextualSpacing/>
    </w:pPr>
    <w:rPr>
      <w:rFonts w:asciiTheme="minorHAnsi" w:eastAsiaTheme="minorHAnsi" w:hAnsiTheme="minorHAnsi" w:cstheme="minorBidi"/>
    </w:rPr>
  </w:style>
  <w:style w:type="paragraph" w:styleId="NormalWeb">
    <w:name w:val="Normal (Web)"/>
    <w:basedOn w:val="Normal"/>
    <w:uiPriority w:val="99"/>
    <w:unhideWhenUsed/>
    <w:rsid w:val="00A57253"/>
  </w:style>
  <w:style w:type="character" w:customStyle="1" w:styleId="apple-converted-space">
    <w:name w:val="apple-converted-space"/>
    <w:basedOn w:val="DefaultParagraphFont"/>
    <w:rsid w:val="00350FE9"/>
  </w:style>
  <w:style w:type="character" w:customStyle="1" w:styleId="cohl">
    <w:name w:val="co_hl"/>
    <w:basedOn w:val="DefaultParagraphFont"/>
    <w:rsid w:val="00350FE9"/>
  </w:style>
  <w:style w:type="paragraph" w:styleId="Header">
    <w:name w:val="header"/>
    <w:basedOn w:val="Normal"/>
    <w:link w:val="HeaderChar"/>
    <w:uiPriority w:val="99"/>
    <w:unhideWhenUsed/>
    <w:rsid w:val="009B3674"/>
    <w:pPr>
      <w:tabs>
        <w:tab w:val="center" w:pos="4680"/>
        <w:tab w:val="right" w:pos="9360"/>
      </w:tabs>
    </w:pPr>
  </w:style>
  <w:style w:type="character" w:customStyle="1" w:styleId="HeaderChar">
    <w:name w:val="Header Char"/>
    <w:basedOn w:val="DefaultParagraphFont"/>
    <w:link w:val="Header"/>
    <w:uiPriority w:val="99"/>
    <w:rsid w:val="009B3674"/>
    <w:rPr>
      <w:rFonts w:ascii="Times New Roman" w:eastAsia="Times New Roman" w:hAnsi="Times New Roman" w:cs="Times New Roman"/>
    </w:rPr>
  </w:style>
  <w:style w:type="paragraph" w:styleId="Footer">
    <w:name w:val="footer"/>
    <w:basedOn w:val="Normal"/>
    <w:link w:val="FooterChar"/>
    <w:uiPriority w:val="99"/>
    <w:unhideWhenUsed/>
    <w:rsid w:val="009B3674"/>
    <w:pPr>
      <w:tabs>
        <w:tab w:val="center" w:pos="4680"/>
        <w:tab w:val="right" w:pos="9360"/>
      </w:tabs>
    </w:pPr>
  </w:style>
  <w:style w:type="character" w:customStyle="1" w:styleId="FooterChar">
    <w:name w:val="Footer Char"/>
    <w:basedOn w:val="DefaultParagraphFont"/>
    <w:link w:val="Footer"/>
    <w:uiPriority w:val="99"/>
    <w:rsid w:val="009B367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707194">
      <w:bodyDiv w:val="1"/>
      <w:marLeft w:val="0"/>
      <w:marRight w:val="0"/>
      <w:marTop w:val="0"/>
      <w:marBottom w:val="0"/>
      <w:divBdr>
        <w:top w:val="none" w:sz="0" w:space="0" w:color="auto"/>
        <w:left w:val="none" w:sz="0" w:space="0" w:color="auto"/>
        <w:bottom w:val="none" w:sz="0" w:space="0" w:color="auto"/>
        <w:right w:val="none" w:sz="0" w:space="0" w:color="auto"/>
      </w:divBdr>
      <w:divsChild>
        <w:div w:id="116529354">
          <w:marLeft w:val="0"/>
          <w:marRight w:val="0"/>
          <w:marTop w:val="0"/>
          <w:marBottom w:val="0"/>
          <w:divBdr>
            <w:top w:val="none" w:sz="0" w:space="0" w:color="auto"/>
            <w:left w:val="none" w:sz="0" w:space="0" w:color="auto"/>
            <w:bottom w:val="none" w:sz="0" w:space="0" w:color="auto"/>
            <w:right w:val="none" w:sz="0" w:space="0" w:color="auto"/>
          </w:divBdr>
          <w:divsChild>
            <w:div w:id="491988651">
              <w:marLeft w:val="0"/>
              <w:marRight w:val="0"/>
              <w:marTop w:val="0"/>
              <w:marBottom w:val="0"/>
              <w:divBdr>
                <w:top w:val="none" w:sz="0" w:space="0" w:color="auto"/>
                <w:left w:val="none" w:sz="0" w:space="0" w:color="auto"/>
                <w:bottom w:val="none" w:sz="0" w:space="0" w:color="auto"/>
                <w:right w:val="none" w:sz="0" w:space="0" w:color="auto"/>
              </w:divBdr>
              <w:divsChild>
                <w:div w:id="101568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68060">
      <w:bodyDiv w:val="1"/>
      <w:marLeft w:val="0"/>
      <w:marRight w:val="0"/>
      <w:marTop w:val="0"/>
      <w:marBottom w:val="0"/>
      <w:divBdr>
        <w:top w:val="none" w:sz="0" w:space="0" w:color="auto"/>
        <w:left w:val="none" w:sz="0" w:space="0" w:color="auto"/>
        <w:bottom w:val="none" w:sz="0" w:space="0" w:color="auto"/>
        <w:right w:val="none" w:sz="0" w:space="0" w:color="auto"/>
      </w:divBdr>
      <w:divsChild>
        <w:div w:id="2101372538">
          <w:marLeft w:val="0"/>
          <w:marRight w:val="0"/>
          <w:marTop w:val="0"/>
          <w:marBottom w:val="0"/>
          <w:divBdr>
            <w:top w:val="none" w:sz="0" w:space="0" w:color="auto"/>
            <w:left w:val="none" w:sz="0" w:space="0" w:color="auto"/>
            <w:bottom w:val="none" w:sz="0" w:space="0" w:color="auto"/>
            <w:right w:val="none" w:sz="0" w:space="0" w:color="auto"/>
          </w:divBdr>
          <w:divsChild>
            <w:div w:id="768744533">
              <w:marLeft w:val="0"/>
              <w:marRight w:val="0"/>
              <w:marTop w:val="0"/>
              <w:marBottom w:val="0"/>
              <w:divBdr>
                <w:top w:val="none" w:sz="0" w:space="0" w:color="auto"/>
                <w:left w:val="none" w:sz="0" w:space="0" w:color="auto"/>
                <w:bottom w:val="none" w:sz="0" w:space="0" w:color="auto"/>
                <w:right w:val="none" w:sz="0" w:space="0" w:color="auto"/>
              </w:divBdr>
              <w:divsChild>
                <w:div w:id="1961840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666189">
      <w:bodyDiv w:val="1"/>
      <w:marLeft w:val="0"/>
      <w:marRight w:val="0"/>
      <w:marTop w:val="0"/>
      <w:marBottom w:val="0"/>
      <w:divBdr>
        <w:top w:val="none" w:sz="0" w:space="0" w:color="auto"/>
        <w:left w:val="none" w:sz="0" w:space="0" w:color="auto"/>
        <w:bottom w:val="none" w:sz="0" w:space="0" w:color="auto"/>
        <w:right w:val="none" w:sz="0" w:space="0" w:color="auto"/>
      </w:divBdr>
      <w:divsChild>
        <w:div w:id="352656740">
          <w:marLeft w:val="0"/>
          <w:marRight w:val="0"/>
          <w:marTop w:val="0"/>
          <w:marBottom w:val="0"/>
          <w:divBdr>
            <w:top w:val="none" w:sz="0" w:space="0" w:color="auto"/>
            <w:left w:val="none" w:sz="0" w:space="0" w:color="auto"/>
            <w:bottom w:val="none" w:sz="0" w:space="0" w:color="auto"/>
            <w:right w:val="none" w:sz="0" w:space="0" w:color="auto"/>
          </w:divBdr>
          <w:divsChild>
            <w:div w:id="286089060">
              <w:marLeft w:val="0"/>
              <w:marRight w:val="0"/>
              <w:marTop w:val="0"/>
              <w:marBottom w:val="0"/>
              <w:divBdr>
                <w:top w:val="none" w:sz="0" w:space="0" w:color="auto"/>
                <w:left w:val="none" w:sz="0" w:space="0" w:color="auto"/>
                <w:bottom w:val="none" w:sz="0" w:space="0" w:color="auto"/>
                <w:right w:val="none" w:sz="0" w:space="0" w:color="auto"/>
              </w:divBdr>
              <w:divsChild>
                <w:div w:id="15238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673796">
      <w:bodyDiv w:val="1"/>
      <w:marLeft w:val="0"/>
      <w:marRight w:val="0"/>
      <w:marTop w:val="0"/>
      <w:marBottom w:val="0"/>
      <w:divBdr>
        <w:top w:val="none" w:sz="0" w:space="0" w:color="auto"/>
        <w:left w:val="none" w:sz="0" w:space="0" w:color="auto"/>
        <w:bottom w:val="none" w:sz="0" w:space="0" w:color="auto"/>
        <w:right w:val="none" w:sz="0" w:space="0" w:color="auto"/>
      </w:divBdr>
      <w:divsChild>
        <w:div w:id="1939294921">
          <w:marLeft w:val="0"/>
          <w:marRight w:val="0"/>
          <w:marTop w:val="0"/>
          <w:marBottom w:val="0"/>
          <w:divBdr>
            <w:top w:val="none" w:sz="0" w:space="0" w:color="auto"/>
            <w:left w:val="none" w:sz="0" w:space="0" w:color="auto"/>
            <w:bottom w:val="none" w:sz="0" w:space="0" w:color="auto"/>
            <w:right w:val="none" w:sz="0" w:space="0" w:color="auto"/>
          </w:divBdr>
          <w:divsChild>
            <w:div w:id="1777093450">
              <w:marLeft w:val="0"/>
              <w:marRight w:val="0"/>
              <w:marTop w:val="0"/>
              <w:marBottom w:val="0"/>
              <w:divBdr>
                <w:top w:val="none" w:sz="0" w:space="0" w:color="auto"/>
                <w:left w:val="none" w:sz="0" w:space="0" w:color="auto"/>
                <w:bottom w:val="none" w:sz="0" w:space="0" w:color="auto"/>
                <w:right w:val="none" w:sz="0" w:space="0" w:color="auto"/>
              </w:divBdr>
              <w:divsChild>
                <w:div w:id="81025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601544">
      <w:bodyDiv w:val="1"/>
      <w:marLeft w:val="0"/>
      <w:marRight w:val="0"/>
      <w:marTop w:val="0"/>
      <w:marBottom w:val="0"/>
      <w:divBdr>
        <w:top w:val="none" w:sz="0" w:space="0" w:color="auto"/>
        <w:left w:val="none" w:sz="0" w:space="0" w:color="auto"/>
        <w:bottom w:val="none" w:sz="0" w:space="0" w:color="auto"/>
        <w:right w:val="none" w:sz="0" w:space="0" w:color="auto"/>
      </w:divBdr>
      <w:divsChild>
        <w:div w:id="1508901438">
          <w:marLeft w:val="0"/>
          <w:marRight w:val="0"/>
          <w:marTop w:val="0"/>
          <w:marBottom w:val="0"/>
          <w:divBdr>
            <w:top w:val="none" w:sz="0" w:space="0" w:color="auto"/>
            <w:left w:val="none" w:sz="0" w:space="0" w:color="auto"/>
            <w:bottom w:val="none" w:sz="0" w:space="0" w:color="auto"/>
            <w:right w:val="none" w:sz="0" w:space="0" w:color="auto"/>
          </w:divBdr>
          <w:divsChild>
            <w:div w:id="311105013">
              <w:marLeft w:val="0"/>
              <w:marRight w:val="0"/>
              <w:marTop w:val="0"/>
              <w:marBottom w:val="0"/>
              <w:divBdr>
                <w:top w:val="none" w:sz="0" w:space="0" w:color="auto"/>
                <w:left w:val="none" w:sz="0" w:space="0" w:color="auto"/>
                <w:bottom w:val="none" w:sz="0" w:space="0" w:color="auto"/>
                <w:right w:val="none" w:sz="0" w:space="0" w:color="auto"/>
              </w:divBdr>
              <w:divsChild>
                <w:div w:id="1898587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449354">
      <w:bodyDiv w:val="1"/>
      <w:marLeft w:val="0"/>
      <w:marRight w:val="0"/>
      <w:marTop w:val="0"/>
      <w:marBottom w:val="0"/>
      <w:divBdr>
        <w:top w:val="none" w:sz="0" w:space="0" w:color="auto"/>
        <w:left w:val="none" w:sz="0" w:space="0" w:color="auto"/>
        <w:bottom w:val="none" w:sz="0" w:space="0" w:color="auto"/>
        <w:right w:val="none" w:sz="0" w:space="0" w:color="auto"/>
      </w:divBdr>
    </w:div>
    <w:div w:id="726150977">
      <w:bodyDiv w:val="1"/>
      <w:marLeft w:val="0"/>
      <w:marRight w:val="0"/>
      <w:marTop w:val="0"/>
      <w:marBottom w:val="0"/>
      <w:divBdr>
        <w:top w:val="none" w:sz="0" w:space="0" w:color="auto"/>
        <w:left w:val="none" w:sz="0" w:space="0" w:color="auto"/>
        <w:bottom w:val="none" w:sz="0" w:space="0" w:color="auto"/>
        <w:right w:val="none" w:sz="0" w:space="0" w:color="auto"/>
      </w:divBdr>
      <w:divsChild>
        <w:div w:id="1122918294">
          <w:marLeft w:val="0"/>
          <w:marRight w:val="0"/>
          <w:marTop w:val="0"/>
          <w:marBottom w:val="0"/>
          <w:divBdr>
            <w:top w:val="none" w:sz="0" w:space="0" w:color="auto"/>
            <w:left w:val="none" w:sz="0" w:space="0" w:color="auto"/>
            <w:bottom w:val="none" w:sz="0" w:space="0" w:color="auto"/>
            <w:right w:val="none" w:sz="0" w:space="0" w:color="auto"/>
          </w:divBdr>
          <w:divsChild>
            <w:div w:id="1421487829">
              <w:marLeft w:val="0"/>
              <w:marRight w:val="0"/>
              <w:marTop w:val="0"/>
              <w:marBottom w:val="0"/>
              <w:divBdr>
                <w:top w:val="none" w:sz="0" w:space="0" w:color="auto"/>
                <w:left w:val="none" w:sz="0" w:space="0" w:color="auto"/>
                <w:bottom w:val="none" w:sz="0" w:space="0" w:color="auto"/>
                <w:right w:val="none" w:sz="0" w:space="0" w:color="auto"/>
              </w:divBdr>
              <w:divsChild>
                <w:div w:id="318196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0324">
      <w:bodyDiv w:val="1"/>
      <w:marLeft w:val="0"/>
      <w:marRight w:val="0"/>
      <w:marTop w:val="0"/>
      <w:marBottom w:val="0"/>
      <w:divBdr>
        <w:top w:val="none" w:sz="0" w:space="0" w:color="auto"/>
        <w:left w:val="none" w:sz="0" w:space="0" w:color="auto"/>
        <w:bottom w:val="none" w:sz="0" w:space="0" w:color="auto"/>
        <w:right w:val="none" w:sz="0" w:space="0" w:color="auto"/>
      </w:divBdr>
      <w:divsChild>
        <w:div w:id="824662394">
          <w:marLeft w:val="0"/>
          <w:marRight w:val="0"/>
          <w:marTop w:val="0"/>
          <w:marBottom w:val="0"/>
          <w:divBdr>
            <w:top w:val="none" w:sz="0" w:space="0" w:color="auto"/>
            <w:left w:val="none" w:sz="0" w:space="0" w:color="auto"/>
            <w:bottom w:val="none" w:sz="0" w:space="0" w:color="auto"/>
            <w:right w:val="none" w:sz="0" w:space="0" w:color="auto"/>
          </w:divBdr>
          <w:divsChild>
            <w:div w:id="712769827">
              <w:marLeft w:val="0"/>
              <w:marRight w:val="0"/>
              <w:marTop w:val="0"/>
              <w:marBottom w:val="0"/>
              <w:divBdr>
                <w:top w:val="none" w:sz="0" w:space="0" w:color="auto"/>
                <w:left w:val="none" w:sz="0" w:space="0" w:color="auto"/>
                <w:bottom w:val="none" w:sz="0" w:space="0" w:color="auto"/>
                <w:right w:val="none" w:sz="0" w:space="0" w:color="auto"/>
              </w:divBdr>
              <w:divsChild>
                <w:div w:id="1273514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1963901">
      <w:bodyDiv w:val="1"/>
      <w:marLeft w:val="0"/>
      <w:marRight w:val="0"/>
      <w:marTop w:val="0"/>
      <w:marBottom w:val="0"/>
      <w:divBdr>
        <w:top w:val="none" w:sz="0" w:space="0" w:color="auto"/>
        <w:left w:val="none" w:sz="0" w:space="0" w:color="auto"/>
        <w:bottom w:val="none" w:sz="0" w:space="0" w:color="auto"/>
        <w:right w:val="none" w:sz="0" w:space="0" w:color="auto"/>
      </w:divBdr>
      <w:divsChild>
        <w:div w:id="420492049">
          <w:marLeft w:val="0"/>
          <w:marRight w:val="0"/>
          <w:marTop w:val="0"/>
          <w:marBottom w:val="0"/>
          <w:divBdr>
            <w:top w:val="none" w:sz="0" w:space="0" w:color="auto"/>
            <w:left w:val="none" w:sz="0" w:space="0" w:color="auto"/>
            <w:bottom w:val="none" w:sz="0" w:space="0" w:color="auto"/>
            <w:right w:val="none" w:sz="0" w:space="0" w:color="auto"/>
          </w:divBdr>
          <w:divsChild>
            <w:div w:id="342173092">
              <w:marLeft w:val="0"/>
              <w:marRight w:val="0"/>
              <w:marTop w:val="0"/>
              <w:marBottom w:val="0"/>
              <w:divBdr>
                <w:top w:val="none" w:sz="0" w:space="0" w:color="auto"/>
                <w:left w:val="none" w:sz="0" w:space="0" w:color="auto"/>
                <w:bottom w:val="none" w:sz="0" w:space="0" w:color="auto"/>
                <w:right w:val="none" w:sz="0" w:space="0" w:color="auto"/>
              </w:divBdr>
              <w:divsChild>
                <w:div w:id="77872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766">
      <w:bodyDiv w:val="1"/>
      <w:marLeft w:val="0"/>
      <w:marRight w:val="0"/>
      <w:marTop w:val="0"/>
      <w:marBottom w:val="0"/>
      <w:divBdr>
        <w:top w:val="none" w:sz="0" w:space="0" w:color="auto"/>
        <w:left w:val="none" w:sz="0" w:space="0" w:color="auto"/>
        <w:bottom w:val="none" w:sz="0" w:space="0" w:color="auto"/>
        <w:right w:val="none" w:sz="0" w:space="0" w:color="auto"/>
      </w:divBdr>
      <w:divsChild>
        <w:div w:id="1568876548">
          <w:marLeft w:val="0"/>
          <w:marRight w:val="0"/>
          <w:marTop w:val="0"/>
          <w:marBottom w:val="0"/>
          <w:divBdr>
            <w:top w:val="none" w:sz="0" w:space="0" w:color="auto"/>
            <w:left w:val="none" w:sz="0" w:space="0" w:color="auto"/>
            <w:bottom w:val="none" w:sz="0" w:space="0" w:color="auto"/>
            <w:right w:val="none" w:sz="0" w:space="0" w:color="auto"/>
          </w:divBdr>
          <w:divsChild>
            <w:div w:id="1840922557">
              <w:marLeft w:val="0"/>
              <w:marRight w:val="0"/>
              <w:marTop w:val="0"/>
              <w:marBottom w:val="0"/>
              <w:divBdr>
                <w:top w:val="none" w:sz="0" w:space="0" w:color="auto"/>
                <w:left w:val="none" w:sz="0" w:space="0" w:color="auto"/>
                <w:bottom w:val="none" w:sz="0" w:space="0" w:color="auto"/>
                <w:right w:val="none" w:sz="0" w:space="0" w:color="auto"/>
              </w:divBdr>
              <w:divsChild>
                <w:div w:id="109517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1533679">
      <w:bodyDiv w:val="1"/>
      <w:marLeft w:val="0"/>
      <w:marRight w:val="0"/>
      <w:marTop w:val="0"/>
      <w:marBottom w:val="0"/>
      <w:divBdr>
        <w:top w:val="none" w:sz="0" w:space="0" w:color="auto"/>
        <w:left w:val="none" w:sz="0" w:space="0" w:color="auto"/>
        <w:bottom w:val="none" w:sz="0" w:space="0" w:color="auto"/>
        <w:right w:val="none" w:sz="0" w:space="0" w:color="auto"/>
      </w:divBdr>
      <w:divsChild>
        <w:div w:id="1161501699">
          <w:marLeft w:val="0"/>
          <w:marRight w:val="0"/>
          <w:marTop w:val="0"/>
          <w:marBottom w:val="0"/>
          <w:divBdr>
            <w:top w:val="none" w:sz="0" w:space="0" w:color="auto"/>
            <w:left w:val="none" w:sz="0" w:space="0" w:color="auto"/>
            <w:bottom w:val="none" w:sz="0" w:space="0" w:color="auto"/>
            <w:right w:val="none" w:sz="0" w:space="0" w:color="auto"/>
          </w:divBdr>
          <w:divsChild>
            <w:div w:id="1791312699">
              <w:marLeft w:val="0"/>
              <w:marRight w:val="0"/>
              <w:marTop w:val="0"/>
              <w:marBottom w:val="0"/>
              <w:divBdr>
                <w:top w:val="none" w:sz="0" w:space="0" w:color="auto"/>
                <w:left w:val="none" w:sz="0" w:space="0" w:color="auto"/>
                <w:bottom w:val="none" w:sz="0" w:space="0" w:color="auto"/>
                <w:right w:val="none" w:sz="0" w:space="0" w:color="auto"/>
              </w:divBdr>
              <w:divsChild>
                <w:div w:id="2059207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2080194">
      <w:bodyDiv w:val="1"/>
      <w:marLeft w:val="0"/>
      <w:marRight w:val="0"/>
      <w:marTop w:val="0"/>
      <w:marBottom w:val="0"/>
      <w:divBdr>
        <w:top w:val="none" w:sz="0" w:space="0" w:color="auto"/>
        <w:left w:val="none" w:sz="0" w:space="0" w:color="auto"/>
        <w:bottom w:val="none" w:sz="0" w:space="0" w:color="auto"/>
        <w:right w:val="none" w:sz="0" w:space="0" w:color="auto"/>
      </w:divBdr>
      <w:divsChild>
        <w:div w:id="1300917808">
          <w:marLeft w:val="0"/>
          <w:marRight w:val="0"/>
          <w:marTop w:val="0"/>
          <w:marBottom w:val="0"/>
          <w:divBdr>
            <w:top w:val="none" w:sz="0" w:space="0" w:color="auto"/>
            <w:left w:val="none" w:sz="0" w:space="0" w:color="auto"/>
            <w:bottom w:val="none" w:sz="0" w:space="0" w:color="auto"/>
            <w:right w:val="none" w:sz="0" w:space="0" w:color="auto"/>
          </w:divBdr>
          <w:divsChild>
            <w:div w:id="902712240">
              <w:marLeft w:val="0"/>
              <w:marRight w:val="0"/>
              <w:marTop w:val="0"/>
              <w:marBottom w:val="0"/>
              <w:divBdr>
                <w:top w:val="none" w:sz="0" w:space="0" w:color="auto"/>
                <w:left w:val="none" w:sz="0" w:space="0" w:color="auto"/>
                <w:bottom w:val="none" w:sz="0" w:space="0" w:color="auto"/>
                <w:right w:val="none" w:sz="0" w:space="0" w:color="auto"/>
              </w:divBdr>
              <w:divsChild>
                <w:div w:id="19114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488466">
      <w:bodyDiv w:val="1"/>
      <w:marLeft w:val="0"/>
      <w:marRight w:val="0"/>
      <w:marTop w:val="0"/>
      <w:marBottom w:val="0"/>
      <w:divBdr>
        <w:top w:val="none" w:sz="0" w:space="0" w:color="auto"/>
        <w:left w:val="none" w:sz="0" w:space="0" w:color="auto"/>
        <w:bottom w:val="none" w:sz="0" w:space="0" w:color="auto"/>
        <w:right w:val="none" w:sz="0" w:space="0" w:color="auto"/>
      </w:divBdr>
      <w:divsChild>
        <w:div w:id="826281927">
          <w:marLeft w:val="0"/>
          <w:marRight w:val="0"/>
          <w:marTop w:val="0"/>
          <w:marBottom w:val="0"/>
          <w:divBdr>
            <w:top w:val="none" w:sz="0" w:space="0" w:color="auto"/>
            <w:left w:val="none" w:sz="0" w:space="0" w:color="auto"/>
            <w:bottom w:val="none" w:sz="0" w:space="0" w:color="auto"/>
            <w:right w:val="none" w:sz="0" w:space="0" w:color="auto"/>
          </w:divBdr>
          <w:divsChild>
            <w:div w:id="1513378272">
              <w:marLeft w:val="0"/>
              <w:marRight w:val="0"/>
              <w:marTop w:val="0"/>
              <w:marBottom w:val="0"/>
              <w:divBdr>
                <w:top w:val="none" w:sz="0" w:space="0" w:color="auto"/>
                <w:left w:val="none" w:sz="0" w:space="0" w:color="auto"/>
                <w:bottom w:val="none" w:sz="0" w:space="0" w:color="auto"/>
                <w:right w:val="none" w:sz="0" w:space="0" w:color="auto"/>
              </w:divBdr>
              <w:divsChild>
                <w:div w:id="144658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364686">
      <w:bodyDiv w:val="1"/>
      <w:marLeft w:val="0"/>
      <w:marRight w:val="0"/>
      <w:marTop w:val="0"/>
      <w:marBottom w:val="0"/>
      <w:divBdr>
        <w:top w:val="none" w:sz="0" w:space="0" w:color="auto"/>
        <w:left w:val="none" w:sz="0" w:space="0" w:color="auto"/>
        <w:bottom w:val="none" w:sz="0" w:space="0" w:color="auto"/>
        <w:right w:val="none" w:sz="0" w:space="0" w:color="auto"/>
      </w:divBdr>
      <w:divsChild>
        <w:div w:id="1862891724">
          <w:marLeft w:val="0"/>
          <w:marRight w:val="0"/>
          <w:marTop w:val="0"/>
          <w:marBottom w:val="0"/>
          <w:divBdr>
            <w:top w:val="none" w:sz="0" w:space="0" w:color="auto"/>
            <w:left w:val="none" w:sz="0" w:space="0" w:color="auto"/>
            <w:bottom w:val="none" w:sz="0" w:space="0" w:color="auto"/>
            <w:right w:val="none" w:sz="0" w:space="0" w:color="auto"/>
          </w:divBdr>
          <w:divsChild>
            <w:div w:id="2029327074">
              <w:marLeft w:val="0"/>
              <w:marRight w:val="0"/>
              <w:marTop w:val="0"/>
              <w:marBottom w:val="0"/>
              <w:divBdr>
                <w:top w:val="none" w:sz="0" w:space="0" w:color="auto"/>
                <w:left w:val="none" w:sz="0" w:space="0" w:color="auto"/>
                <w:bottom w:val="none" w:sz="0" w:space="0" w:color="auto"/>
                <w:right w:val="none" w:sz="0" w:space="0" w:color="auto"/>
              </w:divBdr>
              <w:divsChild>
                <w:div w:id="594679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9561515">
      <w:bodyDiv w:val="1"/>
      <w:marLeft w:val="0"/>
      <w:marRight w:val="0"/>
      <w:marTop w:val="0"/>
      <w:marBottom w:val="0"/>
      <w:divBdr>
        <w:top w:val="none" w:sz="0" w:space="0" w:color="auto"/>
        <w:left w:val="none" w:sz="0" w:space="0" w:color="auto"/>
        <w:bottom w:val="none" w:sz="0" w:space="0" w:color="auto"/>
        <w:right w:val="none" w:sz="0" w:space="0" w:color="auto"/>
      </w:divBdr>
      <w:divsChild>
        <w:div w:id="1894584110">
          <w:marLeft w:val="0"/>
          <w:marRight w:val="0"/>
          <w:marTop w:val="0"/>
          <w:marBottom w:val="0"/>
          <w:divBdr>
            <w:top w:val="none" w:sz="0" w:space="0" w:color="auto"/>
            <w:left w:val="none" w:sz="0" w:space="0" w:color="auto"/>
            <w:bottom w:val="none" w:sz="0" w:space="0" w:color="auto"/>
            <w:right w:val="none" w:sz="0" w:space="0" w:color="auto"/>
          </w:divBdr>
          <w:divsChild>
            <w:div w:id="1361777875">
              <w:marLeft w:val="0"/>
              <w:marRight w:val="0"/>
              <w:marTop w:val="0"/>
              <w:marBottom w:val="0"/>
              <w:divBdr>
                <w:top w:val="none" w:sz="0" w:space="0" w:color="auto"/>
                <w:left w:val="none" w:sz="0" w:space="0" w:color="auto"/>
                <w:bottom w:val="none" w:sz="0" w:space="0" w:color="auto"/>
                <w:right w:val="none" w:sz="0" w:space="0" w:color="auto"/>
              </w:divBdr>
              <w:divsChild>
                <w:div w:id="202605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2475</Words>
  <Characters>14111</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Alison Jane Sexson</dc:creator>
  <cp:lastModifiedBy>ANF</cp:lastModifiedBy>
  <cp:revision>2</cp:revision>
  <cp:lastPrinted>2020-05-28T14:00:00Z</cp:lastPrinted>
  <dcterms:created xsi:type="dcterms:W3CDTF">2020-05-29T13:44:00Z</dcterms:created>
  <dcterms:modified xsi:type="dcterms:W3CDTF">2020-05-29T13:44:00Z</dcterms:modified>
</cp:coreProperties>
</file>