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FDB7BF" w14:textId="77777777" w:rsidR="00B135D5" w:rsidRPr="0030549C" w:rsidRDefault="00B135D5" w:rsidP="00D33C5B">
      <w:pPr>
        <w:spacing w:after="0" w:line="240" w:lineRule="auto"/>
        <w:rPr>
          <w:rFonts w:ascii="Arial" w:eastAsia="Times New Roman" w:hAnsi="Arial" w:cs="Arial"/>
          <w:sz w:val="24"/>
          <w:szCs w:val="24"/>
        </w:rPr>
      </w:pPr>
    </w:p>
    <w:p w14:paraId="427EC22C" w14:textId="77777777" w:rsidR="00B135D5" w:rsidRDefault="00B135D5" w:rsidP="00A12F1F">
      <w:pPr>
        <w:spacing w:after="0" w:line="240" w:lineRule="auto"/>
        <w:jc w:val="center"/>
        <w:rPr>
          <w:rFonts w:ascii="Arial" w:hAnsi="Arial" w:cs="Arial"/>
          <w:b/>
          <w:sz w:val="24"/>
        </w:rPr>
      </w:pPr>
      <w:r w:rsidRPr="00B135D5">
        <w:rPr>
          <w:rFonts w:ascii="Arial" w:hAnsi="Arial" w:cs="Arial"/>
          <w:b/>
          <w:sz w:val="24"/>
        </w:rPr>
        <w:t>COMMONWEALTH OF MASSACHUSETTS</w:t>
      </w:r>
    </w:p>
    <w:p w14:paraId="13EBFD23" w14:textId="77777777" w:rsidR="0030549C" w:rsidRPr="00B135D5" w:rsidRDefault="0030549C" w:rsidP="00B135D5">
      <w:pPr>
        <w:spacing w:after="0" w:line="240" w:lineRule="auto"/>
        <w:jc w:val="center"/>
        <w:rPr>
          <w:rFonts w:ascii="Arial" w:hAnsi="Arial" w:cs="Arial"/>
          <w:b/>
          <w:sz w:val="24"/>
        </w:rPr>
      </w:pPr>
    </w:p>
    <w:p w14:paraId="5F5AD173" w14:textId="77777777" w:rsidR="00B135D5" w:rsidRDefault="00B135D5" w:rsidP="00B135D5">
      <w:pPr>
        <w:spacing w:after="0" w:line="240" w:lineRule="auto"/>
        <w:jc w:val="center"/>
        <w:rPr>
          <w:rFonts w:ascii="Arial" w:hAnsi="Arial" w:cs="Arial"/>
          <w:b/>
          <w:sz w:val="24"/>
        </w:rPr>
      </w:pPr>
      <w:r w:rsidRPr="00B135D5">
        <w:rPr>
          <w:rFonts w:ascii="Arial" w:hAnsi="Arial" w:cs="Arial"/>
          <w:b/>
          <w:sz w:val="24"/>
        </w:rPr>
        <w:t>DIVISION OF ADMINISTRATIVE LAW APPEALS</w:t>
      </w:r>
    </w:p>
    <w:p w14:paraId="3A220949" w14:textId="77777777" w:rsidR="0030549C" w:rsidRPr="00B135D5" w:rsidRDefault="0030549C" w:rsidP="00B135D5">
      <w:pPr>
        <w:spacing w:after="0" w:line="240" w:lineRule="auto"/>
        <w:jc w:val="center"/>
        <w:rPr>
          <w:rFonts w:ascii="Arial" w:hAnsi="Arial" w:cs="Arial"/>
          <w:b/>
          <w:sz w:val="24"/>
        </w:rPr>
      </w:pPr>
    </w:p>
    <w:p w14:paraId="46CB0D8F" w14:textId="77777777" w:rsidR="00B135D5" w:rsidRPr="00B135D5" w:rsidRDefault="00B135D5" w:rsidP="00B135D5">
      <w:pPr>
        <w:spacing w:after="0" w:line="240" w:lineRule="auto"/>
        <w:jc w:val="center"/>
        <w:rPr>
          <w:rFonts w:ascii="Arial" w:hAnsi="Arial" w:cs="Arial"/>
          <w:b/>
          <w:sz w:val="24"/>
        </w:rPr>
      </w:pPr>
      <w:r w:rsidRPr="00B135D5">
        <w:rPr>
          <w:rFonts w:ascii="Arial" w:hAnsi="Arial" w:cs="Arial"/>
          <w:b/>
          <w:sz w:val="24"/>
        </w:rPr>
        <w:t>SPECIAL EDUCATION APPEALS</w:t>
      </w:r>
    </w:p>
    <w:p w14:paraId="76D41132" w14:textId="77777777" w:rsidR="00B135D5" w:rsidRPr="00B135D5" w:rsidRDefault="00B135D5" w:rsidP="00B135D5">
      <w:pPr>
        <w:spacing w:after="0" w:line="240" w:lineRule="auto"/>
        <w:rPr>
          <w:rFonts w:ascii="Arial" w:hAnsi="Arial" w:cs="Arial"/>
          <w:sz w:val="24"/>
        </w:rPr>
      </w:pPr>
    </w:p>
    <w:p w14:paraId="40A49ABC" w14:textId="77777777" w:rsidR="00B135D5" w:rsidRPr="00936990" w:rsidRDefault="00936990" w:rsidP="00B135D5">
      <w:pPr>
        <w:spacing w:after="0" w:line="240" w:lineRule="auto"/>
        <w:rPr>
          <w:rFonts w:ascii="Arial" w:hAnsi="Arial" w:cs="Arial"/>
          <w:sz w:val="24"/>
        </w:rPr>
      </w:pPr>
      <w:r w:rsidRPr="00936990">
        <w:rPr>
          <w:rFonts w:ascii="Arial" w:hAnsi="Arial" w:cs="Arial"/>
          <w:sz w:val="24"/>
        </w:rPr>
        <w:t>____________________________</w:t>
      </w:r>
    </w:p>
    <w:p w14:paraId="05D0E39C" w14:textId="77777777" w:rsidR="00936990" w:rsidRPr="00936990" w:rsidRDefault="00936990" w:rsidP="00B135D5">
      <w:pPr>
        <w:spacing w:after="0" w:line="240" w:lineRule="auto"/>
        <w:rPr>
          <w:rFonts w:ascii="Arial" w:hAnsi="Arial" w:cs="Arial"/>
          <w:sz w:val="24"/>
        </w:rPr>
      </w:pPr>
      <w:r w:rsidRPr="00936990">
        <w:rPr>
          <w:rFonts w:ascii="Arial" w:hAnsi="Arial" w:cs="Arial"/>
          <w:sz w:val="24"/>
        </w:rPr>
        <w:t>In Re Student</w:t>
      </w:r>
    </w:p>
    <w:p w14:paraId="39B88BD3" w14:textId="77777777" w:rsidR="00936990" w:rsidRPr="00936990" w:rsidRDefault="00936990" w:rsidP="00B135D5">
      <w:pPr>
        <w:spacing w:after="0" w:line="240" w:lineRule="auto"/>
        <w:rPr>
          <w:rFonts w:ascii="Arial" w:hAnsi="Arial" w:cs="Arial"/>
          <w:sz w:val="24"/>
        </w:rPr>
      </w:pPr>
      <w:r w:rsidRPr="00936990">
        <w:rPr>
          <w:rFonts w:ascii="Arial" w:hAnsi="Arial" w:cs="Arial"/>
          <w:sz w:val="24"/>
        </w:rPr>
        <w:t>&amp;</w:t>
      </w:r>
    </w:p>
    <w:p w14:paraId="77D8E14F" w14:textId="77777777" w:rsidR="00936990" w:rsidRPr="00936990" w:rsidRDefault="00936990" w:rsidP="00B135D5">
      <w:pPr>
        <w:spacing w:after="0" w:line="240" w:lineRule="auto"/>
        <w:rPr>
          <w:rFonts w:ascii="Arial" w:hAnsi="Arial" w:cs="Arial"/>
          <w:sz w:val="24"/>
        </w:rPr>
      </w:pPr>
    </w:p>
    <w:p w14:paraId="564894BA" w14:textId="3B047D28" w:rsidR="00936990" w:rsidRPr="00936990" w:rsidRDefault="00AC0DD7" w:rsidP="00B135D5">
      <w:pPr>
        <w:spacing w:after="0" w:line="240" w:lineRule="auto"/>
        <w:rPr>
          <w:rFonts w:ascii="Arial" w:hAnsi="Arial" w:cs="Arial"/>
          <w:sz w:val="24"/>
        </w:rPr>
      </w:pPr>
      <w:r>
        <w:rPr>
          <w:rFonts w:ascii="Arial" w:hAnsi="Arial" w:cs="Arial"/>
          <w:sz w:val="24"/>
        </w:rPr>
        <w:t>Boston</w:t>
      </w:r>
      <w:r w:rsidR="00936990" w:rsidRPr="00936990">
        <w:rPr>
          <w:rFonts w:ascii="Arial" w:hAnsi="Arial" w:cs="Arial"/>
          <w:sz w:val="24"/>
        </w:rPr>
        <w:t xml:space="preserve"> Public Schools</w:t>
      </w:r>
    </w:p>
    <w:p w14:paraId="397E7551" w14:textId="75BDDCCE" w:rsidR="00936990" w:rsidRPr="00936990" w:rsidRDefault="00936990" w:rsidP="00B135D5">
      <w:pPr>
        <w:spacing w:after="0" w:line="240" w:lineRule="auto"/>
        <w:rPr>
          <w:rFonts w:ascii="Arial" w:hAnsi="Arial" w:cs="Arial"/>
          <w:sz w:val="24"/>
        </w:rPr>
      </w:pPr>
      <w:r w:rsidRPr="00936990">
        <w:rPr>
          <w:rFonts w:ascii="Arial" w:hAnsi="Arial" w:cs="Arial"/>
          <w:sz w:val="24"/>
        </w:rPr>
        <w:t>&amp;</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BSEA No. </w:t>
      </w:r>
      <w:r w:rsidR="00AC0DD7" w:rsidRPr="000A6682">
        <w:rPr>
          <w:rFonts w:ascii="Arial" w:hAnsi="Arial" w:cs="Arial"/>
          <w:sz w:val="24"/>
        </w:rPr>
        <w:t>20</w:t>
      </w:r>
      <w:r w:rsidR="000A6682" w:rsidRPr="000A6682">
        <w:rPr>
          <w:rFonts w:ascii="Arial" w:hAnsi="Arial" w:cs="Arial"/>
          <w:sz w:val="24"/>
        </w:rPr>
        <w:t>0</w:t>
      </w:r>
      <w:r w:rsidR="00AC0DD7" w:rsidRPr="000A6682">
        <w:rPr>
          <w:rFonts w:ascii="Arial" w:hAnsi="Arial" w:cs="Arial"/>
          <w:sz w:val="24"/>
        </w:rPr>
        <w:t>8568</w:t>
      </w:r>
    </w:p>
    <w:p w14:paraId="436784C9" w14:textId="77777777" w:rsidR="00936990" w:rsidRPr="00936990" w:rsidRDefault="00936990" w:rsidP="00B135D5">
      <w:pPr>
        <w:spacing w:after="0" w:line="240" w:lineRule="auto"/>
        <w:rPr>
          <w:rFonts w:ascii="Arial" w:hAnsi="Arial" w:cs="Arial"/>
          <w:sz w:val="24"/>
        </w:rPr>
      </w:pPr>
    </w:p>
    <w:p w14:paraId="755DDD1F" w14:textId="77777777" w:rsidR="00936990" w:rsidRPr="00936990" w:rsidRDefault="00936990" w:rsidP="00B135D5">
      <w:pPr>
        <w:spacing w:after="0" w:line="240" w:lineRule="auto"/>
        <w:rPr>
          <w:rFonts w:ascii="Arial" w:hAnsi="Arial" w:cs="Arial"/>
          <w:sz w:val="24"/>
        </w:rPr>
      </w:pPr>
      <w:r w:rsidRPr="00936990">
        <w:rPr>
          <w:rFonts w:ascii="Arial" w:hAnsi="Arial" w:cs="Arial"/>
          <w:sz w:val="24"/>
        </w:rPr>
        <w:t xml:space="preserve">Mass. Dept. of Elementary &amp; </w:t>
      </w:r>
    </w:p>
    <w:p w14:paraId="2CF8E0C1" w14:textId="77777777" w:rsidR="00936990" w:rsidRPr="00936990" w:rsidRDefault="00936990" w:rsidP="00B135D5">
      <w:pPr>
        <w:spacing w:after="0" w:line="240" w:lineRule="auto"/>
        <w:rPr>
          <w:rFonts w:ascii="Arial" w:hAnsi="Arial" w:cs="Arial"/>
          <w:sz w:val="24"/>
        </w:rPr>
      </w:pPr>
      <w:r w:rsidRPr="00936990">
        <w:rPr>
          <w:rFonts w:ascii="Arial" w:hAnsi="Arial" w:cs="Arial"/>
          <w:sz w:val="24"/>
        </w:rPr>
        <w:t>Secondary Education</w:t>
      </w:r>
    </w:p>
    <w:p w14:paraId="62D31491" w14:textId="77777777" w:rsidR="00936990" w:rsidRPr="00936990" w:rsidRDefault="00936990" w:rsidP="00B135D5">
      <w:pPr>
        <w:spacing w:after="0" w:line="240" w:lineRule="auto"/>
        <w:rPr>
          <w:rFonts w:ascii="Arial" w:hAnsi="Arial" w:cs="Arial"/>
          <w:sz w:val="24"/>
        </w:rPr>
      </w:pPr>
      <w:r w:rsidRPr="00936990">
        <w:rPr>
          <w:rFonts w:ascii="Arial" w:hAnsi="Arial" w:cs="Arial"/>
          <w:sz w:val="24"/>
        </w:rPr>
        <w:t>(DESE)</w:t>
      </w:r>
    </w:p>
    <w:p w14:paraId="56C8F151" w14:textId="77777777" w:rsidR="00936990" w:rsidRPr="00B135D5" w:rsidRDefault="00936990" w:rsidP="00B135D5">
      <w:pPr>
        <w:spacing w:after="0" w:line="240" w:lineRule="auto"/>
        <w:rPr>
          <w:rFonts w:ascii="Arial" w:hAnsi="Arial" w:cs="Arial"/>
          <w:sz w:val="24"/>
        </w:rPr>
      </w:pPr>
      <w:r>
        <w:rPr>
          <w:rFonts w:ascii="Arial" w:hAnsi="Arial" w:cs="Arial"/>
          <w:sz w:val="24"/>
        </w:rPr>
        <w:t>__________________________</w:t>
      </w:r>
    </w:p>
    <w:p w14:paraId="75DE86D1" w14:textId="77777777" w:rsidR="00B135D5" w:rsidRDefault="00B135D5" w:rsidP="00B135D5">
      <w:pPr>
        <w:spacing w:after="0" w:line="240" w:lineRule="auto"/>
        <w:rPr>
          <w:rFonts w:ascii="Arial" w:hAnsi="Arial" w:cs="Arial"/>
          <w:sz w:val="24"/>
        </w:rPr>
      </w:pPr>
    </w:p>
    <w:p w14:paraId="5F8BA1C7" w14:textId="77777777" w:rsidR="00FB6B97" w:rsidRPr="00B135D5" w:rsidRDefault="00FB6B97" w:rsidP="00B135D5">
      <w:pPr>
        <w:spacing w:after="0" w:line="240" w:lineRule="auto"/>
        <w:rPr>
          <w:rFonts w:ascii="Arial" w:hAnsi="Arial" w:cs="Arial"/>
          <w:sz w:val="24"/>
        </w:rPr>
      </w:pPr>
    </w:p>
    <w:p w14:paraId="74E6EA52" w14:textId="64BB0FAF" w:rsidR="00B135D5" w:rsidRPr="00B135D5" w:rsidRDefault="0030549C" w:rsidP="00B135D5">
      <w:pPr>
        <w:spacing w:after="0" w:line="240" w:lineRule="auto"/>
        <w:jc w:val="center"/>
        <w:rPr>
          <w:rFonts w:ascii="Arial" w:hAnsi="Arial" w:cs="Arial"/>
          <w:b/>
          <w:sz w:val="24"/>
          <w:u w:val="single"/>
        </w:rPr>
      </w:pPr>
      <w:r w:rsidRPr="0030549C">
        <w:rPr>
          <w:rFonts w:ascii="Arial" w:hAnsi="Arial" w:cs="Arial"/>
          <w:b/>
          <w:sz w:val="24"/>
          <w:u w:val="single"/>
        </w:rPr>
        <w:t xml:space="preserve">RULING ON </w:t>
      </w:r>
      <w:r w:rsidR="00936990">
        <w:rPr>
          <w:rFonts w:ascii="Arial" w:hAnsi="Arial" w:cs="Arial"/>
          <w:b/>
          <w:sz w:val="24"/>
          <w:u w:val="single"/>
        </w:rPr>
        <w:t xml:space="preserve">MOTION TO DISMISS OF MASS. DEPT. OF ELEMENTARY AND SECONDARY EDUCATION </w:t>
      </w:r>
      <w:r w:rsidR="00AC0DD7">
        <w:rPr>
          <w:rFonts w:ascii="Arial" w:hAnsi="Arial" w:cs="Arial"/>
          <w:b/>
          <w:sz w:val="24"/>
          <w:u w:val="single"/>
        </w:rPr>
        <w:t>(DESE)</w:t>
      </w:r>
    </w:p>
    <w:p w14:paraId="59B8494B" w14:textId="77777777" w:rsidR="00B135D5" w:rsidRPr="0030549C" w:rsidRDefault="00B135D5" w:rsidP="00D33C5B">
      <w:pPr>
        <w:spacing w:after="0" w:line="240" w:lineRule="auto"/>
        <w:rPr>
          <w:rFonts w:ascii="Arial" w:eastAsia="Times New Roman" w:hAnsi="Arial" w:cs="Arial"/>
          <w:sz w:val="24"/>
          <w:szCs w:val="24"/>
        </w:rPr>
      </w:pPr>
    </w:p>
    <w:p w14:paraId="7E40B91B" w14:textId="60923444" w:rsidR="002E2CB0" w:rsidRDefault="005A5DC8" w:rsidP="008E71A4">
      <w:pPr>
        <w:spacing w:after="0" w:line="240" w:lineRule="auto"/>
        <w:ind w:firstLine="720"/>
        <w:rPr>
          <w:rFonts w:ascii="Arial" w:eastAsia="Times New Roman" w:hAnsi="Arial" w:cs="Arial"/>
          <w:sz w:val="24"/>
          <w:szCs w:val="24"/>
        </w:rPr>
      </w:pPr>
      <w:r>
        <w:rPr>
          <w:rFonts w:ascii="Arial" w:eastAsia="Times New Roman" w:hAnsi="Arial" w:cs="Arial"/>
          <w:sz w:val="24"/>
          <w:szCs w:val="24"/>
        </w:rPr>
        <w:t xml:space="preserve">The instant case involves </w:t>
      </w:r>
      <w:r w:rsidR="00AC0DD7">
        <w:rPr>
          <w:rFonts w:ascii="Arial" w:eastAsia="Times New Roman" w:hAnsi="Arial" w:cs="Arial"/>
          <w:sz w:val="24"/>
          <w:szCs w:val="24"/>
        </w:rPr>
        <w:t>a 19</w:t>
      </w:r>
      <w:r>
        <w:rPr>
          <w:rFonts w:ascii="Arial" w:eastAsia="Times New Roman" w:hAnsi="Arial" w:cs="Arial"/>
          <w:sz w:val="24"/>
          <w:szCs w:val="24"/>
        </w:rPr>
        <w:t>-year old special education student (Student) who</w:t>
      </w:r>
      <w:r w:rsidR="000876EB">
        <w:rPr>
          <w:rFonts w:ascii="Arial" w:eastAsia="Times New Roman" w:hAnsi="Arial" w:cs="Arial"/>
          <w:sz w:val="24"/>
          <w:szCs w:val="24"/>
        </w:rPr>
        <w:t xml:space="preserve"> is a resident of </w:t>
      </w:r>
      <w:r w:rsidR="00AC0DD7">
        <w:rPr>
          <w:rFonts w:ascii="Arial" w:eastAsia="Times New Roman" w:hAnsi="Arial" w:cs="Arial"/>
          <w:sz w:val="24"/>
          <w:szCs w:val="24"/>
        </w:rPr>
        <w:t>Boston</w:t>
      </w:r>
      <w:r w:rsidR="00B855F3">
        <w:rPr>
          <w:rFonts w:ascii="Arial" w:eastAsia="Times New Roman" w:hAnsi="Arial" w:cs="Arial"/>
          <w:sz w:val="24"/>
          <w:szCs w:val="24"/>
        </w:rPr>
        <w:t xml:space="preserve">, </w:t>
      </w:r>
      <w:r w:rsidR="000876EB">
        <w:rPr>
          <w:rFonts w:ascii="Arial" w:eastAsia="Times New Roman" w:hAnsi="Arial" w:cs="Arial"/>
          <w:sz w:val="24"/>
          <w:szCs w:val="24"/>
        </w:rPr>
        <w:t>who</w:t>
      </w:r>
      <w:r>
        <w:rPr>
          <w:rFonts w:ascii="Arial" w:eastAsia="Times New Roman" w:hAnsi="Arial" w:cs="Arial"/>
          <w:sz w:val="24"/>
          <w:szCs w:val="24"/>
        </w:rPr>
        <w:t xml:space="preserve"> at all relevant times has been </w:t>
      </w:r>
      <w:r w:rsidR="00AC0DD7">
        <w:rPr>
          <w:rFonts w:ascii="Arial" w:eastAsia="Times New Roman" w:hAnsi="Arial" w:cs="Arial"/>
          <w:sz w:val="24"/>
          <w:szCs w:val="24"/>
        </w:rPr>
        <w:t>in the legal and physical custody of the Department of You</w:t>
      </w:r>
      <w:r w:rsidR="0093202C">
        <w:rPr>
          <w:rFonts w:ascii="Arial" w:eastAsia="Times New Roman" w:hAnsi="Arial" w:cs="Arial"/>
          <w:sz w:val="24"/>
          <w:szCs w:val="24"/>
        </w:rPr>
        <w:t>th Services (DYS), initially on detention status, and subsequently, as a committed youth.</w:t>
      </w:r>
      <w:r w:rsidR="00AC0DD7">
        <w:rPr>
          <w:rFonts w:ascii="Arial" w:eastAsia="Times New Roman" w:hAnsi="Arial" w:cs="Arial"/>
          <w:sz w:val="24"/>
          <w:szCs w:val="24"/>
        </w:rPr>
        <w:t xml:space="preserve">  </w:t>
      </w:r>
      <w:r>
        <w:rPr>
          <w:rFonts w:ascii="Arial" w:eastAsia="Times New Roman" w:hAnsi="Arial" w:cs="Arial"/>
          <w:sz w:val="24"/>
          <w:szCs w:val="24"/>
        </w:rPr>
        <w:t xml:space="preserve">On </w:t>
      </w:r>
      <w:r w:rsidR="00575078">
        <w:rPr>
          <w:rFonts w:ascii="Arial" w:eastAsia="Times New Roman" w:hAnsi="Arial" w:cs="Arial"/>
          <w:sz w:val="24"/>
          <w:szCs w:val="24"/>
        </w:rPr>
        <w:t>March 13, 2020</w:t>
      </w:r>
      <w:r>
        <w:rPr>
          <w:rFonts w:ascii="Arial" w:eastAsia="Times New Roman" w:hAnsi="Arial" w:cs="Arial"/>
          <w:sz w:val="24"/>
          <w:szCs w:val="24"/>
        </w:rPr>
        <w:t xml:space="preserve"> Student </w:t>
      </w:r>
      <w:r w:rsidR="000876EB">
        <w:rPr>
          <w:rFonts w:ascii="Arial" w:eastAsia="Times New Roman" w:hAnsi="Arial" w:cs="Arial"/>
          <w:sz w:val="24"/>
          <w:szCs w:val="24"/>
        </w:rPr>
        <w:t xml:space="preserve">filed the instant </w:t>
      </w:r>
      <w:r w:rsidR="006123D1" w:rsidRPr="004C6ED2">
        <w:rPr>
          <w:rFonts w:ascii="Arial" w:eastAsia="Times New Roman" w:hAnsi="Arial" w:cs="Arial"/>
          <w:i/>
          <w:sz w:val="24"/>
          <w:szCs w:val="24"/>
        </w:rPr>
        <w:t>Hearing Request</w:t>
      </w:r>
      <w:r w:rsidR="006123D1">
        <w:rPr>
          <w:rFonts w:ascii="Arial" w:eastAsia="Times New Roman" w:hAnsi="Arial" w:cs="Arial"/>
          <w:sz w:val="24"/>
          <w:szCs w:val="24"/>
        </w:rPr>
        <w:t xml:space="preserve"> </w:t>
      </w:r>
      <w:r w:rsidR="00004B20">
        <w:rPr>
          <w:rFonts w:ascii="Arial" w:eastAsia="Times New Roman" w:hAnsi="Arial" w:cs="Arial"/>
          <w:sz w:val="24"/>
          <w:szCs w:val="24"/>
        </w:rPr>
        <w:t>with the Bureau</w:t>
      </w:r>
      <w:r w:rsidR="00B855F3">
        <w:rPr>
          <w:rFonts w:ascii="Arial" w:eastAsia="Times New Roman" w:hAnsi="Arial" w:cs="Arial"/>
          <w:sz w:val="24"/>
          <w:szCs w:val="24"/>
        </w:rPr>
        <w:t xml:space="preserve"> of Special Education Appeals (BSEA</w:t>
      </w:r>
      <w:r w:rsidR="00004B20">
        <w:rPr>
          <w:rFonts w:ascii="Arial" w:eastAsia="Times New Roman" w:hAnsi="Arial" w:cs="Arial"/>
          <w:sz w:val="24"/>
          <w:szCs w:val="24"/>
        </w:rPr>
        <w:t>)</w:t>
      </w:r>
      <w:r w:rsidR="0093202C">
        <w:rPr>
          <w:rFonts w:ascii="Arial" w:eastAsia="Times New Roman" w:hAnsi="Arial" w:cs="Arial"/>
          <w:sz w:val="24"/>
          <w:szCs w:val="24"/>
        </w:rPr>
        <w:t xml:space="preserve"> in which he </w:t>
      </w:r>
      <w:r w:rsidR="000876EB">
        <w:rPr>
          <w:rFonts w:ascii="Arial" w:eastAsia="Times New Roman" w:hAnsi="Arial" w:cs="Arial"/>
          <w:sz w:val="24"/>
          <w:szCs w:val="24"/>
        </w:rPr>
        <w:t>assert</w:t>
      </w:r>
      <w:r w:rsidR="0093202C">
        <w:rPr>
          <w:rFonts w:ascii="Arial" w:eastAsia="Times New Roman" w:hAnsi="Arial" w:cs="Arial"/>
          <w:sz w:val="24"/>
          <w:szCs w:val="24"/>
        </w:rPr>
        <w:t>ed</w:t>
      </w:r>
      <w:r w:rsidR="000876EB">
        <w:rPr>
          <w:rFonts w:ascii="Arial" w:eastAsia="Times New Roman" w:hAnsi="Arial" w:cs="Arial"/>
          <w:sz w:val="24"/>
          <w:szCs w:val="24"/>
        </w:rPr>
        <w:t xml:space="preserve"> claims against both the </w:t>
      </w:r>
      <w:r w:rsidR="00575078">
        <w:rPr>
          <w:rFonts w:ascii="Arial" w:eastAsia="Times New Roman" w:hAnsi="Arial" w:cs="Arial"/>
          <w:sz w:val="24"/>
          <w:szCs w:val="24"/>
        </w:rPr>
        <w:t>Boston</w:t>
      </w:r>
      <w:r w:rsidR="000876EB">
        <w:rPr>
          <w:rFonts w:ascii="Arial" w:eastAsia="Times New Roman" w:hAnsi="Arial" w:cs="Arial"/>
          <w:sz w:val="24"/>
          <w:szCs w:val="24"/>
        </w:rPr>
        <w:t xml:space="preserve"> Public Schools (</w:t>
      </w:r>
      <w:r w:rsidR="00575078">
        <w:rPr>
          <w:rFonts w:ascii="Arial" w:eastAsia="Times New Roman" w:hAnsi="Arial" w:cs="Arial"/>
          <w:sz w:val="24"/>
          <w:szCs w:val="24"/>
        </w:rPr>
        <w:t xml:space="preserve">Boston </w:t>
      </w:r>
      <w:r w:rsidR="000876EB">
        <w:rPr>
          <w:rFonts w:ascii="Arial" w:eastAsia="Times New Roman" w:hAnsi="Arial" w:cs="Arial"/>
          <w:sz w:val="24"/>
          <w:szCs w:val="24"/>
        </w:rPr>
        <w:t xml:space="preserve">or </w:t>
      </w:r>
      <w:r w:rsidR="00575078">
        <w:rPr>
          <w:rFonts w:ascii="Arial" w:eastAsia="Times New Roman" w:hAnsi="Arial" w:cs="Arial"/>
          <w:sz w:val="24"/>
          <w:szCs w:val="24"/>
        </w:rPr>
        <w:t>B</w:t>
      </w:r>
      <w:r w:rsidR="000876EB">
        <w:rPr>
          <w:rFonts w:ascii="Arial" w:eastAsia="Times New Roman" w:hAnsi="Arial" w:cs="Arial"/>
          <w:sz w:val="24"/>
          <w:szCs w:val="24"/>
        </w:rPr>
        <w:t xml:space="preserve">PS) and the </w:t>
      </w:r>
      <w:r w:rsidR="0093202C">
        <w:rPr>
          <w:rFonts w:ascii="Arial" w:eastAsia="Times New Roman" w:hAnsi="Arial" w:cs="Arial"/>
          <w:sz w:val="24"/>
          <w:szCs w:val="24"/>
        </w:rPr>
        <w:t xml:space="preserve">Massachusetts </w:t>
      </w:r>
      <w:r w:rsidR="000876EB">
        <w:rPr>
          <w:rFonts w:ascii="Arial" w:eastAsia="Times New Roman" w:hAnsi="Arial" w:cs="Arial"/>
          <w:sz w:val="24"/>
          <w:szCs w:val="24"/>
        </w:rPr>
        <w:t xml:space="preserve">Department of Elementary and Secondary Education (DESE).  </w:t>
      </w:r>
    </w:p>
    <w:p w14:paraId="69F43D61" w14:textId="77777777" w:rsidR="0093202C" w:rsidRDefault="0093202C" w:rsidP="008E71A4">
      <w:pPr>
        <w:spacing w:after="0" w:line="240" w:lineRule="auto"/>
        <w:ind w:firstLine="720"/>
        <w:rPr>
          <w:rFonts w:ascii="Arial" w:eastAsia="Times New Roman" w:hAnsi="Arial" w:cs="Arial"/>
          <w:sz w:val="24"/>
          <w:szCs w:val="24"/>
        </w:rPr>
      </w:pPr>
    </w:p>
    <w:p w14:paraId="140A4A28" w14:textId="715A73A2" w:rsidR="00F33A28" w:rsidRDefault="0093202C" w:rsidP="00F33A28">
      <w:pPr>
        <w:spacing w:after="0" w:line="240" w:lineRule="auto"/>
        <w:ind w:firstLine="720"/>
        <w:rPr>
          <w:rFonts w:ascii="Arial" w:eastAsia="Times New Roman" w:hAnsi="Arial" w:cs="Arial"/>
          <w:sz w:val="24"/>
          <w:szCs w:val="24"/>
        </w:rPr>
      </w:pPr>
      <w:r>
        <w:rPr>
          <w:rFonts w:ascii="Arial" w:eastAsia="Times New Roman" w:hAnsi="Arial" w:cs="Arial"/>
          <w:sz w:val="24"/>
          <w:szCs w:val="24"/>
        </w:rPr>
        <w:t xml:space="preserve">Student’s hearing request alleged, among other things, that Student has been denied a free, appropriate public education (FAPE) during his time in DYS custody.  The relevant portions of Student’s claim for relief included (A) an appropriate placement and Individualized Education </w:t>
      </w:r>
      <w:r w:rsidRPr="000A6682">
        <w:rPr>
          <w:rFonts w:ascii="Arial" w:eastAsia="Times New Roman" w:hAnsi="Arial" w:cs="Arial"/>
          <w:sz w:val="24"/>
          <w:szCs w:val="24"/>
        </w:rPr>
        <w:t>P</w:t>
      </w:r>
      <w:r w:rsidR="000F6B4F" w:rsidRPr="000A6682">
        <w:rPr>
          <w:rFonts w:ascii="Arial" w:eastAsia="Times New Roman" w:hAnsi="Arial" w:cs="Arial"/>
          <w:sz w:val="24"/>
          <w:szCs w:val="24"/>
        </w:rPr>
        <w:t>rogram</w:t>
      </w:r>
      <w:r w:rsidR="000F6B4F">
        <w:rPr>
          <w:rFonts w:ascii="Arial" w:eastAsia="Times New Roman" w:hAnsi="Arial" w:cs="Arial"/>
          <w:sz w:val="24"/>
          <w:szCs w:val="24"/>
        </w:rPr>
        <w:t xml:space="preserve"> </w:t>
      </w:r>
      <w:r>
        <w:rPr>
          <w:rFonts w:ascii="Arial" w:eastAsia="Times New Roman" w:hAnsi="Arial" w:cs="Arial"/>
          <w:sz w:val="24"/>
          <w:szCs w:val="24"/>
        </w:rPr>
        <w:t>(IEP), (B) provision of all special education services in his most recently accepted IEP for the duration of time in DYS custody</w:t>
      </w:r>
      <w:r w:rsidR="003104E8">
        <w:rPr>
          <w:rFonts w:ascii="Arial" w:eastAsia="Times New Roman" w:hAnsi="Arial" w:cs="Arial"/>
          <w:sz w:val="24"/>
          <w:szCs w:val="24"/>
        </w:rPr>
        <w:t xml:space="preserve">; and (C) compensatory services corresponding to time Student “spent and/or will spend not receiving FAPE.”  </w:t>
      </w:r>
    </w:p>
    <w:p w14:paraId="2D1B43DF" w14:textId="77777777" w:rsidR="00144783" w:rsidRDefault="00144783" w:rsidP="00F33A28">
      <w:pPr>
        <w:spacing w:after="0" w:line="240" w:lineRule="auto"/>
        <w:ind w:firstLine="720"/>
        <w:rPr>
          <w:rFonts w:ascii="Arial" w:eastAsia="Times New Roman" w:hAnsi="Arial" w:cs="Arial"/>
          <w:sz w:val="24"/>
          <w:szCs w:val="24"/>
        </w:rPr>
      </w:pPr>
    </w:p>
    <w:p w14:paraId="0A078261" w14:textId="47D6B8D7" w:rsidR="00144783" w:rsidRDefault="00144783" w:rsidP="00F33A28">
      <w:pPr>
        <w:spacing w:after="0" w:line="240" w:lineRule="auto"/>
        <w:ind w:firstLine="720"/>
        <w:rPr>
          <w:rFonts w:ascii="Arial" w:eastAsia="Times New Roman" w:hAnsi="Arial" w:cs="Arial"/>
          <w:sz w:val="24"/>
          <w:szCs w:val="24"/>
        </w:rPr>
      </w:pPr>
      <w:r>
        <w:rPr>
          <w:rFonts w:ascii="Arial" w:eastAsia="Times New Roman" w:hAnsi="Arial" w:cs="Arial"/>
          <w:sz w:val="24"/>
          <w:szCs w:val="24"/>
        </w:rPr>
        <w:t xml:space="preserve">On March 30, 2020, DESE sought dismissal of all of Student’s claims against it in a </w:t>
      </w:r>
      <w:r w:rsidRPr="00144783">
        <w:rPr>
          <w:rFonts w:ascii="Arial" w:eastAsia="Times New Roman" w:hAnsi="Arial" w:cs="Arial"/>
          <w:i/>
          <w:sz w:val="24"/>
          <w:szCs w:val="24"/>
        </w:rPr>
        <w:t>Motion to Dismiss for Failure to State a Claim Upon Which Relief Can Be Granted</w:t>
      </w:r>
      <w:r>
        <w:rPr>
          <w:rFonts w:ascii="Arial" w:eastAsia="Times New Roman" w:hAnsi="Arial" w:cs="Arial"/>
          <w:sz w:val="24"/>
          <w:szCs w:val="24"/>
        </w:rPr>
        <w:t xml:space="preserve">.  In its </w:t>
      </w:r>
      <w:r w:rsidRPr="00144783">
        <w:rPr>
          <w:rFonts w:ascii="Arial" w:eastAsia="Times New Roman" w:hAnsi="Arial" w:cs="Arial"/>
          <w:i/>
          <w:sz w:val="24"/>
          <w:szCs w:val="24"/>
        </w:rPr>
        <w:t>Motion,</w:t>
      </w:r>
      <w:r>
        <w:rPr>
          <w:rFonts w:ascii="Arial" w:eastAsia="Times New Roman" w:hAnsi="Arial" w:cs="Arial"/>
          <w:sz w:val="24"/>
          <w:szCs w:val="24"/>
        </w:rPr>
        <w:t xml:space="preserve"> DESE asserted, first, that </w:t>
      </w:r>
      <w:r w:rsidR="00165E30">
        <w:rPr>
          <w:rFonts w:ascii="Arial" w:eastAsia="Times New Roman" w:hAnsi="Arial" w:cs="Arial"/>
          <w:sz w:val="24"/>
          <w:szCs w:val="24"/>
        </w:rPr>
        <w:t>DESE had no obligation to provide the services that Student alleged that he had been denied, and</w:t>
      </w:r>
      <w:r>
        <w:rPr>
          <w:rFonts w:ascii="Arial" w:eastAsia="Times New Roman" w:hAnsi="Arial" w:cs="Arial"/>
          <w:sz w:val="24"/>
          <w:szCs w:val="24"/>
        </w:rPr>
        <w:t xml:space="preserve">, second, that Student failed to allege specific acts or omissions on the part of DESE that denied Student a FAPE.  </w:t>
      </w:r>
    </w:p>
    <w:p w14:paraId="08635C05" w14:textId="77777777" w:rsidR="00144783" w:rsidRDefault="00144783" w:rsidP="00F33A28">
      <w:pPr>
        <w:spacing w:after="0" w:line="240" w:lineRule="auto"/>
        <w:ind w:firstLine="720"/>
        <w:rPr>
          <w:rFonts w:ascii="Arial" w:eastAsia="Times New Roman" w:hAnsi="Arial" w:cs="Arial"/>
          <w:sz w:val="24"/>
          <w:szCs w:val="24"/>
        </w:rPr>
      </w:pPr>
    </w:p>
    <w:p w14:paraId="66CDE0B7" w14:textId="6D113D54" w:rsidR="00144783" w:rsidRDefault="00144783" w:rsidP="00F33A28">
      <w:pPr>
        <w:spacing w:after="0" w:line="240" w:lineRule="auto"/>
        <w:ind w:firstLine="720"/>
        <w:rPr>
          <w:rFonts w:ascii="Arial" w:eastAsia="Times New Roman" w:hAnsi="Arial" w:cs="Arial"/>
          <w:sz w:val="24"/>
          <w:szCs w:val="24"/>
        </w:rPr>
      </w:pPr>
      <w:r>
        <w:rPr>
          <w:rFonts w:ascii="Arial" w:eastAsia="Times New Roman" w:hAnsi="Arial" w:cs="Arial"/>
          <w:sz w:val="24"/>
          <w:szCs w:val="24"/>
        </w:rPr>
        <w:lastRenderedPageBreak/>
        <w:t>On</w:t>
      </w:r>
      <w:r w:rsidR="00CD6F90">
        <w:rPr>
          <w:rFonts w:ascii="Arial" w:eastAsia="Times New Roman" w:hAnsi="Arial" w:cs="Arial"/>
          <w:sz w:val="24"/>
          <w:szCs w:val="24"/>
        </w:rPr>
        <w:t xml:space="preserve"> April 17, 2020, Student and BPS</w:t>
      </w:r>
      <w:r>
        <w:rPr>
          <w:rFonts w:ascii="Arial" w:eastAsia="Times New Roman" w:hAnsi="Arial" w:cs="Arial"/>
          <w:sz w:val="24"/>
          <w:szCs w:val="24"/>
        </w:rPr>
        <w:t xml:space="preserve"> each filed an </w:t>
      </w:r>
      <w:r w:rsidRPr="00B855F3">
        <w:rPr>
          <w:rFonts w:ascii="Arial" w:eastAsia="Times New Roman" w:hAnsi="Arial" w:cs="Arial"/>
          <w:i/>
          <w:sz w:val="24"/>
          <w:szCs w:val="24"/>
        </w:rPr>
        <w:t xml:space="preserve">Opposition </w:t>
      </w:r>
      <w:r>
        <w:rPr>
          <w:rFonts w:ascii="Arial" w:eastAsia="Times New Roman" w:hAnsi="Arial" w:cs="Arial"/>
          <w:sz w:val="24"/>
          <w:szCs w:val="24"/>
        </w:rPr>
        <w:t xml:space="preserve">to DESE’s Motion. </w:t>
      </w:r>
      <w:r w:rsidR="00CD6F90">
        <w:rPr>
          <w:rFonts w:ascii="Arial" w:eastAsia="Times New Roman" w:hAnsi="Arial" w:cs="Arial"/>
          <w:sz w:val="24"/>
          <w:szCs w:val="24"/>
        </w:rPr>
        <w:t xml:space="preserve"> Both parties argued that </w:t>
      </w:r>
      <w:r w:rsidR="00DA672F">
        <w:rPr>
          <w:rFonts w:ascii="Arial" w:eastAsia="Times New Roman" w:hAnsi="Arial" w:cs="Arial"/>
          <w:sz w:val="24"/>
          <w:szCs w:val="24"/>
        </w:rPr>
        <w:t>the BSEA has jurisdiction over DESE as the ultimate guarantor of FAPE for Student pursuant to relevan</w:t>
      </w:r>
      <w:r w:rsidR="00B855F3">
        <w:rPr>
          <w:rFonts w:ascii="Arial" w:eastAsia="Times New Roman" w:hAnsi="Arial" w:cs="Arial"/>
          <w:sz w:val="24"/>
          <w:szCs w:val="24"/>
        </w:rPr>
        <w:t xml:space="preserve">t statutes, and, further, that </w:t>
      </w:r>
      <w:r w:rsidR="00CD6F90">
        <w:rPr>
          <w:rFonts w:ascii="Arial" w:eastAsia="Times New Roman" w:hAnsi="Arial" w:cs="Arial"/>
          <w:sz w:val="24"/>
          <w:szCs w:val="24"/>
        </w:rPr>
        <w:t>Student’s hearing request alleged substantive and procedural violations on the part of DESE which resulted in a deprivation of FAPE</w:t>
      </w:r>
      <w:r w:rsidR="00DA672F">
        <w:rPr>
          <w:rFonts w:ascii="Arial" w:eastAsia="Times New Roman" w:hAnsi="Arial" w:cs="Arial"/>
          <w:sz w:val="24"/>
          <w:szCs w:val="24"/>
        </w:rPr>
        <w:t>.</w:t>
      </w:r>
      <w:r w:rsidR="00165E30">
        <w:rPr>
          <w:rFonts w:ascii="Arial" w:eastAsia="Times New Roman" w:hAnsi="Arial" w:cs="Arial"/>
          <w:sz w:val="24"/>
          <w:szCs w:val="24"/>
        </w:rPr>
        <w:t xml:space="preserve"> </w:t>
      </w:r>
      <w:r w:rsidR="00CD6F90">
        <w:rPr>
          <w:rFonts w:ascii="Arial" w:eastAsia="Times New Roman" w:hAnsi="Arial" w:cs="Arial"/>
          <w:sz w:val="24"/>
          <w:szCs w:val="24"/>
        </w:rPr>
        <w:t xml:space="preserve">  </w:t>
      </w:r>
      <w:r>
        <w:rPr>
          <w:rFonts w:ascii="Arial" w:eastAsia="Times New Roman" w:hAnsi="Arial" w:cs="Arial"/>
          <w:sz w:val="24"/>
          <w:szCs w:val="24"/>
        </w:rPr>
        <w:t xml:space="preserve"> </w:t>
      </w:r>
    </w:p>
    <w:p w14:paraId="6CFF12E2" w14:textId="77777777" w:rsidR="000876EB" w:rsidRDefault="000876EB" w:rsidP="003104E8">
      <w:pPr>
        <w:spacing w:after="0" w:line="240" w:lineRule="auto"/>
        <w:rPr>
          <w:rFonts w:ascii="Arial" w:eastAsia="Times New Roman" w:hAnsi="Arial" w:cs="Arial"/>
          <w:sz w:val="24"/>
          <w:szCs w:val="24"/>
        </w:rPr>
      </w:pPr>
    </w:p>
    <w:p w14:paraId="1456BFB8" w14:textId="1B2B57D1" w:rsidR="00E80350" w:rsidRDefault="00E80350" w:rsidP="00E80350">
      <w:pPr>
        <w:spacing w:after="0" w:line="240" w:lineRule="auto"/>
        <w:ind w:firstLine="720"/>
        <w:jc w:val="center"/>
        <w:rPr>
          <w:rFonts w:ascii="Arial" w:eastAsia="Times New Roman" w:hAnsi="Arial" w:cs="Arial"/>
          <w:b/>
          <w:sz w:val="24"/>
          <w:szCs w:val="24"/>
          <w:u w:val="single"/>
        </w:rPr>
      </w:pPr>
      <w:r>
        <w:rPr>
          <w:rFonts w:ascii="Arial" w:eastAsia="Times New Roman" w:hAnsi="Arial" w:cs="Arial"/>
          <w:b/>
          <w:sz w:val="24"/>
          <w:szCs w:val="24"/>
          <w:u w:val="single"/>
        </w:rPr>
        <w:t>PERTINENT FACTUAL BACKGROUND</w:t>
      </w:r>
    </w:p>
    <w:p w14:paraId="5F05B575" w14:textId="77777777" w:rsidR="00E80350" w:rsidRDefault="00E80350" w:rsidP="00E80350">
      <w:pPr>
        <w:spacing w:after="0" w:line="240" w:lineRule="auto"/>
        <w:ind w:firstLine="720"/>
        <w:jc w:val="center"/>
        <w:rPr>
          <w:rFonts w:ascii="Arial" w:eastAsia="Times New Roman" w:hAnsi="Arial" w:cs="Arial"/>
          <w:b/>
          <w:sz w:val="24"/>
          <w:szCs w:val="24"/>
          <w:u w:val="single"/>
        </w:rPr>
      </w:pPr>
    </w:p>
    <w:p w14:paraId="790F2B82" w14:textId="325EEC09" w:rsidR="00A8751C" w:rsidRDefault="00A8751C" w:rsidP="00A8751C">
      <w:pPr>
        <w:spacing w:after="0" w:line="240" w:lineRule="auto"/>
        <w:ind w:firstLine="720"/>
        <w:rPr>
          <w:rFonts w:ascii="Arial" w:eastAsia="Times New Roman" w:hAnsi="Arial" w:cs="Arial"/>
          <w:sz w:val="24"/>
          <w:szCs w:val="24"/>
        </w:rPr>
      </w:pPr>
      <w:r>
        <w:rPr>
          <w:rFonts w:ascii="Arial" w:eastAsia="Times New Roman" w:hAnsi="Arial" w:cs="Arial"/>
          <w:sz w:val="24"/>
          <w:szCs w:val="24"/>
        </w:rPr>
        <w:t xml:space="preserve">For purposes of </w:t>
      </w:r>
      <w:r w:rsidR="00CA2AC8">
        <w:rPr>
          <w:rFonts w:ascii="Arial" w:eastAsia="Times New Roman" w:hAnsi="Arial" w:cs="Arial"/>
          <w:sz w:val="24"/>
          <w:szCs w:val="24"/>
        </w:rPr>
        <w:t xml:space="preserve">this </w:t>
      </w:r>
      <w:r w:rsidR="00CA2AC8" w:rsidRPr="00CA2AC8">
        <w:rPr>
          <w:rFonts w:ascii="Arial" w:eastAsia="Times New Roman" w:hAnsi="Arial" w:cs="Arial"/>
          <w:i/>
          <w:sz w:val="24"/>
          <w:szCs w:val="24"/>
        </w:rPr>
        <w:t>Ruling</w:t>
      </w:r>
      <w:r>
        <w:rPr>
          <w:rFonts w:ascii="Arial" w:eastAsia="Times New Roman" w:hAnsi="Arial" w:cs="Arial"/>
          <w:sz w:val="24"/>
          <w:szCs w:val="24"/>
        </w:rPr>
        <w:t xml:space="preserve"> the following assertions are considered to be true and</w:t>
      </w:r>
      <w:r w:rsidR="00DA672F">
        <w:rPr>
          <w:rFonts w:ascii="Arial" w:eastAsia="Times New Roman" w:hAnsi="Arial" w:cs="Arial"/>
          <w:sz w:val="24"/>
          <w:szCs w:val="24"/>
        </w:rPr>
        <w:t xml:space="preserve"> construed in favor of the parties</w:t>
      </w:r>
      <w:r>
        <w:rPr>
          <w:rFonts w:ascii="Arial" w:eastAsia="Times New Roman" w:hAnsi="Arial" w:cs="Arial"/>
          <w:sz w:val="24"/>
          <w:szCs w:val="24"/>
        </w:rPr>
        <w:t xml:space="preserve"> opposing dismissal, namely, the </w:t>
      </w:r>
      <w:r w:rsidR="00DA672F">
        <w:rPr>
          <w:rFonts w:ascii="Arial" w:eastAsia="Times New Roman" w:hAnsi="Arial" w:cs="Arial"/>
          <w:sz w:val="24"/>
          <w:szCs w:val="24"/>
        </w:rPr>
        <w:t>Student and BPS</w:t>
      </w:r>
    </w:p>
    <w:p w14:paraId="56050A8B" w14:textId="77777777" w:rsidR="00A8751C" w:rsidRDefault="00A8751C" w:rsidP="00A8751C">
      <w:pPr>
        <w:spacing w:after="0" w:line="240" w:lineRule="auto"/>
        <w:ind w:firstLine="720"/>
        <w:rPr>
          <w:rFonts w:ascii="Arial" w:eastAsia="Times New Roman" w:hAnsi="Arial" w:cs="Arial"/>
          <w:sz w:val="24"/>
          <w:szCs w:val="24"/>
        </w:rPr>
      </w:pPr>
    </w:p>
    <w:p w14:paraId="1A725B21" w14:textId="1755876B" w:rsidR="000F0783" w:rsidRPr="00B951B7" w:rsidRDefault="00195153" w:rsidP="00B951B7">
      <w:pPr>
        <w:pStyle w:val="ListParagraph"/>
        <w:numPr>
          <w:ilvl w:val="0"/>
          <w:numId w:val="5"/>
        </w:numPr>
        <w:spacing w:after="0" w:line="240" w:lineRule="auto"/>
        <w:rPr>
          <w:rFonts w:ascii="Arial" w:eastAsia="Times New Roman" w:hAnsi="Arial" w:cs="Arial"/>
          <w:sz w:val="24"/>
          <w:szCs w:val="24"/>
        </w:rPr>
      </w:pPr>
      <w:r>
        <w:rPr>
          <w:rFonts w:ascii="Arial" w:eastAsia="Times New Roman" w:hAnsi="Arial" w:cs="Arial"/>
          <w:sz w:val="24"/>
          <w:szCs w:val="24"/>
        </w:rPr>
        <w:t>Student is</w:t>
      </w:r>
      <w:r w:rsidR="000F6B4F">
        <w:rPr>
          <w:rFonts w:ascii="Arial" w:eastAsia="Times New Roman" w:hAnsi="Arial" w:cs="Arial"/>
          <w:sz w:val="24"/>
          <w:szCs w:val="24"/>
        </w:rPr>
        <w:t xml:space="preserve"> </w:t>
      </w:r>
      <w:r w:rsidR="000F6B4F" w:rsidRPr="000A6682">
        <w:rPr>
          <w:rFonts w:ascii="Arial" w:eastAsia="Times New Roman" w:hAnsi="Arial" w:cs="Arial"/>
          <w:sz w:val="24"/>
          <w:szCs w:val="24"/>
        </w:rPr>
        <w:t>a</w:t>
      </w:r>
      <w:r>
        <w:rPr>
          <w:rFonts w:ascii="Arial" w:eastAsia="Times New Roman" w:hAnsi="Arial" w:cs="Arial"/>
          <w:sz w:val="24"/>
          <w:szCs w:val="24"/>
        </w:rPr>
        <w:t xml:space="preserve"> </w:t>
      </w:r>
      <w:r w:rsidR="00DA672F">
        <w:rPr>
          <w:rFonts w:ascii="Arial" w:eastAsia="Times New Roman" w:hAnsi="Arial" w:cs="Arial"/>
          <w:sz w:val="24"/>
          <w:szCs w:val="24"/>
        </w:rPr>
        <w:t>nineteen-</w:t>
      </w:r>
      <w:r>
        <w:rPr>
          <w:rFonts w:ascii="Arial" w:eastAsia="Times New Roman" w:hAnsi="Arial" w:cs="Arial"/>
          <w:sz w:val="24"/>
          <w:szCs w:val="24"/>
        </w:rPr>
        <w:t xml:space="preserve"> </w:t>
      </w:r>
      <w:r w:rsidR="00AC3F55">
        <w:rPr>
          <w:rFonts w:ascii="Arial" w:eastAsia="Times New Roman" w:hAnsi="Arial" w:cs="Arial"/>
          <w:sz w:val="24"/>
          <w:szCs w:val="24"/>
        </w:rPr>
        <w:t>year-</w:t>
      </w:r>
      <w:r w:rsidR="000F0783" w:rsidRPr="00B951B7">
        <w:rPr>
          <w:rFonts w:ascii="Arial" w:eastAsia="Times New Roman" w:hAnsi="Arial" w:cs="Arial"/>
          <w:sz w:val="24"/>
          <w:szCs w:val="24"/>
        </w:rPr>
        <w:t>old individual with disabilities</w:t>
      </w:r>
      <w:r w:rsidR="00CD21C9">
        <w:rPr>
          <w:rFonts w:ascii="Arial" w:eastAsia="Times New Roman" w:hAnsi="Arial" w:cs="Arial"/>
          <w:sz w:val="24"/>
          <w:szCs w:val="24"/>
        </w:rPr>
        <w:t xml:space="preserve">. </w:t>
      </w:r>
      <w:r w:rsidR="000F0783" w:rsidRPr="00B951B7">
        <w:rPr>
          <w:rFonts w:ascii="Arial" w:eastAsia="Times New Roman" w:hAnsi="Arial" w:cs="Arial"/>
          <w:sz w:val="24"/>
          <w:szCs w:val="24"/>
        </w:rPr>
        <w:t>There is no dispute that Student is eligible for special educa</w:t>
      </w:r>
      <w:r w:rsidR="00081EF8" w:rsidRPr="00B951B7">
        <w:rPr>
          <w:rFonts w:ascii="Arial" w:eastAsia="Times New Roman" w:hAnsi="Arial" w:cs="Arial"/>
          <w:sz w:val="24"/>
          <w:szCs w:val="24"/>
        </w:rPr>
        <w:t>tion and related servi</w:t>
      </w:r>
      <w:r w:rsidR="00D82875" w:rsidRPr="00B951B7">
        <w:rPr>
          <w:rFonts w:ascii="Arial" w:eastAsia="Times New Roman" w:hAnsi="Arial" w:cs="Arial"/>
          <w:sz w:val="24"/>
          <w:szCs w:val="24"/>
        </w:rPr>
        <w:t xml:space="preserve">ces pursuant to applicable federal and state law.  There also is no dispute that Student is a resident of </w:t>
      </w:r>
      <w:r w:rsidR="00DA672F">
        <w:rPr>
          <w:rFonts w:ascii="Arial" w:eastAsia="Times New Roman" w:hAnsi="Arial" w:cs="Arial"/>
          <w:sz w:val="24"/>
          <w:szCs w:val="24"/>
        </w:rPr>
        <w:t xml:space="preserve">Boston, </w:t>
      </w:r>
      <w:r w:rsidR="00D82875" w:rsidRPr="00B951B7">
        <w:rPr>
          <w:rFonts w:ascii="Arial" w:eastAsia="Times New Roman" w:hAnsi="Arial" w:cs="Arial"/>
          <w:sz w:val="24"/>
          <w:szCs w:val="24"/>
        </w:rPr>
        <w:t>and that</w:t>
      </w:r>
      <w:r w:rsidR="00991F32" w:rsidRPr="00B951B7">
        <w:rPr>
          <w:rFonts w:ascii="Arial" w:eastAsia="Times New Roman" w:hAnsi="Arial" w:cs="Arial"/>
          <w:sz w:val="24"/>
          <w:szCs w:val="24"/>
        </w:rPr>
        <w:t xml:space="preserve"> </w:t>
      </w:r>
      <w:r w:rsidR="00DA672F">
        <w:rPr>
          <w:rFonts w:ascii="Arial" w:eastAsia="Times New Roman" w:hAnsi="Arial" w:cs="Arial"/>
          <w:sz w:val="24"/>
          <w:szCs w:val="24"/>
        </w:rPr>
        <w:t>BPS</w:t>
      </w:r>
      <w:r w:rsidR="00991F32" w:rsidRPr="00B951B7">
        <w:rPr>
          <w:rFonts w:ascii="Arial" w:eastAsia="Times New Roman" w:hAnsi="Arial" w:cs="Arial"/>
          <w:sz w:val="24"/>
          <w:szCs w:val="24"/>
        </w:rPr>
        <w:t xml:space="preserve"> is the Local Education Authority (LEA) responsible for providing Student’s special education services.  For reasons discussed below, </w:t>
      </w:r>
      <w:r w:rsidR="00DA672F">
        <w:rPr>
          <w:rFonts w:ascii="Arial" w:eastAsia="Times New Roman" w:hAnsi="Arial" w:cs="Arial"/>
          <w:sz w:val="24"/>
          <w:szCs w:val="24"/>
        </w:rPr>
        <w:t xml:space="preserve">BPS </w:t>
      </w:r>
      <w:r w:rsidR="00991F32" w:rsidRPr="00B951B7">
        <w:rPr>
          <w:rFonts w:ascii="Arial" w:eastAsia="Times New Roman" w:hAnsi="Arial" w:cs="Arial"/>
          <w:sz w:val="24"/>
          <w:szCs w:val="24"/>
        </w:rPr>
        <w:t xml:space="preserve">currently shares this responsibility with the DESE’s </w:t>
      </w:r>
      <w:r w:rsidR="000F6B4F" w:rsidRPr="000A6682">
        <w:rPr>
          <w:rFonts w:ascii="Arial" w:eastAsia="Times New Roman" w:hAnsi="Arial" w:cs="Arial"/>
          <w:sz w:val="24"/>
          <w:szCs w:val="24"/>
        </w:rPr>
        <w:t>D</w:t>
      </w:r>
      <w:r w:rsidR="00991F32" w:rsidRPr="000A6682">
        <w:rPr>
          <w:rFonts w:ascii="Arial" w:eastAsia="Times New Roman" w:hAnsi="Arial" w:cs="Arial"/>
          <w:sz w:val="24"/>
          <w:szCs w:val="24"/>
        </w:rPr>
        <w:t>ivision</w:t>
      </w:r>
      <w:r w:rsidR="00991F32" w:rsidRPr="00B951B7">
        <w:rPr>
          <w:rFonts w:ascii="Arial" w:eastAsia="Times New Roman" w:hAnsi="Arial" w:cs="Arial"/>
          <w:sz w:val="24"/>
          <w:szCs w:val="24"/>
        </w:rPr>
        <w:t xml:space="preserve"> of Special Education in Institutional Settings (SEIS).</w:t>
      </w:r>
      <w:r w:rsidR="00A3036D">
        <w:rPr>
          <w:rStyle w:val="FootnoteReference"/>
          <w:rFonts w:ascii="Arial" w:eastAsia="Times New Roman" w:hAnsi="Arial" w:cs="Arial"/>
          <w:sz w:val="24"/>
          <w:szCs w:val="24"/>
        </w:rPr>
        <w:footnoteReference w:id="1"/>
      </w:r>
      <w:r w:rsidR="00991F32" w:rsidRPr="00B951B7">
        <w:rPr>
          <w:rFonts w:ascii="Arial" w:eastAsia="Times New Roman" w:hAnsi="Arial" w:cs="Arial"/>
          <w:sz w:val="24"/>
          <w:szCs w:val="24"/>
        </w:rPr>
        <w:t xml:space="preserve"> </w:t>
      </w:r>
      <w:r w:rsidR="00081EF8" w:rsidRPr="00B951B7">
        <w:rPr>
          <w:rFonts w:ascii="Arial" w:eastAsia="Times New Roman" w:hAnsi="Arial" w:cs="Arial"/>
          <w:sz w:val="24"/>
          <w:szCs w:val="24"/>
        </w:rPr>
        <w:t xml:space="preserve">  </w:t>
      </w:r>
      <w:r w:rsidR="000F0783" w:rsidRPr="00B951B7">
        <w:rPr>
          <w:rFonts w:ascii="Arial" w:eastAsia="Times New Roman" w:hAnsi="Arial" w:cs="Arial"/>
          <w:sz w:val="24"/>
          <w:szCs w:val="24"/>
        </w:rPr>
        <w:t xml:space="preserve">  </w:t>
      </w:r>
    </w:p>
    <w:p w14:paraId="33E7A578" w14:textId="77777777" w:rsidR="006B2F48" w:rsidRPr="006B2F48" w:rsidRDefault="006B2F48" w:rsidP="006B2F48">
      <w:pPr>
        <w:spacing w:after="0" w:line="240" w:lineRule="auto"/>
        <w:rPr>
          <w:rFonts w:ascii="Arial" w:eastAsia="Times New Roman" w:hAnsi="Arial" w:cs="Arial"/>
          <w:sz w:val="24"/>
          <w:szCs w:val="24"/>
        </w:rPr>
      </w:pPr>
    </w:p>
    <w:p w14:paraId="3633A40C" w14:textId="04260864" w:rsidR="00B951B7" w:rsidRDefault="00EF58AF" w:rsidP="00B951B7">
      <w:pPr>
        <w:pStyle w:val="ListParagraph"/>
        <w:numPr>
          <w:ilvl w:val="0"/>
          <w:numId w:val="5"/>
        </w:numPr>
        <w:spacing w:after="0" w:line="240" w:lineRule="auto"/>
        <w:rPr>
          <w:rFonts w:ascii="Arial" w:eastAsia="Times New Roman" w:hAnsi="Arial" w:cs="Arial"/>
          <w:sz w:val="24"/>
          <w:szCs w:val="24"/>
        </w:rPr>
      </w:pPr>
      <w:r>
        <w:rPr>
          <w:rFonts w:ascii="Arial" w:eastAsia="Times New Roman" w:hAnsi="Arial" w:cs="Arial"/>
          <w:sz w:val="24"/>
          <w:szCs w:val="24"/>
        </w:rPr>
        <w:t xml:space="preserve">Student moved to Massachusetts from Puerto Rico in 2015 and enrolled in the Boston Public Schools (BPS) in or around October 2015.  Shortly thereafter, </w:t>
      </w:r>
      <w:r w:rsidR="00934413">
        <w:rPr>
          <w:rFonts w:ascii="Arial" w:eastAsia="Times New Roman" w:hAnsi="Arial" w:cs="Arial"/>
          <w:sz w:val="24"/>
          <w:szCs w:val="24"/>
        </w:rPr>
        <w:t>BPS conducte</w:t>
      </w:r>
      <w:r>
        <w:rPr>
          <w:rFonts w:ascii="Arial" w:eastAsia="Times New Roman" w:hAnsi="Arial" w:cs="Arial"/>
          <w:sz w:val="24"/>
          <w:szCs w:val="24"/>
        </w:rPr>
        <w:t xml:space="preserve">d special education evaluations.  </w:t>
      </w:r>
      <w:r w:rsidR="00934413">
        <w:rPr>
          <w:rFonts w:ascii="Arial" w:eastAsia="Times New Roman" w:hAnsi="Arial" w:cs="Arial"/>
          <w:sz w:val="24"/>
          <w:szCs w:val="24"/>
        </w:rPr>
        <w:t xml:space="preserve">In March 2016, BPS found Student eligible for an IEP based on an emotional impairment.  </w:t>
      </w:r>
      <w:r w:rsidR="008958B1">
        <w:rPr>
          <w:rFonts w:ascii="Arial" w:eastAsia="Times New Roman" w:hAnsi="Arial" w:cs="Arial"/>
          <w:sz w:val="24"/>
          <w:szCs w:val="24"/>
        </w:rPr>
        <w:t xml:space="preserve">Initially Student was placed in a substantially separate classroom at Brighton High School.  Subsequently, in March 2017, BPS placed Student at McKinley Preparatory High School, first for an extended evaluation and then, for the 2017-2018 school year (tenth grade), as a full time student.  </w:t>
      </w:r>
      <w:r>
        <w:rPr>
          <w:rFonts w:ascii="Arial" w:eastAsia="Times New Roman" w:hAnsi="Arial" w:cs="Arial"/>
          <w:sz w:val="24"/>
          <w:szCs w:val="24"/>
        </w:rPr>
        <w:t>Parent and Student allege that Student did not make effective progress at McKinley Prep.</w:t>
      </w:r>
      <w:r w:rsidR="002E1F6B">
        <w:rPr>
          <w:rFonts w:ascii="Arial" w:eastAsia="Times New Roman" w:hAnsi="Arial" w:cs="Arial"/>
          <w:sz w:val="24"/>
          <w:szCs w:val="24"/>
        </w:rPr>
        <w:t xml:space="preserve"> </w:t>
      </w:r>
    </w:p>
    <w:p w14:paraId="0877E48A" w14:textId="77777777" w:rsidR="008958B1" w:rsidRPr="008958B1" w:rsidRDefault="008958B1" w:rsidP="008958B1">
      <w:pPr>
        <w:pStyle w:val="ListParagraph"/>
        <w:rPr>
          <w:rFonts w:ascii="Arial" w:eastAsia="Times New Roman" w:hAnsi="Arial" w:cs="Arial"/>
          <w:sz w:val="24"/>
          <w:szCs w:val="24"/>
        </w:rPr>
      </w:pPr>
    </w:p>
    <w:p w14:paraId="191F6F13" w14:textId="2A18721D" w:rsidR="002E1F6B" w:rsidRDefault="00EF58AF" w:rsidP="00EF58AF">
      <w:pPr>
        <w:pStyle w:val="ListParagraph"/>
        <w:numPr>
          <w:ilvl w:val="0"/>
          <w:numId w:val="5"/>
        </w:numPr>
        <w:spacing w:after="0" w:line="240" w:lineRule="auto"/>
        <w:rPr>
          <w:rFonts w:ascii="Arial" w:eastAsia="Times New Roman" w:hAnsi="Arial" w:cs="Arial"/>
          <w:sz w:val="24"/>
          <w:szCs w:val="24"/>
        </w:rPr>
      </w:pPr>
      <w:r>
        <w:rPr>
          <w:rFonts w:ascii="Arial" w:eastAsia="Times New Roman" w:hAnsi="Arial" w:cs="Arial"/>
          <w:sz w:val="24"/>
          <w:szCs w:val="24"/>
        </w:rPr>
        <w:t xml:space="preserve">Student’s native language is Spanish.  When Student entered BPS, the District designated him as a “Level 1” ELL student, </w:t>
      </w:r>
      <w:r w:rsidR="00B71606">
        <w:rPr>
          <w:rFonts w:ascii="Arial" w:eastAsia="Times New Roman" w:hAnsi="Arial" w:cs="Arial"/>
          <w:sz w:val="24"/>
          <w:szCs w:val="24"/>
        </w:rPr>
        <w:t>because he had</w:t>
      </w:r>
      <w:r>
        <w:rPr>
          <w:rFonts w:ascii="Arial" w:eastAsia="Times New Roman" w:hAnsi="Arial" w:cs="Arial"/>
          <w:sz w:val="24"/>
          <w:szCs w:val="24"/>
        </w:rPr>
        <w:t xml:space="preserve"> scored “zero” on tests of English proficiency.  </w:t>
      </w:r>
      <w:r w:rsidR="00B71606">
        <w:rPr>
          <w:rFonts w:ascii="Arial" w:eastAsia="Times New Roman" w:hAnsi="Arial" w:cs="Arial"/>
          <w:sz w:val="24"/>
          <w:szCs w:val="24"/>
        </w:rPr>
        <w:t>Five years later, i</w:t>
      </w:r>
      <w:r>
        <w:rPr>
          <w:rFonts w:ascii="Arial" w:eastAsia="Times New Roman" w:hAnsi="Arial" w:cs="Arial"/>
          <w:sz w:val="24"/>
          <w:szCs w:val="24"/>
        </w:rPr>
        <w:t xml:space="preserve">n January 2020, testing revealed that Student’s English was at a “Level 2” for oral language and “Level 1.5” for literacy and overall English language skills.  A score of “4” is considered proficient.  </w:t>
      </w:r>
      <w:r w:rsidR="00B71606">
        <w:rPr>
          <w:rFonts w:ascii="Arial" w:eastAsia="Times New Roman" w:hAnsi="Arial" w:cs="Arial"/>
          <w:sz w:val="24"/>
          <w:szCs w:val="24"/>
        </w:rPr>
        <w:t xml:space="preserve">Student alleged that his lack of English proficiency, and what he experienced as insufficient language support, made him feel isolated and frustrated, and contributed to the lack of progress referred to above.    </w:t>
      </w:r>
      <w:r w:rsidR="002E1F6B">
        <w:rPr>
          <w:rFonts w:ascii="Arial" w:eastAsia="Times New Roman" w:hAnsi="Arial" w:cs="Arial"/>
          <w:sz w:val="24"/>
          <w:szCs w:val="24"/>
        </w:rPr>
        <w:t xml:space="preserve">  </w:t>
      </w:r>
    </w:p>
    <w:p w14:paraId="7E277E09" w14:textId="77777777" w:rsidR="002E1F6B" w:rsidRPr="002E1F6B" w:rsidRDefault="002E1F6B" w:rsidP="002E1F6B">
      <w:pPr>
        <w:pStyle w:val="ListParagraph"/>
        <w:rPr>
          <w:rFonts w:ascii="Arial" w:eastAsia="Times New Roman" w:hAnsi="Arial" w:cs="Arial"/>
          <w:sz w:val="24"/>
          <w:szCs w:val="24"/>
        </w:rPr>
      </w:pPr>
    </w:p>
    <w:p w14:paraId="04A01F83" w14:textId="05D8E904" w:rsidR="00EF58AF" w:rsidRDefault="00EF58AF" w:rsidP="00EF58AF">
      <w:pPr>
        <w:pStyle w:val="ListParagraph"/>
        <w:numPr>
          <w:ilvl w:val="0"/>
          <w:numId w:val="5"/>
        </w:numPr>
        <w:spacing w:after="0" w:line="240" w:lineRule="auto"/>
        <w:rPr>
          <w:rFonts w:ascii="Arial" w:eastAsia="Times New Roman" w:hAnsi="Arial" w:cs="Arial"/>
          <w:sz w:val="24"/>
          <w:szCs w:val="24"/>
        </w:rPr>
      </w:pPr>
      <w:r>
        <w:rPr>
          <w:rFonts w:ascii="Arial" w:eastAsia="Times New Roman" w:hAnsi="Arial" w:cs="Arial"/>
          <w:sz w:val="24"/>
          <w:szCs w:val="24"/>
        </w:rPr>
        <w:t xml:space="preserve"> </w:t>
      </w:r>
      <w:r w:rsidR="00B71606">
        <w:rPr>
          <w:rFonts w:ascii="Arial" w:eastAsia="Times New Roman" w:hAnsi="Arial" w:cs="Arial"/>
          <w:sz w:val="24"/>
          <w:szCs w:val="24"/>
        </w:rPr>
        <w:t xml:space="preserve">On or about February 16, 2018, Student was detained in a DYS facility.  On or about April 23, 2019, Student was committed to DYS, with anticipated release in July 2020.  </w:t>
      </w:r>
      <w:r w:rsidR="002A2012">
        <w:rPr>
          <w:rFonts w:ascii="Arial" w:eastAsia="Times New Roman" w:hAnsi="Arial" w:cs="Arial"/>
          <w:sz w:val="24"/>
          <w:szCs w:val="24"/>
        </w:rPr>
        <w:t xml:space="preserve">On information and belief, Student has been in the physical custody of DYS since he was first detained in </w:t>
      </w:r>
      <w:proofErr w:type="gramStart"/>
      <w:r w:rsidR="002A2012">
        <w:rPr>
          <w:rFonts w:ascii="Arial" w:eastAsia="Times New Roman" w:hAnsi="Arial" w:cs="Arial"/>
          <w:sz w:val="24"/>
          <w:szCs w:val="24"/>
        </w:rPr>
        <w:t>February 2018, and</w:t>
      </w:r>
      <w:proofErr w:type="gramEnd"/>
      <w:r w:rsidR="002A2012">
        <w:rPr>
          <w:rFonts w:ascii="Arial" w:eastAsia="Times New Roman" w:hAnsi="Arial" w:cs="Arial"/>
          <w:sz w:val="24"/>
          <w:szCs w:val="24"/>
        </w:rPr>
        <w:t xml:space="preserve"> has been housed In var</w:t>
      </w:r>
      <w:r w:rsidR="00A3036D">
        <w:rPr>
          <w:rFonts w:ascii="Arial" w:eastAsia="Times New Roman" w:hAnsi="Arial" w:cs="Arial"/>
          <w:sz w:val="24"/>
          <w:szCs w:val="24"/>
        </w:rPr>
        <w:t>ious DYS residential facilities since that time.</w:t>
      </w:r>
    </w:p>
    <w:p w14:paraId="61C6EC97" w14:textId="77777777" w:rsidR="00B71606" w:rsidRPr="00B71606" w:rsidRDefault="00B71606" w:rsidP="00B71606">
      <w:pPr>
        <w:pStyle w:val="ListParagraph"/>
        <w:rPr>
          <w:rFonts w:ascii="Arial" w:eastAsia="Times New Roman" w:hAnsi="Arial" w:cs="Arial"/>
          <w:sz w:val="24"/>
          <w:szCs w:val="24"/>
        </w:rPr>
      </w:pPr>
    </w:p>
    <w:p w14:paraId="2AF77161" w14:textId="4738C0E7" w:rsidR="002A2012" w:rsidRDefault="002A2012" w:rsidP="00EF58AF">
      <w:pPr>
        <w:pStyle w:val="ListParagraph"/>
        <w:numPr>
          <w:ilvl w:val="0"/>
          <w:numId w:val="5"/>
        </w:numPr>
        <w:spacing w:after="0" w:line="240" w:lineRule="auto"/>
        <w:rPr>
          <w:rFonts w:ascii="Arial" w:eastAsia="Times New Roman" w:hAnsi="Arial" w:cs="Arial"/>
          <w:sz w:val="24"/>
          <w:szCs w:val="24"/>
        </w:rPr>
      </w:pPr>
      <w:r>
        <w:rPr>
          <w:rFonts w:ascii="Arial" w:eastAsia="Times New Roman" w:hAnsi="Arial" w:cs="Arial"/>
          <w:sz w:val="24"/>
          <w:szCs w:val="24"/>
        </w:rPr>
        <w:lastRenderedPageBreak/>
        <w:t xml:space="preserve">Since </w:t>
      </w:r>
      <w:r w:rsidR="00B855F3">
        <w:rPr>
          <w:rFonts w:ascii="Arial" w:eastAsia="Times New Roman" w:hAnsi="Arial" w:cs="Arial"/>
          <w:sz w:val="24"/>
          <w:szCs w:val="24"/>
        </w:rPr>
        <w:t>entering</w:t>
      </w:r>
      <w:r>
        <w:rPr>
          <w:rFonts w:ascii="Arial" w:eastAsia="Times New Roman" w:hAnsi="Arial" w:cs="Arial"/>
          <w:sz w:val="24"/>
          <w:szCs w:val="24"/>
        </w:rPr>
        <w:t xml:space="preserve"> DYS custody, pursuant to applicable law, Student has received instruction from the Special Education in Institut</w:t>
      </w:r>
      <w:r w:rsidR="00D939F2">
        <w:rPr>
          <w:rFonts w:ascii="Arial" w:eastAsia="Times New Roman" w:hAnsi="Arial" w:cs="Arial"/>
          <w:sz w:val="24"/>
          <w:szCs w:val="24"/>
        </w:rPr>
        <w:t>ional Settings (“SEIS”)</w:t>
      </w:r>
      <w:r>
        <w:rPr>
          <w:rFonts w:ascii="Arial" w:eastAsia="Times New Roman" w:hAnsi="Arial" w:cs="Arial"/>
          <w:sz w:val="24"/>
          <w:szCs w:val="24"/>
        </w:rPr>
        <w:t xml:space="preserve"> </w:t>
      </w:r>
      <w:r w:rsidRPr="000A6682">
        <w:rPr>
          <w:rFonts w:ascii="Arial" w:eastAsia="Times New Roman" w:hAnsi="Arial" w:cs="Arial"/>
          <w:sz w:val="24"/>
          <w:szCs w:val="24"/>
        </w:rPr>
        <w:t>consistent</w:t>
      </w:r>
      <w:r>
        <w:rPr>
          <w:rFonts w:ascii="Arial" w:eastAsia="Times New Roman" w:hAnsi="Arial" w:cs="Arial"/>
          <w:sz w:val="24"/>
          <w:szCs w:val="24"/>
        </w:rPr>
        <w:t xml:space="preserve"> with his IEP developed by Boston.  SEIS is a program within DESE which is charged with overseeing and providing educational services to eligible students in facilities operated by several</w:t>
      </w:r>
      <w:r w:rsidR="00362233">
        <w:rPr>
          <w:rFonts w:ascii="Arial" w:eastAsia="Times New Roman" w:hAnsi="Arial" w:cs="Arial"/>
          <w:sz w:val="24"/>
          <w:szCs w:val="24"/>
        </w:rPr>
        <w:t xml:space="preserve"> state agencies, including DYS.  </w:t>
      </w:r>
      <w:r>
        <w:rPr>
          <w:rFonts w:ascii="Arial" w:eastAsia="Times New Roman" w:hAnsi="Arial" w:cs="Arial"/>
          <w:sz w:val="24"/>
          <w:szCs w:val="24"/>
        </w:rPr>
        <w:t xml:space="preserve"> </w:t>
      </w:r>
    </w:p>
    <w:p w14:paraId="3B198717" w14:textId="77777777" w:rsidR="002A2012" w:rsidRPr="002A2012" w:rsidRDefault="002A2012" w:rsidP="002A2012">
      <w:pPr>
        <w:pStyle w:val="ListParagraph"/>
        <w:rPr>
          <w:rFonts w:ascii="Arial" w:eastAsia="Times New Roman" w:hAnsi="Arial" w:cs="Arial"/>
          <w:sz w:val="24"/>
          <w:szCs w:val="24"/>
        </w:rPr>
      </w:pPr>
    </w:p>
    <w:p w14:paraId="75EC9376" w14:textId="637E706A" w:rsidR="00232149" w:rsidRDefault="002A2012" w:rsidP="00232149">
      <w:pPr>
        <w:pStyle w:val="ListParagraph"/>
        <w:numPr>
          <w:ilvl w:val="0"/>
          <w:numId w:val="5"/>
        </w:numPr>
        <w:spacing w:after="0" w:line="240" w:lineRule="auto"/>
        <w:rPr>
          <w:rFonts w:ascii="Arial" w:eastAsia="Times New Roman" w:hAnsi="Arial" w:cs="Arial"/>
          <w:sz w:val="24"/>
          <w:szCs w:val="24"/>
        </w:rPr>
      </w:pPr>
      <w:r w:rsidRPr="00362233">
        <w:rPr>
          <w:rFonts w:ascii="Arial" w:eastAsia="Times New Roman" w:hAnsi="Arial" w:cs="Arial"/>
          <w:sz w:val="24"/>
          <w:szCs w:val="24"/>
        </w:rPr>
        <w:t xml:space="preserve"> In May 2018, Boston proposed an IEP for Student covering May 11 2018</w:t>
      </w:r>
      <w:r w:rsidR="00B855F3">
        <w:rPr>
          <w:rFonts w:ascii="Arial" w:eastAsia="Times New Roman" w:hAnsi="Arial" w:cs="Arial"/>
          <w:sz w:val="24"/>
          <w:szCs w:val="24"/>
        </w:rPr>
        <w:t xml:space="preserve"> </w:t>
      </w:r>
      <w:r w:rsidRPr="00362233">
        <w:rPr>
          <w:rFonts w:ascii="Arial" w:eastAsia="Times New Roman" w:hAnsi="Arial" w:cs="Arial"/>
          <w:sz w:val="24"/>
          <w:szCs w:val="24"/>
        </w:rPr>
        <w:t>-</w:t>
      </w:r>
      <w:r w:rsidR="00B855F3">
        <w:rPr>
          <w:rFonts w:ascii="Arial" w:eastAsia="Times New Roman" w:hAnsi="Arial" w:cs="Arial"/>
          <w:sz w:val="24"/>
          <w:szCs w:val="24"/>
        </w:rPr>
        <w:t xml:space="preserve"> </w:t>
      </w:r>
      <w:r w:rsidRPr="00362233">
        <w:rPr>
          <w:rFonts w:ascii="Arial" w:eastAsia="Times New Roman" w:hAnsi="Arial" w:cs="Arial"/>
          <w:sz w:val="24"/>
          <w:szCs w:val="24"/>
        </w:rPr>
        <w:t>May 10, 2019.  Student accepted the proposed service delivery grid, which included over 5.5 hours per day of services fr</w:t>
      </w:r>
      <w:r w:rsidR="00B855F3">
        <w:rPr>
          <w:rFonts w:ascii="Arial" w:eastAsia="Times New Roman" w:hAnsi="Arial" w:cs="Arial"/>
          <w:sz w:val="24"/>
          <w:szCs w:val="24"/>
        </w:rPr>
        <w:t>om a special educator,</w:t>
      </w:r>
      <w:r w:rsidR="00CD21C9" w:rsidRPr="00362233">
        <w:rPr>
          <w:rFonts w:ascii="Arial" w:eastAsia="Times New Roman" w:hAnsi="Arial" w:cs="Arial"/>
          <w:sz w:val="24"/>
          <w:szCs w:val="24"/>
        </w:rPr>
        <w:t xml:space="preserve"> as well as monthly counseling from a Spanish speaking counselor and access to a Spanish-speaking paraprofessional during academic classes.  Student partially rejected the </w:t>
      </w:r>
      <w:r w:rsidR="00362233" w:rsidRPr="00362233">
        <w:rPr>
          <w:rFonts w:ascii="Arial" w:eastAsia="Times New Roman" w:hAnsi="Arial" w:cs="Arial"/>
          <w:sz w:val="24"/>
          <w:szCs w:val="24"/>
        </w:rPr>
        <w:t xml:space="preserve">IEP based on </w:t>
      </w:r>
      <w:r w:rsidR="00362233">
        <w:rPr>
          <w:rFonts w:ascii="Arial" w:eastAsia="Times New Roman" w:hAnsi="Arial" w:cs="Arial"/>
          <w:sz w:val="24"/>
          <w:szCs w:val="24"/>
        </w:rPr>
        <w:t>inadequate frequency of Spanish language counseling.</w:t>
      </w:r>
    </w:p>
    <w:p w14:paraId="51E63EA0" w14:textId="77777777" w:rsidR="00362233" w:rsidRPr="00362233" w:rsidRDefault="00362233" w:rsidP="00362233">
      <w:pPr>
        <w:spacing w:after="0" w:line="240" w:lineRule="auto"/>
        <w:rPr>
          <w:rFonts w:ascii="Arial" w:eastAsia="Times New Roman" w:hAnsi="Arial" w:cs="Arial"/>
          <w:sz w:val="24"/>
          <w:szCs w:val="24"/>
        </w:rPr>
      </w:pPr>
    </w:p>
    <w:p w14:paraId="55BD7483" w14:textId="674D3E20" w:rsidR="007F7A91" w:rsidRDefault="00CD21C9" w:rsidP="00362233">
      <w:pPr>
        <w:pStyle w:val="ListParagraph"/>
        <w:numPr>
          <w:ilvl w:val="0"/>
          <w:numId w:val="5"/>
        </w:numPr>
        <w:spacing w:after="0" w:line="240" w:lineRule="auto"/>
        <w:rPr>
          <w:rFonts w:ascii="Arial" w:eastAsia="Times New Roman" w:hAnsi="Arial" w:cs="Arial"/>
          <w:sz w:val="24"/>
          <w:szCs w:val="24"/>
        </w:rPr>
      </w:pPr>
      <w:r>
        <w:rPr>
          <w:rFonts w:ascii="Arial" w:eastAsia="Times New Roman" w:hAnsi="Arial" w:cs="Arial"/>
          <w:sz w:val="24"/>
          <w:szCs w:val="24"/>
        </w:rPr>
        <w:t>Student alleges that throughout his tenure in DYS c</w:t>
      </w:r>
      <w:r w:rsidR="00D939F2">
        <w:rPr>
          <w:rFonts w:ascii="Arial" w:eastAsia="Times New Roman" w:hAnsi="Arial" w:cs="Arial"/>
          <w:sz w:val="24"/>
          <w:szCs w:val="24"/>
        </w:rPr>
        <w:t xml:space="preserve">ustody, SEIS </w:t>
      </w:r>
      <w:r>
        <w:rPr>
          <w:rFonts w:ascii="Arial" w:eastAsia="Times New Roman" w:hAnsi="Arial" w:cs="Arial"/>
          <w:sz w:val="24"/>
          <w:szCs w:val="24"/>
        </w:rPr>
        <w:t xml:space="preserve">failed to provide him with all of the services contained in his </w:t>
      </w:r>
      <w:r w:rsidRPr="000A6682">
        <w:rPr>
          <w:rFonts w:ascii="Arial" w:eastAsia="Times New Roman" w:hAnsi="Arial" w:cs="Arial"/>
          <w:sz w:val="24"/>
          <w:szCs w:val="24"/>
        </w:rPr>
        <w:t>full</w:t>
      </w:r>
      <w:r w:rsidR="000F6B4F" w:rsidRPr="000A6682">
        <w:rPr>
          <w:rFonts w:ascii="Arial" w:eastAsia="Times New Roman" w:hAnsi="Arial" w:cs="Arial"/>
          <w:sz w:val="24"/>
          <w:szCs w:val="24"/>
        </w:rPr>
        <w:t>y</w:t>
      </w:r>
      <w:r w:rsidRPr="000A6682">
        <w:rPr>
          <w:rFonts w:ascii="Arial" w:eastAsia="Times New Roman" w:hAnsi="Arial" w:cs="Arial"/>
          <w:sz w:val="24"/>
          <w:szCs w:val="24"/>
        </w:rPr>
        <w:t>-</w:t>
      </w:r>
      <w:r>
        <w:rPr>
          <w:rFonts w:ascii="Arial" w:eastAsia="Times New Roman" w:hAnsi="Arial" w:cs="Arial"/>
          <w:sz w:val="24"/>
          <w:szCs w:val="24"/>
        </w:rPr>
        <w:t>accepted service delivery grid</w:t>
      </w:r>
      <w:r w:rsidR="00362233">
        <w:rPr>
          <w:rFonts w:ascii="Arial" w:eastAsia="Times New Roman" w:hAnsi="Arial" w:cs="Arial"/>
          <w:sz w:val="24"/>
          <w:szCs w:val="24"/>
        </w:rPr>
        <w:t xml:space="preserve"> and failed to provide him with access to a Spanish-speaking paraprofessional from May 2018 forward.  The record does not disclose a “NSS letter” from SEIS to Boston which would have notified BPS of SEIS’ inability to provide Student with one or more services set forth in his IEP, such that BPS would be required to provide the service.</w:t>
      </w:r>
    </w:p>
    <w:p w14:paraId="088F6299" w14:textId="77777777" w:rsidR="007F7A91" w:rsidRPr="007F7A91" w:rsidRDefault="007F7A91" w:rsidP="007F7A91">
      <w:pPr>
        <w:pStyle w:val="ListParagraph"/>
        <w:rPr>
          <w:rFonts w:ascii="Arial" w:eastAsia="Times New Roman" w:hAnsi="Arial" w:cs="Arial"/>
          <w:sz w:val="24"/>
          <w:szCs w:val="24"/>
        </w:rPr>
      </w:pPr>
    </w:p>
    <w:p w14:paraId="7BFBC77E" w14:textId="58CA15F2" w:rsidR="00581F54" w:rsidRPr="00362233" w:rsidRDefault="007F7A91" w:rsidP="00362233">
      <w:pPr>
        <w:pStyle w:val="ListParagraph"/>
        <w:numPr>
          <w:ilvl w:val="0"/>
          <w:numId w:val="5"/>
        </w:numPr>
        <w:spacing w:after="0" w:line="240" w:lineRule="auto"/>
        <w:rPr>
          <w:rFonts w:ascii="Arial" w:eastAsia="Times New Roman" w:hAnsi="Arial" w:cs="Arial"/>
          <w:sz w:val="24"/>
          <w:szCs w:val="24"/>
        </w:rPr>
      </w:pPr>
      <w:r>
        <w:rPr>
          <w:rFonts w:ascii="Arial" w:eastAsia="Times New Roman" w:hAnsi="Arial" w:cs="Arial"/>
          <w:sz w:val="24"/>
          <w:szCs w:val="24"/>
        </w:rPr>
        <w:t>Student further alleges that he did not make effective educational progress while in DYS custody.</w:t>
      </w:r>
      <w:r w:rsidR="00362233">
        <w:rPr>
          <w:rFonts w:ascii="Arial" w:eastAsia="Times New Roman" w:hAnsi="Arial" w:cs="Arial"/>
          <w:sz w:val="24"/>
          <w:szCs w:val="24"/>
        </w:rPr>
        <w:t xml:space="preserve">  </w:t>
      </w:r>
    </w:p>
    <w:p w14:paraId="0521379F" w14:textId="60D62167" w:rsidR="00842AE6" w:rsidRPr="0021274B" w:rsidRDefault="00842AE6" w:rsidP="0021274B">
      <w:pPr>
        <w:spacing w:after="0" w:line="240" w:lineRule="auto"/>
        <w:rPr>
          <w:rFonts w:ascii="Arial" w:eastAsia="Times New Roman" w:hAnsi="Arial" w:cs="Arial"/>
          <w:sz w:val="24"/>
          <w:szCs w:val="24"/>
        </w:rPr>
      </w:pPr>
    </w:p>
    <w:p w14:paraId="679F532A" w14:textId="77777777" w:rsidR="00E80350" w:rsidRDefault="00E80350" w:rsidP="00E80350">
      <w:pPr>
        <w:spacing w:after="0" w:line="240" w:lineRule="auto"/>
        <w:ind w:firstLine="720"/>
        <w:jc w:val="center"/>
        <w:rPr>
          <w:rFonts w:ascii="Arial" w:eastAsia="Times New Roman" w:hAnsi="Arial" w:cs="Arial"/>
          <w:b/>
          <w:sz w:val="24"/>
          <w:szCs w:val="24"/>
          <w:u w:val="single"/>
        </w:rPr>
      </w:pPr>
      <w:r w:rsidRPr="00E80350">
        <w:rPr>
          <w:rFonts w:ascii="Arial" w:eastAsia="Times New Roman" w:hAnsi="Arial" w:cs="Arial"/>
          <w:b/>
          <w:sz w:val="24"/>
          <w:szCs w:val="24"/>
          <w:u w:val="single"/>
        </w:rPr>
        <w:t>ISSUE PRESENTED</w:t>
      </w:r>
    </w:p>
    <w:p w14:paraId="66466379" w14:textId="77777777" w:rsidR="00E80350" w:rsidRDefault="00E80350" w:rsidP="00E80350">
      <w:pPr>
        <w:spacing w:after="0" w:line="240" w:lineRule="auto"/>
        <w:ind w:firstLine="720"/>
        <w:jc w:val="center"/>
        <w:rPr>
          <w:rFonts w:ascii="Arial" w:eastAsia="Times New Roman" w:hAnsi="Arial" w:cs="Arial"/>
          <w:b/>
          <w:sz w:val="24"/>
          <w:szCs w:val="24"/>
          <w:u w:val="single"/>
        </w:rPr>
      </w:pPr>
    </w:p>
    <w:p w14:paraId="35630468" w14:textId="699CE196" w:rsidR="003C6F17" w:rsidRPr="009D3DAC" w:rsidRDefault="00BB1306" w:rsidP="00362233">
      <w:pPr>
        <w:spacing w:after="0" w:line="240" w:lineRule="auto"/>
        <w:ind w:firstLine="720"/>
        <w:rPr>
          <w:rFonts w:ascii="Arial" w:eastAsia="Times New Roman" w:hAnsi="Arial" w:cs="Arial"/>
          <w:sz w:val="24"/>
          <w:szCs w:val="24"/>
        </w:rPr>
      </w:pPr>
      <w:r>
        <w:rPr>
          <w:rFonts w:ascii="Arial" w:eastAsia="Times New Roman" w:hAnsi="Arial" w:cs="Arial"/>
          <w:sz w:val="24"/>
          <w:szCs w:val="24"/>
        </w:rPr>
        <w:t>At issue is w</w:t>
      </w:r>
      <w:r w:rsidR="003C6F17" w:rsidRPr="009D3DAC">
        <w:rPr>
          <w:rFonts w:ascii="Arial" w:eastAsia="Times New Roman" w:hAnsi="Arial" w:cs="Arial"/>
          <w:sz w:val="24"/>
          <w:szCs w:val="24"/>
        </w:rPr>
        <w:t xml:space="preserve">hether </w:t>
      </w:r>
      <w:r w:rsidR="00B74C43">
        <w:rPr>
          <w:rFonts w:ascii="Arial" w:eastAsia="Times New Roman" w:hAnsi="Arial" w:cs="Arial"/>
          <w:sz w:val="24"/>
          <w:szCs w:val="24"/>
        </w:rPr>
        <w:t>Student has</w:t>
      </w:r>
      <w:r>
        <w:rPr>
          <w:rFonts w:ascii="Arial" w:eastAsia="Times New Roman" w:hAnsi="Arial" w:cs="Arial"/>
          <w:sz w:val="24"/>
          <w:szCs w:val="24"/>
        </w:rPr>
        <w:t xml:space="preserve"> failed to state a claim for which relief may be granted </w:t>
      </w:r>
      <w:r w:rsidR="00362233">
        <w:rPr>
          <w:rFonts w:ascii="Arial" w:eastAsia="Times New Roman" w:hAnsi="Arial" w:cs="Arial"/>
          <w:sz w:val="24"/>
          <w:szCs w:val="24"/>
        </w:rPr>
        <w:t>with respect to DESE on the basis</w:t>
      </w:r>
      <w:r w:rsidR="00B07C06">
        <w:rPr>
          <w:rFonts w:ascii="Arial" w:eastAsia="Times New Roman" w:hAnsi="Arial" w:cs="Arial"/>
          <w:sz w:val="24"/>
          <w:szCs w:val="24"/>
        </w:rPr>
        <w:t xml:space="preserve"> (1) </w:t>
      </w:r>
      <w:r w:rsidR="00362233">
        <w:rPr>
          <w:rFonts w:ascii="Arial" w:eastAsia="Times New Roman" w:hAnsi="Arial" w:cs="Arial"/>
          <w:sz w:val="24"/>
          <w:szCs w:val="24"/>
        </w:rPr>
        <w:t xml:space="preserve">that DESE had no obligation to provide the services that Student alleged that he had been denied, and, </w:t>
      </w:r>
      <w:r w:rsidR="00C650B3">
        <w:rPr>
          <w:rFonts w:ascii="Arial" w:eastAsia="Times New Roman" w:hAnsi="Arial" w:cs="Arial"/>
          <w:sz w:val="24"/>
          <w:szCs w:val="24"/>
        </w:rPr>
        <w:t xml:space="preserve">(2) </w:t>
      </w:r>
      <w:r w:rsidR="00362233">
        <w:rPr>
          <w:rFonts w:ascii="Arial" w:eastAsia="Times New Roman" w:hAnsi="Arial" w:cs="Arial"/>
          <w:sz w:val="24"/>
          <w:szCs w:val="24"/>
        </w:rPr>
        <w:t xml:space="preserve">that Student failed to allege specific acts or omissions on the part of DESE that denied Student a FAPE.  </w:t>
      </w:r>
    </w:p>
    <w:p w14:paraId="32ACCF64" w14:textId="77777777" w:rsidR="003C6F17" w:rsidRDefault="003C6F17" w:rsidP="00E80350">
      <w:pPr>
        <w:spacing w:after="0" w:line="240" w:lineRule="auto"/>
        <w:ind w:firstLine="720"/>
        <w:jc w:val="center"/>
        <w:rPr>
          <w:rFonts w:ascii="Arial" w:eastAsia="Times New Roman" w:hAnsi="Arial" w:cs="Arial"/>
          <w:b/>
          <w:sz w:val="24"/>
          <w:szCs w:val="24"/>
          <w:u w:val="single"/>
        </w:rPr>
      </w:pPr>
    </w:p>
    <w:p w14:paraId="2A9CFF5A" w14:textId="77777777" w:rsidR="00E80350" w:rsidRDefault="00E80350" w:rsidP="00E80350">
      <w:pPr>
        <w:spacing w:after="0" w:line="240" w:lineRule="auto"/>
        <w:ind w:firstLine="720"/>
        <w:jc w:val="center"/>
        <w:rPr>
          <w:rFonts w:ascii="Arial" w:eastAsia="Times New Roman" w:hAnsi="Arial" w:cs="Arial"/>
          <w:b/>
          <w:sz w:val="24"/>
          <w:szCs w:val="24"/>
          <w:u w:val="single"/>
        </w:rPr>
      </w:pPr>
      <w:r>
        <w:rPr>
          <w:rFonts w:ascii="Arial" w:eastAsia="Times New Roman" w:hAnsi="Arial" w:cs="Arial"/>
          <w:b/>
          <w:sz w:val="24"/>
          <w:szCs w:val="24"/>
          <w:u w:val="single"/>
        </w:rPr>
        <w:t>Position</w:t>
      </w:r>
      <w:r w:rsidR="00556364">
        <w:rPr>
          <w:rFonts w:ascii="Arial" w:eastAsia="Times New Roman" w:hAnsi="Arial" w:cs="Arial"/>
          <w:b/>
          <w:sz w:val="24"/>
          <w:szCs w:val="24"/>
          <w:u w:val="single"/>
        </w:rPr>
        <w:t xml:space="preserve"> of </w:t>
      </w:r>
      <w:r w:rsidR="00F31C56">
        <w:rPr>
          <w:rFonts w:ascii="Arial" w:eastAsia="Times New Roman" w:hAnsi="Arial" w:cs="Arial"/>
          <w:b/>
          <w:sz w:val="24"/>
          <w:szCs w:val="24"/>
          <w:u w:val="single"/>
        </w:rPr>
        <w:t xml:space="preserve">DESE </w:t>
      </w:r>
    </w:p>
    <w:p w14:paraId="63FCF93C" w14:textId="77777777" w:rsidR="00CD4530" w:rsidRDefault="00CD4530" w:rsidP="00E80350">
      <w:pPr>
        <w:spacing w:after="0" w:line="240" w:lineRule="auto"/>
        <w:ind w:firstLine="720"/>
        <w:jc w:val="center"/>
        <w:rPr>
          <w:rFonts w:ascii="Arial" w:eastAsia="Times New Roman" w:hAnsi="Arial" w:cs="Arial"/>
          <w:b/>
          <w:sz w:val="24"/>
          <w:szCs w:val="24"/>
          <w:u w:val="single"/>
        </w:rPr>
      </w:pPr>
    </w:p>
    <w:p w14:paraId="50D385DA" w14:textId="2EE2D089" w:rsidR="00C650B3" w:rsidRDefault="007F7A91" w:rsidP="00997164">
      <w:pPr>
        <w:spacing w:after="0" w:line="240" w:lineRule="auto"/>
        <w:ind w:firstLine="720"/>
        <w:rPr>
          <w:rFonts w:ascii="Arial" w:eastAsia="Times New Roman" w:hAnsi="Arial" w:cs="Arial"/>
          <w:sz w:val="24"/>
          <w:szCs w:val="24"/>
        </w:rPr>
      </w:pPr>
      <w:r>
        <w:rPr>
          <w:rFonts w:ascii="Arial" w:eastAsia="Times New Roman" w:hAnsi="Arial" w:cs="Arial"/>
          <w:sz w:val="24"/>
          <w:szCs w:val="24"/>
        </w:rPr>
        <w:t xml:space="preserve">Student has failed to state a claim as to DESE for which the BSEA may grant relief.  </w:t>
      </w:r>
      <w:r w:rsidR="00C650B3">
        <w:rPr>
          <w:rFonts w:ascii="Arial" w:eastAsia="Times New Roman" w:hAnsi="Arial" w:cs="Arial"/>
          <w:sz w:val="24"/>
          <w:szCs w:val="24"/>
        </w:rPr>
        <w:t xml:space="preserve">DESE </w:t>
      </w:r>
      <w:r>
        <w:rPr>
          <w:rFonts w:ascii="Arial" w:eastAsia="Times New Roman" w:hAnsi="Arial" w:cs="Arial"/>
          <w:sz w:val="24"/>
          <w:szCs w:val="24"/>
        </w:rPr>
        <w:t>acknowledges</w:t>
      </w:r>
      <w:r w:rsidR="00C650B3">
        <w:rPr>
          <w:rFonts w:ascii="Arial" w:eastAsia="Times New Roman" w:hAnsi="Arial" w:cs="Arial"/>
          <w:sz w:val="24"/>
          <w:szCs w:val="24"/>
        </w:rPr>
        <w:t xml:space="preserve"> that its Office of SEIS shares responsibility with local school districts and host agencies for providing special education services to eligible students in state agency custody.  It argues, however, that the type and amount of service to be provided by SEIS/DESE is solely within the discretion of DESE, based on available resources.  </w:t>
      </w:r>
      <w:r>
        <w:rPr>
          <w:rFonts w:ascii="Arial" w:eastAsia="Times New Roman" w:hAnsi="Arial" w:cs="Arial"/>
          <w:sz w:val="24"/>
          <w:szCs w:val="24"/>
        </w:rPr>
        <w:t>Student has alleged neither</w:t>
      </w:r>
      <w:r w:rsidR="00C650B3">
        <w:rPr>
          <w:rFonts w:ascii="Arial" w:eastAsia="Times New Roman" w:hAnsi="Arial" w:cs="Arial"/>
          <w:sz w:val="24"/>
          <w:szCs w:val="24"/>
        </w:rPr>
        <w:t xml:space="preserve"> abuse of such discretion</w:t>
      </w:r>
      <w:r>
        <w:rPr>
          <w:rFonts w:ascii="Arial" w:eastAsia="Times New Roman" w:hAnsi="Arial" w:cs="Arial"/>
          <w:sz w:val="24"/>
          <w:szCs w:val="24"/>
        </w:rPr>
        <w:t xml:space="preserve"> by DESE</w:t>
      </w:r>
      <w:r w:rsidR="00C650B3">
        <w:rPr>
          <w:rFonts w:ascii="Arial" w:eastAsia="Times New Roman" w:hAnsi="Arial" w:cs="Arial"/>
          <w:sz w:val="24"/>
          <w:szCs w:val="24"/>
        </w:rPr>
        <w:t xml:space="preserve">, </w:t>
      </w:r>
      <w:r>
        <w:rPr>
          <w:rFonts w:ascii="Arial" w:eastAsia="Times New Roman" w:hAnsi="Arial" w:cs="Arial"/>
          <w:sz w:val="24"/>
          <w:szCs w:val="24"/>
        </w:rPr>
        <w:t xml:space="preserve">or other violation of DESE’s statutory or regulatory obligations.  Further, while Student alleged that he received “only limited services” under his IEP and did not make effective progress, Student has not specified which services were not delivered and has not identified which of the purportedly missing services were the responsibility of DESE, as opposed to BPS or DYS.    </w:t>
      </w:r>
    </w:p>
    <w:p w14:paraId="099FD385" w14:textId="5DC2ED1C" w:rsidR="00997164" w:rsidRDefault="00C650B3" w:rsidP="00997164">
      <w:pPr>
        <w:spacing w:after="0" w:line="240" w:lineRule="auto"/>
        <w:ind w:firstLine="720"/>
        <w:rPr>
          <w:rFonts w:ascii="Arial" w:eastAsia="Times New Roman" w:hAnsi="Arial" w:cs="Arial"/>
          <w:b/>
          <w:sz w:val="24"/>
          <w:szCs w:val="24"/>
          <w:u w:val="single"/>
        </w:rPr>
      </w:pPr>
      <w:r>
        <w:rPr>
          <w:rFonts w:ascii="Arial" w:eastAsia="Times New Roman" w:hAnsi="Arial" w:cs="Arial"/>
          <w:sz w:val="24"/>
          <w:szCs w:val="24"/>
        </w:rPr>
        <w:t xml:space="preserve">   </w:t>
      </w:r>
    </w:p>
    <w:p w14:paraId="59845691" w14:textId="77777777" w:rsidR="007F7A91" w:rsidRDefault="007F7A91" w:rsidP="00556364">
      <w:pPr>
        <w:spacing w:after="0" w:line="240" w:lineRule="auto"/>
        <w:ind w:firstLine="720"/>
        <w:jc w:val="center"/>
        <w:rPr>
          <w:rFonts w:ascii="Arial" w:eastAsia="Times New Roman" w:hAnsi="Arial" w:cs="Arial"/>
          <w:b/>
          <w:sz w:val="24"/>
          <w:szCs w:val="24"/>
          <w:u w:val="single"/>
        </w:rPr>
      </w:pPr>
    </w:p>
    <w:p w14:paraId="44F9CD0C" w14:textId="77777777" w:rsidR="007F7A91" w:rsidRDefault="007F7A91" w:rsidP="00556364">
      <w:pPr>
        <w:spacing w:after="0" w:line="240" w:lineRule="auto"/>
        <w:ind w:firstLine="720"/>
        <w:jc w:val="center"/>
        <w:rPr>
          <w:rFonts w:ascii="Arial" w:eastAsia="Times New Roman" w:hAnsi="Arial" w:cs="Arial"/>
          <w:b/>
          <w:sz w:val="24"/>
          <w:szCs w:val="24"/>
          <w:u w:val="single"/>
        </w:rPr>
      </w:pPr>
    </w:p>
    <w:p w14:paraId="77CAE289" w14:textId="24BE3DA4" w:rsidR="00E80350" w:rsidRDefault="00E80350" w:rsidP="00556364">
      <w:pPr>
        <w:spacing w:after="0" w:line="240" w:lineRule="auto"/>
        <w:ind w:firstLine="720"/>
        <w:jc w:val="center"/>
        <w:rPr>
          <w:rFonts w:ascii="Arial" w:eastAsia="Times New Roman" w:hAnsi="Arial" w:cs="Arial"/>
          <w:b/>
          <w:sz w:val="24"/>
          <w:szCs w:val="24"/>
          <w:u w:val="single"/>
        </w:rPr>
      </w:pPr>
      <w:r>
        <w:rPr>
          <w:rFonts w:ascii="Arial" w:eastAsia="Times New Roman" w:hAnsi="Arial" w:cs="Arial"/>
          <w:b/>
          <w:sz w:val="24"/>
          <w:szCs w:val="24"/>
          <w:u w:val="single"/>
        </w:rPr>
        <w:lastRenderedPageBreak/>
        <w:t>Position</w:t>
      </w:r>
      <w:r w:rsidR="00556364">
        <w:rPr>
          <w:rFonts w:ascii="Arial" w:eastAsia="Times New Roman" w:hAnsi="Arial" w:cs="Arial"/>
          <w:b/>
          <w:sz w:val="24"/>
          <w:szCs w:val="24"/>
          <w:u w:val="single"/>
        </w:rPr>
        <w:t xml:space="preserve"> of </w:t>
      </w:r>
      <w:r w:rsidR="007F7A91">
        <w:rPr>
          <w:rFonts w:ascii="Arial" w:eastAsia="Times New Roman" w:hAnsi="Arial" w:cs="Arial"/>
          <w:b/>
          <w:sz w:val="24"/>
          <w:szCs w:val="24"/>
          <w:u w:val="single"/>
        </w:rPr>
        <w:t>Boston</w:t>
      </w:r>
      <w:r w:rsidR="00CD4530">
        <w:rPr>
          <w:rFonts w:ascii="Arial" w:eastAsia="Times New Roman" w:hAnsi="Arial" w:cs="Arial"/>
          <w:b/>
          <w:sz w:val="24"/>
          <w:szCs w:val="24"/>
          <w:u w:val="single"/>
        </w:rPr>
        <w:t xml:space="preserve"> Public Schools</w:t>
      </w:r>
    </w:p>
    <w:p w14:paraId="3D61A8F1" w14:textId="77777777" w:rsidR="00CD4530" w:rsidRDefault="00CD4530" w:rsidP="00CD4530">
      <w:pPr>
        <w:spacing w:after="0" w:line="240" w:lineRule="auto"/>
        <w:ind w:firstLine="720"/>
        <w:rPr>
          <w:rFonts w:ascii="Arial" w:eastAsia="Times New Roman" w:hAnsi="Arial" w:cs="Arial"/>
          <w:b/>
          <w:sz w:val="24"/>
          <w:szCs w:val="24"/>
          <w:u w:val="single"/>
        </w:rPr>
      </w:pPr>
    </w:p>
    <w:p w14:paraId="65970823" w14:textId="10EF989F" w:rsidR="0075141A" w:rsidRDefault="0075141A" w:rsidP="0075141A">
      <w:pPr>
        <w:spacing w:after="0" w:line="240" w:lineRule="auto"/>
        <w:ind w:firstLine="720"/>
        <w:rPr>
          <w:rFonts w:ascii="Arial" w:eastAsia="Times New Roman" w:hAnsi="Arial" w:cs="Arial"/>
          <w:sz w:val="24"/>
          <w:szCs w:val="24"/>
        </w:rPr>
      </w:pPr>
      <w:r>
        <w:rPr>
          <w:rFonts w:ascii="Arial" w:eastAsia="Times New Roman" w:hAnsi="Arial" w:cs="Arial"/>
          <w:sz w:val="24"/>
          <w:szCs w:val="24"/>
        </w:rPr>
        <w:t>Boston acknowledges state regulatory language that grants discretion to DESE on the amount and type of special education services it provides in institutional settings, but argues that federal regulations and guidance make clear that DESE has ultimate responsibility for ensuring that eligible students in such settings receive a FAPE, even if that responsibility is shared with LEAs and/or other agencies.  Moreover, even if DESE is only required to provide services to the extent it has available resources to do so, in this case, evidence exists that DESE failed to follow its own policy requiring it to notify  BPS in writing that it lacked resources to provide Student with all of his IEP services.  For these reasons, DESE is properly a party in this matter.</w:t>
      </w:r>
    </w:p>
    <w:p w14:paraId="5D2C8B79" w14:textId="77777777" w:rsidR="0075141A" w:rsidRDefault="0075141A" w:rsidP="0075141A">
      <w:pPr>
        <w:spacing w:after="0" w:line="240" w:lineRule="auto"/>
        <w:ind w:firstLine="720"/>
        <w:rPr>
          <w:rFonts w:ascii="Arial" w:eastAsia="Times New Roman" w:hAnsi="Arial" w:cs="Arial"/>
          <w:sz w:val="24"/>
          <w:szCs w:val="24"/>
        </w:rPr>
      </w:pPr>
    </w:p>
    <w:p w14:paraId="2E941052" w14:textId="3BE4935B" w:rsidR="00CD4530" w:rsidRPr="00CD4530" w:rsidRDefault="00CD4530" w:rsidP="00CD4530">
      <w:pPr>
        <w:spacing w:after="0" w:line="240" w:lineRule="auto"/>
        <w:ind w:firstLine="720"/>
        <w:jc w:val="center"/>
        <w:rPr>
          <w:rFonts w:ascii="Arial" w:eastAsia="Times New Roman" w:hAnsi="Arial" w:cs="Arial"/>
          <w:b/>
          <w:sz w:val="24"/>
          <w:szCs w:val="24"/>
          <w:u w:val="single"/>
        </w:rPr>
      </w:pPr>
      <w:r w:rsidRPr="00CD4530">
        <w:rPr>
          <w:rFonts w:ascii="Arial" w:eastAsia="Times New Roman" w:hAnsi="Arial" w:cs="Arial"/>
          <w:b/>
          <w:sz w:val="24"/>
          <w:szCs w:val="24"/>
          <w:u w:val="single"/>
        </w:rPr>
        <w:t>Position of Student</w:t>
      </w:r>
    </w:p>
    <w:p w14:paraId="0142F74E" w14:textId="77777777" w:rsidR="003F65E4" w:rsidRDefault="003F65E4" w:rsidP="00410139">
      <w:pPr>
        <w:spacing w:after="0" w:line="240" w:lineRule="auto"/>
        <w:ind w:firstLine="720"/>
        <w:rPr>
          <w:rFonts w:ascii="Arial" w:eastAsia="Times New Roman" w:hAnsi="Arial" w:cs="Arial"/>
          <w:sz w:val="24"/>
          <w:szCs w:val="24"/>
        </w:rPr>
      </w:pPr>
    </w:p>
    <w:p w14:paraId="3DCD9190" w14:textId="50C673AA" w:rsidR="00ED5D21" w:rsidRDefault="00ED5D21" w:rsidP="007F4153">
      <w:pPr>
        <w:spacing w:after="0" w:line="240" w:lineRule="auto"/>
        <w:ind w:firstLine="720"/>
        <w:rPr>
          <w:rFonts w:ascii="Arial" w:eastAsia="Times New Roman" w:hAnsi="Arial" w:cs="Arial"/>
          <w:sz w:val="24"/>
          <w:szCs w:val="24"/>
        </w:rPr>
      </w:pPr>
      <w:r>
        <w:rPr>
          <w:rFonts w:ascii="Arial" w:eastAsia="Times New Roman" w:hAnsi="Arial" w:cs="Arial"/>
          <w:sz w:val="24"/>
          <w:szCs w:val="24"/>
        </w:rPr>
        <w:t xml:space="preserve">Both federal and state statutes and regulations make clear that DESE, as the federally-designated State Education Agency (SEA), has ultimate responsibility for ensuring provision of FAPE to all eligible children in the state, including those in </w:t>
      </w:r>
      <w:r w:rsidR="00B855F3">
        <w:rPr>
          <w:rFonts w:ascii="Arial" w:eastAsia="Times New Roman" w:hAnsi="Arial" w:cs="Arial"/>
          <w:sz w:val="24"/>
          <w:szCs w:val="24"/>
        </w:rPr>
        <w:t xml:space="preserve">DYS custody.  </w:t>
      </w:r>
      <w:r>
        <w:rPr>
          <w:rFonts w:ascii="Arial" w:eastAsia="Times New Roman" w:hAnsi="Arial" w:cs="Arial"/>
          <w:sz w:val="24"/>
          <w:szCs w:val="24"/>
        </w:rPr>
        <w:t>The state regulations that give discretion to DESE on provision of services to incarcerated youth establish an administrative structure</w:t>
      </w:r>
      <w:r w:rsidR="00B855F3">
        <w:rPr>
          <w:rFonts w:ascii="Arial" w:eastAsia="Times New Roman" w:hAnsi="Arial" w:cs="Arial"/>
          <w:sz w:val="24"/>
          <w:szCs w:val="24"/>
        </w:rPr>
        <w:t xml:space="preserve"> for allocating responsibility among agencies</w:t>
      </w:r>
      <w:r>
        <w:rPr>
          <w:rFonts w:ascii="Arial" w:eastAsia="Times New Roman" w:hAnsi="Arial" w:cs="Arial"/>
          <w:sz w:val="24"/>
          <w:szCs w:val="24"/>
        </w:rPr>
        <w:t xml:space="preserve">, but do not relieve DESE of its overarching responsibility </w:t>
      </w:r>
      <w:r w:rsidR="00251EB4">
        <w:rPr>
          <w:rFonts w:ascii="Arial" w:eastAsia="Times New Roman" w:hAnsi="Arial" w:cs="Arial"/>
          <w:sz w:val="24"/>
          <w:szCs w:val="24"/>
        </w:rPr>
        <w:t xml:space="preserve">under federal and state </w:t>
      </w:r>
      <w:r>
        <w:rPr>
          <w:rFonts w:ascii="Arial" w:eastAsia="Times New Roman" w:hAnsi="Arial" w:cs="Arial"/>
          <w:sz w:val="24"/>
          <w:szCs w:val="24"/>
        </w:rPr>
        <w:t xml:space="preserve">to ensure FAPE to these students.  </w:t>
      </w:r>
      <w:r w:rsidR="00251EB4">
        <w:rPr>
          <w:rFonts w:ascii="Arial" w:eastAsia="Times New Roman" w:hAnsi="Arial" w:cs="Arial"/>
          <w:sz w:val="24"/>
          <w:szCs w:val="24"/>
        </w:rPr>
        <w:t xml:space="preserve">Student alleges that DESE failed to provide or ensure provision of all of the services in his accepted IEP while he was in DYS custody; since DESE was the ultimate guarantor of such services, </w:t>
      </w:r>
      <w:r w:rsidR="00D939F2">
        <w:rPr>
          <w:rFonts w:ascii="Arial" w:eastAsia="Times New Roman" w:hAnsi="Arial" w:cs="Arial"/>
          <w:sz w:val="24"/>
          <w:szCs w:val="24"/>
        </w:rPr>
        <w:t xml:space="preserve">it </w:t>
      </w:r>
      <w:r w:rsidR="00251EB4">
        <w:rPr>
          <w:rFonts w:ascii="Arial" w:eastAsia="Times New Roman" w:hAnsi="Arial" w:cs="Arial"/>
          <w:sz w:val="24"/>
          <w:szCs w:val="24"/>
        </w:rPr>
        <w:t>should remain as a party in this matter.</w:t>
      </w:r>
    </w:p>
    <w:p w14:paraId="230A0154" w14:textId="77777777" w:rsidR="00746FD9" w:rsidRPr="00746FD9" w:rsidRDefault="00746FD9" w:rsidP="002D4F98">
      <w:pPr>
        <w:spacing w:after="0" w:line="240" w:lineRule="auto"/>
        <w:rPr>
          <w:rFonts w:ascii="Arial" w:eastAsia="Times New Roman" w:hAnsi="Arial" w:cs="Arial"/>
          <w:sz w:val="24"/>
          <w:szCs w:val="24"/>
        </w:rPr>
      </w:pPr>
    </w:p>
    <w:p w14:paraId="51E1BA2C" w14:textId="195D1F9E" w:rsidR="00E80350" w:rsidRDefault="000F6B4F" w:rsidP="00B74C43">
      <w:pPr>
        <w:spacing w:after="0" w:line="240" w:lineRule="auto"/>
        <w:jc w:val="center"/>
        <w:rPr>
          <w:rFonts w:ascii="Arial" w:eastAsia="Times New Roman" w:hAnsi="Arial" w:cs="Arial"/>
          <w:b/>
          <w:sz w:val="24"/>
          <w:szCs w:val="24"/>
          <w:u w:val="single"/>
        </w:rPr>
      </w:pPr>
      <w:r w:rsidRPr="000A6682">
        <w:rPr>
          <w:rFonts w:ascii="Arial" w:eastAsia="Times New Roman" w:hAnsi="Arial" w:cs="Arial"/>
          <w:b/>
          <w:sz w:val="24"/>
          <w:szCs w:val="24"/>
          <w:u w:val="single"/>
        </w:rPr>
        <w:t>ANALYSIS AND RULING</w:t>
      </w:r>
    </w:p>
    <w:p w14:paraId="13553488" w14:textId="77777777" w:rsidR="009D3DAC" w:rsidRDefault="009D3DAC" w:rsidP="00225116">
      <w:pPr>
        <w:spacing w:after="0" w:line="240" w:lineRule="auto"/>
        <w:rPr>
          <w:rFonts w:ascii="Arial" w:eastAsia="Times New Roman" w:hAnsi="Arial" w:cs="Arial"/>
          <w:sz w:val="24"/>
          <w:szCs w:val="24"/>
        </w:rPr>
      </w:pPr>
    </w:p>
    <w:p w14:paraId="46CCFE34" w14:textId="08183FF9" w:rsidR="00925C70" w:rsidRPr="00225116" w:rsidRDefault="00925C70" w:rsidP="00225116">
      <w:pPr>
        <w:pStyle w:val="ListParagraph"/>
        <w:numPr>
          <w:ilvl w:val="0"/>
          <w:numId w:val="7"/>
        </w:numPr>
        <w:spacing w:after="0" w:line="240" w:lineRule="auto"/>
        <w:rPr>
          <w:rFonts w:ascii="Arial" w:eastAsia="Times New Roman" w:hAnsi="Arial" w:cs="Arial"/>
          <w:b/>
          <w:sz w:val="24"/>
          <w:szCs w:val="24"/>
          <w:u w:val="single"/>
        </w:rPr>
      </w:pPr>
      <w:r w:rsidRPr="00225116">
        <w:rPr>
          <w:rFonts w:ascii="Arial" w:eastAsia="Times New Roman" w:hAnsi="Arial" w:cs="Arial"/>
          <w:b/>
          <w:sz w:val="24"/>
          <w:szCs w:val="24"/>
          <w:u w:val="single"/>
        </w:rPr>
        <w:t>Standard for Ruling on A Motion to Dismiss</w:t>
      </w:r>
    </w:p>
    <w:p w14:paraId="4140DE97" w14:textId="77777777" w:rsidR="00925C70" w:rsidRDefault="00925C70" w:rsidP="009D3DAC">
      <w:pPr>
        <w:spacing w:after="0" w:line="240" w:lineRule="auto"/>
        <w:ind w:firstLine="720"/>
        <w:rPr>
          <w:rFonts w:ascii="Arial" w:eastAsia="Times New Roman" w:hAnsi="Arial" w:cs="Arial"/>
          <w:sz w:val="24"/>
          <w:szCs w:val="24"/>
        </w:rPr>
      </w:pPr>
    </w:p>
    <w:p w14:paraId="70A82E8E" w14:textId="7B9398E5" w:rsidR="009D3DAC" w:rsidRPr="009D3DAC" w:rsidRDefault="005417EB" w:rsidP="005417EB">
      <w:pPr>
        <w:spacing w:after="0" w:line="240" w:lineRule="auto"/>
        <w:ind w:firstLine="720"/>
        <w:rPr>
          <w:rFonts w:ascii="Arial" w:eastAsia="Times New Roman" w:hAnsi="Arial" w:cs="Arial"/>
          <w:sz w:val="24"/>
          <w:szCs w:val="24"/>
        </w:rPr>
      </w:pPr>
      <w:r>
        <w:rPr>
          <w:rFonts w:ascii="Arial" w:eastAsia="Times New Roman" w:hAnsi="Arial" w:cs="Arial"/>
          <w:sz w:val="24"/>
          <w:szCs w:val="24"/>
        </w:rPr>
        <w:t>T</w:t>
      </w:r>
      <w:r w:rsidR="009D3DAC" w:rsidRPr="009D3DAC">
        <w:rPr>
          <w:rFonts w:ascii="Arial" w:eastAsia="Times New Roman" w:hAnsi="Arial" w:cs="Arial"/>
          <w:sz w:val="24"/>
          <w:szCs w:val="24"/>
        </w:rPr>
        <w:t xml:space="preserve">he BSEA </w:t>
      </w:r>
      <w:r w:rsidR="00B74C43">
        <w:rPr>
          <w:rFonts w:ascii="Arial" w:eastAsia="Times New Roman" w:hAnsi="Arial" w:cs="Arial"/>
          <w:sz w:val="24"/>
          <w:szCs w:val="24"/>
        </w:rPr>
        <w:t>may</w:t>
      </w:r>
      <w:r w:rsidR="009D3DAC" w:rsidRPr="009D3DAC">
        <w:rPr>
          <w:rFonts w:ascii="Arial" w:eastAsia="Times New Roman" w:hAnsi="Arial" w:cs="Arial"/>
          <w:sz w:val="24"/>
          <w:szCs w:val="24"/>
        </w:rPr>
        <w:t xml:space="preserve"> dismiss </w:t>
      </w:r>
      <w:r>
        <w:rPr>
          <w:rFonts w:ascii="Arial" w:eastAsia="Times New Roman" w:hAnsi="Arial" w:cs="Arial"/>
          <w:sz w:val="24"/>
          <w:szCs w:val="24"/>
        </w:rPr>
        <w:t>a claim if the non-moving party fails</w:t>
      </w:r>
      <w:r w:rsidR="009D3DAC" w:rsidRPr="009D3DAC">
        <w:rPr>
          <w:rFonts w:ascii="Arial" w:eastAsia="Times New Roman" w:hAnsi="Arial" w:cs="Arial"/>
          <w:sz w:val="24"/>
          <w:szCs w:val="24"/>
        </w:rPr>
        <w:t xml:space="preserve"> to state a claim up</w:t>
      </w:r>
      <w:r>
        <w:rPr>
          <w:rFonts w:ascii="Arial" w:eastAsia="Times New Roman" w:hAnsi="Arial" w:cs="Arial"/>
          <w:sz w:val="24"/>
          <w:szCs w:val="24"/>
        </w:rPr>
        <w:t xml:space="preserve">on which relief may be granted. </w:t>
      </w:r>
      <w:r w:rsidR="009D3DAC" w:rsidRPr="009D3DAC">
        <w:rPr>
          <w:rFonts w:ascii="Arial" w:eastAsia="Times New Roman" w:hAnsi="Arial" w:cs="Arial"/>
          <w:i/>
          <w:sz w:val="24"/>
          <w:szCs w:val="24"/>
        </w:rPr>
        <w:t>Standard Adjudicatory Rules of Practice and Procedure</w:t>
      </w:r>
      <w:r>
        <w:rPr>
          <w:rFonts w:ascii="Arial" w:eastAsia="Times New Roman" w:hAnsi="Arial" w:cs="Arial"/>
          <w:sz w:val="24"/>
          <w:szCs w:val="24"/>
        </w:rPr>
        <w:t xml:space="preserve">, 801 CMR 1.01(7)(g)(3), </w:t>
      </w:r>
      <w:r w:rsidRPr="005417EB">
        <w:rPr>
          <w:rFonts w:ascii="Arial" w:eastAsia="Times New Roman" w:hAnsi="Arial" w:cs="Arial"/>
          <w:i/>
          <w:sz w:val="24"/>
          <w:szCs w:val="24"/>
        </w:rPr>
        <w:t>H</w:t>
      </w:r>
      <w:r w:rsidR="009D3DAC" w:rsidRPr="009D3DAC">
        <w:rPr>
          <w:rFonts w:ascii="Arial" w:eastAsia="Times New Roman" w:hAnsi="Arial" w:cs="Arial"/>
          <w:i/>
          <w:sz w:val="24"/>
          <w:szCs w:val="24"/>
        </w:rPr>
        <w:t>earing Rules for Special Education Appeals</w:t>
      </w:r>
      <w:r>
        <w:rPr>
          <w:rFonts w:ascii="Arial" w:eastAsia="Times New Roman" w:hAnsi="Arial" w:cs="Arial"/>
          <w:sz w:val="24"/>
          <w:szCs w:val="24"/>
        </w:rPr>
        <w:t xml:space="preserve">, Rule </w:t>
      </w:r>
      <w:r w:rsidR="003F65E4">
        <w:rPr>
          <w:rFonts w:ascii="Arial" w:eastAsia="Times New Roman" w:hAnsi="Arial" w:cs="Arial"/>
          <w:sz w:val="24"/>
          <w:szCs w:val="24"/>
        </w:rPr>
        <w:t>XVIIB.</w:t>
      </w:r>
      <w:r>
        <w:rPr>
          <w:rFonts w:ascii="Arial" w:eastAsia="Times New Roman" w:hAnsi="Arial" w:cs="Arial"/>
          <w:sz w:val="24"/>
          <w:szCs w:val="24"/>
        </w:rPr>
        <w:t xml:space="preserve">  </w:t>
      </w:r>
      <w:r w:rsidR="009D3DAC" w:rsidRPr="009D3DAC">
        <w:rPr>
          <w:rFonts w:ascii="Arial" w:eastAsia="Times New Roman" w:hAnsi="Arial" w:cs="Arial"/>
          <w:sz w:val="24"/>
          <w:szCs w:val="24"/>
        </w:rPr>
        <w:t xml:space="preserve">These provisions are analogous to Rule 12(b)(6) of the Federal </w:t>
      </w:r>
      <w:r w:rsidR="009B231B">
        <w:rPr>
          <w:rFonts w:ascii="Arial" w:eastAsia="Times New Roman" w:hAnsi="Arial" w:cs="Arial"/>
          <w:sz w:val="24"/>
          <w:szCs w:val="24"/>
        </w:rPr>
        <w:t xml:space="preserve">and Massachusetts </w:t>
      </w:r>
      <w:r w:rsidR="009D3DAC" w:rsidRPr="009D3DAC">
        <w:rPr>
          <w:rFonts w:ascii="Arial" w:eastAsia="Times New Roman" w:hAnsi="Arial" w:cs="Arial"/>
          <w:sz w:val="24"/>
          <w:szCs w:val="24"/>
        </w:rPr>
        <w:t>Rules of Civil Procedure.</w:t>
      </w:r>
      <w:r w:rsidR="009B231B">
        <w:rPr>
          <w:rFonts w:ascii="Arial" w:eastAsia="Times New Roman" w:hAnsi="Arial" w:cs="Arial"/>
          <w:sz w:val="24"/>
          <w:szCs w:val="24"/>
        </w:rPr>
        <w:t xml:space="preserve">  While not directly applicable to proceedings before the BSEA, hearing officers at the Bureau look to this rule for guidance when ruling on motions to dismiss.</w:t>
      </w:r>
    </w:p>
    <w:p w14:paraId="7F0EE668" w14:textId="77777777" w:rsidR="009D3DAC" w:rsidRPr="009D3DAC" w:rsidRDefault="009D3DAC" w:rsidP="009D3DAC">
      <w:pPr>
        <w:spacing w:after="0" w:line="240" w:lineRule="auto"/>
        <w:ind w:firstLine="720"/>
        <w:rPr>
          <w:rFonts w:ascii="Arial" w:eastAsia="Times New Roman" w:hAnsi="Arial" w:cs="Arial"/>
          <w:sz w:val="24"/>
          <w:szCs w:val="24"/>
        </w:rPr>
      </w:pPr>
    </w:p>
    <w:p w14:paraId="79AA287A" w14:textId="2546FE65" w:rsidR="009D3DAC" w:rsidRDefault="005417EB" w:rsidP="009D3DAC">
      <w:pPr>
        <w:spacing w:after="0" w:line="240" w:lineRule="auto"/>
        <w:ind w:firstLine="720"/>
        <w:rPr>
          <w:rFonts w:ascii="Arial" w:eastAsia="Times New Roman" w:hAnsi="Arial" w:cs="Arial"/>
          <w:sz w:val="24"/>
          <w:szCs w:val="24"/>
        </w:rPr>
      </w:pPr>
      <w:r>
        <w:rPr>
          <w:rFonts w:ascii="Arial" w:eastAsia="Times New Roman" w:hAnsi="Arial" w:cs="Arial"/>
          <w:sz w:val="24"/>
          <w:szCs w:val="24"/>
        </w:rPr>
        <w:t xml:space="preserve">In determining whether to </w:t>
      </w:r>
      <w:r w:rsidR="00BD6194">
        <w:rPr>
          <w:rFonts w:ascii="Arial" w:eastAsia="Times New Roman" w:hAnsi="Arial" w:cs="Arial"/>
          <w:sz w:val="24"/>
          <w:szCs w:val="24"/>
        </w:rPr>
        <w:t>grant a motion to dismiss, a</w:t>
      </w:r>
      <w:r w:rsidR="009D3DAC">
        <w:rPr>
          <w:rFonts w:ascii="Arial" w:eastAsia="Times New Roman" w:hAnsi="Arial" w:cs="Arial"/>
          <w:sz w:val="24"/>
          <w:szCs w:val="24"/>
        </w:rPr>
        <w:t xml:space="preserve"> hearing officer must consider as true all facts alleged by the party</w:t>
      </w:r>
      <w:r w:rsidR="00BD6194">
        <w:rPr>
          <w:rFonts w:ascii="Arial" w:eastAsia="Times New Roman" w:hAnsi="Arial" w:cs="Arial"/>
          <w:sz w:val="24"/>
          <w:szCs w:val="24"/>
        </w:rPr>
        <w:t xml:space="preserve"> or parties</w:t>
      </w:r>
      <w:r w:rsidR="009D3DAC">
        <w:rPr>
          <w:rFonts w:ascii="Arial" w:eastAsia="Times New Roman" w:hAnsi="Arial" w:cs="Arial"/>
          <w:sz w:val="24"/>
          <w:szCs w:val="24"/>
        </w:rPr>
        <w:t xml:space="preserve"> opposing dismissal</w:t>
      </w:r>
      <w:r>
        <w:rPr>
          <w:rFonts w:ascii="Arial" w:eastAsia="Times New Roman" w:hAnsi="Arial" w:cs="Arial"/>
          <w:sz w:val="24"/>
          <w:szCs w:val="24"/>
        </w:rPr>
        <w:t xml:space="preserve">.  The hearing officer </w:t>
      </w:r>
      <w:r w:rsidR="009D3DAC">
        <w:rPr>
          <w:rFonts w:ascii="Arial" w:eastAsia="Times New Roman" w:hAnsi="Arial" w:cs="Arial"/>
          <w:sz w:val="24"/>
          <w:szCs w:val="24"/>
        </w:rPr>
        <w:t>should not dismiss</w:t>
      </w:r>
      <w:r w:rsidR="009B231B">
        <w:rPr>
          <w:rFonts w:ascii="Arial" w:eastAsia="Times New Roman" w:hAnsi="Arial" w:cs="Arial"/>
          <w:sz w:val="24"/>
          <w:szCs w:val="24"/>
        </w:rPr>
        <w:t xml:space="preserve"> the case if the </w:t>
      </w:r>
      <w:r>
        <w:rPr>
          <w:rFonts w:ascii="Arial" w:eastAsia="Times New Roman" w:hAnsi="Arial" w:cs="Arial"/>
          <w:sz w:val="24"/>
          <w:szCs w:val="24"/>
        </w:rPr>
        <w:t>facts</w:t>
      </w:r>
      <w:r w:rsidR="009B231B">
        <w:rPr>
          <w:rFonts w:ascii="Arial" w:eastAsia="Times New Roman" w:hAnsi="Arial" w:cs="Arial"/>
          <w:sz w:val="24"/>
          <w:szCs w:val="24"/>
        </w:rPr>
        <w:t xml:space="preserve"> alleged</w:t>
      </w:r>
      <w:r w:rsidR="009D3DAC">
        <w:rPr>
          <w:rFonts w:ascii="Arial" w:eastAsia="Times New Roman" w:hAnsi="Arial" w:cs="Arial"/>
          <w:sz w:val="24"/>
          <w:szCs w:val="24"/>
        </w:rPr>
        <w:t>, if proven</w:t>
      </w:r>
      <w:r>
        <w:rPr>
          <w:rFonts w:ascii="Arial" w:eastAsia="Times New Roman" w:hAnsi="Arial" w:cs="Arial"/>
          <w:sz w:val="24"/>
          <w:szCs w:val="24"/>
        </w:rPr>
        <w:t>,</w:t>
      </w:r>
      <w:r w:rsidR="009D3DAC">
        <w:rPr>
          <w:rFonts w:ascii="Arial" w:eastAsia="Times New Roman" w:hAnsi="Arial" w:cs="Arial"/>
          <w:sz w:val="24"/>
          <w:szCs w:val="24"/>
        </w:rPr>
        <w:t xml:space="preserve"> would entitle the non-moving party relief that the BSEA has authority to grant. </w:t>
      </w:r>
      <w:proofErr w:type="spellStart"/>
      <w:r w:rsidR="009D3DAC" w:rsidRPr="00410139">
        <w:rPr>
          <w:rFonts w:ascii="Arial" w:eastAsia="Times New Roman" w:hAnsi="Arial" w:cs="Arial"/>
          <w:i/>
          <w:sz w:val="24"/>
          <w:szCs w:val="24"/>
        </w:rPr>
        <w:t>Caleron</w:t>
      </w:r>
      <w:proofErr w:type="spellEnd"/>
      <w:r w:rsidR="009D3DAC" w:rsidRPr="00410139">
        <w:rPr>
          <w:rFonts w:ascii="Arial" w:eastAsia="Times New Roman" w:hAnsi="Arial" w:cs="Arial"/>
          <w:i/>
          <w:sz w:val="24"/>
          <w:szCs w:val="24"/>
        </w:rPr>
        <w:t xml:space="preserve">-Ortiz v. </w:t>
      </w:r>
      <w:proofErr w:type="spellStart"/>
      <w:r w:rsidR="009D3DAC" w:rsidRPr="00410139">
        <w:rPr>
          <w:rFonts w:ascii="Arial" w:eastAsia="Times New Roman" w:hAnsi="Arial" w:cs="Arial"/>
          <w:i/>
          <w:sz w:val="24"/>
          <w:szCs w:val="24"/>
        </w:rPr>
        <w:t>LaBoy</w:t>
      </w:r>
      <w:proofErr w:type="spellEnd"/>
      <w:r w:rsidR="009D3DAC" w:rsidRPr="00410139">
        <w:rPr>
          <w:rFonts w:ascii="Arial" w:eastAsia="Times New Roman" w:hAnsi="Arial" w:cs="Arial"/>
          <w:i/>
          <w:sz w:val="24"/>
          <w:szCs w:val="24"/>
        </w:rPr>
        <w:t>-Alvarado</w:t>
      </w:r>
      <w:r w:rsidR="009D3DAC">
        <w:rPr>
          <w:rFonts w:ascii="Arial" w:eastAsia="Times New Roman" w:hAnsi="Arial" w:cs="Arial"/>
          <w:sz w:val="24"/>
          <w:szCs w:val="24"/>
        </w:rPr>
        <w:t>, 300 F.3d 60 (1</w:t>
      </w:r>
      <w:r w:rsidR="009D3DAC" w:rsidRPr="00410139">
        <w:rPr>
          <w:rFonts w:ascii="Arial" w:eastAsia="Times New Roman" w:hAnsi="Arial" w:cs="Arial"/>
          <w:sz w:val="24"/>
          <w:szCs w:val="24"/>
          <w:vertAlign w:val="superscript"/>
        </w:rPr>
        <w:t>st</w:t>
      </w:r>
      <w:r w:rsidR="009D3DAC">
        <w:rPr>
          <w:rFonts w:ascii="Arial" w:eastAsia="Times New Roman" w:hAnsi="Arial" w:cs="Arial"/>
          <w:sz w:val="24"/>
          <w:szCs w:val="24"/>
        </w:rPr>
        <w:t xml:space="preserve"> Cir. 2002); </w:t>
      </w:r>
      <w:r w:rsidR="009D3DAC" w:rsidRPr="009D3DAC">
        <w:rPr>
          <w:rFonts w:ascii="Arial" w:eastAsia="Times New Roman" w:hAnsi="Arial" w:cs="Arial"/>
          <w:i/>
          <w:sz w:val="24"/>
          <w:szCs w:val="24"/>
        </w:rPr>
        <w:t>Ocasio-Hernandez v. Fortunato-</w:t>
      </w:r>
      <w:proofErr w:type="spellStart"/>
      <w:r w:rsidR="009D3DAC" w:rsidRPr="009D3DAC">
        <w:rPr>
          <w:rFonts w:ascii="Arial" w:eastAsia="Times New Roman" w:hAnsi="Arial" w:cs="Arial"/>
          <w:i/>
          <w:sz w:val="24"/>
          <w:szCs w:val="24"/>
        </w:rPr>
        <w:t>Burset</w:t>
      </w:r>
      <w:proofErr w:type="spellEnd"/>
      <w:r w:rsidR="009D3DAC">
        <w:rPr>
          <w:rFonts w:ascii="Arial" w:eastAsia="Times New Roman" w:hAnsi="Arial" w:cs="Arial"/>
          <w:sz w:val="24"/>
          <w:szCs w:val="24"/>
        </w:rPr>
        <w:t>, 640 F.3d. 1 (1</w:t>
      </w:r>
      <w:r w:rsidR="009D3DAC" w:rsidRPr="009D3DAC">
        <w:rPr>
          <w:rFonts w:ascii="Arial" w:eastAsia="Times New Roman" w:hAnsi="Arial" w:cs="Arial"/>
          <w:sz w:val="24"/>
          <w:szCs w:val="24"/>
          <w:vertAlign w:val="superscript"/>
        </w:rPr>
        <w:t>st</w:t>
      </w:r>
      <w:r w:rsidR="009D3DAC">
        <w:rPr>
          <w:rFonts w:ascii="Arial" w:eastAsia="Times New Roman" w:hAnsi="Arial" w:cs="Arial"/>
          <w:sz w:val="24"/>
          <w:szCs w:val="24"/>
        </w:rPr>
        <w:t xml:space="preserve"> Cir. 2011). </w:t>
      </w:r>
      <w:r w:rsidR="00627563">
        <w:rPr>
          <w:rFonts w:ascii="Arial" w:eastAsia="Times New Roman" w:hAnsi="Arial" w:cs="Arial"/>
          <w:sz w:val="24"/>
          <w:szCs w:val="24"/>
        </w:rPr>
        <w:t xml:space="preserve"> </w:t>
      </w:r>
      <w:r w:rsidR="009D3DAC">
        <w:rPr>
          <w:rFonts w:ascii="Arial" w:eastAsia="Times New Roman" w:hAnsi="Arial" w:cs="Arial"/>
          <w:sz w:val="24"/>
          <w:szCs w:val="24"/>
        </w:rPr>
        <w:t xml:space="preserve">A motion to dismiss will be denied if “accepting as true well-pleaded factual averments and indulging all reasonable inferences in the plaintiff’s favor…recovery can be justified under any applicable legal theory.” See </w:t>
      </w:r>
      <w:proofErr w:type="spellStart"/>
      <w:r w:rsidR="003F65E4">
        <w:rPr>
          <w:rFonts w:ascii="Arial" w:eastAsia="Times New Roman" w:hAnsi="Arial" w:cs="Arial"/>
          <w:i/>
          <w:sz w:val="24"/>
          <w:szCs w:val="24"/>
        </w:rPr>
        <w:t>Caleron</w:t>
      </w:r>
      <w:proofErr w:type="spellEnd"/>
      <w:r w:rsidR="003F65E4">
        <w:rPr>
          <w:rFonts w:ascii="Arial" w:eastAsia="Times New Roman" w:hAnsi="Arial" w:cs="Arial"/>
          <w:i/>
          <w:sz w:val="24"/>
          <w:szCs w:val="24"/>
        </w:rPr>
        <w:t>-Ortiz, supra</w:t>
      </w:r>
      <w:r w:rsidR="009D3DAC">
        <w:rPr>
          <w:rFonts w:ascii="Arial" w:eastAsia="Times New Roman" w:hAnsi="Arial" w:cs="Arial"/>
          <w:sz w:val="24"/>
          <w:szCs w:val="24"/>
        </w:rPr>
        <w:t>. The factual allegations must be suffici</w:t>
      </w:r>
      <w:r>
        <w:rPr>
          <w:rFonts w:ascii="Arial" w:eastAsia="Times New Roman" w:hAnsi="Arial" w:cs="Arial"/>
          <w:sz w:val="24"/>
          <w:szCs w:val="24"/>
        </w:rPr>
        <w:t>ent to “raise a right to relief</w:t>
      </w:r>
      <w:r w:rsidR="009D3DAC">
        <w:rPr>
          <w:rFonts w:ascii="Arial" w:eastAsia="Times New Roman" w:hAnsi="Arial" w:cs="Arial"/>
          <w:sz w:val="24"/>
          <w:szCs w:val="24"/>
        </w:rPr>
        <w:t xml:space="preserve"> above a </w:t>
      </w:r>
      <w:r w:rsidR="009D3DAC">
        <w:rPr>
          <w:rFonts w:ascii="Arial" w:eastAsia="Times New Roman" w:hAnsi="Arial" w:cs="Arial"/>
          <w:sz w:val="24"/>
          <w:szCs w:val="24"/>
        </w:rPr>
        <w:lastRenderedPageBreak/>
        <w:t xml:space="preserve">speculative level on the assumption that the allegations in the complaint are true (even if doubtful in fact.)” </w:t>
      </w:r>
      <w:r w:rsidR="009D3DAC" w:rsidRPr="009D3DAC">
        <w:rPr>
          <w:rFonts w:ascii="Arial" w:eastAsia="Times New Roman" w:hAnsi="Arial" w:cs="Arial"/>
          <w:i/>
          <w:sz w:val="24"/>
          <w:szCs w:val="24"/>
        </w:rPr>
        <w:t>Bell Atlantic v. Twombly</w:t>
      </w:r>
      <w:r w:rsidR="009D3DAC">
        <w:rPr>
          <w:rFonts w:ascii="Arial" w:eastAsia="Times New Roman" w:hAnsi="Arial" w:cs="Arial"/>
          <w:sz w:val="24"/>
          <w:szCs w:val="24"/>
        </w:rPr>
        <w:t xml:space="preserve">, 550 U.S. 554, 555 (2007). </w:t>
      </w:r>
    </w:p>
    <w:p w14:paraId="0FDFC48A" w14:textId="77777777" w:rsidR="009D3DAC" w:rsidRPr="009D3DAC" w:rsidRDefault="009D3DAC" w:rsidP="00925C70">
      <w:pPr>
        <w:spacing w:after="0" w:line="240" w:lineRule="auto"/>
        <w:rPr>
          <w:rFonts w:ascii="Arial" w:eastAsia="Times New Roman" w:hAnsi="Arial" w:cs="Arial"/>
          <w:sz w:val="24"/>
          <w:szCs w:val="24"/>
        </w:rPr>
      </w:pPr>
    </w:p>
    <w:p w14:paraId="057B47AB" w14:textId="33BA7468" w:rsidR="009D3DAC" w:rsidRDefault="00BD6194" w:rsidP="00666093">
      <w:pPr>
        <w:spacing w:after="0" w:line="240" w:lineRule="auto"/>
        <w:ind w:firstLine="720"/>
        <w:rPr>
          <w:rFonts w:ascii="Arial" w:eastAsia="Times New Roman" w:hAnsi="Arial" w:cs="Arial"/>
          <w:sz w:val="24"/>
          <w:szCs w:val="24"/>
        </w:rPr>
      </w:pPr>
      <w:r>
        <w:rPr>
          <w:rFonts w:ascii="Arial" w:eastAsia="Times New Roman" w:hAnsi="Arial" w:cs="Arial"/>
          <w:sz w:val="24"/>
          <w:szCs w:val="24"/>
        </w:rPr>
        <w:t>Dismissal is appropriate</w:t>
      </w:r>
      <w:r w:rsidR="001B606E">
        <w:rPr>
          <w:rFonts w:ascii="Arial" w:eastAsia="Times New Roman" w:hAnsi="Arial" w:cs="Arial"/>
          <w:sz w:val="24"/>
          <w:szCs w:val="24"/>
        </w:rPr>
        <w:t xml:space="preserve"> o</w:t>
      </w:r>
      <w:r>
        <w:rPr>
          <w:rFonts w:ascii="Arial" w:eastAsia="Times New Roman" w:hAnsi="Arial" w:cs="Arial"/>
          <w:sz w:val="24"/>
          <w:szCs w:val="24"/>
        </w:rPr>
        <w:t>nly if the hearing o</w:t>
      </w:r>
      <w:r w:rsidR="009D3DAC" w:rsidRPr="009D3DAC">
        <w:rPr>
          <w:rFonts w:ascii="Arial" w:eastAsia="Times New Roman" w:hAnsi="Arial" w:cs="Arial"/>
          <w:sz w:val="24"/>
          <w:szCs w:val="24"/>
        </w:rPr>
        <w:t xml:space="preserve">fficer cannot grant </w:t>
      </w:r>
      <w:r w:rsidR="001B606E">
        <w:rPr>
          <w:rFonts w:ascii="Arial" w:eastAsia="Times New Roman" w:hAnsi="Arial" w:cs="Arial"/>
          <w:sz w:val="24"/>
          <w:szCs w:val="24"/>
        </w:rPr>
        <w:t xml:space="preserve">any </w:t>
      </w:r>
      <w:r w:rsidR="009D3DAC" w:rsidRPr="009D3DAC">
        <w:rPr>
          <w:rFonts w:ascii="Arial" w:eastAsia="Times New Roman" w:hAnsi="Arial" w:cs="Arial"/>
          <w:sz w:val="24"/>
          <w:szCs w:val="24"/>
        </w:rPr>
        <w:t>relief under federal</w:t>
      </w:r>
      <w:r w:rsidR="001B606E">
        <w:rPr>
          <w:rStyle w:val="FootnoteReference"/>
          <w:rFonts w:ascii="Arial" w:eastAsia="Times New Roman" w:hAnsi="Arial" w:cs="Arial"/>
          <w:sz w:val="24"/>
          <w:szCs w:val="24"/>
        </w:rPr>
        <w:footnoteReference w:id="2"/>
      </w:r>
      <w:r w:rsidR="009D3DAC" w:rsidRPr="009D3DAC">
        <w:rPr>
          <w:rFonts w:ascii="Arial" w:eastAsia="Times New Roman" w:hAnsi="Arial" w:cs="Arial"/>
          <w:sz w:val="24"/>
          <w:szCs w:val="24"/>
        </w:rPr>
        <w:t xml:space="preserve"> or state</w:t>
      </w:r>
      <w:r w:rsidR="00E92F96">
        <w:rPr>
          <w:rStyle w:val="FootnoteReference"/>
          <w:rFonts w:ascii="Arial" w:eastAsia="Times New Roman" w:hAnsi="Arial" w:cs="Arial"/>
          <w:sz w:val="24"/>
          <w:szCs w:val="24"/>
        </w:rPr>
        <w:footnoteReference w:id="3"/>
      </w:r>
      <w:r w:rsidR="000F2817">
        <w:rPr>
          <w:rFonts w:ascii="Arial" w:eastAsia="Times New Roman" w:hAnsi="Arial" w:cs="Arial"/>
          <w:sz w:val="24"/>
          <w:szCs w:val="24"/>
        </w:rPr>
        <w:t xml:space="preserve"> special education statutes</w:t>
      </w:r>
      <w:r w:rsidR="009D3DAC" w:rsidRPr="009D3DAC">
        <w:rPr>
          <w:rFonts w:ascii="Arial" w:eastAsia="Times New Roman" w:hAnsi="Arial" w:cs="Arial"/>
          <w:sz w:val="24"/>
          <w:szCs w:val="24"/>
        </w:rPr>
        <w:t xml:space="preserve">, or </w:t>
      </w:r>
      <w:r w:rsidR="0033371F">
        <w:rPr>
          <w:rFonts w:ascii="Arial" w:eastAsia="Times New Roman" w:hAnsi="Arial" w:cs="Arial"/>
          <w:sz w:val="24"/>
          <w:szCs w:val="24"/>
        </w:rPr>
        <w:t>§</w:t>
      </w:r>
      <w:r w:rsidR="009D3DAC" w:rsidRPr="009D3DAC">
        <w:rPr>
          <w:rFonts w:ascii="Arial" w:eastAsia="Times New Roman" w:hAnsi="Arial" w:cs="Arial"/>
          <w:sz w:val="24"/>
          <w:szCs w:val="24"/>
        </w:rPr>
        <w:t xml:space="preserve">504 </w:t>
      </w:r>
      <w:r w:rsidR="000F2817">
        <w:rPr>
          <w:rFonts w:ascii="Arial" w:eastAsia="Times New Roman" w:hAnsi="Arial" w:cs="Arial"/>
          <w:sz w:val="24"/>
          <w:szCs w:val="24"/>
        </w:rPr>
        <w:t>of the Rehabilitation Act</w:t>
      </w:r>
      <w:r w:rsidR="001B606E">
        <w:rPr>
          <w:rFonts w:ascii="Arial" w:eastAsia="Times New Roman" w:hAnsi="Arial" w:cs="Arial"/>
          <w:sz w:val="24"/>
          <w:szCs w:val="24"/>
        </w:rPr>
        <w:t>.</w:t>
      </w:r>
      <w:r w:rsidR="000F2817">
        <w:rPr>
          <w:rStyle w:val="FootnoteReference"/>
          <w:rFonts w:ascii="Arial" w:eastAsia="Times New Roman" w:hAnsi="Arial" w:cs="Arial"/>
          <w:sz w:val="24"/>
          <w:szCs w:val="24"/>
        </w:rPr>
        <w:footnoteReference w:id="4"/>
      </w:r>
      <w:r w:rsidR="009D3DAC" w:rsidRPr="009D3DAC">
        <w:rPr>
          <w:rFonts w:ascii="Arial" w:eastAsia="Times New Roman" w:hAnsi="Arial" w:cs="Arial"/>
          <w:sz w:val="24"/>
          <w:szCs w:val="24"/>
        </w:rPr>
        <w:t xml:space="preserve"> See </w:t>
      </w:r>
      <w:r w:rsidR="003F65E4">
        <w:rPr>
          <w:rFonts w:ascii="Arial" w:eastAsia="Times New Roman" w:hAnsi="Arial" w:cs="Arial"/>
          <w:i/>
          <w:sz w:val="24"/>
          <w:szCs w:val="24"/>
        </w:rPr>
        <w:t xml:space="preserve">Calderon-Ortiz, supra; </w:t>
      </w:r>
      <w:r w:rsidR="005417EB" w:rsidRPr="005417EB">
        <w:rPr>
          <w:rFonts w:ascii="Arial" w:eastAsia="Times New Roman" w:hAnsi="Arial" w:cs="Arial"/>
          <w:i/>
          <w:sz w:val="24"/>
          <w:szCs w:val="24"/>
        </w:rPr>
        <w:t>W</w:t>
      </w:r>
      <w:r w:rsidR="005417EB">
        <w:rPr>
          <w:rFonts w:ascii="Arial" w:eastAsia="Times New Roman" w:hAnsi="Arial" w:cs="Arial"/>
          <w:i/>
          <w:sz w:val="24"/>
          <w:szCs w:val="24"/>
        </w:rPr>
        <w:t>h</w:t>
      </w:r>
      <w:r w:rsidR="009D3DAC" w:rsidRPr="009D3DAC">
        <w:rPr>
          <w:rFonts w:ascii="Arial" w:eastAsia="Times New Roman" w:hAnsi="Arial" w:cs="Arial"/>
          <w:i/>
          <w:sz w:val="24"/>
          <w:szCs w:val="24"/>
        </w:rPr>
        <w:t xml:space="preserve">itinsville Plaza Inc. v. </w:t>
      </w:r>
      <w:proofErr w:type="spellStart"/>
      <w:r w:rsidR="009D3DAC" w:rsidRPr="009D3DAC">
        <w:rPr>
          <w:rFonts w:ascii="Arial" w:eastAsia="Times New Roman" w:hAnsi="Arial" w:cs="Arial"/>
          <w:i/>
          <w:sz w:val="24"/>
          <w:szCs w:val="24"/>
        </w:rPr>
        <w:t>Kotseas</w:t>
      </w:r>
      <w:proofErr w:type="spellEnd"/>
      <w:r w:rsidR="009D3DAC" w:rsidRPr="009D3DAC">
        <w:rPr>
          <w:rFonts w:ascii="Arial" w:eastAsia="Times New Roman" w:hAnsi="Arial" w:cs="Arial"/>
          <w:sz w:val="24"/>
          <w:szCs w:val="24"/>
        </w:rPr>
        <w:t xml:space="preserve">, 378 Mass. 85, 89 (1979); </w:t>
      </w:r>
      <w:r w:rsidR="009D3DAC" w:rsidRPr="009D3DAC">
        <w:rPr>
          <w:rFonts w:ascii="Arial" w:eastAsia="Times New Roman" w:hAnsi="Arial" w:cs="Arial"/>
          <w:i/>
          <w:sz w:val="24"/>
          <w:szCs w:val="24"/>
        </w:rPr>
        <w:t>Nader v. Citron</w:t>
      </w:r>
      <w:r w:rsidR="009D3DAC" w:rsidRPr="009D3DAC">
        <w:rPr>
          <w:rFonts w:ascii="Arial" w:eastAsia="Times New Roman" w:hAnsi="Arial" w:cs="Arial"/>
          <w:sz w:val="24"/>
          <w:szCs w:val="24"/>
        </w:rPr>
        <w:t xml:space="preserve">, 372 Mass. 96, 98 (1977); </w:t>
      </w:r>
      <w:r w:rsidR="009D3DAC" w:rsidRPr="009D3DAC">
        <w:rPr>
          <w:rFonts w:ascii="Arial" w:eastAsia="Times New Roman" w:hAnsi="Arial" w:cs="Arial"/>
          <w:i/>
          <w:sz w:val="24"/>
          <w:szCs w:val="24"/>
        </w:rPr>
        <w:t>Norfolk County Agricultural School</w:t>
      </w:r>
      <w:r w:rsidR="009D3DAC" w:rsidRPr="009D3DAC">
        <w:rPr>
          <w:rFonts w:ascii="Arial" w:eastAsia="Times New Roman" w:hAnsi="Arial" w:cs="Arial"/>
          <w:sz w:val="24"/>
          <w:szCs w:val="24"/>
        </w:rPr>
        <w:t>, 45 IDELR, 26 (</w:t>
      </w:r>
      <w:r w:rsidR="003F65E4">
        <w:rPr>
          <w:rFonts w:ascii="Arial" w:eastAsia="Times New Roman" w:hAnsi="Arial" w:cs="Arial"/>
          <w:sz w:val="24"/>
          <w:szCs w:val="24"/>
        </w:rPr>
        <w:t>2005)</w:t>
      </w:r>
      <w:r w:rsidR="001B606E">
        <w:rPr>
          <w:rFonts w:ascii="Arial" w:eastAsia="Times New Roman" w:hAnsi="Arial" w:cs="Arial"/>
          <w:sz w:val="24"/>
          <w:szCs w:val="24"/>
        </w:rPr>
        <w:t>.</w:t>
      </w:r>
      <w:r w:rsidR="00666093">
        <w:rPr>
          <w:rFonts w:ascii="Arial" w:eastAsia="Times New Roman" w:hAnsi="Arial" w:cs="Arial"/>
          <w:sz w:val="24"/>
          <w:szCs w:val="24"/>
        </w:rPr>
        <w:t xml:space="preserve">  </w:t>
      </w:r>
      <w:r w:rsidR="009D3DAC" w:rsidRPr="009D3DAC">
        <w:rPr>
          <w:rFonts w:ascii="Arial" w:eastAsia="Times New Roman" w:hAnsi="Arial" w:cs="Arial"/>
          <w:sz w:val="24"/>
          <w:szCs w:val="24"/>
        </w:rPr>
        <w:t>Conversely, if the opposing party’s allegations raise the plausibility of a viable claim that may give rise to some form of reli</w:t>
      </w:r>
      <w:r w:rsidR="005417EB">
        <w:rPr>
          <w:rFonts w:ascii="Arial" w:eastAsia="Times New Roman" w:hAnsi="Arial" w:cs="Arial"/>
          <w:sz w:val="24"/>
          <w:szCs w:val="24"/>
        </w:rPr>
        <w:t xml:space="preserve">ef </w:t>
      </w:r>
      <w:r w:rsidR="001B606E">
        <w:rPr>
          <w:rFonts w:ascii="Arial" w:eastAsia="Times New Roman" w:hAnsi="Arial" w:cs="Arial"/>
          <w:sz w:val="24"/>
          <w:szCs w:val="24"/>
        </w:rPr>
        <w:t>cognizable</w:t>
      </w:r>
      <w:r w:rsidR="00010C74">
        <w:rPr>
          <w:rFonts w:ascii="Arial" w:eastAsia="Times New Roman" w:hAnsi="Arial" w:cs="Arial"/>
          <w:sz w:val="24"/>
          <w:szCs w:val="24"/>
        </w:rPr>
        <w:t xml:space="preserve"> under</w:t>
      </w:r>
      <w:r w:rsidR="001B606E">
        <w:rPr>
          <w:rFonts w:ascii="Arial" w:eastAsia="Times New Roman" w:hAnsi="Arial" w:cs="Arial"/>
          <w:sz w:val="24"/>
          <w:szCs w:val="24"/>
        </w:rPr>
        <w:t xml:space="preserve"> </w:t>
      </w:r>
      <w:r w:rsidR="000F2817">
        <w:rPr>
          <w:rFonts w:ascii="Arial" w:eastAsia="Times New Roman" w:hAnsi="Arial" w:cs="Arial"/>
          <w:sz w:val="24"/>
          <w:szCs w:val="24"/>
        </w:rPr>
        <w:t>any one or more of these statutory provisions,</w:t>
      </w:r>
      <w:r w:rsidR="009D3DAC" w:rsidRPr="009D3DAC">
        <w:rPr>
          <w:rFonts w:ascii="Arial" w:eastAsia="Times New Roman" w:hAnsi="Arial" w:cs="Arial"/>
          <w:sz w:val="24"/>
          <w:szCs w:val="24"/>
        </w:rPr>
        <w:t xml:space="preserve"> the matter </w:t>
      </w:r>
      <w:r w:rsidR="000F2817">
        <w:rPr>
          <w:rFonts w:ascii="Arial" w:eastAsia="Times New Roman" w:hAnsi="Arial" w:cs="Arial"/>
          <w:sz w:val="24"/>
          <w:szCs w:val="24"/>
        </w:rPr>
        <w:t xml:space="preserve">should </w:t>
      </w:r>
      <w:r w:rsidR="009D3DAC" w:rsidRPr="009D3DAC">
        <w:rPr>
          <w:rFonts w:ascii="Arial" w:eastAsia="Times New Roman" w:hAnsi="Arial" w:cs="Arial"/>
          <w:sz w:val="24"/>
          <w:szCs w:val="24"/>
        </w:rPr>
        <w:t xml:space="preserve">not be dismissed. See </w:t>
      </w:r>
      <w:r w:rsidR="009D3DAC" w:rsidRPr="009D3DAC">
        <w:rPr>
          <w:rFonts w:ascii="Arial" w:eastAsia="Times New Roman" w:hAnsi="Arial" w:cs="Arial"/>
          <w:i/>
          <w:sz w:val="24"/>
          <w:szCs w:val="24"/>
        </w:rPr>
        <w:t>Ashc</w:t>
      </w:r>
      <w:r w:rsidR="00B74C43">
        <w:rPr>
          <w:rFonts w:ascii="Arial" w:eastAsia="Times New Roman" w:hAnsi="Arial" w:cs="Arial"/>
          <w:i/>
          <w:sz w:val="24"/>
          <w:szCs w:val="24"/>
        </w:rPr>
        <w:t xml:space="preserve">roft </w:t>
      </w:r>
      <w:r w:rsidR="009D3DAC" w:rsidRPr="009D3DAC">
        <w:rPr>
          <w:rFonts w:ascii="Arial" w:eastAsia="Times New Roman" w:hAnsi="Arial" w:cs="Arial"/>
          <w:i/>
          <w:sz w:val="24"/>
          <w:szCs w:val="24"/>
        </w:rPr>
        <w:t>v. Iqbal</w:t>
      </w:r>
      <w:r w:rsidR="009D3DAC" w:rsidRPr="009D3DAC">
        <w:rPr>
          <w:rFonts w:ascii="Arial" w:eastAsia="Times New Roman" w:hAnsi="Arial" w:cs="Arial"/>
          <w:sz w:val="24"/>
          <w:szCs w:val="24"/>
        </w:rPr>
        <w:t>, 129 S. Ct. 1937, 1948 (2009).</w:t>
      </w:r>
      <w:r w:rsidR="00666093">
        <w:rPr>
          <w:rFonts w:ascii="Arial" w:eastAsia="Times New Roman" w:hAnsi="Arial" w:cs="Arial"/>
          <w:sz w:val="24"/>
          <w:szCs w:val="24"/>
        </w:rPr>
        <w:t xml:space="preserve">  </w:t>
      </w:r>
      <w:r w:rsidR="009D3DAC" w:rsidRPr="009D3DAC">
        <w:rPr>
          <w:rFonts w:ascii="Arial" w:eastAsia="Times New Roman" w:hAnsi="Arial" w:cs="Arial"/>
          <w:sz w:val="24"/>
          <w:szCs w:val="24"/>
        </w:rPr>
        <w:t xml:space="preserve"> </w:t>
      </w:r>
    </w:p>
    <w:p w14:paraId="0B59C5B7" w14:textId="15421086" w:rsidR="0038511F" w:rsidRDefault="0038511F" w:rsidP="00666093">
      <w:pPr>
        <w:spacing w:after="0" w:line="240" w:lineRule="auto"/>
        <w:rPr>
          <w:rFonts w:ascii="Arial" w:eastAsia="Times New Roman" w:hAnsi="Arial" w:cs="Arial"/>
          <w:sz w:val="24"/>
          <w:szCs w:val="24"/>
        </w:rPr>
      </w:pPr>
    </w:p>
    <w:p w14:paraId="7B514657" w14:textId="69C82EB3" w:rsidR="00BD6194" w:rsidRPr="004F418D" w:rsidRDefault="00827D7D" w:rsidP="004F418D">
      <w:pPr>
        <w:pStyle w:val="ListParagraph"/>
        <w:numPr>
          <w:ilvl w:val="0"/>
          <w:numId w:val="7"/>
        </w:numPr>
        <w:spacing w:after="0" w:line="240" w:lineRule="auto"/>
        <w:rPr>
          <w:rFonts w:ascii="Arial" w:eastAsia="Times New Roman" w:hAnsi="Arial" w:cs="Arial"/>
          <w:sz w:val="24"/>
          <w:szCs w:val="24"/>
        </w:rPr>
      </w:pPr>
      <w:r w:rsidRPr="00827D7D">
        <w:rPr>
          <w:rFonts w:ascii="Arial" w:eastAsia="Times New Roman" w:hAnsi="Arial" w:cs="Arial"/>
          <w:b/>
          <w:sz w:val="24"/>
          <w:szCs w:val="24"/>
        </w:rPr>
        <w:t>The BSEA has jurisdiction to adjudicate claims a</w:t>
      </w:r>
      <w:r w:rsidR="002F5300">
        <w:rPr>
          <w:rFonts w:ascii="Arial" w:eastAsia="Times New Roman" w:hAnsi="Arial" w:cs="Arial"/>
          <w:b/>
          <w:sz w:val="24"/>
          <w:szCs w:val="24"/>
        </w:rPr>
        <w:t>gainst DESE in the instant cas</w:t>
      </w:r>
      <w:r w:rsidR="004F418D">
        <w:rPr>
          <w:rFonts w:ascii="Arial" w:eastAsia="Times New Roman" w:hAnsi="Arial" w:cs="Arial"/>
          <w:b/>
          <w:sz w:val="24"/>
          <w:szCs w:val="24"/>
        </w:rPr>
        <w:t xml:space="preserve">e, and Student’s hearing request states a claim </w:t>
      </w:r>
      <w:r w:rsidR="00D939F2">
        <w:rPr>
          <w:rFonts w:ascii="Arial" w:eastAsia="Times New Roman" w:hAnsi="Arial" w:cs="Arial"/>
          <w:b/>
          <w:sz w:val="24"/>
          <w:szCs w:val="24"/>
        </w:rPr>
        <w:t xml:space="preserve">as to DESE </w:t>
      </w:r>
      <w:r w:rsidR="004F418D">
        <w:rPr>
          <w:rFonts w:ascii="Arial" w:eastAsia="Times New Roman" w:hAnsi="Arial" w:cs="Arial"/>
          <w:b/>
          <w:sz w:val="24"/>
          <w:szCs w:val="24"/>
        </w:rPr>
        <w:t>for which the BSEA may grant relief.</w:t>
      </w:r>
    </w:p>
    <w:p w14:paraId="365EE884" w14:textId="77777777" w:rsidR="004F418D" w:rsidRDefault="004F418D" w:rsidP="004F418D">
      <w:pPr>
        <w:pStyle w:val="ListParagraph"/>
        <w:spacing w:after="0" w:line="240" w:lineRule="auto"/>
        <w:ind w:left="1440"/>
        <w:rPr>
          <w:rFonts w:ascii="Arial" w:eastAsia="Times New Roman" w:hAnsi="Arial" w:cs="Arial"/>
          <w:sz w:val="24"/>
          <w:szCs w:val="24"/>
        </w:rPr>
      </w:pPr>
    </w:p>
    <w:p w14:paraId="41C3F1BB" w14:textId="06F98316" w:rsidR="00336310" w:rsidRDefault="00827D7D" w:rsidP="00827D7D">
      <w:pPr>
        <w:spacing w:after="0" w:line="240" w:lineRule="auto"/>
        <w:ind w:firstLine="720"/>
        <w:rPr>
          <w:rFonts w:ascii="Arial" w:eastAsia="Times New Roman" w:hAnsi="Arial" w:cs="Arial"/>
          <w:sz w:val="24"/>
          <w:szCs w:val="24"/>
        </w:rPr>
      </w:pPr>
      <w:r>
        <w:rPr>
          <w:rFonts w:ascii="Arial" w:eastAsia="Times New Roman" w:hAnsi="Arial" w:cs="Arial"/>
          <w:sz w:val="24"/>
          <w:szCs w:val="24"/>
        </w:rPr>
        <w:t>The st</w:t>
      </w:r>
      <w:r w:rsidR="00E7312A">
        <w:rPr>
          <w:rFonts w:ascii="Arial" w:eastAsia="Times New Roman" w:hAnsi="Arial" w:cs="Arial"/>
          <w:sz w:val="24"/>
          <w:szCs w:val="24"/>
        </w:rPr>
        <w:t>ate statute governing the juri</w:t>
      </w:r>
      <w:r w:rsidR="00D939F2">
        <w:rPr>
          <w:rFonts w:ascii="Arial" w:eastAsia="Times New Roman" w:hAnsi="Arial" w:cs="Arial"/>
          <w:sz w:val="24"/>
          <w:szCs w:val="24"/>
        </w:rPr>
        <w:t xml:space="preserve">sdiction of the BSEA, </w:t>
      </w:r>
      <w:r w:rsidR="009A08F3">
        <w:rPr>
          <w:rFonts w:ascii="Arial" w:eastAsia="Times New Roman" w:hAnsi="Arial" w:cs="Arial"/>
          <w:sz w:val="24"/>
          <w:szCs w:val="24"/>
        </w:rPr>
        <w:t xml:space="preserve">MGL c. 71B§2A, </w:t>
      </w:r>
      <w:r w:rsidR="00D939F2">
        <w:rPr>
          <w:rFonts w:ascii="Arial" w:eastAsia="Times New Roman" w:hAnsi="Arial" w:cs="Arial"/>
          <w:sz w:val="24"/>
          <w:szCs w:val="24"/>
        </w:rPr>
        <w:t xml:space="preserve">sets forth its jurisdiction as follows:  </w:t>
      </w:r>
    </w:p>
    <w:p w14:paraId="26C883BF" w14:textId="77777777" w:rsidR="00336310" w:rsidRDefault="00336310" w:rsidP="00666093">
      <w:pPr>
        <w:spacing w:after="0" w:line="240" w:lineRule="auto"/>
        <w:ind w:firstLine="720"/>
        <w:rPr>
          <w:rFonts w:ascii="Arial" w:eastAsia="Times New Roman" w:hAnsi="Arial" w:cs="Arial"/>
          <w:sz w:val="24"/>
          <w:szCs w:val="24"/>
        </w:rPr>
      </w:pPr>
    </w:p>
    <w:p w14:paraId="6A6BA50A" w14:textId="70339503" w:rsidR="00553E78" w:rsidRDefault="00336310" w:rsidP="008810AE">
      <w:pPr>
        <w:spacing w:after="0" w:line="240" w:lineRule="auto"/>
        <w:ind w:left="1440" w:right="1440"/>
        <w:rPr>
          <w:rFonts w:ascii="Arial" w:eastAsia="Times New Roman" w:hAnsi="Arial" w:cs="Arial"/>
          <w:sz w:val="24"/>
          <w:szCs w:val="24"/>
        </w:rPr>
      </w:pPr>
      <w:r>
        <w:rPr>
          <w:rFonts w:ascii="Arial" w:eastAsia="Times New Roman" w:hAnsi="Arial" w:cs="Arial"/>
          <w:sz w:val="24"/>
          <w:szCs w:val="24"/>
        </w:rPr>
        <w:t xml:space="preserve">[Resolution of] disputes between and among parents, school districts, private schools </w:t>
      </w:r>
      <w:r w:rsidRPr="008810AE">
        <w:rPr>
          <w:rFonts w:ascii="Arial" w:eastAsia="Times New Roman" w:hAnsi="Arial" w:cs="Arial"/>
          <w:i/>
          <w:sz w:val="24"/>
          <w:szCs w:val="24"/>
        </w:rPr>
        <w:t>and state agencies</w:t>
      </w:r>
      <w:r>
        <w:rPr>
          <w:rFonts w:ascii="Arial" w:eastAsia="Times New Roman" w:hAnsi="Arial" w:cs="Arial"/>
          <w:sz w:val="24"/>
          <w:szCs w:val="24"/>
        </w:rPr>
        <w:t xml:space="preserve"> concerning (i) any matter relating to the identification, evaluation, education program or educational placement of a child with a disability or the provision of a free and appropriate public education to the child </w:t>
      </w:r>
      <w:r w:rsidRPr="008810AE">
        <w:rPr>
          <w:rFonts w:ascii="Arial" w:eastAsia="Times New Roman" w:hAnsi="Arial" w:cs="Arial"/>
          <w:sz w:val="24"/>
          <w:szCs w:val="24"/>
        </w:rPr>
        <w:t>arising under this chapter and regulations promulgated hereunder or under the Individuals with Disabilities Education Act…and its regulations; or (ii) a student’s rights</w:t>
      </w:r>
      <w:r w:rsidR="009A08F3" w:rsidRPr="008810AE">
        <w:rPr>
          <w:rFonts w:ascii="Arial" w:eastAsia="Times New Roman" w:hAnsi="Arial" w:cs="Arial"/>
          <w:sz w:val="24"/>
          <w:szCs w:val="24"/>
        </w:rPr>
        <w:t xml:space="preserve"> under Section 504 of the Rehabilitation Act of 1973, 29 USC section 794, and its regulations.”</w:t>
      </w:r>
      <w:r w:rsidR="009A08F3">
        <w:rPr>
          <w:rFonts w:ascii="Arial" w:eastAsia="Times New Roman" w:hAnsi="Arial" w:cs="Arial"/>
          <w:sz w:val="24"/>
          <w:szCs w:val="24"/>
        </w:rPr>
        <w:t xml:space="preserve">  </w:t>
      </w:r>
      <w:r w:rsidR="00553E78">
        <w:rPr>
          <w:rFonts w:ascii="Arial" w:eastAsia="Times New Roman" w:hAnsi="Arial" w:cs="Arial"/>
          <w:sz w:val="24"/>
          <w:szCs w:val="24"/>
        </w:rPr>
        <w:t xml:space="preserve"> </w:t>
      </w:r>
      <w:r w:rsidR="008810AE">
        <w:rPr>
          <w:rFonts w:ascii="Arial" w:eastAsia="Times New Roman" w:hAnsi="Arial" w:cs="Arial"/>
          <w:sz w:val="24"/>
          <w:szCs w:val="24"/>
        </w:rPr>
        <w:t>(Emphasis supplied)</w:t>
      </w:r>
    </w:p>
    <w:p w14:paraId="36D6EAB7" w14:textId="77777777" w:rsidR="009A08F3" w:rsidRDefault="009A08F3" w:rsidP="009A08F3">
      <w:pPr>
        <w:spacing w:after="0" w:line="240" w:lineRule="auto"/>
        <w:rPr>
          <w:rFonts w:ascii="Arial" w:eastAsia="Times New Roman" w:hAnsi="Arial" w:cs="Arial"/>
          <w:sz w:val="24"/>
          <w:szCs w:val="24"/>
        </w:rPr>
      </w:pPr>
    </w:p>
    <w:p w14:paraId="6BBC7EFC" w14:textId="2D2692CC" w:rsidR="009A08F3" w:rsidRDefault="009A08F3" w:rsidP="00553E78">
      <w:pPr>
        <w:spacing w:after="0" w:line="240" w:lineRule="auto"/>
        <w:ind w:firstLine="720"/>
        <w:rPr>
          <w:rFonts w:ascii="Arial" w:eastAsia="Times New Roman" w:hAnsi="Arial" w:cs="Arial"/>
          <w:sz w:val="24"/>
          <w:szCs w:val="24"/>
        </w:rPr>
      </w:pPr>
      <w:r>
        <w:rPr>
          <w:rFonts w:ascii="Arial" w:eastAsia="Times New Roman" w:hAnsi="Arial" w:cs="Arial"/>
          <w:sz w:val="24"/>
          <w:szCs w:val="24"/>
        </w:rPr>
        <w:t>The s</w:t>
      </w:r>
      <w:r w:rsidR="00553E78">
        <w:rPr>
          <w:rFonts w:ascii="Arial" w:eastAsia="Times New Roman" w:hAnsi="Arial" w:cs="Arial"/>
          <w:sz w:val="24"/>
          <w:szCs w:val="24"/>
        </w:rPr>
        <w:t>tate special education regulations implementing</w:t>
      </w:r>
      <w:r>
        <w:rPr>
          <w:rFonts w:ascii="Arial" w:eastAsia="Times New Roman" w:hAnsi="Arial" w:cs="Arial"/>
          <w:sz w:val="24"/>
          <w:szCs w:val="24"/>
        </w:rPr>
        <w:t xml:space="preserve"> </w:t>
      </w:r>
      <w:r w:rsidR="00B74C43">
        <w:rPr>
          <w:rFonts w:ascii="Arial" w:eastAsia="Times New Roman" w:hAnsi="Arial" w:cs="Arial"/>
          <w:sz w:val="24"/>
          <w:szCs w:val="24"/>
        </w:rPr>
        <w:t xml:space="preserve">MGL c. 71B, </w:t>
      </w:r>
      <w:r w:rsidR="00D939F2" w:rsidRPr="00D939F2">
        <w:rPr>
          <w:rFonts w:ascii="Arial" w:eastAsia="Times New Roman" w:hAnsi="Arial" w:cs="Arial"/>
          <w:i/>
          <w:sz w:val="24"/>
          <w:szCs w:val="24"/>
        </w:rPr>
        <w:t>i.e</w:t>
      </w:r>
      <w:r w:rsidR="00D939F2">
        <w:rPr>
          <w:rFonts w:ascii="Arial" w:eastAsia="Times New Roman" w:hAnsi="Arial" w:cs="Arial"/>
          <w:sz w:val="24"/>
          <w:szCs w:val="24"/>
        </w:rPr>
        <w:t xml:space="preserve">., </w:t>
      </w:r>
      <w:r w:rsidR="00B74C43">
        <w:rPr>
          <w:rFonts w:ascii="Arial" w:eastAsia="Times New Roman" w:hAnsi="Arial" w:cs="Arial"/>
          <w:sz w:val="24"/>
          <w:szCs w:val="24"/>
        </w:rPr>
        <w:t xml:space="preserve">603 CMR </w:t>
      </w:r>
      <w:r w:rsidR="00553E78">
        <w:rPr>
          <w:rFonts w:ascii="Arial" w:eastAsia="Times New Roman" w:hAnsi="Arial" w:cs="Arial"/>
          <w:sz w:val="24"/>
          <w:szCs w:val="24"/>
        </w:rPr>
        <w:t xml:space="preserve">28.00 </w:t>
      </w:r>
      <w:r w:rsidR="00553E78" w:rsidRPr="00553E78">
        <w:rPr>
          <w:rFonts w:ascii="Arial" w:eastAsia="Times New Roman" w:hAnsi="Arial" w:cs="Arial"/>
          <w:i/>
          <w:sz w:val="24"/>
          <w:szCs w:val="24"/>
        </w:rPr>
        <w:t>et seq</w:t>
      </w:r>
      <w:r w:rsidR="00553E78">
        <w:rPr>
          <w:rFonts w:ascii="Arial" w:eastAsia="Times New Roman" w:hAnsi="Arial" w:cs="Arial"/>
          <w:sz w:val="24"/>
          <w:szCs w:val="24"/>
        </w:rPr>
        <w:t xml:space="preserve">., </w:t>
      </w:r>
      <w:r>
        <w:rPr>
          <w:rFonts w:ascii="Arial" w:eastAsia="Times New Roman" w:hAnsi="Arial" w:cs="Arial"/>
          <w:sz w:val="24"/>
          <w:szCs w:val="24"/>
        </w:rPr>
        <w:t xml:space="preserve">track the </w:t>
      </w:r>
      <w:r w:rsidR="00553E78">
        <w:rPr>
          <w:rFonts w:ascii="Arial" w:eastAsia="Times New Roman" w:hAnsi="Arial" w:cs="Arial"/>
          <w:sz w:val="24"/>
          <w:szCs w:val="24"/>
        </w:rPr>
        <w:t xml:space="preserve">applicable </w:t>
      </w:r>
      <w:r>
        <w:rPr>
          <w:rFonts w:ascii="Arial" w:eastAsia="Times New Roman" w:hAnsi="Arial" w:cs="Arial"/>
          <w:sz w:val="24"/>
          <w:szCs w:val="24"/>
        </w:rPr>
        <w:t xml:space="preserve">statutory language </w:t>
      </w:r>
      <w:r w:rsidR="00553E78">
        <w:rPr>
          <w:rFonts w:ascii="Arial" w:eastAsia="Times New Roman" w:hAnsi="Arial" w:cs="Arial"/>
          <w:sz w:val="24"/>
          <w:szCs w:val="24"/>
        </w:rPr>
        <w:t>as follows:</w:t>
      </w:r>
    </w:p>
    <w:p w14:paraId="50F62DD1" w14:textId="77777777" w:rsidR="009A08F3" w:rsidRDefault="009A08F3" w:rsidP="009A08F3">
      <w:pPr>
        <w:spacing w:after="0" w:line="240" w:lineRule="auto"/>
        <w:rPr>
          <w:rFonts w:ascii="Arial" w:eastAsia="Times New Roman" w:hAnsi="Arial" w:cs="Arial"/>
          <w:sz w:val="24"/>
          <w:szCs w:val="24"/>
        </w:rPr>
      </w:pPr>
    </w:p>
    <w:p w14:paraId="47F073E6" w14:textId="571847DB" w:rsidR="00995827" w:rsidRDefault="009A08F3" w:rsidP="00995827">
      <w:pPr>
        <w:spacing w:after="0" w:line="240" w:lineRule="auto"/>
        <w:ind w:left="1440" w:right="1440"/>
        <w:rPr>
          <w:rFonts w:ascii="Arial" w:eastAsia="Times New Roman" w:hAnsi="Arial" w:cs="Arial"/>
          <w:sz w:val="24"/>
          <w:szCs w:val="24"/>
        </w:rPr>
      </w:pPr>
      <w:r>
        <w:rPr>
          <w:rFonts w:ascii="Arial" w:eastAsia="Times New Roman" w:hAnsi="Arial" w:cs="Arial"/>
          <w:sz w:val="24"/>
          <w:szCs w:val="24"/>
        </w:rPr>
        <w:t xml:space="preserve">(3) </w:t>
      </w:r>
      <w:r w:rsidRPr="00553E78">
        <w:rPr>
          <w:rFonts w:ascii="Arial" w:eastAsia="Times New Roman" w:hAnsi="Arial" w:cs="Arial"/>
          <w:sz w:val="24"/>
          <w:szCs w:val="24"/>
          <w:u w:val="single"/>
        </w:rPr>
        <w:t>Bureau of Special Education Appeals: Jurisdiction</w:t>
      </w:r>
      <w:r>
        <w:rPr>
          <w:rFonts w:ascii="Arial" w:eastAsia="Times New Roman" w:hAnsi="Arial" w:cs="Arial"/>
          <w:sz w:val="24"/>
          <w:szCs w:val="24"/>
        </w:rPr>
        <w:t>. In order to provide for the resolution of differences of opinion among school districts, private schools, parents and state agencies, the [BSEA], pursuant to MGL c. 71B, §2A, shall conduct mediations and hea</w:t>
      </w:r>
      <w:r w:rsidR="00995827">
        <w:rPr>
          <w:rFonts w:ascii="Arial" w:eastAsia="Times New Roman" w:hAnsi="Arial" w:cs="Arial"/>
          <w:sz w:val="24"/>
          <w:szCs w:val="24"/>
        </w:rPr>
        <w:t>rings to resolve such disputes…</w:t>
      </w:r>
    </w:p>
    <w:p w14:paraId="5989872E" w14:textId="7A652782" w:rsidR="00995827" w:rsidRPr="00995827" w:rsidRDefault="00995827" w:rsidP="00995827">
      <w:pPr>
        <w:spacing w:after="0" w:line="240" w:lineRule="auto"/>
        <w:ind w:left="1440" w:right="1440"/>
        <w:rPr>
          <w:rFonts w:ascii="Arial" w:eastAsia="Times New Roman" w:hAnsi="Arial" w:cs="Arial"/>
          <w:sz w:val="24"/>
          <w:szCs w:val="24"/>
        </w:rPr>
      </w:pPr>
      <w:r>
        <w:rPr>
          <w:rFonts w:ascii="Arial" w:eastAsia="Times New Roman" w:hAnsi="Arial" w:cs="Arial"/>
          <w:sz w:val="24"/>
          <w:szCs w:val="24"/>
        </w:rPr>
        <w:tab/>
        <w:t xml:space="preserve">(a) A parent or a school district…may request mediation and/or a hearing…on any matter concerning the eligibility, evaluation, placement, IEP provision or special education in accordance with state or federal law, or </w:t>
      </w:r>
      <w:r>
        <w:rPr>
          <w:rFonts w:ascii="Arial" w:eastAsia="Times New Roman" w:hAnsi="Arial" w:cs="Arial"/>
          <w:sz w:val="24"/>
          <w:szCs w:val="24"/>
        </w:rPr>
        <w:lastRenderedPageBreak/>
        <w:t>procedural protections of state and federal law for students with disabilities…[or] on any issue involving the denial of the free appropriate public education guaranteed by Section 504 of the Rehabilitation Act…</w:t>
      </w:r>
    </w:p>
    <w:p w14:paraId="7EF6E6BF" w14:textId="77777777" w:rsidR="00553E78" w:rsidRDefault="00553E78" w:rsidP="00553E78">
      <w:pPr>
        <w:spacing w:after="0" w:line="240" w:lineRule="auto"/>
        <w:rPr>
          <w:rFonts w:ascii="Arial" w:eastAsia="Times New Roman" w:hAnsi="Arial" w:cs="Arial"/>
          <w:sz w:val="24"/>
          <w:szCs w:val="24"/>
        </w:rPr>
      </w:pPr>
    </w:p>
    <w:p w14:paraId="36A34DFF" w14:textId="474F8B77" w:rsidR="00CE24A0" w:rsidRDefault="00B74C43" w:rsidP="00553E78">
      <w:pPr>
        <w:spacing w:after="0" w:line="240" w:lineRule="auto"/>
        <w:rPr>
          <w:rFonts w:ascii="Arial" w:eastAsia="Times New Roman" w:hAnsi="Arial" w:cs="Arial"/>
          <w:sz w:val="24"/>
          <w:szCs w:val="24"/>
        </w:rPr>
      </w:pPr>
      <w:r>
        <w:rPr>
          <w:rFonts w:ascii="Arial" w:eastAsia="Times New Roman" w:hAnsi="Arial" w:cs="Arial"/>
          <w:sz w:val="24"/>
          <w:szCs w:val="24"/>
        </w:rPr>
        <w:t xml:space="preserve">603 CMR </w:t>
      </w:r>
      <w:r w:rsidR="00553E78">
        <w:rPr>
          <w:rFonts w:ascii="Arial" w:eastAsia="Times New Roman" w:hAnsi="Arial" w:cs="Arial"/>
          <w:sz w:val="24"/>
          <w:szCs w:val="24"/>
        </w:rPr>
        <w:t>28.08(3).</w:t>
      </w:r>
    </w:p>
    <w:p w14:paraId="18D3D864" w14:textId="77777777" w:rsidR="00CE24A0" w:rsidRDefault="00CE24A0" w:rsidP="00553E78">
      <w:pPr>
        <w:spacing w:after="0" w:line="240" w:lineRule="auto"/>
        <w:rPr>
          <w:rFonts w:ascii="Arial" w:eastAsia="Times New Roman" w:hAnsi="Arial" w:cs="Arial"/>
          <w:sz w:val="24"/>
          <w:szCs w:val="24"/>
        </w:rPr>
      </w:pPr>
    </w:p>
    <w:p w14:paraId="122128DB" w14:textId="5DFE495C" w:rsidR="00CE24A0" w:rsidRDefault="00CE24A0" w:rsidP="008810AE">
      <w:pPr>
        <w:spacing w:after="0" w:line="240" w:lineRule="auto"/>
        <w:ind w:firstLine="720"/>
        <w:rPr>
          <w:rFonts w:ascii="Arial" w:eastAsia="Times New Roman" w:hAnsi="Arial" w:cs="Arial"/>
          <w:sz w:val="24"/>
          <w:szCs w:val="24"/>
        </w:rPr>
      </w:pPr>
      <w:r>
        <w:rPr>
          <w:rFonts w:ascii="Arial" w:eastAsia="Times New Roman" w:hAnsi="Arial" w:cs="Arial"/>
          <w:sz w:val="24"/>
          <w:szCs w:val="24"/>
        </w:rPr>
        <w:t xml:space="preserve">The above-referenced Massachusetts statute and regulations are consistent with the pertinent </w:t>
      </w:r>
      <w:r w:rsidR="00B74C43">
        <w:rPr>
          <w:rFonts w:ascii="Arial" w:eastAsia="Times New Roman" w:hAnsi="Arial" w:cs="Arial"/>
          <w:sz w:val="24"/>
          <w:szCs w:val="24"/>
        </w:rPr>
        <w:t>f</w:t>
      </w:r>
      <w:r w:rsidR="008810AE">
        <w:rPr>
          <w:rFonts w:ascii="Arial" w:eastAsia="Times New Roman" w:hAnsi="Arial" w:cs="Arial"/>
          <w:sz w:val="24"/>
          <w:szCs w:val="24"/>
        </w:rPr>
        <w:t>ederal provisions. Specifically t</w:t>
      </w:r>
      <w:r>
        <w:rPr>
          <w:rFonts w:ascii="Arial" w:eastAsia="Times New Roman" w:hAnsi="Arial" w:cs="Arial"/>
          <w:sz w:val="24"/>
          <w:szCs w:val="24"/>
        </w:rPr>
        <w:t>he IDEA at 20 USC §1415</w:t>
      </w:r>
      <w:r w:rsidR="00DF5DAF">
        <w:rPr>
          <w:rFonts w:ascii="Arial" w:eastAsia="Times New Roman" w:hAnsi="Arial" w:cs="Arial"/>
          <w:sz w:val="24"/>
          <w:szCs w:val="24"/>
        </w:rPr>
        <w:t xml:space="preserve">(B)(6) and corresponding regulations at 34 CFR §§300.500-517, also permit parents and/or school districts to request mediations and/or due process hearings “relating to the identification, evaluation, or educational placement of a child with a disability or the provision of FAPE to the child.” 34 CFR §300.507(a)(1).  </w:t>
      </w:r>
    </w:p>
    <w:p w14:paraId="7339A448" w14:textId="0CF3AB01" w:rsidR="00553E78" w:rsidRDefault="00553E78" w:rsidP="00553E78">
      <w:pPr>
        <w:spacing w:after="0" w:line="240" w:lineRule="auto"/>
        <w:rPr>
          <w:rFonts w:ascii="Arial" w:eastAsia="Times New Roman" w:hAnsi="Arial" w:cs="Arial"/>
          <w:sz w:val="24"/>
          <w:szCs w:val="24"/>
        </w:rPr>
      </w:pPr>
    </w:p>
    <w:p w14:paraId="2B29278C" w14:textId="3F0ECAF3" w:rsidR="002F5300" w:rsidRDefault="008810AE" w:rsidP="00553E78">
      <w:pPr>
        <w:spacing w:after="0" w:line="240" w:lineRule="auto"/>
        <w:rPr>
          <w:rFonts w:ascii="Arial" w:eastAsia="Times New Roman" w:hAnsi="Arial" w:cs="Arial"/>
          <w:sz w:val="24"/>
          <w:szCs w:val="24"/>
        </w:rPr>
      </w:pPr>
      <w:r>
        <w:rPr>
          <w:rFonts w:ascii="Arial" w:eastAsia="Times New Roman" w:hAnsi="Arial" w:cs="Arial"/>
          <w:sz w:val="24"/>
          <w:szCs w:val="24"/>
        </w:rPr>
        <w:tab/>
        <w:t xml:space="preserve">As Boston and Student point out in their memoranda, the IDEA charges DESE, as the SEA for Massachusetts, with ultimate responsibility </w:t>
      </w:r>
      <w:r w:rsidR="00526932">
        <w:rPr>
          <w:rFonts w:ascii="Arial" w:eastAsia="Times New Roman" w:hAnsi="Arial" w:cs="Arial"/>
          <w:sz w:val="24"/>
          <w:szCs w:val="24"/>
        </w:rPr>
        <w:t xml:space="preserve">for provision of FAPE to eligible students, including those in state custody.  As such, DESE may be held liable if it neither </w:t>
      </w:r>
      <w:r w:rsidR="00D939F2">
        <w:rPr>
          <w:rFonts w:ascii="Arial" w:eastAsia="Times New Roman" w:hAnsi="Arial" w:cs="Arial"/>
          <w:sz w:val="24"/>
          <w:szCs w:val="24"/>
        </w:rPr>
        <w:t xml:space="preserve">delivers such services itself, through SEIS, </w:t>
      </w:r>
      <w:r w:rsidR="00D939F2" w:rsidRPr="000A6682">
        <w:rPr>
          <w:rFonts w:ascii="Arial" w:eastAsia="Times New Roman" w:hAnsi="Arial" w:cs="Arial"/>
          <w:sz w:val="24"/>
          <w:szCs w:val="24"/>
        </w:rPr>
        <w:t>no</w:t>
      </w:r>
      <w:r w:rsidR="001321D0" w:rsidRPr="000A6682">
        <w:rPr>
          <w:rFonts w:ascii="Arial" w:eastAsia="Times New Roman" w:hAnsi="Arial" w:cs="Arial"/>
          <w:sz w:val="24"/>
          <w:szCs w:val="24"/>
        </w:rPr>
        <w:t>r</w:t>
      </w:r>
      <w:r w:rsidR="00D939F2">
        <w:rPr>
          <w:rFonts w:ascii="Arial" w:eastAsia="Times New Roman" w:hAnsi="Arial" w:cs="Arial"/>
          <w:sz w:val="24"/>
          <w:szCs w:val="24"/>
        </w:rPr>
        <w:t xml:space="preserve"> </w:t>
      </w:r>
      <w:r w:rsidR="00526932">
        <w:rPr>
          <w:rFonts w:ascii="Arial" w:eastAsia="Times New Roman" w:hAnsi="Arial" w:cs="Arial"/>
          <w:sz w:val="24"/>
          <w:szCs w:val="24"/>
        </w:rPr>
        <w:t>ensures that other agencies (such as LEAs) provide special educational services to</w:t>
      </w:r>
      <w:r w:rsidR="00D939F2">
        <w:rPr>
          <w:rFonts w:ascii="Arial" w:eastAsia="Times New Roman" w:hAnsi="Arial" w:cs="Arial"/>
          <w:sz w:val="24"/>
          <w:szCs w:val="24"/>
        </w:rPr>
        <w:t xml:space="preserve"> which students may be entitled.  </w:t>
      </w:r>
      <w:r w:rsidR="00526932">
        <w:rPr>
          <w:rFonts w:ascii="Arial" w:eastAsia="Times New Roman" w:hAnsi="Arial" w:cs="Arial"/>
          <w:sz w:val="24"/>
          <w:szCs w:val="24"/>
        </w:rPr>
        <w:t xml:space="preserve">20 USC § 1412(a)(1(A); (a)(11).  Student’s hearing request alleges that DESE failed to deliver or ensure delivery of special education services set forth in </w:t>
      </w:r>
      <w:r w:rsidR="00D939F2">
        <w:rPr>
          <w:rFonts w:ascii="Arial" w:eastAsia="Times New Roman" w:hAnsi="Arial" w:cs="Arial"/>
          <w:sz w:val="24"/>
          <w:szCs w:val="24"/>
        </w:rPr>
        <w:t>Student’s</w:t>
      </w:r>
      <w:r w:rsidR="00526932">
        <w:rPr>
          <w:rFonts w:ascii="Arial" w:eastAsia="Times New Roman" w:hAnsi="Arial" w:cs="Arial"/>
          <w:sz w:val="24"/>
          <w:szCs w:val="24"/>
        </w:rPr>
        <w:t xml:space="preserve"> accepted </w:t>
      </w:r>
      <w:proofErr w:type="gramStart"/>
      <w:r w:rsidR="00526932">
        <w:rPr>
          <w:rFonts w:ascii="Arial" w:eastAsia="Times New Roman" w:hAnsi="Arial" w:cs="Arial"/>
          <w:sz w:val="24"/>
          <w:szCs w:val="24"/>
        </w:rPr>
        <w:t>IE</w:t>
      </w:r>
      <w:r w:rsidR="001321D0">
        <w:rPr>
          <w:rFonts w:ascii="Arial" w:eastAsia="Times New Roman" w:hAnsi="Arial" w:cs="Arial"/>
          <w:sz w:val="24"/>
          <w:szCs w:val="24"/>
        </w:rPr>
        <w:t>P</w:t>
      </w:r>
      <w:r w:rsidR="000A6682">
        <w:rPr>
          <w:rFonts w:ascii="Arial" w:eastAsia="Times New Roman" w:hAnsi="Arial" w:cs="Arial"/>
          <w:sz w:val="24"/>
          <w:szCs w:val="24"/>
        </w:rPr>
        <w:t>,</w:t>
      </w:r>
      <w:r w:rsidR="00526932">
        <w:rPr>
          <w:rFonts w:ascii="Arial" w:eastAsia="Times New Roman" w:hAnsi="Arial" w:cs="Arial"/>
          <w:sz w:val="24"/>
          <w:szCs w:val="24"/>
        </w:rPr>
        <w:t xml:space="preserve"> and</w:t>
      </w:r>
      <w:proofErr w:type="gramEnd"/>
      <w:r w:rsidR="00526932">
        <w:rPr>
          <w:rFonts w:ascii="Arial" w:eastAsia="Times New Roman" w:hAnsi="Arial" w:cs="Arial"/>
          <w:sz w:val="24"/>
          <w:szCs w:val="24"/>
        </w:rPr>
        <w:t xml:space="preserve"> DESE disputes this allegation.  Such dispute falls squarely within the purview of the BSEA’s jurisdiction as set forth above.   </w:t>
      </w:r>
    </w:p>
    <w:p w14:paraId="26E32BFD" w14:textId="77777777" w:rsidR="004F418D" w:rsidRDefault="004F418D" w:rsidP="00553E78">
      <w:pPr>
        <w:spacing w:after="0" w:line="240" w:lineRule="auto"/>
        <w:rPr>
          <w:rFonts w:ascii="Arial" w:eastAsia="Times New Roman" w:hAnsi="Arial" w:cs="Arial"/>
          <w:sz w:val="24"/>
          <w:szCs w:val="24"/>
        </w:rPr>
      </w:pPr>
    </w:p>
    <w:p w14:paraId="741B6059" w14:textId="0776101B" w:rsidR="004F418D" w:rsidRDefault="004F418D" w:rsidP="00553E78">
      <w:pPr>
        <w:spacing w:after="0" w:line="240" w:lineRule="auto"/>
        <w:rPr>
          <w:rFonts w:ascii="Arial" w:eastAsia="Times New Roman" w:hAnsi="Arial" w:cs="Arial"/>
          <w:sz w:val="24"/>
          <w:szCs w:val="24"/>
        </w:rPr>
      </w:pPr>
      <w:r>
        <w:rPr>
          <w:rFonts w:ascii="Arial" w:eastAsia="Times New Roman" w:hAnsi="Arial" w:cs="Arial"/>
          <w:sz w:val="24"/>
          <w:szCs w:val="24"/>
        </w:rPr>
        <w:tab/>
        <w:t xml:space="preserve">Moreover, the applicable state regulation, 603 CMR 28.06(9), </w:t>
      </w:r>
      <w:r w:rsidR="00AD4218">
        <w:rPr>
          <w:rFonts w:ascii="Arial" w:eastAsia="Times New Roman" w:hAnsi="Arial" w:cs="Arial"/>
          <w:sz w:val="24"/>
          <w:szCs w:val="24"/>
        </w:rPr>
        <w:t>does not immunize DESE from potentia</w:t>
      </w:r>
      <w:r w:rsidR="00D939F2">
        <w:rPr>
          <w:rFonts w:ascii="Arial" w:eastAsia="Times New Roman" w:hAnsi="Arial" w:cs="Arial"/>
          <w:sz w:val="24"/>
          <w:szCs w:val="24"/>
        </w:rPr>
        <w:t>l liability if a student in state agency custody</w:t>
      </w:r>
      <w:r w:rsidR="00AD4218">
        <w:rPr>
          <w:rFonts w:ascii="Arial" w:eastAsia="Times New Roman" w:hAnsi="Arial" w:cs="Arial"/>
          <w:sz w:val="24"/>
          <w:szCs w:val="24"/>
        </w:rPr>
        <w:t xml:space="preserve">, for whose special education services DESE is ultimately responsible, does not receive FAPE.  The </w:t>
      </w:r>
      <w:r w:rsidR="008164DA">
        <w:rPr>
          <w:rFonts w:ascii="Arial" w:eastAsia="Times New Roman" w:hAnsi="Arial" w:cs="Arial"/>
          <w:sz w:val="24"/>
          <w:szCs w:val="24"/>
        </w:rPr>
        <w:t>relevant portions of this regulation provide as follows:</w:t>
      </w:r>
      <w:r w:rsidR="00AD4218">
        <w:rPr>
          <w:rFonts w:ascii="Arial" w:eastAsia="Times New Roman" w:hAnsi="Arial" w:cs="Arial"/>
          <w:sz w:val="24"/>
          <w:szCs w:val="24"/>
        </w:rPr>
        <w:t xml:space="preserve">  </w:t>
      </w:r>
    </w:p>
    <w:p w14:paraId="57D3C0EB" w14:textId="77777777" w:rsidR="002F5300" w:rsidRDefault="002F5300" w:rsidP="00553E78">
      <w:pPr>
        <w:spacing w:after="0" w:line="240" w:lineRule="auto"/>
        <w:rPr>
          <w:rFonts w:ascii="Arial" w:eastAsia="Times New Roman" w:hAnsi="Arial" w:cs="Arial"/>
          <w:sz w:val="24"/>
          <w:szCs w:val="24"/>
        </w:rPr>
      </w:pPr>
    </w:p>
    <w:p w14:paraId="5CDFBDBC" w14:textId="280895BD" w:rsidR="008164DA" w:rsidRPr="008164DA" w:rsidRDefault="008164DA" w:rsidP="008164DA">
      <w:pPr>
        <w:pStyle w:val="NormalWeb"/>
        <w:shd w:val="clear" w:color="auto" w:fill="FFFFFF"/>
        <w:spacing w:before="0" w:beforeAutospacing="0" w:after="150" w:afterAutospacing="0"/>
        <w:ind w:left="1008" w:right="1008"/>
        <w:rPr>
          <w:rFonts w:ascii="Arial" w:hAnsi="Arial" w:cs="Arial"/>
          <w:color w:val="333333"/>
        </w:rPr>
      </w:pPr>
      <w:r w:rsidRPr="008164DA">
        <w:rPr>
          <w:rFonts w:ascii="Arial" w:hAnsi="Arial" w:cs="Arial"/>
          <w:color w:val="333333"/>
        </w:rPr>
        <w:t>(9) </w:t>
      </w:r>
      <w:r w:rsidRPr="008164DA">
        <w:rPr>
          <w:rFonts w:ascii="Arial" w:hAnsi="Arial" w:cs="Arial"/>
          <w:b/>
          <w:bCs/>
          <w:color w:val="333333"/>
        </w:rPr>
        <w:t>Educational Services in Institutional Settings.</w:t>
      </w:r>
      <w:r w:rsidR="001E664F">
        <w:rPr>
          <w:rFonts w:ascii="Arial" w:hAnsi="Arial" w:cs="Arial"/>
          <w:b/>
          <w:bCs/>
          <w:color w:val="333333"/>
        </w:rPr>
        <w:t xml:space="preserve"> </w:t>
      </w:r>
      <w:r w:rsidRPr="008164DA">
        <w:rPr>
          <w:rFonts w:ascii="Arial" w:hAnsi="Arial" w:cs="Arial"/>
          <w:color w:val="333333"/>
        </w:rPr>
        <w:t>The Department shall provide certain special education services to eligible students in certain facilities operated by or under contract with the Department of Mental Health, the Department of Youth Services, County Houses of Corrections, or the Department of Public Health. The Department shall retain the discretion to determine based upon resources, the type and amount of special education and related services that it provides in such facilities.</w:t>
      </w:r>
    </w:p>
    <w:p w14:paraId="0E7EBBBA" w14:textId="77777777" w:rsidR="008164DA" w:rsidRPr="008164DA" w:rsidRDefault="008164DA" w:rsidP="008164DA">
      <w:pPr>
        <w:pStyle w:val="NormalWeb"/>
        <w:shd w:val="clear" w:color="auto" w:fill="FFFFFF"/>
        <w:spacing w:before="0" w:beforeAutospacing="0" w:after="150" w:afterAutospacing="0"/>
        <w:ind w:left="1008" w:right="1008"/>
        <w:rPr>
          <w:rFonts w:ascii="Arial" w:hAnsi="Arial" w:cs="Arial"/>
          <w:color w:val="333333"/>
        </w:rPr>
      </w:pPr>
      <w:r w:rsidRPr="008164DA">
        <w:rPr>
          <w:rFonts w:ascii="Arial" w:hAnsi="Arial" w:cs="Arial"/>
          <w:color w:val="333333"/>
        </w:rPr>
        <w:t>(a) Decisions about admission to and discharge from institutional facilities are within the authority of institution administrators, not the school district. However, school districts are not relieved of their obligations to students in such settings. School districts are responsible for students in institutional settings in accordance with 603 CMR 28.10. Such students have the same rights for referral, evaluation, and the provision of special education in accordance with state and federal law as students in public schools.</w:t>
      </w:r>
    </w:p>
    <w:p w14:paraId="2EF48DA9" w14:textId="77777777" w:rsidR="008164DA" w:rsidRPr="008164DA" w:rsidRDefault="008164DA" w:rsidP="008164DA">
      <w:pPr>
        <w:pStyle w:val="NormalWeb"/>
        <w:shd w:val="clear" w:color="auto" w:fill="FFFFFF"/>
        <w:spacing w:before="0" w:beforeAutospacing="0" w:after="150" w:afterAutospacing="0"/>
        <w:ind w:left="1008" w:right="1008"/>
        <w:rPr>
          <w:rFonts w:ascii="Arial" w:hAnsi="Arial" w:cs="Arial"/>
          <w:color w:val="333333"/>
        </w:rPr>
      </w:pPr>
      <w:r w:rsidRPr="008164DA">
        <w:rPr>
          <w:rFonts w:ascii="Arial" w:hAnsi="Arial" w:cs="Arial"/>
          <w:color w:val="333333"/>
        </w:rPr>
        <w:lastRenderedPageBreak/>
        <w:t>(b) Non-educational services such as residential, medical and clinical services shall be provided by the state agency that controls the facility. The provision of such services shall be governed by the state agency in accordance with applicable laws, interagency agreements, or agency policies.</w:t>
      </w:r>
    </w:p>
    <w:p w14:paraId="76EB63FC" w14:textId="77777777" w:rsidR="008164DA" w:rsidRPr="008164DA" w:rsidRDefault="008164DA" w:rsidP="008164DA">
      <w:pPr>
        <w:pStyle w:val="NormalWeb"/>
        <w:shd w:val="clear" w:color="auto" w:fill="FFFFFF"/>
        <w:spacing w:before="0" w:beforeAutospacing="0" w:after="150" w:afterAutospacing="0"/>
        <w:ind w:left="1008" w:right="1008"/>
        <w:rPr>
          <w:rFonts w:ascii="Arial" w:hAnsi="Arial" w:cs="Arial"/>
          <w:color w:val="333333"/>
        </w:rPr>
      </w:pPr>
      <w:r w:rsidRPr="008164DA">
        <w:rPr>
          <w:rFonts w:ascii="Arial" w:hAnsi="Arial" w:cs="Arial"/>
          <w:color w:val="333333"/>
        </w:rPr>
        <w:t>(c) Where a student's IEP requires a type or amount of service that the facility does not provide, it shall remain the responsibility of the school district where the father, mother or legal guardian resides, except as provided in 603 CMR 28.10(3)(c)1 and 2, to implement the student's IEP by arranging and paying for the provision of such services.</w:t>
      </w:r>
    </w:p>
    <w:p w14:paraId="3F67A159" w14:textId="57548B16" w:rsidR="008164DA" w:rsidRDefault="008164DA" w:rsidP="008164DA">
      <w:pPr>
        <w:pStyle w:val="NormalWeb"/>
        <w:shd w:val="clear" w:color="auto" w:fill="FFFFFF"/>
        <w:spacing w:before="0" w:beforeAutospacing="0" w:after="150" w:afterAutospacing="0"/>
        <w:ind w:left="1008" w:right="1008"/>
        <w:rPr>
          <w:rFonts w:ascii="Arial" w:hAnsi="Arial" w:cs="Arial"/>
          <w:color w:val="333333"/>
        </w:rPr>
      </w:pPr>
      <w:r w:rsidRPr="008164DA">
        <w:rPr>
          <w:rFonts w:ascii="Arial" w:hAnsi="Arial" w:cs="Arial"/>
          <w:color w:val="333333"/>
        </w:rPr>
        <w:t xml:space="preserve">(d) The responsible school district </w:t>
      </w:r>
      <w:r w:rsidR="00D939F2">
        <w:rPr>
          <w:rFonts w:ascii="Arial" w:hAnsi="Arial" w:cs="Arial"/>
          <w:color w:val="333333"/>
        </w:rPr>
        <w:t xml:space="preserve">shall </w:t>
      </w:r>
      <w:r w:rsidRPr="008164DA">
        <w:rPr>
          <w:rFonts w:ascii="Arial" w:hAnsi="Arial" w:cs="Arial"/>
          <w:color w:val="333333"/>
        </w:rPr>
        <w:t>coordinate with the Department and ensure that the student receives an evaluation, an annual review, and special education services as identified by the Team at a Team meeting convened by the responsible school district. The Department shall participate in Team meetings for any student receiving special education services in an institutional setting. To the extent that special education services are provided by the Department in such facilities, the Department will make every effort to provide services consistent with the student's IEP and available resources.</w:t>
      </w:r>
    </w:p>
    <w:p w14:paraId="7F878BDD" w14:textId="3BEB0D22" w:rsidR="00D939F2" w:rsidRDefault="008164DA" w:rsidP="008164DA">
      <w:pPr>
        <w:pStyle w:val="NormalWeb"/>
        <w:shd w:val="clear" w:color="auto" w:fill="FFFFFF"/>
        <w:spacing w:before="0" w:beforeAutospacing="0" w:after="150" w:afterAutospacing="0"/>
        <w:rPr>
          <w:rFonts w:ascii="Arial" w:hAnsi="Arial" w:cs="Arial"/>
          <w:color w:val="333333"/>
        </w:rPr>
      </w:pPr>
      <w:r>
        <w:rPr>
          <w:rFonts w:ascii="Arial" w:hAnsi="Arial" w:cs="Arial"/>
          <w:color w:val="333333"/>
        </w:rPr>
        <w:tab/>
        <w:t>This regulation</w:t>
      </w:r>
      <w:r w:rsidR="00E227A6">
        <w:rPr>
          <w:rFonts w:ascii="Arial" w:hAnsi="Arial" w:cs="Arial"/>
          <w:color w:val="333333"/>
        </w:rPr>
        <w:t>, supplemented by gu</w:t>
      </w:r>
      <w:r w:rsidR="00E619A6">
        <w:rPr>
          <w:rFonts w:ascii="Arial" w:hAnsi="Arial" w:cs="Arial"/>
          <w:color w:val="333333"/>
        </w:rPr>
        <w:t>idance documents issued by DESE and an interagency agreement between DESE and DYS</w:t>
      </w:r>
      <w:r w:rsidR="00E227A6">
        <w:rPr>
          <w:rStyle w:val="FootnoteReference"/>
          <w:rFonts w:ascii="Arial" w:hAnsi="Arial" w:cs="Arial"/>
          <w:color w:val="333333"/>
        </w:rPr>
        <w:footnoteReference w:id="5"/>
      </w:r>
      <w:r w:rsidR="00E619A6">
        <w:rPr>
          <w:rFonts w:ascii="Arial" w:hAnsi="Arial" w:cs="Arial"/>
          <w:color w:val="333333"/>
        </w:rPr>
        <w:t>, outline</w:t>
      </w:r>
      <w:r w:rsidR="003F7705">
        <w:rPr>
          <w:rFonts w:ascii="Arial" w:hAnsi="Arial" w:cs="Arial"/>
          <w:color w:val="333333"/>
        </w:rPr>
        <w:t>s</w:t>
      </w:r>
      <w:r w:rsidR="00E619A6">
        <w:rPr>
          <w:rFonts w:ascii="Arial" w:hAnsi="Arial" w:cs="Arial"/>
          <w:color w:val="333333"/>
        </w:rPr>
        <w:t xml:space="preserve"> procedures for allocation of responsibilities among DESE, DYS, and a student’</w:t>
      </w:r>
      <w:r w:rsidR="003F7705">
        <w:rPr>
          <w:rFonts w:ascii="Arial" w:hAnsi="Arial" w:cs="Arial"/>
          <w:color w:val="333333"/>
        </w:rPr>
        <w:t xml:space="preserve">s LEA, including the requirement for DESE to notify the LEA if it cannot provide all of a student’s IEP services such that the LEA becomes responsible for doing so.  </w:t>
      </w:r>
      <w:r w:rsidR="00D939F2">
        <w:rPr>
          <w:rFonts w:ascii="Arial" w:hAnsi="Arial" w:cs="Arial"/>
          <w:color w:val="333333"/>
        </w:rPr>
        <w:t>The regulation creates</w:t>
      </w:r>
      <w:r w:rsidR="003F7705">
        <w:rPr>
          <w:rFonts w:ascii="Arial" w:hAnsi="Arial" w:cs="Arial"/>
          <w:color w:val="333333"/>
        </w:rPr>
        <w:t xml:space="preserve"> an administrative structure for delivery of special education services, </w:t>
      </w:r>
      <w:r w:rsidR="00D939F2">
        <w:rPr>
          <w:rFonts w:ascii="Arial" w:hAnsi="Arial" w:cs="Arial"/>
          <w:color w:val="333333"/>
        </w:rPr>
        <w:t>and makes clear that a student’s LEA continues to have duties to the student, while in state custody.  T</w:t>
      </w:r>
      <w:r w:rsidR="003F7705">
        <w:rPr>
          <w:rFonts w:ascii="Arial" w:hAnsi="Arial" w:cs="Arial"/>
          <w:color w:val="333333"/>
        </w:rPr>
        <w:t>his</w:t>
      </w:r>
      <w:r w:rsidR="00E619A6">
        <w:rPr>
          <w:rFonts w:ascii="Arial" w:hAnsi="Arial" w:cs="Arial"/>
          <w:color w:val="333333"/>
        </w:rPr>
        <w:t xml:space="preserve"> regulatio</w:t>
      </w:r>
      <w:r w:rsidR="003F7705">
        <w:rPr>
          <w:rFonts w:ascii="Arial" w:hAnsi="Arial" w:cs="Arial"/>
          <w:color w:val="333333"/>
        </w:rPr>
        <w:t>n cannot and does not</w:t>
      </w:r>
      <w:r w:rsidR="00D939F2">
        <w:rPr>
          <w:rFonts w:ascii="Arial" w:hAnsi="Arial" w:cs="Arial"/>
          <w:color w:val="333333"/>
        </w:rPr>
        <w:t>, however,</w:t>
      </w:r>
      <w:r w:rsidR="003F7705">
        <w:rPr>
          <w:rFonts w:ascii="Arial" w:hAnsi="Arial" w:cs="Arial"/>
          <w:color w:val="333333"/>
        </w:rPr>
        <w:t xml:space="preserve"> </w:t>
      </w:r>
      <w:r w:rsidR="00E619A6">
        <w:rPr>
          <w:rFonts w:ascii="Arial" w:hAnsi="Arial" w:cs="Arial"/>
          <w:color w:val="333333"/>
        </w:rPr>
        <w:t>relieve DESE of its ultimate responsibility</w:t>
      </w:r>
      <w:r w:rsidR="003F7705">
        <w:rPr>
          <w:rFonts w:ascii="Arial" w:hAnsi="Arial" w:cs="Arial"/>
          <w:color w:val="333333"/>
        </w:rPr>
        <w:t>, under both federal and state law,</w:t>
      </w:r>
      <w:r w:rsidR="00E619A6">
        <w:rPr>
          <w:rFonts w:ascii="Arial" w:hAnsi="Arial" w:cs="Arial"/>
          <w:color w:val="333333"/>
        </w:rPr>
        <w:t xml:space="preserve"> </w:t>
      </w:r>
      <w:r w:rsidR="00D939F2">
        <w:rPr>
          <w:rFonts w:ascii="Arial" w:hAnsi="Arial" w:cs="Arial"/>
          <w:color w:val="333333"/>
        </w:rPr>
        <w:t>to ensure delivery of</w:t>
      </w:r>
      <w:r w:rsidR="00E619A6">
        <w:rPr>
          <w:rFonts w:ascii="Arial" w:hAnsi="Arial" w:cs="Arial"/>
          <w:color w:val="333333"/>
        </w:rPr>
        <w:t xml:space="preserve"> </w:t>
      </w:r>
      <w:r w:rsidR="00EE6AEF">
        <w:rPr>
          <w:rFonts w:ascii="Arial" w:hAnsi="Arial" w:cs="Arial"/>
          <w:color w:val="333333"/>
        </w:rPr>
        <w:t xml:space="preserve">FAPE to </w:t>
      </w:r>
      <w:r w:rsidR="003F7705">
        <w:rPr>
          <w:rFonts w:ascii="Arial" w:hAnsi="Arial" w:cs="Arial"/>
          <w:color w:val="333333"/>
        </w:rPr>
        <w:t>eligible students in DYS custody, including Student</w:t>
      </w:r>
      <w:r w:rsidR="00E619A6">
        <w:rPr>
          <w:rFonts w:ascii="Arial" w:hAnsi="Arial" w:cs="Arial"/>
          <w:color w:val="333333"/>
        </w:rPr>
        <w:t xml:space="preserve">.  See, </w:t>
      </w:r>
      <w:r w:rsidR="00E619A6" w:rsidRPr="00E619A6">
        <w:rPr>
          <w:rFonts w:ascii="Arial" w:hAnsi="Arial" w:cs="Arial"/>
          <w:i/>
          <w:color w:val="333333"/>
        </w:rPr>
        <w:t>e.g., OSERS Dear Colleague Letter,</w:t>
      </w:r>
      <w:r w:rsidR="00E619A6">
        <w:rPr>
          <w:rFonts w:ascii="Arial" w:hAnsi="Arial" w:cs="Arial"/>
          <w:color w:val="333333"/>
        </w:rPr>
        <w:t xml:space="preserve"> December 5, 2014, p. 6</w:t>
      </w:r>
      <w:r w:rsidR="001E664F">
        <w:rPr>
          <w:rFonts w:ascii="Arial" w:hAnsi="Arial" w:cs="Arial"/>
          <w:color w:val="333333"/>
        </w:rPr>
        <w:t xml:space="preserve">; </w:t>
      </w:r>
      <w:proofErr w:type="spellStart"/>
      <w:r w:rsidR="001E664F" w:rsidRPr="001E664F">
        <w:rPr>
          <w:rFonts w:ascii="Arial" w:hAnsi="Arial" w:cs="Arial"/>
          <w:i/>
          <w:color w:val="333333"/>
        </w:rPr>
        <w:t>Gradsby</w:t>
      </w:r>
      <w:proofErr w:type="spellEnd"/>
      <w:r w:rsidR="001E664F" w:rsidRPr="001E664F">
        <w:rPr>
          <w:rFonts w:ascii="Arial" w:hAnsi="Arial" w:cs="Arial"/>
          <w:i/>
          <w:color w:val="333333"/>
        </w:rPr>
        <w:t xml:space="preserve"> v. </w:t>
      </w:r>
      <w:proofErr w:type="spellStart"/>
      <w:r w:rsidR="001E664F" w:rsidRPr="001E664F">
        <w:rPr>
          <w:rFonts w:ascii="Arial" w:hAnsi="Arial" w:cs="Arial"/>
          <w:i/>
          <w:color w:val="333333"/>
        </w:rPr>
        <w:t>Grasmick</w:t>
      </w:r>
      <w:proofErr w:type="spellEnd"/>
      <w:r w:rsidR="001E664F">
        <w:rPr>
          <w:rFonts w:ascii="Arial" w:hAnsi="Arial" w:cs="Arial"/>
          <w:color w:val="333333"/>
        </w:rPr>
        <w:t>, 109 F. 3d 940, 952 (4</w:t>
      </w:r>
      <w:r w:rsidR="001E664F" w:rsidRPr="001E664F">
        <w:rPr>
          <w:rFonts w:ascii="Arial" w:hAnsi="Arial" w:cs="Arial"/>
          <w:color w:val="333333"/>
          <w:vertAlign w:val="superscript"/>
        </w:rPr>
        <w:t>th</w:t>
      </w:r>
      <w:r w:rsidR="001E664F">
        <w:rPr>
          <w:rFonts w:ascii="Arial" w:hAnsi="Arial" w:cs="Arial"/>
          <w:color w:val="333333"/>
        </w:rPr>
        <w:t xml:space="preserve"> </w:t>
      </w:r>
      <w:r w:rsidR="00625ECE">
        <w:rPr>
          <w:rFonts w:ascii="Arial" w:hAnsi="Arial" w:cs="Arial"/>
          <w:color w:val="333333"/>
        </w:rPr>
        <w:t xml:space="preserve">Cir. 1997).  </w:t>
      </w:r>
      <w:r w:rsidR="003F7705">
        <w:rPr>
          <w:rFonts w:ascii="Arial" w:hAnsi="Arial" w:cs="Arial"/>
          <w:color w:val="333333"/>
        </w:rPr>
        <w:t xml:space="preserve">This </w:t>
      </w:r>
      <w:r w:rsidR="00625ECE">
        <w:rPr>
          <w:rFonts w:ascii="Arial" w:hAnsi="Arial" w:cs="Arial"/>
          <w:color w:val="333333"/>
        </w:rPr>
        <w:t>conclusion is consistent with prio</w:t>
      </w:r>
      <w:r w:rsidR="00D939F2">
        <w:rPr>
          <w:rFonts w:ascii="Arial" w:hAnsi="Arial" w:cs="Arial"/>
          <w:color w:val="333333"/>
        </w:rPr>
        <w:t xml:space="preserve">r BSEA rulings in similar cases.  </w:t>
      </w:r>
      <w:r w:rsidR="004565F3">
        <w:rPr>
          <w:rFonts w:ascii="Arial" w:hAnsi="Arial" w:cs="Arial"/>
          <w:color w:val="333333"/>
        </w:rPr>
        <w:t xml:space="preserve">See, </w:t>
      </w:r>
      <w:proofErr w:type="spellStart"/>
      <w:r w:rsidR="004565F3" w:rsidRPr="004565F3">
        <w:rPr>
          <w:rFonts w:ascii="Arial" w:hAnsi="Arial" w:cs="Arial"/>
          <w:i/>
          <w:color w:val="333333"/>
        </w:rPr>
        <w:t>e.g</w:t>
      </w:r>
      <w:proofErr w:type="spellEnd"/>
      <w:r w:rsidR="004565F3">
        <w:rPr>
          <w:rFonts w:ascii="Arial" w:hAnsi="Arial" w:cs="Arial"/>
          <w:color w:val="333333"/>
        </w:rPr>
        <w:t xml:space="preserve">, </w:t>
      </w:r>
      <w:r w:rsidR="00A3036D" w:rsidRPr="00A3036D">
        <w:rPr>
          <w:rFonts w:ascii="Arial" w:hAnsi="Arial" w:cs="Arial"/>
          <w:i/>
          <w:color w:val="333333"/>
        </w:rPr>
        <w:t xml:space="preserve">Student v. </w:t>
      </w:r>
      <w:r w:rsidR="004565F3" w:rsidRPr="00A3036D">
        <w:rPr>
          <w:rFonts w:ascii="Arial" w:hAnsi="Arial" w:cs="Arial"/>
          <w:i/>
          <w:color w:val="333333"/>
        </w:rPr>
        <w:t>Boston Public Schools &amp; DESE</w:t>
      </w:r>
      <w:r w:rsidR="004565F3">
        <w:rPr>
          <w:rFonts w:ascii="Arial" w:hAnsi="Arial" w:cs="Arial"/>
          <w:color w:val="333333"/>
        </w:rPr>
        <w:t xml:space="preserve">, BSEA No. </w:t>
      </w:r>
      <w:r w:rsidR="00A3036D">
        <w:rPr>
          <w:rFonts w:ascii="Arial" w:hAnsi="Arial" w:cs="Arial"/>
          <w:color w:val="333333"/>
        </w:rPr>
        <w:t>2006658</w:t>
      </w:r>
      <w:r w:rsidR="004565F3">
        <w:rPr>
          <w:rFonts w:ascii="Arial" w:hAnsi="Arial" w:cs="Arial"/>
          <w:color w:val="333333"/>
        </w:rPr>
        <w:t xml:space="preserve"> (Figueroa, </w:t>
      </w:r>
      <w:r w:rsidR="007F4153">
        <w:rPr>
          <w:rFonts w:ascii="Arial" w:hAnsi="Arial" w:cs="Arial"/>
          <w:color w:val="333333"/>
        </w:rPr>
        <w:t>June 17, 2020</w:t>
      </w:r>
      <w:r w:rsidR="00A3036D">
        <w:rPr>
          <w:rFonts w:ascii="Arial" w:hAnsi="Arial" w:cs="Arial"/>
          <w:color w:val="333333"/>
        </w:rPr>
        <w:t>)</w:t>
      </w:r>
      <w:r w:rsidR="004565F3">
        <w:rPr>
          <w:rFonts w:ascii="Arial" w:hAnsi="Arial" w:cs="Arial"/>
          <w:color w:val="333333"/>
        </w:rPr>
        <w:t xml:space="preserve">;  </w:t>
      </w:r>
      <w:r w:rsidR="004565F3" w:rsidRPr="004565F3">
        <w:rPr>
          <w:rFonts w:ascii="Arial" w:hAnsi="Arial" w:cs="Arial"/>
          <w:i/>
          <w:color w:val="333333"/>
        </w:rPr>
        <w:t>In Re Chicopee Public Schools &amp; Mass. Dept. of Elementary &amp; Secondary Education</w:t>
      </w:r>
      <w:r w:rsidR="004565F3">
        <w:rPr>
          <w:rFonts w:ascii="Arial" w:hAnsi="Arial" w:cs="Arial"/>
          <w:color w:val="333333"/>
        </w:rPr>
        <w:t xml:space="preserve"> (DESE), BSEA No. 1608986 (Berman, </w:t>
      </w:r>
      <w:r w:rsidR="007F4153">
        <w:rPr>
          <w:rFonts w:ascii="Arial" w:hAnsi="Arial" w:cs="Arial"/>
          <w:color w:val="333333"/>
        </w:rPr>
        <w:t xml:space="preserve">March 20, </w:t>
      </w:r>
      <w:r w:rsidR="004565F3">
        <w:rPr>
          <w:rFonts w:ascii="Arial" w:hAnsi="Arial" w:cs="Arial"/>
          <w:color w:val="333333"/>
        </w:rPr>
        <w:t>201</w:t>
      </w:r>
      <w:r w:rsidR="007F4153">
        <w:rPr>
          <w:rFonts w:ascii="Arial" w:hAnsi="Arial" w:cs="Arial"/>
          <w:color w:val="333333"/>
        </w:rPr>
        <w:t>7</w:t>
      </w:r>
      <w:r w:rsidR="004565F3">
        <w:rPr>
          <w:rFonts w:ascii="Arial" w:hAnsi="Arial" w:cs="Arial"/>
          <w:color w:val="333333"/>
        </w:rPr>
        <w:t xml:space="preserve">).   </w:t>
      </w:r>
    </w:p>
    <w:p w14:paraId="3DFC396C" w14:textId="5C26BD90" w:rsidR="00225116" w:rsidRPr="00BE75E9" w:rsidRDefault="00D939F2" w:rsidP="00BE75E9">
      <w:pPr>
        <w:pStyle w:val="NormalWeb"/>
        <w:shd w:val="clear" w:color="auto" w:fill="FFFFFF"/>
        <w:spacing w:before="0" w:beforeAutospacing="0" w:after="150" w:afterAutospacing="0"/>
        <w:rPr>
          <w:rFonts w:ascii="Arial" w:hAnsi="Arial" w:cs="Arial"/>
          <w:color w:val="333333"/>
        </w:rPr>
      </w:pPr>
      <w:r>
        <w:rPr>
          <w:rFonts w:ascii="Arial" w:hAnsi="Arial" w:cs="Arial"/>
          <w:color w:val="333333"/>
        </w:rPr>
        <w:tab/>
      </w:r>
      <w:r w:rsidR="00AD145C">
        <w:rPr>
          <w:rFonts w:ascii="Arial" w:hAnsi="Arial" w:cs="Arial"/>
          <w:color w:val="333333"/>
        </w:rPr>
        <w:t xml:space="preserve">DESE’s argument that Student did not provide sufficient detail as to the missing services for which DESE/SEIS </w:t>
      </w:r>
      <w:r w:rsidR="000A6682">
        <w:rPr>
          <w:rFonts w:ascii="Arial" w:hAnsi="Arial" w:cs="Arial"/>
          <w:color w:val="333333"/>
        </w:rPr>
        <w:t>allegedly w</w:t>
      </w:r>
      <w:r w:rsidR="00AD145C">
        <w:rPr>
          <w:rFonts w:ascii="Arial" w:hAnsi="Arial" w:cs="Arial"/>
          <w:color w:val="333333"/>
        </w:rPr>
        <w:t xml:space="preserve">as responsible does not establish grounds for dismissal.  </w:t>
      </w:r>
      <w:r w:rsidR="00BE75E9">
        <w:rPr>
          <w:rFonts w:ascii="Arial" w:hAnsi="Arial" w:cs="Arial"/>
          <w:color w:val="333333"/>
        </w:rPr>
        <w:t xml:space="preserve">The hearing request alleges that Student </w:t>
      </w:r>
      <w:r w:rsidR="007F4153">
        <w:rPr>
          <w:rFonts w:ascii="Arial" w:hAnsi="Arial" w:cs="Arial"/>
          <w:color w:val="333333"/>
        </w:rPr>
        <w:t>received no</w:t>
      </w:r>
      <w:r w:rsidR="00BE75E9">
        <w:rPr>
          <w:rFonts w:ascii="Arial" w:hAnsi="Arial" w:cs="Arial"/>
          <w:color w:val="333333"/>
        </w:rPr>
        <w:t xml:space="preserve"> services during some or all of his period in detention, missed some of his services while on committed status, and did not have access to a Spanish-speaking paraprofessional from May 2018 forward.  The hearing request further alleges that Student’s records do not contain a </w:t>
      </w:r>
      <w:r w:rsidR="00BE75E9">
        <w:rPr>
          <w:rFonts w:ascii="Arial" w:hAnsi="Arial" w:cs="Arial"/>
          <w:color w:val="333333"/>
        </w:rPr>
        <w:lastRenderedPageBreak/>
        <w:t xml:space="preserve">copy of the NSS letter that SEIS would be required to send </w:t>
      </w:r>
      <w:r w:rsidR="007F4153">
        <w:rPr>
          <w:rFonts w:ascii="Arial" w:hAnsi="Arial" w:cs="Arial"/>
          <w:color w:val="333333"/>
        </w:rPr>
        <w:t xml:space="preserve">to </w:t>
      </w:r>
      <w:r w:rsidR="00BE75E9">
        <w:rPr>
          <w:rFonts w:ascii="Arial" w:hAnsi="Arial" w:cs="Arial"/>
          <w:color w:val="333333"/>
        </w:rPr>
        <w:t>Bost</w:t>
      </w:r>
      <w:r w:rsidR="007F4153">
        <w:rPr>
          <w:rFonts w:ascii="Arial" w:hAnsi="Arial" w:cs="Arial"/>
          <w:color w:val="333333"/>
        </w:rPr>
        <w:t>on if SEIS could not fulfill all</w:t>
      </w:r>
      <w:r w:rsidR="00BE75E9">
        <w:rPr>
          <w:rFonts w:ascii="Arial" w:hAnsi="Arial" w:cs="Arial"/>
          <w:color w:val="333333"/>
        </w:rPr>
        <w:t xml:space="preserve"> of the terms of Student’</w:t>
      </w:r>
      <w:r w:rsidR="007F4153">
        <w:rPr>
          <w:rFonts w:ascii="Arial" w:hAnsi="Arial" w:cs="Arial"/>
          <w:color w:val="333333"/>
        </w:rPr>
        <w:t>s IEP such that BPS would be required to fill the gaps.</w:t>
      </w:r>
      <w:r w:rsidR="00BE75E9">
        <w:rPr>
          <w:rFonts w:ascii="Arial" w:hAnsi="Arial" w:cs="Arial"/>
          <w:color w:val="333333"/>
        </w:rPr>
        <w:t xml:space="preserve"> I find that the</w:t>
      </w:r>
      <w:r w:rsidR="007F4153">
        <w:rPr>
          <w:rFonts w:ascii="Arial" w:hAnsi="Arial" w:cs="Arial"/>
          <w:color w:val="333333"/>
        </w:rPr>
        <w:t>se</w:t>
      </w:r>
      <w:r w:rsidR="00BE75E9">
        <w:rPr>
          <w:rFonts w:ascii="Arial" w:hAnsi="Arial" w:cs="Arial"/>
          <w:color w:val="333333"/>
        </w:rPr>
        <w:t xml:space="preserve"> allegations in the hearing request are sufficient to state a claim against DESE.  Determination of the type and amount of services omitted, as well as which entity—DESE or Boston—was responsible for delivering them, is a factual matter to be determined at a hearing.  As such, dismissal of claims against DESE is not warranted.  </w:t>
      </w:r>
      <w:r w:rsidR="001E664F">
        <w:rPr>
          <w:rFonts w:ascii="Arial" w:hAnsi="Arial" w:cs="Arial"/>
          <w:color w:val="333333"/>
        </w:rPr>
        <w:t xml:space="preserve"> </w:t>
      </w:r>
      <w:r w:rsidR="00BE75E9">
        <w:rPr>
          <w:rFonts w:ascii="Arial" w:hAnsi="Arial" w:cs="Arial"/>
          <w:color w:val="333333"/>
        </w:rPr>
        <w:t xml:space="preserve"> </w:t>
      </w:r>
    </w:p>
    <w:p w14:paraId="1D396120" w14:textId="0B0B0B3A" w:rsidR="002F5300" w:rsidRPr="002F5300" w:rsidRDefault="002F5300" w:rsidP="002F5300">
      <w:pPr>
        <w:spacing w:after="0" w:line="240" w:lineRule="auto"/>
        <w:rPr>
          <w:rFonts w:ascii="Arial" w:eastAsia="Times New Roman" w:hAnsi="Arial" w:cs="Arial"/>
          <w:sz w:val="24"/>
          <w:szCs w:val="24"/>
        </w:rPr>
      </w:pPr>
      <w:r>
        <w:rPr>
          <w:rFonts w:ascii="Arial" w:eastAsia="Times New Roman" w:hAnsi="Arial" w:cs="Arial"/>
          <w:sz w:val="24"/>
          <w:szCs w:val="24"/>
        </w:rPr>
        <w:tab/>
      </w:r>
    </w:p>
    <w:p w14:paraId="3831CE31" w14:textId="68D1320C" w:rsidR="00E80350" w:rsidRPr="00E80350" w:rsidRDefault="00BE75E9" w:rsidP="00BE75E9">
      <w:pPr>
        <w:spacing w:after="0" w:line="240" w:lineRule="auto"/>
        <w:jc w:val="center"/>
        <w:rPr>
          <w:rFonts w:ascii="Arial" w:eastAsia="Times New Roman" w:hAnsi="Arial" w:cs="Arial"/>
          <w:b/>
          <w:sz w:val="24"/>
          <w:szCs w:val="24"/>
          <w:u w:val="single"/>
        </w:rPr>
      </w:pPr>
      <w:r>
        <w:rPr>
          <w:rFonts w:ascii="Arial" w:eastAsia="Times New Roman" w:hAnsi="Arial" w:cs="Arial"/>
          <w:b/>
          <w:sz w:val="24"/>
          <w:szCs w:val="24"/>
          <w:u w:val="single"/>
        </w:rPr>
        <w:t xml:space="preserve">CONCLUSION AND </w:t>
      </w:r>
      <w:r w:rsidR="00E80350">
        <w:rPr>
          <w:rFonts w:ascii="Arial" w:eastAsia="Times New Roman" w:hAnsi="Arial" w:cs="Arial"/>
          <w:b/>
          <w:sz w:val="24"/>
          <w:szCs w:val="24"/>
          <w:u w:val="single"/>
        </w:rPr>
        <w:t>ORDER</w:t>
      </w:r>
    </w:p>
    <w:p w14:paraId="69C0070A" w14:textId="77777777" w:rsidR="00101D6C" w:rsidRDefault="00101D6C" w:rsidP="00D33C5B">
      <w:pPr>
        <w:spacing w:after="0" w:line="240" w:lineRule="auto"/>
        <w:rPr>
          <w:rFonts w:ascii="Arial" w:eastAsia="Times New Roman" w:hAnsi="Arial" w:cs="Arial"/>
          <w:sz w:val="24"/>
          <w:szCs w:val="24"/>
        </w:rPr>
      </w:pPr>
    </w:p>
    <w:p w14:paraId="18675184" w14:textId="5BCB6E9F" w:rsidR="00861559" w:rsidRDefault="00BE75E9" w:rsidP="00271A70">
      <w:pPr>
        <w:ind w:firstLine="720"/>
        <w:rPr>
          <w:rFonts w:ascii="Arial" w:eastAsia="Times New Roman" w:hAnsi="Arial" w:cs="Arial"/>
          <w:sz w:val="24"/>
          <w:szCs w:val="24"/>
        </w:rPr>
      </w:pPr>
      <w:r>
        <w:rPr>
          <w:rFonts w:ascii="Arial" w:hAnsi="Arial" w:cs="Arial"/>
          <w:sz w:val="24"/>
          <w:szCs w:val="24"/>
        </w:rPr>
        <w:t xml:space="preserve">Student’s hearing request has stated claims against DESE for which relief may be granted by the BSEA.  The </w:t>
      </w:r>
      <w:r w:rsidRPr="00BE75E9">
        <w:rPr>
          <w:rFonts w:ascii="Arial" w:hAnsi="Arial" w:cs="Arial"/>
          <w:i/>
          <w:sz w:val="24"/>
          <w:szCs w:val="24"/>
        </w:rPr>
        <w:t>Motion to Dismiss</w:t>
      </w:r>
      <w:r>
        <w:rPr>
          <w:rFonts w:ascii="Arial" w:hAnsi="Arial" w:cs="Arial"/>
          <w:sz w:val="24"/>
          <w:szCs w:val="24"/>
        </w:rPr>
        <w:t xml:space="preserve"> of DESE is DENIED.  </w:t>
      </w:r>
    </w:p>
    <w:p w14:paraId="4EAF002E" w14:textId="77777777" w:rsidR="00E601EE" w:rsidRDefault="00E601EE">
      <w:pPr>
        <w:rPr>
          <w:rFonts w:ascii="Arial" w:eastAsia="Times New Roman" w:hAnsi="Arial" w:cs="Arial"/>
          <w:sz w:val="24"/>
          <w:szCs w:val="24"/>
        </w:rPr>
      </w:pPr>
    </w:p>
    <w:p w14:paraId="2AA6CCA3" w14:textId="0E0D410A" w:rsidR="00E601EE" w:rsidRDefault="00E601EE">
      <w:pPr>
        <w:rPr>
          <w:rFonts w:ascii="Arial" w:eastAsia="Times New Roman" w:hAnsi="Arial" w:cs="Arial"/>
          <w:sz w:val="24"/>
          <w:szCs w:val="24"/>
        </w:rPr>
      </w:pPr>
      <w:r>
        <w:rPr>
          <w:rFonts w:ascii="Arial" w:eastAsia="Times New Roman" w:hAnsi="Arial" w:cs="Arial"/>
          <w:sz w:val="24"/>
          <w:szCs w:val="24"/>
        </w:rPr>
        <w:t>By the Hearing Officer</w:t>
      </w:r>
      <w:r w:rsidR="006F323A">
        <w:rPr>
          <w:rStyle w:val="FootnoteReference"/>
          <w:rFonts w:ascii="Arial" w:eastAsia="Times New Roman" w:hAnsi="Arial" w:cs="Arial"/>
          <w:sz w:val="24"/>
          <w:szCs w:val="24"/>
        </w:rPr>
        <w:footnoteReference w:id="6"/>
      </w:r>
    </w:p>
    <w:p w14:paraId="702E5F09" w14:textId="77777777" w:rsidR="00BE75E9" w:rsidRDefault="00BE75E9" w:rsidP="00BE75E9">
      <w:pPr>
        <w:rPr>
          <w:rFonts w:ascii="Brush Script MT" w:eastAsia="Times New Roman" w:hAnsi="Brush Script MT" w:cs="Arial"/>
          <w:sz w:val="40"/>
          <w:szCs w:val="40"/>
        </w:rPr>
      </w:pPr>
      <w:r>
        <w:rPr>
          <w:rFonts w:ascii="Arial" w:eastAsia="Times New Roman" w:hAnsi="Arial" w:cs="Arial"/>
          <w:sz w:val="24"/>
          <w:szCs w:val="24"/>
        </w:rPr>
        <w:t>/s/</w:t>
      </w:r>
      <w:r>
        <w:rPr>
          <w:rFonts w:ascii="Brush Script MT" w:eastAsia="Times New Roman" w:hAnsi="Brush Script MT" w:cs="Arial"/>
          <w:sz w:val="40"/>
          <w:szCs w:val="40"/>
        </w:rPr>
        <w:t>Sara Berman</w:t>
      </w:r>
    </w:p>
    <w:p w14:paraId="55570606" w14:textId="3E00CD90" w:rsidR="00E601EE" w:rsidRPr="00BE75E9" w:rsidRDefault="00E601EE" w:rsidP="00BE75E9">
      <w:pPr>
        <w:rPr>
          <w:rFonts w:ascii="Brush Script MT" w:eastAsia="Times New Roman" w:hAnsi="Brush Script MT" w:cs="Arial"/>
          <w:sz w:val="40"/>
          <w:szCs w:val="40"/>
        </w:rPr>
      </w:pPr>
      <w:r>
        <w:rPr>
          <w:rFonts w:ascii="Arial" w:eastAsia="Times New Roman" w:hAnsi="Arial" w:cs="Arial"/>
          <w:sz w:val="24"/>
          <w:szCs w:val="24"/>
        </w:rPr>
        <w:t>________________________</w:t>
      </w:r>
    </w:p>
    <w:p w14:paraId="068F027A" w14:textId="16ADBA6A" w:rsidR="00E601EE" w:rsidRDefault="00E601EE" w:rsidP="00E601EE">
      <w:pPr>
        <w:spacing w:line="240" w:lineRule="auto"/>
        <w:rPr>
          <w:rFonts w:ascii="Arial" w:hAnsi="Arial" w:cs="Arial"/>
          <w:sz w:val="24"/>
          <w:szCs w:val="24"/>
        </w:rPr>
      </w:pPr>
      <w:r>
        <w:rPr>
          <w:rFonts w:ascii="Arial" w:hAnsi="Arial" w:cs="Arial"/>
          <w:sz w:val="24"/>
          <w:szCs w:val="24"/>
        </w:rPr>
        <w:t>Sara Berman</w:t>
      </w:r>
    </w:p>
    <w:p w14:paraId="21D53D91" w14:textId="5E150289" w:rsidR="006E0BD7" w:rsidRDefault="006E0BD7" w:rsidP="00E601EE">
      <w:pPr>
        <w:spacing w:line="240" w:lineRule="auto"/>
        <w:rPr>
          <w:rFonts w:ascii="Arial" w:hAnsi="Arial" w:cs="Arial"/>
          <w:sz w:val="24"/>
          <w:szCs w:val="24"/>
        </w:rPr>
      </w:pPr>
      <w:r>
        <w:rPr>
          <w:rFonts w:ascii="Arial" w:hAnsi="Arial" w:cs="Arial"/>
          <w:sz w:val="24"/>
          <w:szCs w:val="24"/>
        </w:rPr>
        <w:t xml:space="preserve">Dated: </w:t>
      </w:r>
      <w:r w:rsidR="00BE75E9">
        <w:rPr>
          <w:rFonts w:ascii="Arial" w:hAnsi="Arial" w:cs="Arial"/>
          <w:sz w:val="24"/>
          <w:szCs w:val="24"/>
        </w:rPr>
        <w:t>August 10, 2020</w:t>
      </w:r>
    </w:p>
    <w:sectPr w:rsidR="006E0BD7" w:rsidSect="005B0C21">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3F1FF5" w14:textId="77777777" w:rsidR="000D4897" w:rsidRDefault="000D4897" w:rsidP="00CA40BA">
      <w:pPr>
        <w:spacing w:after="0" w:line="240" w:lineRule="auto"/>
      </w:pPr>
      <w:r>
        <w:separator/>
      </w:r>
    </w:p>
  </w:endnote>
  <w:endnote w:type="continuationSeparator" w:id="0">
    <w:p w14:paraId="482EA990" w14:textId="77777777" w:rsidR="000D4897" w:rsidRDefault="000D4897" w:rsidP="00CA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7693094"/>
      <w:docPartObj>
        <w:docPartGallery w:val="Page Numbers (Bottom of Page)"/>
        <w:docPartUnique/>
      </w:docPartObj>
    </w:sdtPr>
    <w:sdtEndPr>
      <w:rPr>
        <w:noProof/>
      </w:rPr>
    </w:sdtEndPr>
    <w:sdtContent>
      <w:p w14:paraId="08A53FFE" w14:textId="4ED6B08B" w:rsidR="005B0C21" w:rsidRDefault="005B0C21">
        <w:pPr>
          <w:pStyle w:val="Footer"/>
          <w:jc w:val="center"/>
        </w:pPr>
        <w:r>
          <w:fldChar w:fldCharType="begin"/>
        </w:r>
        <w:r>
          <w:instrText xml:space="preserve"> PAGE   \* MERGEFORMAT </w:instrText>
        </w:r>
        <w:r>
          <w:fldChar w:fldCharType="separate"/>
        </w:r>
        <w:r w:rsidR="000A6682">
          <w:rPr>
            <w:noProof/>
          </w:rPr>
          <w:t>3</w:t>
        </w:r>
        <w:r>
          <w:rPr>
            <w:noProof/>
          </w:rPr>
          <w:fldChar w:fldCharType="end"/>
        </w:r>
      </w:p>
    </w:sdtContent>
  </w:sdt>
  <w:p w14:paraId="0D16311C" w14:textId="77777777" w:rsidR="005B0C21" w:rsidRDefault="005B0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1E2BD5" w14:textId="77777777" w:rsidR="000D4897" w:rsidRDefault="000D4897" w:rsidP="00CA40BA">
      <w:pPr>
        <w:spacing w:after="0" w:line="240" w:lineRule="auto"/>
      </w:pPr>
      <w:r>
        <w:separator/>
      </w:r>
    </w:p>
  </w:footnote>
  <w:footnote w:type="continuationSeparator" w:id="0">
    <w:p w14:paraId="67348D02" w14:textId="77777777" w:rsidR="000D4897" w:rsidRDefault="000D4897" w:rsidP="00CA40BA">
      <w:pPr>
        <w:spacing w:after="0" w:line="240" w:lineRule="auto"/>
      </w:pPr>
      <w:r>
        <w:continuationSeparator/>
      </w:r>
    </w:p>
  </w:footnote>
  <w:footnote w:id="1">
    <w:p w14:paraId="3EF9FFE5" w14:textId="3EB9AE7E" w:rsidR="00A3036D" w:rsidRDefault="00A3036D">
      <w:pPr>
        <w:pStyle w:val="FootnoteText"/>
      </w:pPr>
      <w:r w:rsidRPr="00A3036D">
        <w:rPr>
          <w:rStyle w:val="FootnoteReference"/>
          <w:rFonts w:ascii="Arial" w:hAnsi="Arial" w:cs="Arial"/>
        </w:rPr>
        <w:footnoteRef/>
      </w:r>
      <w:r w:rsidRPr="00A3036D">
        <w:rPr>
          <w:rFonts w:ascii="Arial" w:hAnsi="Arial" w:cs="Arial"/>
        </w:rPr>
        <w:t xml:space="preserve"> For purposes of this Ruling, “DESE” and “SEIS” will be used interchangeably</w:t>
      </w:r>
      <w:r>
        <w:t xml:space="preserve">.  </w:t>
      </w:r>
    </w:p>
  </w:footnote>
  <w:footnote w:id="2">
    <w:p w14:paraId="5FB929DA" w14:textId="77777777" w:rsidR="00995A0A" w:rsidRPr="00E92F96" w:rsidRDefault="00995A0A">
      <w:pPr>
        <w:pStyle w:val="FootnoteText"/>
      </w:pPr>
      <w:r>
        <w:rPr>
          <w:rStyle w:val="FootnoteReference"/>
        </w:rPr>
        <w:footnoteRef/>
      </w:r>
      <w:r>
        <w:t xml:space="preserve"> </w:t>
      </w:r>
      <w:r w:rsidRPr="000F2817">
        <w:rPr>
          <w:rFonts w:ascii="Arial" w:hAnsi="Arial" w:cs="Arial"/>
        </w:rPr>
        <w:t xml:space="preserve">Individuals with Disabilities Education Act (IDEA), </w:t>
      </w:r>
      <w:r w:rsidRPr="000F2817">
        <w:rPr>
          <w:rFonts w:ascii="Arial" w:eastAsia="Times New Roman" w:hAnsi="Arial" w:cs="Arial"/>
        </w:rPr>
        <w:t>20</w:t>
      </w:r>
      <w:r w:rsidRPr="00E92F96">
        <w:rPr>
          <w:rFonts w:ascii="Arial" w:eastAsia="Times New Roman" w:hAnsi="Arial" w:cs="Arial"/>
        </w:rPr>
        <w:t xml:space="preserve"> U.S.C. § 1400 </w:t>
      </w:r>
      <w:r w:rsidRPr="00E92F96">
        <w:rPr>
          <w:rFonts w:ascii="Arial" w:eastAsia="Times New Roman" w:hAnsi="Arial" w:cs="Arial"/>
          <w:i/>
        </w:rPr>
        <w:t>et. seq</w:t>
      </w:r>
    </w:p>
  </w:footnote>
  <w:footnote w:id="3">
    <w:p w14:paraId="5D876EC1" w14:textId="77777777" w:rsidR="00995A0A" w:rsidRPr="000F2817" w:rsidRDefault="00995A0A">
      <w:pPr>
        <w:pStyle w:val="FootnoteText"/>
      </w:pPr>
      <w:r>
        <w:rPr>
          <w:rStyle w:val="FootnoteReference"/>
        </w:rPr>
        <w:footnoteRef/>
      </w:r>
      <w:r>
        <w:t xml:space="preserve"> </w:t>
      </w:r>
      <w:r w:rsidRPr="000F2817">
        <w:rPr>
          <w:rFonts w:ascii="Arial" w:eastAsia="Times New Roman" w:hAnsi="Arial" w:cs="Arial"/>
        </w:rPr>
        <w:t>M.G.L. 71B</w:t>
      </w:r>
    </w:p>
  </w:footnote>
  <w:footnote w:id="4">
    <w:p w14:paraId="2FB0C4CC" w14:textId="15AFFC03" w:rsidR="00995A0A" w:rsidRPr="000F2817" w:rsidRDefault="00995A0A">
      <w:pPr>
        <w:pStyle w:val="FootnoteText"/>
        <w:rPr>
          <w:rFonts w:ascii="Arial" w:hAnsi="Arial" w:cs="Arial"/>
        </w:rPr>
      </w:pPr>
      <w:r w:rsidRPr="000F2817">
        <w:rPr>
          <w:rStyle w:val="FootnoteReference"/>
          <w:rFonts w:ascii="Arial" w:hAnsi="Arial" w:cs="Arial"/>
        </w:rPr>
        <w:footnoteRef/>
      </w:r>
      <w:r w:rsidRPr="000F2817">
        <w:rPr>
          <w:rFonts w:ascii="Arial" w:hAnsi="Arial" w:cs="Arial"/>
        </w:rPr>
        <w:t xml:space="preserve"> </w:t>
      </w:r>
      <w:r w:rsidR="00B74C43">
        <w:rPr>
          <w:rFonts w:ascii="Arial" w:eastAsia="Times New Roman" w:hAnsi="Arial" w:cs="Arial"/>
        </w:rPr>
        <w:t>29 U.S.C. §794</w:t>
      </w:r>
    </w:p>
  </w:footnote>
  <w:footnote w:id="5">
    <w:p w14:paraId="26329954" w14:textId="44271EF0" w:rsidR="00E227A6" w:rsidRDefault="00E227A6">
      <w:pPr>
        <w:pStyle w:val="FootnoteText"/>
      </w:pPr>
      <w:r>
        <w:rPr>
          <w:rStyle w:val="FootnoteReference"/>
        </w:rPr>
        <w:footnoteRef/>
      </w:r>
      <w:r>
        <w:t xml:space="preserve"> See Technical Assistance Advisory SPED 2012-1 (8/3/2018); DYS and DESE Agency Coordination Process for DYS youth eligible for Special Education, Detention and Commitment (Updated, August 2017)</w:t>
      </w:r>
    </w:p>
  </w:footnote>
  <w:footnote w:id="6">
    <w:p w14:paraId="2D84DA27" w14:textId="09CAC59F" w:rsidR="006F323A" w:rsidRPr="006F323A" w:rsidRDefault="006F323A">
      <w:pPr>
        <w:pStyle w:val="FootnoteText"/>
        <w:rPr>
          <w:rFonts w:ascii="Arial" w:hAnsi="Arial" w:cs="Arial"/>
        </w:rPr>
      </w:pPr>
      <w:r w:rsidRPr="006F323A">
        <w:rPr>
          <w:rStyle w:val="FootnoteReference"/>
          <w:rFonts w:ascii="Arial" w:hAnsi="Arial" w:cs="Arial"/>
        </w:rPr>
        <w:footnoteRef/>
      </w:r>
      <w:r w:rsidRPr="006F323A">
        <w:rPr>
          <w:rFonts w:ascii="Arial" w:hAnsi="Arial" w:cs="Arial"/>
        </w:rPr>
        <w:t xml:space="preserve"> The hearing officer gratefully acknowledges the assistance o</w:t>
      </w:r>
      <w:r w:rsidR="000A6682">
        <w:rPr>
          <w:rFonts w:ascii="Arial" w:hAnsi="Arial" w:cs="Arial"/>
        </w:rPr>
        <w:t>f BSEA Law Clerk A</w:t>
      </w:r>
      <w:r w:rsidRPr="006F323A">
        <w:rPr>
          <w:rFonts w:ascii="Arial" w:hAnsi="Arial" w:cs="Arial"/>
        </w:rPr>
        <w:t xml:space="preserve">lison Sexson in researching and drafting this ruling.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3489B"/>
    <w:multiLevelType w:val="hybridMultilevel"/>
    <w:tmpl w:val="618EDAB0"/>
    <w:lvl w:ilvl="0" w:tplc="CF6616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A50411"/>
    <w:multiLevelType w:val="hybridMultilevel"/>
    <w:tmpl w:val="11A0A6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5A28EC"/>
    <w:multiLevelType w:val="hybridMultilevel"/>
    <w:tmpl w:val="83FCC1DC"/>
    <w:lvl w:ilvl="0" w:tplc="B03C86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BED58AA"/>
    <w:multiLevelType w:val="hybridMultilevel"/>
    <w:tmpl w:val="950EE27C"/>
    <w:lvl w:ilvl="0" w:tplc="4E6E40E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BFA5775"/>
    <w:multiLevelType w:val="hybridMultilevel"/>
    <w:tmpl w:val="FB208372"/>
    <w:lvl w:ilvl="0" w:tplc="42A65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58F526C"/>
    <w:multiLevelType w:val="hybridMultilevel"/>
    <w:tmpl w:val="B01A6C80"/>
    <w:lvl w:ilvl="0" w:tplc="F43EB524">
      <w:start w:val="1"/>
      <w:numFmt w:val="decimal"/>
      <w:lvlText w:val="%1."/>
      <w:lvlJc w:val="left"/>
      <w:pPr>
        <w:ind w:left="36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3B93100"/>
    <w:multiLevelType w:val="hybridMultilevel"/>
    <w:tmpl w:val="7B7CD372"/>
    <w:lvl w:ilvl="0" w:tplc="4E3E0F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765DD0"/>
    <w:multiLevelType w:val="multilevel"/>
    <w:tmpl w:val="A37C50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7"/>
  </w:num>
  <w:num w:numId="5">
    <w:abstractNumId w:val="5"/>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3C5B"/>
    <w:rsid w:val="00004B20"/>
    <w:rsid w:val="00005B36"/>
    <w:rsid w:val="00010C74"/>
    <w:rsid w:val="00013F03"/>
    <w:rsid w:val="00014273"/>
    <w:rsid w:val="00022037"/>
    <w:rsid w:val="00030556"/>
    <w:rsid w:val="000331B1"/>
    <w:rsid w:val="000418BD"/>
    <w:rsid w:val="000474E8"/>
    <w:rsid w:val="00054174"/>
    <w:rsid w:val="00067225"/>
    <w:rsid w:val="000740B9"/>
    <w:rsid w:val="00081EF8"/>
    <w:rsid w:val="00085CB3"/>
    <w:rsid w:val="00086A19"/>
    <w:rsid w:val="000876EB"/>
    <w:rsid w:val="000A4368"/>
    <w:rsid w:val="000A6682"/>
    <w:rsid w:val="000A6D52"/>
    <w:rsid w:val="000B491F"/>
    <w:rsid w:val="000C7337"/>
    <w:rsid w:val="000D4897"/>
    <w:rsid w:val="000F0783"/>
    <w:rsid w:val="000F2817"/>
    <w:rsid w:val="000F6B4F"/>
    <w:rsid w:val="00101D6C"/>
    <w:rsid w:val="001215D1"/>
    <w:rsid w:val="001321D0"/>
    <w:rsid w:val="00144783"/>
    <w:rsid w:val="00164C8C"/>
    <w:rsid w:val="00165E30"/>
    <w:rsid w:val="0017359B"/>
    <w:rsid w:val="00181735"/>
    <w:rsid w:val="00184FF2"/>
    <w:rsid w:val="0019182E"/>
    <w:rsid w:val="00195153"/>
    <w:rsid w:val="00195A34"/>
    <w:rsid w:val="001B3C02"/>
    <w:rsid w:val="001B606E"/>
    <w:rsid w:val="001D61F4"/>
    <w:rsid w:val="001E664F"/>
    <w:rsid w:val="00206667"/>
    <w:rsid w:val="0021274B"/>
    <w:rsid w:val="00220A61"/>
    <w:rsid w:val="00225116"/>
    <w:rsid w:val="00232149"/>
    <w:rsid w:val="00246751"/>
    <w:rsid w:val="00251EB4"/>
    <w:rsid w:val="002525B6"/>
    <w:rsid w:val="00254932"/>
    <w:rsid w:val="00271A70"/>
    <w:rsid w:val="00285157"/>
    <w:rsid w:val="00297CB9"/>
    <w:rsid w:val="002A2012"/>
    <w:rsid w:val="002B088E"/>
    <w:rsid w:val="002C7C07"/>
    <w:rsid w:val="002D4F98"/>
    <w:rsid w:val="002D5F35"/>
    <w:rsid w:val="002E1B8F"/>
    <w:rsid w:val="002E1F6B"/>
    <w:rsid w:val="002E2CB0"/>
    <w:rsid w:val="002F5300"/>
    <w:rsid w:val="00304921"/>
    <w:rsid w:val="0030549C"/>
    <w:rsid w:val="003078DE"/>
    <w:rsid w:val="003104E8"/>
    <w:rsid w:val="00332714"/>
    <w:rsid w:val="0033371F"/>
    <w:rsid w:val="003361C4"/>
    <w:rsid w:val="00336310"/>
    <w:rsid w:val="00362233"/>
    <w:rsid w:val="0038511F"/>
    <w:rsid w:val="0039458A"/>
    <w:rsid w:val="00395708"/>
    <w:rsid w:val="003C6F17"/>
    <w:rsid w:val="003F370E"/>
    <w:rsid w:val="003F65E4"/>
    <w:rsid w:val="003F7705"/>
    <w:rsid w:val="00410139"/>
    <w:rsid w:val="00447452"/>
    <w:rsid w:val="00451F4F"/>
    <w:rsid w:val="004565F3"/>
    <w:rsid w:val="0046104E"/>
    <w:rsid w:val="00470CC5"/>
    <w:rsid w:val="00471385"/>
    <w:rsid w:val="00493A33"/>
    <w:rsid w:val="004A0918"/>
    <w:rsid w:val="004B6278"/>
    <w:rsid w:val="004C5552"/>
    <w:rsid w:val="004C6ED2"/>
    <w:rsid w:val="004D0DC6"/>
    <w:rsid w:val="004D6898"/>
    <w:rsid w:val="004E4392"/>
    <w:rsid w:val="004F2731"/>
    <w:rsid w:val="004F418D"/>
    <w:rsid w:val="005222BB"/>
    <w:rsid w:val="00526932"/>
    <w:rsid w:val="00540805"/>
    <w:rsid w:val="005417EB"/>
    <w:rsid w:val="00553E78"/>
    <w:rsid w:val="00556364"/>
    <w:rsid w:val="00562798"/>
    <w:rsid w:val="005726D4"/>
    <w:rsid w:val="00575078"/>
    <w:rsid w:val="00581F54"/>
    <w:rsid w:val="005A5DC8"/>
    <w:rsid w:val="005B0C21"/>
    <w:rsid w:val="005B23DF"/>
    <w:rsid w:val="005B608D"/>
    <w:rsid w:val="005C25EB"/>
    <w:rsid w:val="00602782"/>
    <w:rsid w:val="006123D1"/>
    <w:rsid w:val="0061248E"/>
    <w:rsid w:val="0062172D"/>
    <w:rsid w:val="00625ECE"/>
    <w:rsid w:val="00627563"/>
    <w:rsid w:val="00666093"/>
    <w:rsid w:val="00670A76"/>
    <w:rsid w:val="006740FA"/>
    <w:rsid w:val="006805B2"/>
    <w:rsid w:val="0069221F"/>
    <w:rsid w:val="006B2F48"/>
    <w:rsid w:val="006D4FE2"/>
    <w:rsid w:val="006E0BD7"/>
    <w:rsid w:val="006F323A"/>
    <w:rsid w:val="0071446A"/>
    <w:rsid w:val="007173BC"/>
    <w:rsid w:val="00731064"/>
    <w:rsid w:val="00741C9B"/>
    <w:rsid w:val="00742BE5"/>
    <w:rsid w:val="00746FD9"/>
    <w:rsid w:val="0075141A"/>
    <w:rsid w:val="00773F11"/>
    <w:rsid w:val="007956F6"/>
    <w:rsid w:val="007B4874"/>
    <w:rsid w:val="007B5294"/>
    <w:rsid w:val="007D41F8"/>
    <w:rsid w:val="007F4153"/>
    <w:rsid w:val="007F7A91"/>
    <w:rsid w:val="008164DA"/>
    <w:rsid w:val="00826A7B"/>
    <w:rsid w:val="00827D7D"/>
    <w:rsid w:val="008321F5"/>
    <w:rsid w:val="00836A88"/>
    <w:rsid w:val="0083773E"/>
    <w:rsid w:val="00842AE6"/>
    <w:rsid w:val="008545A0"/>
    <w:rsid w:val="00861559"/>
    <w:rsid w:val="00876258"/>
    <w:rsid w:val="008810AE"/>
    <w:rsid w:val="00882054"/>
    <w:rsid w:val="00894154"/>
    <w:rsid w:val="008958B1"/>
    <w:rsid w:val="008A2828"/>
    <w:rsid w:val="008A2B86"/>
    <w:rsid w:val="008D5A5D"/>
    <w:rsid w:val="008E71A4"/>
    <w:rsid w:val="008F1FB1"/>
    <w:rsid w:val="00903E50"/>
    <w:rsid w:val="00913912"/>
    <w:rsid w:val="00925C70"/>
    <w:rsid w:val="0093202C"/>
    <w:rsid w:val="00934413"/>
    <w:rsid w:val="00936990"/>
    <w:rsid w:val="00944A8D"/>
    <w:rsid w:val="00960277"/>
    <w:rsid w:val="009634A8"/>
    <w:rsid w:val="0098215E"/>
    <w:rsid w:val="0098279E"/>
    <w:rsid w:val="00991EAC"/>
    <w:rsid w:val="00991F32"/>
    <w:rsid w:val="00995827"/>
    <w:rsid w:val="00995A0A"/>
    <w:rsid w:val="00997164"/>
    <w:rsid w:val="009A08F3"/>
    <w:rsid w:val="009B231B"/>
    <w:rsid w:val="009C579F"/>
    <w:rsid w:val="009D3DAC"/>
    <w:rsid w:val="00A05C4A"/>
    <w:rsid w:val="00A112C6"/>
    <w:rsid w:val="00A12F1F"/>
    <w:rsid w:val="00A3036D"/>
    <w:rsid w:val="00A4208D"/>
    <w:rsid w:val="00A42A69"/>
    <w:rsid w:val="00A47B23"/>
    <w:rsid w:val="00A70F43"/>
    <w:rsid w:val="00A7166C"/>
    <w:rsid w:val="00A739DB"/>
    <w:rsid w:val="00A871CB"/>
    <w:rsid w:val="00A8751C"/>
    <w:rsid w:val="00A93D6A"/>
    <w:rsid w:val="00AB5860"/>
    <w:rsid w:val="00AC0DD7"/>
    <w:rsid w:val="00AC3E32"/>
    <w:rsid w:val="00AC3F55"/>
    <w:rsid w:val="00AD145C"/>
    <w:rsid w:val="00AD4218"/>
    <w:rsid w:val="00B04796"/>
    <w:rsid w:val="00B07C06"/>
    <w:rsid w:val="00B135D5"/>
    <w:rsid w:val="00B71606"/>
    <w:rsid w:val="00B74C43"/>
    <w:rsid w:val="00B82A4D"/>
    <w:rsid w:val="00B855F3"/>
    <w:rsid w:val="00B951B7"/>
    <w:rsid w:val="00B97A52"/>
    <w:rsid w:val="00BA1129"/>
    <w:rsid w:val="00BB1306"/>
    <w:rsid w:val="00BB2A7D"/>
    <w:rsid w:val="00BD6194"/>
    <w:rsid w:val="00BE75E9"/>
    <w:rsid w:val="00BF4D2B"/>
    <w:rsid w:val="00C177C0"/>
    <w:rsid w:val="00C21C23"/>
    <w:rsid w:val="00C21E98"/>
    <w:rsid w:val="00C24F8E"/>
    <w:rsid w:val="00C360D9"/>
    <w:rsid w:val="00C52CD4"/>
    <w:rsid w:val="00C556B8"/>
    <w:rsid w:val="00C650B3"/>
    <w:rsid w:val="00C74901"/>
    <w:rsid w:val="00C84DE4"/>
    <w:rsid w:val="00C86888"/>
    <w:rsid w:val="00C95D52"/>
    <w:rsid w:val="00CA2AC8"/>
    <w:rsid w:val="00CA40BA"/>
    <w:rsid w:val="00CD21C9"/>
    <w:rsid w:val="00CD4530"/>
    <w:rsid w:val="00CD6BD2"/>
    <w:rsid w:val="00CD6F90"/>
    <w:rsid w:val="00CE24A0"/>
    <w:rsid w:val="00D11EF9"/>
    <w:rsid w:val="00D14748"/>
    <w:rsid w:val="00D33C5B"/>
    <w:rsid w:val="00D43922"/>
    <w:rsid w:val="00D46012"/>
    <w:rsid w:val="00D673AC"/>
    <w:rsid w:val="00D67CB4"/>
    <w:rsid w:val="00D82875"/>
    <w:rsid w:val="00D84471"/>
    <w:rsid w:val="00D939F2"/>
    <w:rsid w:val="00DA672F"/>
    <w:rsid w:val="00DD5D92"/>
    <w:rsid w:val="00DE6256"/>
    <w:rsid w:val="00DF154C"/>
    <w:rsid w:val="00DF1D9E"/>
    <w:rsid w:val="00DF5DAF"/>
    <w:rsid w:val="00E020B0"/>
    <w:rsid w:val="00E161E0"/>
    <w:rsid w:val="00E227A6"/>
    <w:rsid w:val="00E27FC5"/>
    <w:rsid w:val="00E3780A"/>
    <w:rsid w:val="00E50371"/>
    <w:rsid w:val="00E57663"/>
    <w:rsid w:val="00E601EE"/>
    <w:rsid w:val="00E619A6"/>
    <w:rsid w:val="00E63F73"/>
    <w:rsid w:val="00E7312A"/>
    <w:rsid w:val="00E7792B"/>
    <w:rsid w:val="00E80350"/>
    <w:rsid w:val="00E92F96"/>
    <w:rsid w:val="00E93F47"/>
    <w:rsid w:val="00ED0954"/>
    <w:rsid w:val="00ED5D21"/>
    <w:rsid w:val="00EE6AEF"/>
    <w:rsid w:val="00EF58AF"/>
    <w:rsid w:val="00F12F07"/>
    <w:rsid w:val="00F135D0"/>
    <w:rsid w:val="00F27FFE"/>
    <w:rsid w:val="00F31C56"/>
    <w:rsid w:val="00F33A28"/>
    <w:rsid w:val="00F3770C"/>
    <w:rsid w:val="00F61CB7"/>
    <w:rsid w:val="00F73CBA"/>
    <w:rsid w:val="00F8433C"/>
    <w:rsid w:val="00F87E13"/>
    <w:rsid w:val="00FB5BF8"/>
    <w:rsid w:val="00FB6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E03272"/>
  <w15:docId w15:val="{FB3FBAAC-3A6D-4914-BE33-F0CD6F4F0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searchterm">
    <w:name w:val="co_searchterm"/>
    <w:basedOn w:val="DefaultParagraphFont"/>
    <w:rsid w:val="00D33C5B"/>
  </w:style>
  <w:style w:type="character" w:styleId="Emphasis">
    <w:name w:val="Emphasis"/>
    <w:basedOn w:val="DefaultParagraphFont"/>
    <w:uiPriority w:val="20"/>
    <w:qFormat/>
    <w:rsid w:val="00D33C5B"/>
    <w:rPr>
      <w:i/>
      <w:iCs/>
    </w:rPr>
  </w:style>
  <w:style w:type="character" w:customStyle="1" w:styleId="costarpage">
    <w:name w:val="co_starpage"/>
    <w:basedOn w:val="DefaultParagraphFont"/>
    <w:rsid w:val="00D33C5B"/>
  </w:style>
  <w:style w:type="paragraph" w:styleId="ListParagraph">
    <w:name w:val="List Paragraph"/>
    <w:basedOn w:val="Normal"/>
    <w:uiPriority w:val="34"/>
    <w:qFormat/>
    <w:rsid w:val="003C6F17"/>
    <w:pPr>
      <w:ind w:left="720"/>
      <w:contextualSpacing/>
    </w:pPr>
  </w:style>
  <w:style w:type="character" w:styleId="Hyperlink">
    <w:name w:val="Hyperlink"/>
    <w:basedOn w:val="DefaultParagraphFont"/>
    <w:uiPriority w:val="99"/>
    <w:unhideWhenUsed/>
    <w:rsid w:val="003361C4"/>
    <w:rPr>
      <w:color w:val="0000FF" w:themeColor="hyperlink"/>
      <w:u w:val="single"/>
    </w:rPr>
  </w:style>
  <w:style w:type="paragraph" w:styleId="FootnoteText">
    <w:name w:val="footnote text"/>
    <w:basedOn w:val="Normal"/>
    <w:link w:val="FootnoteTextChar"/>
    <w:uiPriority w:val="99"/>
    <w:semiHidden/>
    <w:unhideWhenUsed/>
    <w:rsid w:val="00CA40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40BA"/>
    <w:rPr>
      <w:sz w:val="20"/>
      <w:szCs w:val="20"/>
    </w:rPr>
  </w:style>
  <w:style w:type="character" w:styleId="FootnoteReference">
    <w:name w:val="footnote reference"/>
    <w:basedOn w:val="DefaultParagraphFont"/>
    <w:uiPriority w:val="99"/>
    <w:semiHidden/>
    <w:unhideWhenUsed/>
    <w:rsid w:val="00CA40BA"/>
    <w:rPr>
      <w:vertAlign w:val="superscript"/>
    </w:rPr>
  </w:style>
  <w:style w:type="paragraph" w:styleId="Header">
    <w:name w:val="header"/>
    <w:basedOn w:val="Normal"/>
    <w:link w:val="HeaderChar"/>
    <w:uiPriority w:val="99"/>
    <w:unhideWhenUsed/>
    <w:rsid w:val="005B0C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0C21"/>
  </w:style>
  <w:style w:type="paragraph" w:styleId="Footer">
    <w:name w:val="footer"/>
    <w:basedOn w:val="Normal"/>
    <w:link w:val="FooterChar"/>
    <w:uiPriority w:val="99"/>
    <w:unhideWhenUsed/>
    <w:rsid w:val="005B0C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0C21"/>
  </w:style>
  <w:style w:type="paragraph" w:styleId="BalloonText">
    <w:name w:val="Balloon Text"/>
    <w:basedOn w:val="Normal"/>
    <w:link w:val="BalloonTextChar"/>
    <w:uiPriority w:val="99"/>
    <w:semiHidden/>
    <w:unhideWhenUsed/>
    <w:rsid w:val="002525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5B6"/>
    <w:rPr>
      <w:rFonts w:ascii="Tahoma" w:hAnsi="Tahoma" w:cs="Tahoma"/>
      <w:sz w:val="16"/>
      <w:szCs w:val="16"/>
    </w:rPr>
  </w:style>
  <w:style w:type="paragraph" w:styleId="BlockText">
    <w:name w:val="Block Text"/>
    <w:basedOn w:val="Normal"/>
    <w:rsid w:val="00D67CB4"/>
    <w:pPr>
      <w:spacing w:after="0" w:line="240" w:lineRule="auto"/>
      <w:ind w:left="1440" w:right="1440"/>
    </w:pPr>
    <w:rPr>
      <w:rFonts w:ascii="Times New Roman" w:eastAsia="Times New Roman" w:hAnsi="Times New Roman" w:cs="Times New Roman"/>
      <w:sz w:val="24"/>
      <w:szCs w:val="20"/>
    </w:rPr>
  </w:style>
  <w:style w:type="paragraph" w:styleId="NormalWeb">
    <w:name w:val="Normal (Web)"/>
    <w:basedOn w:val="Normal"/>
    <w:uiPriority w:val="99"/>
    <w:unhideWhenUsed/>
    <w:rsid w:val="008164D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12313773">
      <w:bodyDiv w:val="1"/>
      <w:marLeft w:val="0"/>
      <w:marRight w:val="0"/>
      <w:marTop w:val="0"/>
      <w:marBottom w:val="0"/>
      <w:divBdr>
        <w:top w:val="none" w:sz="0" w:space="0" w:color="auto"/>
        <w:left w:val="none" w:sz="0" w:space="0" w:color="auto"/>
        <w:bottom w:val="none" w:sz="0" w:space="0" w:color="auto"/>
        <w:right w:val="none" w:sz="0" w:space="0" w:color="auto"/>
      </w:divBdr>
      <w:divsChild>
        <w:div w:id="1386685227">
          <w:marLeft w:val="0"/>
          <w:marRight w:val="0"/>
          <w:marTop w:val="0"/>
          <w:marBottom w:val="0"/>
          <w:divBdr>
            <w:top w:val="none" w:sz="0" w:space="0" w:color="auto"/>
            <w:left w:val="none" w:sz="0" w:space="0" w:color="auto"/>
            <w:bottom w:val="none" w:sz="0" w:space="0" w:color="auto"/>
            <w:right w:val="none" w:sz="0" w:space="0" w:color="auto"/>
          </w:divBdr>
          <w:divsChild>
            <w:div w:id="1350788636">
              <w:marLeft w:val="0"/>
              <w:marRight w:val="0"/>
              <w:marTop w:val="0"/>
              <w:marBottom w:val="0"/>
              <w:divBdr>
                <w:top w:val="none" w:sz="0" w:space="0" w:color="auto"/>
                <w:left w:val="none" w:sz="0" w:space="0" w:color="auto"/>
                <w:bottom w:val="none" w:sz="0" w:space="0" w:color="auto"/>
                <w:right w:val="none" w:sz="0" w:space="0" w:color="auto"/>
              </w:divBdr>
              <w:divsChild>
                <w:div w:id="1540169405">
                  <w:marLeft w:val="0"/>
                  <w:marRight w:val="0"/>
                  <w:marTop w:val="0"/>
                  <w:marBottom w:val="0"/>
                  <w:divBdr>
                    <w:top w:val="none" w:sz="0" w:space="0" w:color="auto"/>
                    <w:left w:val="none" w:sz="0" w:space="0" w:color="auto"/>
                    <w:bottom w:val="none" w:sz="0" w:space="0" w:color="auto"/>
                    <w:right w:val="none" w:sz="0" w:space="0" w:color="auto"/>
                  </w:divBdr>
                </w:div>
              </w:divsChild>
            </w:div>
            <w:div w:id="839930519">
              <w:marLeft w:val="0"/>
              <w:marRight w:val="0"/>
              <w:marTop w:val="0"/>
              <w:marBottom w:val="0"/>
              <w:divBdr>
                <w:top w:val="none" w:sz="0" w:space="0" w:color="auto"/>
                <w:left w:val="none" w:sz="0" w:space="0" w:color="auto"/>
                <w:bottom w:val="none" w:sz="0" w:space="0" w:color="auto"/>
                <w:right w:val="none" w:sz="0" w:space="0" w:color="auto"/>
              </w:divBdr>
              <w:divsChild>
                <w:div w:id="1728069217">
                  <w:marLeft w:val="0"/>
                  <w:marRight w:val="0"/>
                  <w:marTop w:val="0"/>
                  <w:marBottom w:val="0"/>
                  <w:divBdr>
                    <w:top w:val="none" w:sz="0" w:space="0" w:color="auto"/>
                    <w:left w:val="none" w:sz="0" w:space="0" w:color="auto"/>
                    <w:bottom w:val="none" w:sz="0" w:space="0" w:color="auto"/>
                    <w:right w:val="none" w:sz="0" w:space="0" w:color="auto"/>
                  </w:divBdr>
                </w:div>
              </w:divsChild>
            </w:div>
            <w:div w:id="21466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90989">
      <w:bodyDiv w:val="1"/>
      <w:marLeft w:val="0"/>
      <w:marRight w:val="0"/>
      <w:marTop w:val="0"/>
      <w:marBottom w:val="0"/>
      <w:divBdr>
        <w:top w:val="none" w:sz="0" w:space="0" w:color="auto"/>
        <w:left w:val="none" w:sz="0" w:space="0" w:color="auto"/>
        <w:bottom w:val="none" w:sz="0" w:space="0" w:color="auto"/>
        <w:right w:val="none" w:sz="0" w:space="0" w:color="auto"/>
      </w:divBdr>
    </w:div>
    <w:div w:id="1403528237">
      <w:bodyDiv w:val="1"/>
      <w:marLeft w:val="0"/>
      <w:marRight w:val="0"/>
      <w:marTop w:val="0"/>
      <w:marBottom w:val="0"/>
      <w:divBdr>
        <w:top w:val="none" w:sz="0" w:space="0" w:color="auto"/>
        <w:left w:val="none" w:sz="0" w:space="0" w:color="auto"/>
        <w:bottom w:val="none" w:sz="0" w:space="0" w:color="auto"/>
        <w:right w:val="none" w:sz="0" w:space="0" w:color="auto"/>
      </w:divBdr>
    </w:div>
    <w:div w:id="1540044275">
      <w:bodyDiv w:val="1"/>
      <w:marLeft w:val="0"/>
      <w:marRight w:val="0"/>
      <w:marTop w:val="0"/>
      <w:marBottom w:val="0"/>
      <w:divBdr>
        <w:top w:val="none" w:sz="0" w:space="0" w:color="auto"/>
        <w:left w:val="none" w:sz="0" w:space="0" w:color="auto"/>
        <w:bottom w:val="none" w:sz="0" w:space="0" w:color="auto"/>
        <w:right w:val="none" w:sz="0" w:space="0" w:color="auto"/>
      </w:divBdr>
    </w:div>
    <w:div w:id="1586302075">
      <w:bodyDiv w:val="1"/>
      <w:marLeft w:val="0"/>
      <w:marRight w:val="0"/>
      <w:marTop w:val="0"/>
      <w:marBottom w:val="0"/>
      <w:divBdr>
        <w:top w:val="none" w:sz="0" w:space="0" w:color="auto"/>
        <w:left w:val="none" w:sz="0" w:space="0" w:color="auto"/>
        <w:bottom w:val="none" w:sz="0" w:space="0" w:color="auto"/>
        <w:right w:val="none" w:sz="0" w:space="0" w:color="auto"/>
      </w:divBdr>
      <w:divsChild>
        <w:div w:id="281112046">
          <w:marLeft w:val="0"/>
          <w:marRight w:val="0"/>
          <w:marTop w:val="0"/>
          <w:marBottom w:val="0"/>
          <w:divBdr>
            <w:top w:val="none" w:sz="0" w:space="0" w:color="auto"/>
            <w:left w:val="none" w:sz="0" w:space="0" w:color="auto"/>
            <w:bottom w:val="none" w:sz="0" w:space="0" w:color="auto"/>
            <w:right w:val="none" w:sz="0" w:space="0" w:color="auto"/>
          </w:divBdr>
          <w:divsChild>
            <w:div w:id="1179655906">
              <w:marLeft w:val="0"/>
              <w:marRight w:val="0"/>
              <w:marTop w:val="0"/>
              <w:marBottom w:val="0"/>
              <w:divBdr>
                <w:top w:val="none" w:sz="0" w:space="0" w:color="auto"/>
                <w:left w:val="none" w:sz="0" w:space="0" w:color="auto"/>
                <w:bottom w:val="none" w:sz="0" w:space="0" w:color="auto"/>
                <w:right w:val="none" w:sz="0" w:space="0" w:color="auto"/>
              </w:divBdr>
              <w:divsChild>
                <w:div w:id="1267154780">
                  <w:marLeft w:val="0"/>
                  <w:marRight w:val="0"/>
                  <w:marTop w:val="0"/>
                  <w:marBottom w:val="0"/>
                  <w:divBdr>
                    <w:top w:val="none" w:sz="0" w:space="0" w:color="auto"/>
                    <w:left w:val="none" w:sz="0" w:space="0" w:color="auto"/>
                    <w:bottom w:val="none" w:sz="0" w:space="0" w:color="auto"/>
                    <w:right w:val="none" w:sz="0" w:space="0" w:color="auto"/>
                  </w:divBdr>
                </w:div>
              </w:divsChild>
            </w:div>
            <w:div w:id="316806514">
              <w:marLeft w:val="0"/>
              <w:marRight w:val="0"/>
              <w:marTop w:val="0"/>
              <w:marBottom w:val="0"/>
              <w:divBdr>
                <w:top w:val="none" w:sz="0" w:space="0" w:color="auto"/>
                <w:left w:val="none" w:sz="0" w:space="0" w:color="auto"/>
                <w:bottom w:val="none" w:sz="0" w:space="0" w:color="auto"/>
                <w:right w:val="none" w:sz="0" w:space="0" w:color="auto"/>
              </w:divBdr>
              <w:divsChild>
                <w:div w:id="1592543354">
                  <w:marLeft w:val="0"/>
                  <w:marRight w:val="0"/>
                  <w:marTop w:val="0"/>
                  <w:marBottom w:val="0"/>
                  <w:divBdr>
                    <w:top w:val="none" w:sz="0" w:space="0" w:color="auto"/>
                    <w:left w:val="none" w:sz="0" w:space="0" w:color="auto"/>
                    <w:bottom w:val="none" w:sz="0" w:space="0" w:color="auto"/>
                    <w:right w:val="none" w:sz="0" w:space="0" w:color="auto"/>
                  </w:divBdr>
                </w:div>
              </w:divsChild>
            </w:div>
            <w:div w:id="740449335">
              <w:marLeft w:val="0"/>
              <w:marRight w:val="0"/>
              <w:marTop w:val="0"/>
              <w:marBottom w:val="0"/>
              <w:divBdr>
                <w:top w:val="none" w:sz="0" w:space="0" w:color="auto"/>
                <w:left w:val="none" w:sz="0" w:space="0" w:color="auto"/>
                <w:bottom w:val="none" w:sz="0" w:space="0" w:color="auto"/>
                <w:right w:val="none" w:sz="0" w:space="0" w:color="auto"/>
              </w:divBdr>
              <w:divsChild>
                <w:div w:id="1415513990">
                  <w:marLeft w:val="0"/>
                  <w:marRight w:val="0"/>
                  <w:marTop w:val="0"/>
                  <w:marBottom w:val="0"/>
                  <w:divBdr>
                    <w:top w:val="none" w:sz="0" w:space="0" w:color="auto"/>
                    <w:left w:val="none" w:sz="0" w:space="0" w:color="auto"/>
                    <w:bottom w:val="none" w:sz="0" w:space="0" w:color="auto"/>
                    <w:right w:val="none" w:sz="0" w:space="0" w:color="auto"/>
                  </w:divBdr>
                </w:div>
              </w:divsChild>
            </w:div>
            <w:div w:id="149028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F5EE8-F9A1-4663-AAD1-26B1D9BAE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2869</Words>
  <Characters>16355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Shea, Colleen (ALA)</dc:creator>
  <cp:lastModifiedBy>Erlichman, Reece (ALA)</cp:lastModifiedBy>
  <cp:revision>2</cp:revision>
  <cp:lastPrinted>2017-01-09T20:56:00Z</cp:lastPrinted>
  <dcterms:created xsi:type="dcterms:W3CDTF">2020-08-17T16:33:00Z</dcterms:created>
  <dcterms:modified xsi:type="dcterms:W3CDTF">2020-08-17T16:33:00Z</dcterms:modified>
</cp:coreProperties>
</file>