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B7BF" w14:textId="77777777" w:rsidR="00B135D5" w:rsidRPr="0030549C" w:rsidRDefault="00B135D5" w:rsidP="00D33C5B">
      <w:pPr>
        <w:spacing w:after="0" w:line="240" w:lineRule="auto"/>
        <w:rPr>
          <w:rFonts w:ascii="Arial" w:eastAsia="Times New Roman" w:hAnsi="Arial" w:cs="Arial"/>
          <w:sz w:val="24"/>
          <w:szCs w:val="24"/>
        </w:rPr>
      </w:pPr>
    </w:p>
    <w:p w14:paraId="427EC22C" w14:textId="77777777" w:rsidR="00B135D5" w:rsidRDefault="00B135D5" w:rsidP="00A12F1F">
      <w:pPr>
        <w:spacing w:after="0" w:line="240" w:lineRule="auto"/>
        <w:jc w:val="center"/>
        <w:rPr>
          <w:rFonts w:ascii="Arial" w:hAnsi="Arial" w:cs="Arial"/>
          <w:b/>
          <w:sz w:val="24"/>
        </w:rPr>
      </w:pPr>
      <w:r w:rsidRPr="00B135D5">
        <w:rPr>
          <w:rFonts w:ascii="Arial" w:hAnsi="Arial" w:cs="Arial"/>
          <w:b/>
          <w:sz w:val="24"/>
        </w:rPr>
        <w:t>COMMONWEALTH OF MASSACHUSETTS</w:t>
      </w:r>
    </w:p>
    <w:p w14:paraId="13EBFD23" w14:textId="77777777" w:rsidR="0030549C" w:rsidRPr="00B135D5" w:rsidRDefault="0030549C" w:rsidP="00B135D5">
      <w:pPr>
        <w:spacing w:after="0" w:line="240" w:lineRule="auto"/>
        <w:jc w:val="center"/>
        <w:rPr>
          <w:rFonts w:ascii="Arial" w:hAnsi="Arial" w:cs="Arial"/>
          <w:b/>
          <w:sz w:val="24"/>
        </w:rPr>
      </w:pPr>
    </w:p>
    <w:p w14:paraId="5F5AD173" w14:textId="77777777" w:rsidR="00B135D5" w:rsidRDefault="00B135D5" w:rsidP="00B135D5">
      <w:pPr>
        <w:spacing w:after="0" w:line="240" w:lineRule="auto"/>
        <w:jc w:val="center"/>
        <w:rPr>
          <w:rFonts w:ascii="Arial" w:hAnsi="Arial" w:cs="Arial"/>
          <w:b/>
          <w:sz w:val="24"/>
        </w:rPr>
      </w:pPr>
      <w:r w:rsidRPr="00B135D5">
        <w:rPr>
          <w:rFonts w:ascii="Arial" w:hAnsi="Arial" w:cs="Arial"/>
          <w:b/>
          <w:sz w:val="24"/>
        </w:rPr>
        <w:t>DIVISION OF ADMINISTRATIVE LAW APPEALS</w:t>
      </w:r>
    </w:p>
    <w:p w14:paraId="3A220949" w14:textId="77777777" w:rsidR="0030549C" w:rsidRPr="00B135D5" w:rsidRDefault="0030549C" w:rsidP="00B135D5">
      <w:pPr>
        <w:spacing w:after="0" w:line="240" w:lineRule="auto"/>
        <w:jc w:val="center"/>
        <w:rPr>
          <w:rFonts w:ascii="Arial" w:hAnsi="Arial" w:cs="Arial"/>
          <w:b/>
          <w:sz w:val="24"/>
        </w:rPr>
      </w:pPr>
    </w:p>
    <w:p w14:paraId="46CB0D8F" w14:textId="77777777" w:rsidR="00B135D5" w:rsidRPr="00B135D5" w:rsidRDefault="00B135D5" w:rsidP="00B135D5">
      <w:pPr>
        <w:spacing w:after="0" w:line="240" w:lineRule="auto"/>
        <w:jc w:val="center"/>
        <w:rPr>
          <w:rFonts w:ascii="Arial" w:hAnsi="Arial" w:cs="Arial"/>
          <w:b/>
          <w:sz w:val="24"/>
        </w:rPr>
      </w:pPr>
      <w:r w:rsidRPr="00B135D5">
        <w:rPr>
          <w:rFonts w:ascii="Arial" w:hAnsi="Arial" w:cs="Arial"/>
          <w:b/>
          <w:sz w:val="24"/>
        </w:rPr>
        <w:t>SPECIAL EDUCATION APPEALS</w:t>
      </w:r>
    </w:p>
    <w:p w14:paraId="76D41132" w14:textId="77777777" w:rsidR="00B135D5" w:rsidRPr="00B135D5" w:rsidRDefault="00B135D5" w:rsidP="00B135D5">
      <w:pPr>
        <w:spacing w:after="0" w:line="240" w:lineRule="auto"/>
        <w:rPr>
          <w:rFonts w:ascii="Arial" w:hAnsi="Arial" w:cs="Arial"/>
          <w:sz w:val="24"/>
        </w:rPr>
      </w:pPr>
    </w:p>
    <w:p w14:paraId="40A49ABC" w14:textId="77777777" w:rsidR="00B135D5" w:rsidRPr="00936990" w:rsidRDefault="00936990" w:rsidP="00B135D5">
      <w:pPr>
        <w:spacing w:after="0" w:line="240" w:lineRule="auto"/>
        <w:rPr>
          <w:rFonts w:ascii="Arial" w:hAnsi="Arial" w:cs="Arial"/>
          <w:sz w:val="24"/>
        </w:rPr>
      </w:pPr>
      <w:r w:rsidRPr="00936990">
        <w:rPr>
          <w:rFonts w:ascii="Arial" w:hAnsi="Arial" w:cs="Arial"/>
          <w:sz w:val="24"/>
        </w:rPr>
        <w:t>____________________________</w:t>
      </w:r>
    </w:p>
    <w:p w14:paraId="76C38059" w14:textId="77777777" w:rsidR="004362E1" w:rsidRDefault="004362E1" w:rsidP="00B135D5">
      <w:pPr>
        <w:spacing w:after="0" w:line="240" w:lineRule="auto"/>
        <w:rPr>
          <w:rFonts w:ascii="Arial" w:hAnsi="Arial" w:cs="Arial"/>
          <w:sz w:val="24"/>
        </w:rPr>
      </w:pPr>
    </w:p>
    <w:p w14:paraId="05D0E39C" w14:textId="470A71FB" w:rsidR="00936990" w:rsidRPr="00936990" w:rsidRDefault="00936990" w:rsidP="00B135D5">
      <w:pPr>
        <w:spacing w:after="0" w:line="240" w:lineRule="auto"/>
        <w:rPr>
          <w:rFonts w:ascii="Arial" w:hAnsi="Arial" w:cs="Arial"/>
          <w:sz w:val="24"/>
        </w:rPr>
      </w:pPr>
      <w:r w:rsidRPr="00936990">
        <w:rPr>
          <w:rFonts w:ascii="Arial" w:hAnsi="Arial" w:cs="Arial"/>
          <w:sz w:val="24"/>
        </w:rPr>
        <w:t>In Re Student</w:t>
      </w:r>
    </w:p>
    <w:p w14:paraId="70CF5F04" w14:textId="77777777" w:rsidR="004362E1" w:rsidRDefault="004362E1" w:rsidP="00B135D5">
      <w:pPr>
        <w:spacing w:after="0" w:line="240" w:lineRule="auto"/>
        <w:rPr>
          <w:rFonts w:ascii="Arial" w:hAnsi="Arial" w:cs="Arial"/>
          <w:sz w:val="24"/>
        </w:rPr>
      </w:pPr>
    </w:p>
    <w:p w14:paraId="39B88BD3" w14:textId="451FD230" w:rsidR="00936990" w:rsidRPr="00936990" w:rsidRDefault="00936990" w:rsidP="00B135D5">
      <w:pPr>
        <w:spacing w:after="0" w:line="240" w:lineRule="auto"/>
        <w:rPr>
          <w:rFonts w:ascii="Arial" w:hAnsi="Arial" w:cs="Arial"/>
          <w:sz w:val="24"/>
        </w:rPr>
      </w:pPr>
      <w:r w:rsidRPr="00936990">
        <w:rPr>
          <w:rFonts w:ascii="Arial" w:hAnsi="Arial" w:cs="Arial"/>
          <w:sz w:val="24"/>
        </w:rPr>
        <w:t>&amp;</w:t>
      </w:r>
    </w:p>
    <w:p w14:paraId="77D8E14F" w14:textId="71DF2DA1" w:rsidR="00936990" w:rsidRPr="00936990" w:rsidRDefault="002F0FCC" w:rsidP="00B135D5">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BSEA No. 2100615</w:t>
      </w:r>
    </w:p>
    <w:p w14:paraId="564894BA" w14:textId="77EF7BD7" w:rsidR="00936990" w:rsidRPr="00936990" w:rsidRDefault="002F0FCC" w:rsidP="00B135D5">
      <w:pPr>
        <w:spacing w:after="0" w:line="240" w:lineRule="auto"/>
        <w:rPr>
          <w:rFonts w:ascii="Arial" w:hAnsi="Arial" w:cs="Arial"/>
          <w:sz w:val="24"/>
        </w:rPr>
      </w:pPr>
      <w:r>
        <w:rPr>
          <w:rFonts w:ascii="Arial" w:hAnsi="Arial" w:cs="Arial"/>
          <w:sz w:val="24"/>
        </w:rPr>
        <w:t>Southbridge Public Schools</w:t>
      </w:r>
    </w:p>
    <w:p w14:paraId="56C8F151" w14:textId="77777777" w:rsidR="00936990" w:rsidRPr="00B135D5" w:rsidRDefault="00936990" w:rsidP="00B135D5">
      <w:pPr>
        <w:spacing w:after="0" w:line="240" w:lineRule="auto"/>
        <w:rPr>
          <w:rFonts w:ascii="Arial" w:hAnsi="Arial" w:cs="Arial"/>
          <w:sz w:val="24"/>
        </w:rPr>
      </w:pPr>
      <w:r>
        <w:rPr>
          <w:rFonts w:ascii="Arial" w:hAnsi="Arial" w:cs="Arial"/>
          <w:sz w:val="24"/>
        </w:rPr>
        <w:t>__________________________</w:t>
      </w:r>
    </w:p>
    <w:p w14:paraId="75DE86D1" w14:textId="77777777" w:rsidR="00B135D5" w:rsidRDefault="00B135D5" w:rsidP="00B135D5">
      <w:pPr>
        <w:spacing w:after="0" w:line="240" w:lineRule="auto"/>
        <w:rPr>
          <w:rFonts w:ascii="Arial" w:hAnsi="Arial" w:cs="Arial"/>
          <w:sz w:val="24"/>
        </w:rPr>
      </w:pPr>
    </w:p>
    <w:p w14:paraId="5F8BA1C7" w14:textId="77777777" w:rsidR="00FB6B97" w:rsidRPr="00B135D5" w:rsidRDefault="00FB6B97" w:rsidP="00B135D5">
      <w:pPr>
        <w:spacing w:after="0" w:line="240" w:lineRule="auto"/>
        <w:rPr>
          <w:rFonts w:ascii="Arial" w:hAnsi="Arial" w:cs="Arial"/>
          <w:sz w:val="24"/>
        </w:rPr>
      </w:pPr>
    </w:p>
    <w:p w14:paraId="74E6EA52" w14:textId="34E00EA9" w:rsidR="00B135D5" w:rsidRPr="00B135D5" w:rsidRDefault="0030549C" w:rsidP="00B135D5">
      <w:pPr>
        <w:spacing w:after="0" w:line="240" w:lineRule="auto"/>
        <w:jc w:val="center"/>
        <w:rPr>
          <w:rFonts w:ascii="Arial" w:hAnsi="Arial" w:cs="Arial"/>
          <w:b/>
          <w:sz w:val="24"/>
          <w:u w:val="single"/>
        </w:rPr>
      </w:pPr>
      <w:r w:rsidRPr="0030549C">
        <w:rPr>
          <w:rFonts w:ascii="Arial" w:hAnsi="Arial" w:cs="Arial"/>
          <w:b/>
          <w:sz w:val="24"/>
          <w:u w:val="single"/>
        </w:rPr>
        <w:t xml:space="preserve">RULING ON </w:t>
      </w:r>
      <w:r w:rsidR="00936990">
        <w:rPr>
          <w:rFonts w:ascii="Arial" w:hAnsi="Arial" w:cs="Arial"/>
          <w:b/>
          <w:sz w:val="24"/>
          <w:u w:val="single"/>
        </w:rPr>
        <w:t xml:space="preserve">MOTION </w:t>
      </w:r>
      <w:r w:rsidR="002F0FCC">
        <w:rPr>
          <w:rFonts w:ascii="Arial" w:hAnsi="Arial" w:cs="Arial"/>
          <w:b/>
          <w:sz w:val="24"/>
          <w:u w:val="single"/>
        </w:rPr>
        <w:t xml:space="preserve">OF </w:t>
      </w:r>
      <w:r w:rsidR="004362E1">
        <w:rPr>
          <w:rFonts w:ascii="Arial" w:hAnsi="Arial" w:cs="Arial"/>
          <w:b/>
          <w:sz w:val="24"/>
          <w:u w:val="single"/>
        </w:rPr>
        <w:t xml:space="preserve">PARENT </w:t>
      </w:r>
      <w:r w:rsidR="002F0FCC">
        <w:rPr>
          <w:rFonts w:ascii="Arial" w:hAnsi="Arial" w:cs="Arial"/>
          <w:b/>
          <w:sz w:val="24"/>
          <w:u w:val="single"/>
        </w:rPr>
        <w:t xml:space="preserve">TO JOIN THE </w:t>
      </w:r>
      <w:r w:rsidR="00936990">
        <w:rPr>
          <w:rFonts w:ascii="Arial" w:hAnsi="Arial" w:cs="Arial"/>
          <w:b/>
          <w:sz w:val="24"/>
          <w:u w:val="single"/>
        </w:rPr>
        <w:t xml:space="preserve">MASS. DEPT. OF ELEMENTARY AND SECONDARY EDUCATION </w:t>
      </w:r>
      <w:r w:rsidR="00AC0DD7">
        <w:rPr>
          <w:rFonts w:ascii="Arial" w:hAnsi="Arial" w:cs="Arial"/>
          <w:b/>
          <w:sz w:val="24"/>
          <w:u w:val="single"/>
        </w:rPr>
        <w:t>(DESE)</w:t>
      </w:r>
      <w:r w:rsidR="002F0FCC">
        <w:rPr>
          <w:rFonts w:ascii="Arial" w:hAnsi="Arial" w:cs="Arial"/>
          <w:b/>
          <w:sz w:val="24"/>
          <w:u w:val="single"/>
        </w:rPr>
        <w:t xml:space="preserve"> AS A PARTY</w:t>
      </w:r>
    </w:p>
    <w:p w14:paraId="59B8494B" w14:textId="77777777" w:rsidR="00B135D5" w:rsidRPr="0030549C" w:rsidRDefault="00B135D5" w:rsidP="00D33C5B">
      <w:pPr>
        <w:spacing w:after="0" w:line="240" w:lineRule="auto"/>
        <w:rPr>
          <w:rFonts w:ascii="Arial" w:eastAsia="Times New Roman" w:hAnsi="Arial" w:cs="Arial"/>
          <w:sz w:val="24"/>
          <w:szCs w:val="24"/>
        </w:rPr>
      </w:pPr>
    </w:p>
    <w:p w14:paraId="68DAAC74" w14:textId="201C7BBB" w:rsidR="00026A43" w:rsidRDefault="005A5DC8" w:rsidP="004362E1">
      <w:pPr>
        <w:spacing w:after="0" w:line="240" w:lineRule="auto"/>
        <w:ind w:firstLine="720"/>
        <w:rPr>
          <w:rFonts w:ascii="Arial" w:eastAsia="Times New Roman" w:hAnsi="Arial" w:cs="Arial"/>
          <w:sz w:val="24"/>
          <w:szCs w:val="24"/>
        </w:rPr>
      </w:pPr>
      <w:r w:rsidRPr="002F0FCC">
        <w:rPr>
          <w:rFonts w:ascii="Arial" w:eastAsia="Times New Roman" w:hAnsi="Arial" w:cs="Arial"/>
          <w:sz w:val="24"/>
          <w:szCs w:val="24"/>
        </w:rPr>
        <w:t xml:space="preserve">The instant case involves </w:t>
      </w:r>
      <w:r w:rsidR="00AC0DD7" w:rsidRPr="002F0FCC">
        <w:rPr>
          <w:rFonts w:ascii="Arial" w:eastAsia="Times New Roman" w:hAnsi="Arial" w:cs="Arial"/>
          <w:sz w:val="24"/>
          <w:szCs w:val="24"/>
        </w:rPr>
        <w:t xml:space="preserve">a </w:t>
      </w:r>
      <w:r w:rsidRPr="002F0FCC">
        <w:rPr>
          <w:rFonts w:ascii="Arial" w:eastAsia="Times New Roman" w:hAnsi="Arial" w:cs="Arial"/>
          <w:sz w:val="24"/>
          <w:szCs w:val="24"/>
        </w:rPr>
        <w:t>special education student (Student) who</w:t>
      </w:r>
      <w:r w:rsidR="000876EB" w:rsidRPr="002F0FCC">
        <w:rPr>
          <w:rFonts w:ascii="Arial" w:eastAsia="Times New Roman" w:hAnsi="Arial" w:cs="Arial"/>
          <w:sz w:val="24"/>
          <w:szCs w:val="24"/>
        </w:rPr>
        <w:t xml:space="preserve"> is a resident of </w:t>
      </w:r>
      <w:r w:rsidR="002F0FCC">
        <w:rPr>
          <w:rFonts w:ascii="Arial" w:eastAsia="Times New Roman" w:hAnsi="Arial" w:cs="Arial"/>
          <w:sz w:val="24"/>
          <w:szCs w:val="24"/>
        </w:rPr>
        <w:t>Southbridge</w:t>
      </w:r>
      <w:r w:rsidR="008B6208">
        <w:rPr>
          <w:rFonts w:ascii="Arial" w:eastAsia="Times New Roman" w:hAnsi="Arial" w:cs="Arial"/>
          <w:sz w:val="24"/>
          <w:szCs w:val="24"/>
        </w:rPr>
        <w:t xml:space="preserve">.  </w:t>
      </w:r>
      <w:r w:rsidR="004362E1">
        <w:rPr>
          <w:rFonts w:ascii="Arial" w:eastAsia="Times New Roman" w:hAnsi="Arial" w:cs="Arial"/>
          <w:sz w:val="24"/>
          <w:szCs w:val="24"/>
        </w:rPr>
        <w:t>Student was in the custody of the Massachusetts Department of Youth Services (DYS) for intermittent periods totaling approximately 199 days between July 2018 and January 2020.</w:t>
      </w:r>
      <w:r w:rsidR="004362E1">
        <w:rPr>
          <w:rStyle w:val="FootnoteReference"/>
          <w:rFonts w:ascii="Arial" w:eastAsia="Times New Roman" w:hAnsi="Arial" w:cs="Arial"/>
          <w:sz w:val="24"/>
          <w:szCs w:val="24"/>
        </w:rPr>
        <w:footnoteReference w:id="1"/>
      </w:r>
      <w:r w:rsidR="004362E1">
        <w:rPr>
          <w:rFonts w:ascii="Arial" w:eastAsia="Times New Roman" w:hAnsi="Arial" w:cs="Arial"/>
          <w:sz w:val="24"/>
          <w:szCs w:val="24"/>
        </w:rPr>
        <w:t xml:space="preserve"> </w:t>
      </w:r>
      <w:r w:rsidR="008B6208">
        <w:rPr>
          <w:rFonts w:ascii="Arial" w:eastAsia="Times New Roman" w:hAnsi="Arial" w:cs="Arial"/>
          <w:sz w:val="24"/>
          <w:szCs w:val="24"/>
        </w:rPr>
        <w:t xml:space="preserve">On July 22, 2020,  </w:t>
      </w:r>
      <w:r w:rsidR="004362E1">
        <w:rPr>
          <w:rFonts w:ascii="Arial" w:eastAsia="Times New Roman" w:hAnsi="Arial" w:cs="Arial"/>
          <w:sz w:val="24"/>
          <w:szCs w:val="24"/>
        </w:rPr>
        <w:t>Parent filed a h</w:t>
      </w:r>
      <w:r w:rsidR="008B6208">
        <w:rPr>
          <w:rFonts w:ascii="Arial" w:eastAsia="Times New Roman" w:hAnsi="Arial" w:cs="Arial"/>
          <w:sz w:val="24"/>
          <w:szCs w:val="24"/>
        </w:rPr>
        <w:t xml:space="preserve">earing request with the BSEA alleging that the Southbridge Public Schools (Southbridge or </w:t>
      </w:r>
      <w:r w:rsidR="004362E1">
        <w:rPr>
          <w:rFonts w:ascii="Arial" w:eastAsia="Times New Roman" w:hAnsi="Arial" w:cs="Arial"/>
          <w:sz w:val="24"/>
          <w:szCs w:val="24"/>
        </w:rPr>
        <w:t>SPS</w:t>
      </w:r>
      <w:r w:rsidR="008B6208">
        <w:rPr>
          <w:rFonts w:ascii="Arial" w:eastAsia="Times New Roman" w:hAnsi="Arial" w:cs="Arial"/>
          <w:sz w:val="24"/>
          <w:szCs w:val="24"/>
        </w:rPr>
        <w:t xml:space="preserve">) had denied, and was continuing to deny Student a free, appropriate public education (FAPE) by failing to provide her with an appropriate IEP and placement.  </w:t>
      </w:r>
      <w:r w:rsidR="009161CB">
        <w:rPr>
          <w:rFonts w:ascii="Arial" w:eastAsia="Times New Roman" w:hAnsi="Arial" w:cs="Arial"/>
          <w:sz w:val="24"/>
          <w:szCs w:val="24"/>
        </w:rPr>
        <w:t xml:space="preserve">On November 20, 2020, </w:t>
      </w:r>
      <w:r w:rsidR="004362E1">
        <w:rPr>
          <w:rFonts w:ascii="Arial" w:eastAsia="Times New Roman" w:hAnsi="Arial" w:cs="Arial"/>
          <w:sz w:val="24"/>
          <w:szCs w:val="24"/>
        </w:rPr>
        <w:t>Parent</w:t>
      </w:r>
      <w:r w:rsidR="009161CB">
        <w:rPr>
          <w:rFonts w:ascii="Arial" w:eastAsia="Times New Roman" w:hAnsi="Arial" w:cs="Arial"/>
          <w:sz w:val="24"/>
          <w:szCs w:val="24"/>
        </w:rPr>
        <w:t xml:space="preserve"> filed an amended hearing request together with the </w:t>
      </w:r>
      <w:r w:rsidR="009161CB" w:rsidRPr="00B227E8">
        <w:rPr>
          <w:rFonts w:ascii="Arial" w:eastAsia="Times New Roman" w:hAnsi="Arial" w:cs="Arial"/>
          <w:i/>
          <w:iCs/>
          <w:sz w:val="24"/>
          <w:szCs w:val="24"/>
        </w:rPr>
        <w:t>Motion to Join DESE</w:t>
      </w:r>
      <w:r w:rsidR="009161CB">
        <w:rPr>
          <w:rFonts w:ascii="Arial" w:eastAsia="Times New Roman" w:hAnsi="Arial" w:cs="Arial"/>
          <w:sz w:val="24"/>
          <w:szCs w:val="24"/>
        </w:rPr>
        <w:t xml:space="preserve"> as a party that is the subject of this </w:t>
      </w:r>
      <w:r w:rsidR="009161CB" w:rsidRPr="00B227E8">
        <w:rPr>
          <w:rFonts w:ascii="Arial" w:eastAsia="Times New Roman" w:hAnsi="Arial" w:cs="Arial"/>
          <w:i/>
          <w:iCs/>
          <w:sz w:val="24"/>
          <w:szCs w:val="24"/>
        </w:rPr>
        <w:t>Ruling</w:t>
      </w:r>
      <w:r w:rsidR="009161CB">
        <w:rPr>
          <w:rFonts w:ascii="Arial" w:eastAsia="Times New Roman" w:hAnsi="Arial" w:cs="Arial"/>
          <w:sz w:val="24"/>
          <w:szCs w:val="24"/>
        </w:rPr>
        <w:t>.  The amended hearing request alleges</w:t>
      </w:r>
      <w:r w:rsidR="00022F58">
        <w:rPr>
          <w:rFonts w:ascii="Arial" w:eastAsia="Times New Roman" w:hAnsi="Arial" w:cs="Arial"/>
          <w:sz w:val="24"/>
          <w:szCs w:val="24"/>
        </w:rPr>
        <w:t xml:space="preserve">, in pertinent </w:t>
      </w:r>
      <w:r w:rsidR="009161CB">
        <w:rPr>
          <w:rFonts w:ascii="Arial" w:eastAsia="Times New Roman" w:hAnsi="Arial" w:cs="Arial"/>
          <w:sz w:val="24"/>
          <w:szCs w:val="24"/>
        </w:rPr>
        <w:t xml:space="preserve">part, </w:t>
      </w:r>
      <w:r w:rsidR="00022F58">
        <w:rPr>
          <w:rFonts w:ascii="Arial" w:eastAsia="Times New Roman" w:hAnsi="Arial" w:cs="Arial"/>
          <w:sz w:val="24"/>
          <w:szCs w:val="24"/>
        </w:rPr>
        <w:t xml:space="preserve">that </w:t>
      </w:r>
      <w:r w:rsidR="002B43EA">
        <w:rPr>
          <w:rFonts w:ascii="Arial" w:eastAsia="Times New Roman" w:hAnsi="Arial" w:cs="Arial"/>
          <w:sz w:val="24"/>
          <w:szCs w:val="24"/>
        </w:rPr>
        <w:t xml:space="preserve">while in DYS custody, </w:t>
      </w:r>
      <w:r w:rsidR="00022F58">
        <w:rPr>
          <w:rFonts w:ascii="Arial" w:eastAsia="Times New Roman" w:hAnsi="Arial" w:cs="Arial"/>
          <w:sz w:val="24"/>
          <w:szCs w:val="24"/>
        </w:rPr>
        <w:t>Student</w:t>
      </w:r>
      <w:r w:rsidR="002B43EA">
        <w:rPr>
          <w:rFonts w:ascii="Arial" w:eastAsia="Times New Roman" w:hAnsi="Arial" w:cs="Arial"/>
          <w:sz w:val="24"/>
          <w:szCs w:val="24"/>
        </w:rPr>
        <w:t xml:space="preserve"> was denied a FAPE because she</w:t>
      </w:r>
      <w:r w:rsidR="00022F58">
        <w:rPr>
          <w:rFonts w:ascii="Arial" w:eastAsia="Times New Roman" w:hAnsi="Arial" w:cs="Arial"/>
          <w:sz w:val="24"/>
          <w:szCs w:val="24"/>
        </w:rPr>
        <w:t xml:space="preserve"> did not receive the services set forth in her accepted IEPs</w:t>
      </w:r>
      <w:r w:rsidR="002B43EA">
        <w:rPr>
          <w:rFonts w:ascii="Arial" w:eastAsia="Times New Roman" w:hAnsi="Arial" w:cs="Arial"/>
          <w:sz w:val="24"/>
          <w:szCs w:val="24"/>
        </w:rPr>
        <w:t>.</w:t>
      </w:r>
      <w:r w:rsidR="00022F58">
        <w:rPr>
          <w:rFonts w:ascii="Arial" w:eastAsia="Times New Roman" w:hAnsi="Arial" w:cs="Arial"/>
          <w:sz w:val="24"/>
          <w:szCs w:val="24"/>
        </w:rPr>
        <w:t xml:space="preserve"> The amended hearing request seeks relief from both </w:t>
      </w:r>
      <w:r w:rsidR="00723121">
        <w:rPr>
          <w:rFonts w:ascii="Arial" w:eastAsia="Times New Roman" w:hAnsi="Arial" w:cs="Arial"/>
          <w:sz w:val="24"/>
          <w:szCs w:val="24"/>
        </w:rPr>
        <w:t>Southbridge and DESE.</w:t>
      </w:r>
      <w:r w:rsidR="00026A43">
        <w:rPr>
          <w:rStyle w:val="FootnoteReference"/>
          <w:rFonts w:ascii="Arial" w:eastAsia="Times New Roman" w:hAnsi="Arial" w:cs="Arial"/>
          <w:sz w:val="24"/>
          <w:szCs w:val="24"/>
        </w:rPr>
        <w:footnoteReference w:id="2"/>
      </w:r>
    </w:p>
    <w:p w14:paraId="55859063" w14:textId="233C445F" w:rsidR="00026A43" w:rsidRDefault="00026A43" w:rsidP="00026A43">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  </w:t>
      </w:r>
    </w:p>
    <w:p w14:paraId="1C675A50" w14:textId="3102484B" w:rsidR="00EB10E2" w:rsidRDefault="0099357A" w:rsidP="00026A43">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 </w:t>
      </w:r>
      <w:r w:rsidR="00723121">
        <w:rPr>
          <w:rFonts w:ascii="Arial" w:eastAsia="Times New Roman" w:hAnsi="Arial" w:cs="Arial"/>
          <w:sz w:val="24"/>
          <w:szCs w:val="24"/>
        </w:rPr>
        <w:t xml:space="preserve">In </w:t>
      </w:r>
      <w:r w:rsidR="00E043F5">
        <w:rPr>
          <w:rFonts w:ascii="Arial" w:eastAsia="Times New Roman" w:hAnsi="Arial" w:cs="Arial"/>
          <w:sz w:val="24"/>
          <w:szCs w:val="24"/>
        </w:rPr>
        <w:t>h</w:t>
      </w:r>
      <w:r w:rsidR="00FD2B0B">
        <w:rPr>
          <w:rFonts w:ascii="Arial" w:eastAsia="Times New Roman" w:hAnsi="Arial" w:cs="Arial"/>
          <w:sz w:val="24"/>
          <w:szCs w:val="24"/>
        </w:rPr>
        <w:t>er</w:t>
      </w:r>
      <w:r w:rsidR="00723121">
        <w:rPr>
          <w:rFonts w:ascii="Arial" w:eastAsia="Times New Roman" w:hAnsi="Arial" w:cs="Arial"/>
          <w:sz w:val="24"/>
          <w:szCs w:val="24"/>
        </w:rPr>
        <w:t xml:space="preserve"> </w:t>
      </w:r>
      <w:r w:rsidR="00026A43" w:rsidRPr="00B227E8">
        <w:rPr>
          <w:rFonts w:ascii="Arial" w:eastAsia="Times New Roman" w:hAnsi="Arial" w:cs="Arial"/>
          <w:i/>
          <w:iCs/>
          <w:sz w:val="24"/>
          <w:szCs w:val="24"/>
        </w:rPr>
        <w:t>Motio</w:t>
      </w:r>
      <w:r w:rsidR="00E043F5" w:rsidRPr="00B227E8">
        <w:rPr>
          <w:rFonts w:ascii="Arial" w:eastAsia="Times New Roman" w:hAnsi="Arial" w:cs="Arial"/>
          <w:i/>
          <w:iCs/>
          <w:sz w:val="24"/>
          <w:szCs w:val="24"/>
        </w:rPr>
        <w:t>n</w:t>
      </w:r>
      <w:r w:rsidR="00026A43" w:rsidRPr="00B227E8">
        <w:rPr>
          <w:rFonts w:ascii="Arial" w:eastAsia="Times New Roman" w:hAnsi="Arial" w:cs="Arial"/>
          <w:i/>
          <w:iCs/>
          <w:sz w:val="24"/>
          <w:szCs w:val="24"/>
        </w:rPr>
        <w:t xml:space="preserve"> to </w:t>
      </w:r>
      <w:r w:rsidR="00723121" w:rsidRPr="00B227E8">
        <w:rPr>
          <w:rFonts w:ascii="Arial" w:eastAsia="Times New Roman" w:hAnsi="Arial" w:cs="Arial"/>
          <w:i/>
          <w:iCs/>
          <w:sz w:val="24"/>
          <w:szCs w:val="24"/>
        </w:rPr>
        <w:t>Join DESE</w:t>
      </w:r>
      <w:r w:rsidR="00723121">
        <w:rPr>
          <w:rFonts w:ascii="Arial" w:eastAsia="Times New Roman" w:hAnsi="Arial" w:cs="Arial"/>
          <w:sz w:val="24"/>
          <w:szCs w:val="24"/>
        </w:rPr>
        <w:t xml:space="preserve"> as a party in this matter, </w:t>
      </w:r>
      <w:r w:rsidR="004362E1">
        <w:rPr>
          <w:rFonts w:ascii="Arial" w:eastAsia="Times New Roman" w:hAnsi="Arial" w:cs="Arial"/>
          <w:sz w:val="24"/>
          <w:szCs w:val="24"/>
        </w:rPr>
        <w:t>Parent</w:t>
      </w:r>
      <w:r w:rsidR="00723121">
        <w:rPr>
          <w:rFonts w:ascii="Arial" w:eastAsia="Times New Roman" w:hAnsi="Arial" w:cs="Arial"/>
          <w:sz w:val="24"/>
          <w:szCs w:val="24"/>
        </w:rPr>
        <w:t xml:space="preserve"> elaborate</w:t>
      </w:r>
      <w:r w:rsidR="00E043F5">
        <w:rPr>
          <w:rFonts w:ascii="Arial" w:eastAsia="Times New Roman" w:hAnsi="Arial" w:cs="Arial"/>
          <w:sz w:val="24"/>
          <w:szCs w:val="24"/>
        </w:rPr>
        <w:t>s</w:t>
      </w:r>
      <w:r w:rsidR="00723121">
        <w:rPr>
          <w:rFonts w:ascii="Arial" w:eastAsia="Times New Roman" w:hAnsi="Arial" w:cs="Arial"/>
          <w:sz w:val="24"/>
          <w:szCs w:val="24"/>
        </w:rPr>
        <w:t xml:space="preserve"> that DESE </w:t>
      </w:r>
      <w:r w:rsidR="00EB10E2">
        <w:rPr>
          <w:rFonts w:ascii="Arial" w:eastAsia="Times New Roman" w:hAnsi="Arial" w:cs="Arial"/>
          <w:sz w:val="24"/>
          <w:szCs w:val="24"/>
        </w:rPr>
        <w:t>w</w:t>
      </w:r>
      <w:r w:rsidR="00723121">
        <w:rPr>
          <w:rFonts w:ascii="Arial" w:eastAsia="Times New Roman" w:hAnsi="Arial" w:cs="Arial"/>
          <w:sz w:val="24"/>
          <w:szCs w:val="24"/>
        </w:rPr>
        <w:t>as responsible for ensur</w:t>
      </w:r>
      <w:r w:rsidR="00EB10E2">
        <w:rPr>
          <w:rFonts w:ascii="Arial" w:eastAsia="Times New Roman" w:hAnsi="Arial" w:cs="Arial"/>
          <w:sz w:val="24"/>
          <w:szCs w:val="24"/>
        </w:rPr>
        <w:t xml:space="preserve">ing that Student received a FAPE while in DYS custody, but failed both to provide the services for which it was responsible and to comply with the procedural requirements for </w:t>
      </w:r>
      <w:r>
        <w:rPr>
          <w:rFonts w:ascii="Arial" w:eastAsia="Times New Roman" w:hAnsi="Arial" w:cs="Arial"/>
          <w:sz w:val="24"/>
          <w:szCs w:val="24"/>
        </w:rPr>
        <w:t xml:space="preserve">allocating </w:t>
      </w:r>
      <w:r w:rsidR="00EB10E2">
        <w:rPr>
          <w:rFonts w:ascii="Arial" w:eastAsia="Times New Roman" w:hAnsi="Arial" w:cs="Arial"/>
          <w:sz w:val="24"/>
          <w:szCs w:val="24"/>
        </w:rPr>
        <w:t xml:space="preserve">responsibility </w:t>
      </w:r>
      <w:r>
        <w:rPr>
          <w:rFonts w:ascii="Arial" w:eastAsia="Times New Roman" w:hAnsi="Arial" w:cs="Arial"/>
          <w:sz w:val="24"/>
          <w:szCs w:val="24"/>
        </w:rPr>
        <w:t xml:space="preserve">for Student’s special education services </w:t>
      </w:r>
      <w:r w:rsidR="00EB10E2">
        <w:rPr>
          <w:rFonts w:ascii="Arial" w:eastAsia="Times New Roman" w:hAnsi="Arial" w:cs="Arial"/>
          <w:sz w:val="24"/>
          <w:szCs w:val="24"/>
        </w:rPr>
        <w:t>between DESE and Southbridge</w:t>
      </w:r>
      <w:r>
        <w:rPr>
          <w:rFonts w:ascii="Arial" w:eastAsia="Times New Roman" w:hAnsi="Arial" w:cs="Arial"/>
          <w:sz w:val="24"/>
          <w:szCs w:val="24"/>
        </w:rPr>
        <w:t>.</w:t>
      </w:r>
      <w:r w:rsidR="00EB10E2">
        <w:rPr>
          <w:rFonts w:ascii="Arial" w:eastAsia="Times New Roman" w:hAnsi="Arial" w:cs="Arial"/>
          <w:sz w:val="24"/>
          <w:szCs w:val="24"/>
        </w:rPr>
        <w:t xml:space="preserve">  On </w:t>
      </w:r>
      <w:r w:rsidR="00723121">
        <w:rPr>
          <w:rFonts w:ascii="Arial" w:eastAsia="Times New Roman" w:hAnsi="Arial" w:cs="Arial"/>
          <w:sz w:val="24"/>
          <w:szCs w:val="24"/>
        </w:rPr>
        <w:t xml:space="preserve">December </w:t>
      </w:r>
      <w:r w:rsidR="00FD2B0B">
        <w:rPr>
          <w:rFonts w:ascii="Arial" w:eastAsia="Times New Roman" w:hAnsi="Arial" w:cs="Arial"/>
          <w:sz w:val="24"/>
          <w:szCs w:val="24"/>
        </w:rPr>
        <w:t>23</w:t>
      </w:r>
      <w:r w:rsidR="00723121">
        <w:rPr>
          <w:rFonts w:ascii="Arial" w:eastAsia="Times New Roman" w:hAnsi="Arial" w:cs="Arial"/>
          <w:sz w:val="24"/>
          <w:szCs w:val="24"/>
        </w:rPr>
        <w:t xml:space="preserve">, 2020, DESE filed an </w:t>
      </w:r>
      <w:r w:rsidR="00723121" w:rsidRPr="00B227E8">
        <w:rPr>
          <w:rFonts w:ascii="Arial" w:eastAsia="Times New Roman" w:hAnsi="Arial" w:cs="Arial"/>
          <w:i/>
          <w:iCs/>
          <w:sz w:val="24"/>
          <w:szCs w:val="24"/>
        </w:rPr>
        <w:t>Opposition</w:t>
      </w:r>
      <w:r w:rsidR="00723121">
        <w:rPr>
          <w:rFonts w:ascii="Arial" w:eastAsia="Times New Roman" w:hAnsi="Arial" w:cs="Arial"/>
          <w:sz w:val="24"/>
          <w:szCs w:val="24"/>
        </w:rPr>
        <w:t xml:space="preserve"> to Student’s </w:t>
      </w:r>
      <w:r w:rsidR="00723121" w:rsidRPr="00B227E8">
        <w:rPr>
          <w:rFonts w:ascii="Arial" w:eastAsia="Times New Roman" w:hAnsi="Arial" w:cs="Arial"/>
          <w:i/>
          <w:iCs/>
          <w:sz w:val="24"/>
          <w:szCs w:val="24"/>
        </w:rPr>
        <w:t>Motion</w:t>
      </w:r>
      <w:r w:rsidR="002D6327">
        <w:rPr>
          <w:rFonts w:ascii="Arial" w:eastAsia="Times New Roman" w:hAnsi="Arial" w:cs="Arial"/>
          <w:sz w:val="24"/>
          <w:szCs w:val="24"/>
        </w:rPr>
        <w:t>.</w:t>
      </w:r>
      <w:r w:rsidR="00723121">
        <w:rPr>
          <w:rFonts w:ascii="Arial" w:eastAsia="Times New Roman" w:hAnsi="Arial" w:cs="Arial"/>
          <w:sz w:val="24"/>
          <w:szCs w:val="24"/>
        </w:rPr>
        <w:t xml:space="preserve">  </w:t>
      </w:r>
      <w:r w:rsidR="002B43EA">
        <w:rPr>
          <w:rFonts w:ascii="Arial" w:eastAsia="Times New Roman" w:hAnsi="Arial" w:cs="Arial"/>
          <w:sz w:val="24"/>
          <w:szCs w:val="24"/>
        </w:rPr>
        <w:t xml:space="preserve">Southbridge has not filed a response to the </w:t>
      </w:r>
      <w:r w:rsidR="002B43EA" w:rsidRPr="00B227E8">
        <w:rPr>
          <w:rFonts w:ascii="Arial" w:eastAsia="Times New Roman" w:hAnsi="Arial" w:cs="Arial"/>
          <w:i/>
          <w:iCs/>
          <w:sz w:val="24"/>
          <w:szCs w:val="24"/>
        </w:rPr>
        <w:t>Motion</w:t>
      </w:r>
      <w:r w:rsidR="002B43EA">
        <w:rPr>
          <w:rFonts w:ascii="Arial" w:eastAsia="Times New Roman" w:hAnsi="Arial" w:cs="Arial"/>
          <w:sz w:val="24"/>
          <w:szCs w:val="24"/>
        </w:rPr>
        <w:t xml:space="preserve">, and, during a conference call held on January </w:t>
      </w:r>
      <w:r w:rsidR="00235958">
        <w:rPr>
          <w:rFonts w:ascii="Arial" w:eastAsia="Times New Roman" w:hAnsi="Arial" w:cs="Arial"/>
          <w:sz w:val="24"/>
          <w:szCs w:val="24"/>
        </w:rPr>
        <w:t>22</w:t>
      </w:r>
      <w:r w:rsidR="002B43EA">
        <w:rPr>
          <w:rFonts w:ascii="Arial" w:eastAsia="Times New Roman" w:hAnsi="Arial" w:cs="Arial"/>
          <w:sz w:val="24"/>
          <w:szCs w:val="24"/>
        </w:rPr>
        <w:t xml:space="preserve">, 2021, the District’s </w:t>
      </w:r>
      <w:r w:rsidR="002B43EA">
        <w:rPr>
          <w:rFonts w:ascii="Arial" w:eastAsia="Times New Roman" w:hAnsi="Arial" w:cs="Arial"/>
          <w:sz w:val="24"/>
          <w:szCs w:val="24"/>
        </w:rPr>
        <w:lastRenderedPageBreak/>
        <w:t>counsel reported that Southbridge takes no position on the issue of joinder.</w:t>
      </w:r>
      <w:r w:rsidR="00EB10E2">
        <w:rPr>
          <w:rFonts w:ascii="Arial" w:eastAsia="Times New Roman" w:hAnsi="Arial" w:cs="Arial"/>
          <w:sz w:val="24"/>
          <w:szCs w:val="24"/>
        </w:rPr>
        <w:t xml:space="preserve">  On January 26, 2021, I heard the oral arguments of</w:t>
      </w:r>
      <w:r w:rsidR="00235958">
        <w:rPr>
          <w:rFonts w:ascii="Arial" w:eastAsia="Times New Roman" w:hAnsi="Arial" w:cs="Arial"/>
          <w:sz w:val="24"/>
          <w:szCs w:val="24"/>
        </w:rPr>
        <w:t xml:space="preserve"> </w:t>
      </w:r>
      <w:r w:rsidR="00EB10E2">
        <w:rPr>
          <w:rFonts w:ascii="Arial" w:eastAsia="Times New Roman" w:hAnsi="Arial" w:cs="Arial"/>
          <w:sz w:val="24"/>
          <w:szCs w:val="24"/>
        </w:rPr>
        <w:t xml:space="preserve">Student and DESE.  </w:t>
      </w:r>
    </w:p>
    <w:p w14:paraId="61E76ABA" w14:textId="77777777" w:rsidR="00EB10E2" w:rsidRDefault="00EB10E2" w:rsidP="00415DCA">
      <w:pPr>
        <w:spacing w:after="0" w:line="240" w:lineRule="auto"/>
        <w:rPr>
          <w:rFonts w:ascii="Arial" w:eastAsia="Times New Roman" w:hAnsi="Arial" w:cs="Arial"/>
          <w:sz w:val="24"/>
          <w:szCs w:val="24"/>
        </w:rPr>
      </w:pPr>
    </w:p>
    <w:p w14:paraId="08635C05" w14:textId="112C28B2" w:rsidR="00144783" w:rsidRDefault="00EB10E2" w:rsidP="00EB10E2">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For reasons stated below, the </w:t>
      </w:r>
      <w:r w:rsidRPr="00235958">
        <w:rPr>
          <w:rFonts w:ascii="Arial" w:eastAsia="Times New Roman" w:hAnsi="Arial" w:cs="Arial"/>
          <w:i/>
          <w:iCs/>
          <w:sz w:val="24"/>
          <w:szCs w:val="24"/>
        </w:rPr>
        <w:t>Motion to Join DESE</w:t>
      </w:r>
      <w:r>
        <w:rPr>
          <w:rFonts w:ascii="Arial" w:eastAsia="Times New Roman" w:hAnsi="Arial" w:cs="Arial"/>
          <w:sz w:val="24"/>
          <w:szCs w:val="24"/>
        </w:rPr>
        <w:t xml:space="preserve"> as a necessary party is GRANTED.</w:t>
      </w:r>
      <w:r w:rsidR="002B43EA">
        <w:rPr>
          <w:rFonts w:ascii="Arial" w:eastAsia="Times New Roman" w:hAnsi="Arial" w:cs="Arial"/>
          <w:sz w:val="24"/>
          <w:szCs w:val="24"/>
        </w:rPr>
        <w:t xml:space="preserve">  </w:t>
      </w:r>
    </w:p>
    <w:p w14:paraId="6CFF12E2" w14:textId="77777777" w:rsidR="000876EB" w:rsidRDefault="000876EB" w:rsidP="003104E8">
      <w:pPr>
        <w:spacing w:after="0" w:line="240" w:lineRule="auto"/>
        <w:rPr>
          <w:rFonts w:ascii="Arial" w:eastAsia="Times New Roman" w:hAnsi="Arial" w:cs="Arial"/>
          <w:sz w:val="24"/>
          <w:szCs w:val="24"/>
        </w:rPr>
      </w:pPr>
    </w:p>
    <w:p w14:paraId="1456BFB8" w14:textId="1B2B57D1" w:rsid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PERTINENT FACTUAL BACKGROUND</w:t>
      </w:r>
    </w:p>
    <w:p w14:paraId="5F05B575" w14:textId="77777777" w:rsidR="00E80350" w:rsidRDefault="00E80350" w:rsidP="00E80350">
      <w:pPr>
        <w:spacing w:after="0" w:line="240" w:lineRule="auto"/>
        <w:ind w:firstLine="720"/>
        <w:jc w:val="center"/>
        <w:rPr>
          <w:rFonts w:ascii="Arial" w:eastAsia="Times New Roman" w:hAnsi="Arial" w:cs="Arial"/>
          <w:b/>
          <w:sz w:val="24"/>
          <w:szCs w:val="24"/>
          <w:u w:val="single"/>
        </w:rPr>
      </w:pPr>
    </w:p>
    <w:p w14:paraId="52982268" w14:textId="3B32E514" w:rsidR="002B43EA" w:rsidRDefault="002B43EA" w:rsidP="00A8751C">
      <w:pPr>
        <w:spacing w:after="0" w:line="240" w:lineRule="auto"/>
        <w:ind w:firstLine="720"/>
        <w:rPr>
          <w:rFonts w:ascii="Arial" w:eastAsia="Times New Roman" w:hAnsi="Arial" w:cs="Arial"/>
          <w:sz w:val="24"/>
          <w:szCs w:val="24"/>
        </w:rPr>
      </w:pPr>
      <w:r>
        <w:rPr>
          <w:rFonts w:ascii="Arial" w:eastAsia="Times New Roman" w:hAnsi="Arial" w:cs="Arial"/>
          <w:sz w:val="24"/>
          <w:szCs w:val="24"/>
        </w:rPr>
        <w:t>The</w:t>
      </w:r>
      <w:r w:rsidR="00A8751C">
        <w:rPr>
          <w:rFonts w:ascii="Arial" w:eastAsia="Times New Roman" w:hAnsi="Arial" w:cs="Arial"/>
          <w:sz w:val="24"/>
          <w:szCs w:val="24"/>
        </w:rPr>
        <w:t xml:space="preserve"> following assertions</w:t>
      </w:r>
      <w:r>
        <w:rPr>
          <w:rFonts w:ascii="Arial" w:eastAsia="Times New Roman" w:hAnsi="Arial" w:cs="Arial"/>
          <w:sz w:val="24"/>
          <w:szCs w:val="24"/>
        </w:rPr>
        <w:t xml:space="preserve">, gleaned from the hearing request, Southbridge’s response thereto, Student’s </w:t>
      </w:r>
      <w:r w:rsidRPr="004A7F9A">
        <w:rPr>
          <w:rFonts w:ascii="Arial" w:eastAsia="Times New Roman" w:hAnsi="Arial" w:cs="Arial"/>
          <w:i/>
          <w:iCs/>
          <w:sz w:val="24"/>
          <w:szCs w:val="24"/>
        </w:rPr>
        <w:t>Motion to Join DESE</w:t>
      </w:r>
      <w:r>
        <w:rPr>
          <w:rFonts w:ascii="Arial" w:eastAsia="Times New Roman" w:hAnsi="Arial" w:cs="Arial"/>
          <w:sz w:val="24"/>
          <w:szCs w:val="24"/>
        </w:rPr>
        <w:t xml:space="preserve">, and DESE’s </w:t>
      </w:r>
      <w:r w:rsidRPr="004A7F9A">
        <w:rPr>
          <w:rFonts w:ascii="Arial" w:eastAsia="Times New Roman" w:hAnsi="Arial" w:cs="Arial"/>
          <w:i/>
          <w:iCs/>
          <w:sz w:val="24"/>
          <w:szCs w:val="24"/>
        </w:rPr>
        <w:t>Opposition</w:t>
      </w:r>
      <w:r>
        <w:rPr>
          <w:rFonts w:ascii="Arial" w:eastAsia="Times New Roman" w:hAnsi="Arial" w:cs="Arial"/>
          <w:sz w:val="24"/>
          <w:szCs w:val="24"/>
        </w:rPr>
        <w:t xml:space="preserve"> </w:t>
      </w:r>
      <w:r w:rsidR="00A8751C">
        <w:rPr>
          <w:rFonts w:ascii="Arial" w:eastAsia="Times New Roman" w:hAnsi="Arial" w:cs="Arial"/>
          <w:sz w:val="24"/>
          <w:szCs w:val="24"/>
        </w:rPr>
        <w:t>are considered true</w:t>
      </w:r>
      <w:r>
        <w:rPr>
          <w:rFonts w:ascii="Arial" w:eastAsia="Times New Roman" w:hAnsi="Arial" w:cs="Arial"/>
          <w:sz w:val="24"/>
          <w:szCs w:val="24"/>
        </w:rPr>
        <w:t xml:space="preserve"> for purposes of this ruling only.</w:t>
      </w:r>
    </w:p>
    <w:p w14:paraId="56050A8B" w14:textId="6621EC8F" w:rsidR="00A8751C" w:rsidRDefault="002B43EA" w:rsidP="00EB10E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33E7A578" w14:textId="35F6326E" w:rsidR="006B2F48" w:rsidRDefault="00195153" w:rsidP="006B6070">
      <w:pPr>
        <w:pStyle w:val="ListParagraph"/>
        <w:numPr>
          <w:ilvl w:val="0"/>
          <w:numId w:val="5"/>
        </w:numPr>
        <w:spacing w:after="0" w:line="240" w:lineRule="auto"/>
        <w:rPr>
          <w:rFonts w:ascii="Arial" w:eastAsia="Times New Roman" w:hAnsi="Arial" w:cs="Arial"/>
          <w:sz w:val="24"/>
          <w:szCs w:val="24"/>
        </w:rPr>
      </w:pPr>
      <w:r w:rsidRPr="00723121">
        <w:rPr>
          <w:rFonts w:ascii="Arial" w:eastAsia="Times New Roman" w:hAnsi="Arial" w:cs="Arial"/>
          <w:sz w:val="24"/>
          <w:szCs w:val="24"/>
        </w:rPr>
        <w:t>Student is</w:t>
      </w:r>
      <w:r w:rsidR="000F6B4F" w:rsidRPr="00723121">
        <w:rPr>
          <w:rFonts w:ascii="Arial" w:eastAsia="Times New Roman" w:hAnsi="Arial" w:cs="Arial"/>
          <w:sz w:val="24"/>
          <w:szCs w:val="24"/>
        </w:rPr>
        <w:t xml:space="preserve"> a</w:t>
      </w:r>
      <w:r w:rsidRPr="00723121">
        <w:rPr>
          <w:rFonts w:ascii="Arial" w:eastAsia="Times New Roman" w:hAnsi="Arial" w:cs="Arial"/>
          <w:sz w:val="24"/>
          <w:szCs w:val="24"/>
        </w:rPr>
        <w:t xml:space="preserve"> </w:t>
      </w:r>
      <w:r w:rsidR="00723121" w:rsidRPr="00723121">
        <w:rPr>
          <w:rFonts w:ascii="Arial" w:eastAsia="Times New Roman" w:hAnsi="Arial" w:cs="Arial"/>
          <w:sz w:val="24"/>
          <w:szCs w:val="24"/>
        </w:rPr>
        <w:t>sixteen</w:t>
      </w:r>
      <w:r w:rsidR="004A7F9A">
        <w:rPr>
          <w:rFonts w:ascii="Arial" w:eastAsia="Times New Roman" w:hAnsi="Arial" w:cs="Arial"/>
          <w:sz w:val="24"/>
          <w:szCs w:val="24"/>
        </w:rPr>
        <w:t>-</w:t>
      </w:r>
      <w:r w:rsidR="00AC3F55" w:rsidRPr="00723121">
        <w:rPr>
          <w:rFonts w:ascii="Arial" w:eastAsia="Times New Roman" w:hAnsi="Arial" w:cs="Arial"/>
          <w:sz w:val="24"/>
          <w:szCs w:val="24"/>
        </w:rPr>
        <w:t>year-</w:t>
      </w:r>
      <w:r w:rsidR="000F0783" w:rsidRPr="00723121">
        <w:rPr>
          <w:rFonts w:ascii="Arial" w:eastAsia="Times New Roman" w:hAnsi="Arial" w:cs="Arial"/>
          <w:sz w:val="24"/>
          <w:szCs w:val="24"/>
        </w:rPr>
        <w:t xml:space="preserve">old </w:t>
      </w:r>
      <w:r w:rsidR="00723121" w:rsidRPr="00723121">
        <w:rPr>
          <w:rFonts w:ascii="Arial" w:eastAsia="Times New Roman" w:hAnsi="Arial" w:cs="Arial"/>
          <w:sz w:val="24"/>
          <w:szCs w:val="24"/>
        </w:rPr>
        <w:t>child</w:t>
      </w:r>
      <w:r w:rsidR="000F0783" w:rsidRPr="00723121">
        <w:rPr>
          <w:rFonts w:ascii="Arial" w:eastAsia="Times New Roman" w:hAnsi="Arial" w:cs="Arial"/>
          <w:sz w:val="24"/>
          <w:szCs w:val="24"/>
        </w:rPr>
        <w:t xml:space="preserve"> with disabilities</w:t>
      </w:r>
      <w:r w:rsidR="002B43EA">
        <w:rPr>
          <w:rFonts w:ascii="Arial" w:eastAsia="Times New Roman" w:hAnsi="Arial" w:cs="Arial"/>
          <w:sz w:val="24"/>
          <w:szCs w:val="24"/>
        </w:rPr>
        <w:t xml:space="preserve"> who is </w:t>
      </w:r>
      <w:r w:rsidR="000F0783" w:rsidRPr="00723121">
        <w:rPr>
          <w:rFonts w:ascii="Arial" w:eastAsia="Times New Roman" w:hAnsi="Arial" w:cs="Arial"/>
          <w:sz w:val="24"/>
          <w:szCs w:val="24"/>
        </w:rPr>
        <w:t>eligible for special educa</w:t>
      </w:r>
      <w:r w:rsidR="00081EF8" w:rsidRPr="00723121">
        <w:rPr>
          <w:rFonts w:ascii="Arial" w:eastAsia="Times New Roman" w:hAnsi="Arial" w:cs="Arial"/>
          <w:sz w:val="24"/>
          <w:szCs w:val="24"/>
        </w:rPr>
        <w:t>tion and related servi</w:t>
      </w:r>
      <w:r w:rsidR="00D82875" w:rsidRPr="00723121">
        <w:rPr>
          <w:rFonts w:ascii="Arial" w:eastAsia="Times New Roman" w:hAnsi="Arial" w:cs="Arial"/>
          <w:sz w:val="24"/>
          <w:szCs w:val="24"/>
        </w:rPr>
        <w:t>ces pursuant to applicable federal and state la</w:t>
      </w:r>
      <w:r w:rsidR="002B43EA">
        <w:rPr>
          <w:rFonts w:ascii="Arial" w:eastAsia="Times New Roman" w:hAnsi="Arial" w:cs="Arial"/>
          <w:sz w:val="24"/>
          <w:szCs w:val="24"/>
        </w:rPr>
        <w:t xml:space="preserve">w.  Student is a </w:t>
      </w:r>
      <w:r w:rsidR="00D82875" w:rsidRPr="00723121">
        <w:rPr>
          <w:rFonts w:ascii="Arial" w:eastAsia="Times New Roman" w:hAnsi="Arial" w:cs="Arial"/>
          <w:sz w:val="24"/>
          <w:szCs w:val="24"/>
        </w:rPr>
        <w:t xml:space="preserve">resident of </w:t>
      </w:r>
      <w:r w:rsidR="00723121" w:rsidRPr="00723121">
        <w:rPr>
          <w:rFonts w:ascii="Arial" w:eastAsia="Times New Roman" w:hAnsi="Arial" w:cs="Arial"/>
          <w:sz w:val="24"/>
          <w:szCs w:val="24"/>
        </w:rPr>
        <w:t>Southbridge</w:t>
      </w:r>
      <w:r w:rsidR="00DA672F" w:rsidRPr="00723121">
        <w:rPr>
          <w:rFonts w:ascii="Arial" w:eastAsia="Times New Roman" w:hAnsi="Arial" w:cs="Arial"/>
          <w:sz w:val="24"/>
          <w:szCs w:val="24"/>
        </w:rPr>
        <w:t xml:space="preserve">, </w:t>
      </w:r>
      <w:r w:rsidR="00D82875" w:rsidRPr="00723121">
        <w:rPr>
          <w:rFonts w:ascii="Arial" w:eastAsia="Times New Roman" w:hAnsi="Arial" w:cs="Arial"/>
          <w:sz w:val="24"/>
          <w:szCs w:val="24"/>
        </w:rPr>
        <w:t xml:space="preserve">and </w:t>
      </w:r>
      <w:r w:rsidR="002B43EA">
        <w:rPr>
          <w:rFonts w:ascii="Arial" w:eastAsia="Times New Roman" w:hAnsi="Arial" w:cs="Arial"/>
          <w:sz w:val="24"/>
          <w:szCs w:val="24"/>
        </w:rPr>
        <w:t xml:space="preserve">the </w:t>
      </w:r>
      <w:r w:rsidR="00723121" w:rsidRPr="00723121">
        <w:rPr>
          <w:rFonts w:ascii="Arial" w:eastAsia="Times New Roman" w:hAnsi="Arial" w:cs="Arial"/>
          <w:sz w:val="24"/>
          <w:szCs w:val="24"/>
        </w:rPr>
        <w:t>Southbridge Public Schools (</w:t>
      </w:r>
      <w:r w:rsidR="004A7F9A">
        <w:rPr>
          <w:rFonts w:ascii="Arial" w:eastAsia="Times New Roman" w:hAnsi="Arial" w:cs="Arial"/>
          <w:sz w:val="24"/>
          <w:szCs w:val="24"/>
        </w:rPr>
        <w:t xml:space="preserve">Southbridge or </w:t>
      </w:r>
      <w:r w:rsidR="00723121" w:rsidRPr="00723121">
        <w:rPr>
          <w:rFonts w:ascii="Arial" w:eastAsia="Times New Roman" w:hAnsi="Arial" w:cs="Arial"/>
          <w:sz w:val="24"/>
          <w:szCs w:val="24"/>
        </w:rPr>
        <w:t>SPS)</w:t>
      </w:r>
      <w:r w:rsidR="00991F32" w:rsidRPr="00723121">
        <w:rPr>
          <w:rFonts w:ascii="Arial" w:eastAsia="Times New Roman" w:hAnsi="Arial" w:cs="Arial"/>
          <w:sz w:val="24"/>
          <w:szCs w:val="24"/>
        </w:rPr>
        <w:t xml:space="preserve"> is the Local Education Authority (LEA) responsible for providing Student’s special education services.  </w:t>
      </w:r>
    </w:p>
    <w:p w14:paraId="2E96C3B8" w14:textId="77777777" w:rsidR="00723121" w:rsidRPr="00723121" w:rsidRDefault="00723121" w:rsidP="00723121">
      <w:pPr>
        <w:pStyle w:val="ListParagraph"/>
        <w:spacing w:after="0" w:line="240" w:lineRule="auto"/>
        <w:ind w:left="360"/>
        <w:rPr>
          <w:rFonts w:ascii="Arial" w:eastAsia="Times New Roman" w:hAnsi="Arial" w:cs="Arial"/>
          <w:sz w:val="24"/>
          <w:szCs w:val="24"/>
        </w:rPr>
      </w:pPr>
    </w:p>
    <w:p w14:paraId="0304F90F" w14:textId="716A06A6" w:rsidR="00E6296C" w:rsidRDefault="00D1091C" w:rsidP="00B951B7">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Student </w:t>
      </w:r>
      <w:r w:rsidR="00E6296C">
        <w:rPr>
          <w:rFonts w:ascii="Arial" w:eastAsia="Times New Roman" w:hAnsi="Arial" w:cs="Arial"/>
          <w:sz w:val="24"/>
          <w:szCs w:val="24"/>
        </w:rPr>
        <w:t xml:space="preserve">began attending the </w:t>
      </w:r>
      <w:r w:rsidR="004A7F9A">
        <w:rPr>
          <w:rFonts w:ascii="Arial" w:eastAsia="Times New Roman" w:hAnsi="Arial" w:cs="Arial"/>
          <w:sz w:val="24"/>
          <w:szCs w:val="24"/>
        </w:rPr>
        <w:t>SPS</w:t>
      </w:r>
      <w:r w:rsidR="002B43EA">
        <w:rPr>
          <w:rFonts w:ascii="Arial" w:eastAsia="Times New Roman" w:hAnsi="Arial" w:cs="Arial"/>
          <w:sz w:val="24"/>
          <w:szCs w:val="24"/>
        </w:rPr>
        <w:t xml:space="preserve"> </w:t>
      </w:r>
      <w:r w:rsidR="00E6296C">
        <w:rPr>
          <w:rFonts w:ascii="Arial" w:eastAsia="Times New Roman" w:hAnsi="Arial" w:cs="Arial"/>
          <w:sz w:val="24"/>
          <w:szCs w:val="24"/>
        </w:rPr>
        <w:t xml:space="preserve">in kindergarten.  During elementary school, Student earned good grades but had some difficulties with organizing her materials and being respectful to teachers.  </w:t>
      </w:r>
    </w:p>
    <w:p w14:paraId="70D359B0" w14:textId="77777777" w:rsidR="00E6296C" w:rsidRPr="00E6296C" w:rsidRDefault="00E6296C" w:rsidP="00E6296C">
      <w:pPr>
        <w:pStyle w:val="ListParagraph"/>
        <w:rPr>
          <w:rFonts w:ascii="Arial" w:eastAsia="Times New Roman" w:hAnsi="Arial" w:cs="Arial"/>
          <w:sz w:val="24"/>
          <w:szCs w:val="24"/>
        </w:rPr>
      </w:pPr>
    </w:p>
    <w:p w14:paraId="68A565E4" w14:textId="77777777" w:rsidR="00F652C3" w:rsidRDefault="00E6296C" w:rsidP="008C6405">
      <w:pPr>
        <w:pStyle w:val="ListParagraph"/>
        <w:numPr>
          <w:ilvl w:val="0"/>
          <w:numId w:val="5"/>
        </w:numPr>
        <w:spacing w:after="0" w:line="240" w:lineRule="auto"/>
        <w:rPr>
          <w:rFonts w:ascii="Arial" w:eastAsia="Times New Roman" w:hAnsi="Arial" w:cs="Arial"/>
          <w:sz w:val="24"/>
          <w:szCs w:val="24"/>
        </w:rPr>
      </w:pPr>
      <w:r w:rsidRPr="00F652C3">
        <w:rPr>
          <w:rFonts w:ascii="Arial" w:eastAsia="Times New Roman" w:hAnsi="Arial" w:cs="Arial"/>
          <w:sz w:val="24"/>
          <w:szCs w:val="24"/>
        </w:rPr>
        <w:t xml:space="preserve">During the 2015-2016 school year (sixth grade), Student developed significant </w:t>
      </w:r>
      <w:r w:rsidR="00205F7A" w:rsidRPr="00F652C3">
        <w:rPr>
          <w:rFonts w:ascii="Arial" w:eastAsia="Times New Roman" w:hAnsi="Arial" w:cs="Arial"/>
          <w:sz w:val="24"/>
          <w:szCs w:val="24"/>
        </w:rPr>
        <w:t xml:space="preserve">and escalating </w:t>
      </w:r>
      <w:r w:rsidRPr="00F652C3">
        <w:rPr>
          <w:rFonts w:ascii="Arial" w:eastAsia="Times New Roman" w:hAnsi="Arial" w:cs="Arial"/>
          <w:sz w:val="24"/>
          <w:szCs w:val="24"/>
        </w:rPr>
        <w:t>difficulties with emotional dysregulation.  During that year, Student had 38 documented disciplinary incidents and was hospitalized on multiple occasions.</w:t>
      </w:r>
    </w:p>
    <w:p w14:paraId="2C42CEC5" w14:textId="77777777" w:rsidR="00F652C3" w:rsidRPr="00F652C3" w:rsidRDefault="00F652C3" w:rsidP="00F652C3">
      <w:pPr>
        <w:pStyle w:val="ListParagraph"/>
        <w:rPr>
          <w:rFonts w:ascii="Arial" w:eastAsia="Times New Roman" w:hAnsi="Arial" w:cs="Arial"/>
          <w:sz w:val="24"/>
          <w:szCs w:val="24"/>
        </w:rPr>
      </w:pPr>
    </w:p>
    <w:p w14:paraId="6CF68AC6" w14:textId="068B9448" w:rsidR="00F652C3" w:rsidRDefault="00F652C3" w:rsidP="008C6405">
      <w:pPr>
        <w:pStyle w:val="ListParagraph"/>
        <w:numPr>
          <w:ilvl w:val="0"/>
          <w:numId w:val="5"/>
        </w:numPr>
        <w:spacing w:after="0" w:line="240" w:lineRule="auto"/>
        <w:rPr>
          <w:rFonts w:ascii="Arial" w:eastAsia="Times New Roman" w:hAnsi="Arial" w:cs="Arial"/>
          <w:sz w:val="24"/>
          <w:szCs w:val="24"/>
        </w:rPr>
      </w:pPr>
      <w:r w:rsidRPr="00F652C3">
        <w:rPr>
          <w:rFonts w:ascii="Arial" w:eastAsia="Times New Roman" w:hAnsi="Arial" w:cs="Arial"/>
          <w:sz w:val="24"/>
          <w:szCs w:val="24"/>
        </w:rPr>
        <w:t xml:space="preserve">During the spring of 2016, Southbridge completed a 45-day extended evaluation of Student.  Based on the information in the pleadings, this was Student’s initial special education evaluation.  </w:t>
      </w:r>
      <w:r>
        <w:rPr>
          <w:rFonts w:ascii="Arial" w:eastAsia="Times New Roman" w:hAnsi="Arial" w:cs="Arial"/>
          <w:sz w:val="24"/>
          <w:szCs w:val="24"/>
        </w:rPr>
        <w:t>Although the evaluation was completed in June 2016, Southbridge did not issue an initial IEP, which called for placement in a therapeutic day school</w:t>
      </w:r>
      <w:r w:rsidR="00405DCC">
        <w:rPr>
          <w:rFonts w:ascii="Arial" w:eastAsia="Times New Roman" w:hAnsi="Arial" w:cs="Arial"/>
          <w:sz w:val="24"/>
          <w:szCs w:val="24"/>
        </w:rPr>
        <w:t>,</w:t>
      </w:r>
      <w:r>
        <w:rPr>
          <w:rFonts w:ascii="Arial" w:eastAsia="Times New Roman" w:hAnsi="Arial" w:cs="Arial"/>
          <w:sz w:val="24"/>
          <w:szCs w:val="24"/>
        </w:rPr>
        <w:t xml:space="preserve"> until mid-January 2017.</w:t>
      </w:r>
    </w:p>
    <w:p w14:paraId="7F1314CC" w14:textId="77777777" w:rsidR="00F652C3" w:rsidRPr="00F652C3" w:rsidRDefault="00F652C3" w:rsidP="00F652C3">
      <w:pPr>
        <w:pStyle w:val="ListParagraph"/>
        <w:rPr>
          <w:rFonts w:ascii="Arial" w:eastAsia="Times New Roman" w:hAnsi="Arial" w:cs="Arial"/>
          <w:sz w:val="24"/>
          <w:szCs w:val="24"/>
        </w:rPr>
      </w:pPr>
    </w:p>
    <w:p w14:paraId="12395D2D" w14:textId="32AC1350" w:rsidR="005825FF" w:rsidRPr="005825FF" w:rsidRDefault="00F652C3" w:rsidP="000437E8">
      <w:pPr>
        <w:pStyle w:val="ListParagraph"/>
        <w:numPr>
          <w:ilvl w:val="0"/>
          <w:numId w:val="5"/>
        </w:numPr>
        <w:spacing w:after="0" w:line="240" w:lineRule="auto"/>
        <w:rPr>
          <w:rFonts w:ascii="Arial" w:eastAsia="Times New Roman" w:hAnsi="Arial" w:cs="Arial"/>
          <w:sz w:val="24"/>
          <w:szCs w:val="24"/>
        </w:rPr>
      </w:pPr>
      <w:r w:rsidRPr="005825FF">
        <w:rPr>
          <w:rFonts w:ascii="Arial" w:eastAsia="Times New Roman" w:hAnsi="Arial" w:cs="Arial"/>
          <w:sz w:val="24"/>
          <w:szCs w:val="24"/>
        </w:rPr>
        <w:t>Meanwhile, during the summer of 2016, Student moved between DYS and DCF out-of-home placements.  During the spring and summer of 2017,</w:t>
      </w:r>
      <w:r w:rsidR="00415DCA">
        <w:rPr>
          <w:rFonts w:ascii="Arial" w:eastAsia="Times New Roman" w:hAnsi="Arial" w:cs="Arial"/>
          <w:sz w:val="24"/>
          <w:szCs w:val="24"/>
        </w:rPr>
        <w:t xml:space="preserve"> Student</w:t>
      </w:r>
      <w:r w:rsidRPr="005825FF">
        <w:rPr>
          <w:rFonts w:ascii="Arial" w:eastAsia="Times New Roman" w:hAnsi="Arial" w:cs="Arial"/>
          <w:sz w:val="24"/>
          <w:szCs w:val="24"/>
        </w:rPr>
        <w:t xml:space="preserve"> </w:t>
      </w:r>
      <w:r w:rsidR="00A932B9" w:rsidRPr="005825FF">
        <w:rPr>
          <w:rFonts w:ascii="Arial" w:eastAsia="Times New Roman" w:hAnsi="Arial" w:cs="Arial"/>
          <w:sz w:val="24"/>
          <w:szCs w:val="24"/>
        </w:rPr>
        <w:t xml:space="preserve">was intermittently in DYS custody for varying periods of time.  She was committed to DYS </w:t>
      </w:r>
      <w:r w:rsidR="005825FF" w:rsidRPr="005825FF">
        <w:rPr>
          <w:rFonts w:ascii="Arial" w:eastAsia="Times New Roman" w:hAnsi="Arial" w:cs="Arial"/>
          <w:sz w:val="24"/>
          <w:szCs w:val="24"/>
        </w:rPr>
        <w:t>on September 18, 2017.  Subsequent to her commitment, Student was in the physical custody of DYS during approximately the following periods:  September 18, 2017-May 31, 2018; Se</w:t>
      </w:r>
      <w:r w:rsidR="005825FF">
        <w:rPr>
          <w:rFonts w:ascii="Arial" w:eastAsia="Times New Roman" w:hAnsi="Arial" w:cs="Arial"/>
          <w:sz w:val="24"/>
          <w:szCs w:val="24"/>
        </w:rPr>
        <w:t xml:space="preserve">ptember </w:t>
      </w:r>
      <w:r w:rsidR="009853DE">
        <w:rPr>
          <w:rFonts w:ascii="Arial" w:eastAsia="Times New Roman" w:hAnsi="Arial" w:cs="Arial"/>
          <w:sz w:val="24"/>
          <w:szCs w:val="24"/>
        </w:rPr>
        <w:t xml:space="preserve">14-December 18, 2018; January 22-28, 2019; February 5-March 14, 2019; August 30-September 17, 2019 and </w:t>
      </w:r>
      <w:r w:rsidR="009A2424">
        <w:rPr>
          <w:rFonts w:ascii="Arial" w:eastAsia="Times New Roman" w:hAnsi="Arial" w:cs="Arial"/>
          <w:sz w:val="24"/>
          <w:szCs w:val="24"/>
        </w:rPr>
        <w:t>October 11-December 6, 2019</w:t>
      </w:r>
      <w:r w:rsidR="005825FF" w:rsidRPr="005825FF">
        <w:rPr>
          <w:rFonts w:ascii="Arial" w:eastAsia="Times New Roman" w:hAnsi="Arial" w:cs="Arial"/>
          <w:sz w:val="24"/>
          <w:szCs w:val="24"/>
        </w:rPr>
        <w:t xml:space="preserve">.  </w:t>
      </w:r>
      <w:r w:rsidR="00405DCC">
        <w:rPr>
          <w:rFonts w:ascii="Arial" w:eastAsia="Times New Roman" w:hAnsi="Arial" w:cs="Arial"/>
          <w:sz w:val="24"/>
          <w:szCs w:val="24"/>
        </w:rPr>
        <w:t xml:space="preserve">For purposes of this case, </w:t>
      </w:r>
      <w:r w:rsidR="004362E1">
        <w:rPr>
          <w:rFonts w:ascii="Arial" w:eastAsia="Times New Roman" w:hAnsi="Arial" w:cs="Arial"/>
          <w:sz w:val="24"/>
          <w:szCs w:val="24"/>
        </w:rPr>
        <w:t>the relevant period is any time that Student was in DYS custody</w:t>
      </w:r>
      <w:r w:rsidR="00405DCC">
        <w:rPr>
          <w:rFonts w:ascii="Arial" w:eastAsia="Times New Roman" w:hAnsi="Arial" w:cs="Arial"/>
          <w:sz w:val="24"/>
          <w:szCs w:val="24"/>
        </w:rPr>
        <w:t xml:space="preserve"> from July 22, 2018 to December 6, 2019.</w:t>
      </w:r>
    </w:p>
    <w:p w14:paraId="3DB84E61" w14:textId="77777777" w:rsidR="005825FF" w:rsidRPr="005825FF" w:rsidRDefault="005825FF" w:rsidP="005825FF">
      <w:pPr>
        <w:pStyle w:val="ListParagraph"/>
        <w:rPr>
          <w:rFonts w:ascii="Arial" w:eastAsia="Times New Roman" w:hAnsi="Arial" w:cs="Arial"/>
          <w:sz w:val="24"/>
          <w:szCs w:val="24"/>
        </w:rPr>
      </w:pPr>
    </w:p>
    <w:p w14:paraId="1F72410F" w14:textId="31BDC3BD" w:rsidR="00405DCC" w:rsidRDefault="009A2424" w:rsidP="004903C5">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From July 2018 to August 2019, Student’s IEP provided for five hours per day of academic, behavioral</w:t>
      </w:r>
      <w:r w:rsidR="00405DCC">
        <w:rPr>
          <w:rFonts w:ascii="Arial" w:eastAsia="Times New Roman" w:hAnsi="Arial" w:cs="Arial"/>
          <w:sz w:val="24"/>
          <w:szCs w:val="24"/>
        </w:rPr>
        <w:t>,</w:t>
      </w:r>
      <w:r>
        <w:rPr>
          <w:rFonts w:ascii="Arial" w:eastAsia="Times New Roman" w:hAnsi="Arial" w:cs="Arial"/>
          <w:sz w:val="24"/>
          <w:szCs w:val="24"/>
        </w:rPr>
        <w:t xml:space="preserve"> and social support services with a special education teacher in a substantially separate setting as well as 30 minutes per week of counseling.  The IEP in effect between August 2019 and January 2020 called for 6.75 hours per </w:t>
      </w:r>
      <w:r>
        <w:rPr>
          <w:rFonts w:ascii="Arial" w:eastAsia="Times New Roman" w:hAnsi="Arial" w:cs="Arial"/>
          <w:sz w:val="24"/>
          <w:szCs w:val="24"/>
        </w:rPr>
        <w:lastRenderedPageBreak/>
        <w:t>day of support for self-regulation and coping skills delivered by a special education teacher, general education teacher, and clinician, all in a substantially separate setting.</w:t>
      </w:r>
    </w:p>
    <w:p w14:paraId="7D36B23D" w14:textId="77777777" w:rsidR="00405DCC" w:rsidRPr="00405DCC" w:rsidRDefault="00405DCC" w:rsidP="00405DCC">
      <w:pPr>
        <w:pStyle w:val="ListParagraph"/>
        <w:rPr>
          <w:rFonts w:ascii="Arial" w:eastAsia="Times New Roman" w:hAnsi="Arial" w:cs="Arial"/>
          <w:sz w:val="24"/>
          <w:szCs w:val="24"/>
        </w:rPr>
      </w:pPr>
    </w:p>
    <w:p w14:paraId="31B8DA5B" w14:textId="18FEA1C9" w:rsidR="009A2424" w:rsidRDefault="00F22F93" w:rsidP="004903C5">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Between July 2018 and December 2019, Student spent approximately 199 days in DYS custody. </w:t>
      </w:r>
      <w:r w:rsidR="009A2424">
        <w:rPr>
          <w:rFonts w:ascii="Arial" w:eastAsia="Times New Roman" w:hAnsi="Arial" w:cs="Arial"/>
          <w:sz w:val="24"/>
          <w:szCs w:val="24"/>
        </w:rPr>
        <w:t xml:space="preserve"> </w:t>
      </w:r>
      <w:r w:rsidR="00405DCC">
        <w:rPr>
          <w:rFonts w:ascii="Arial" w:eastAsia="Times New Roman" w:hAnsi="Arial" w:cs="Arial"/>
          <w:sz w:val="24"/>
          <w:szCs w:val="24"/>
        </w:rPr>
        <w:t>Student allege</w:t>
      </w:r>
      <w:r w:rsidR="00DD2905">
        <w:rPr>
          <w:rFonts w:ascii="Arial" w:eastAsia="Times New Roman" w:hAnsi="Arial" w:cs="Arial"/>
          <w:sz w:val="24"/>
          <w:szCs w:val="24"/>
        </w:rPr>
        <w:t>s</w:t>
      </w:r>
      <w:r w:rsidR="00405DCC">
        <w:rPr>
          <w:rFonts w:ascii="Arial" w:eastAsia="Times New Roman" w:hAnsi="Arial" w:cs="Arial"/>
          <w:sz w:val="24"/>
          <w:szCs w:val="24"/>
        </w:rPr>
        <w:t xml:space="preserve"> </w:t>
      </w:r>
      <w:r>
        <w:rPr>
          <w:rFonts w:ascii="Arial" w:eastAsia="Times New Roman" w:hAnsi="Arial" w:cs="Arial"/>
          <w:sz w:val="24"/>
          <w:szCs w:val="24"/>
        </w:rPr>
        <w:t>that during that period, SEIS</w:t>
      </w:r>
      <w:r w:rsidR="00176DFD">
        <w:rPr>
          <w:rFonts w:ascii="Arial" w:eastAsia="Times New Roman" w:hAnsi="Arial" w:cs="Arial"/>
          <w:sz w:val="24"/>
          <w:szCs w:val="24"/>
        </w:rPr>
        <w:t>, which is DESE’s division charged with providing services to students in custody of state agencies such as DYS,</w:t>
      </w:r>
      <w:r>
        <w:rPr>
          <w:rFonts w:ascii="Arial" w:eastAsia="Times New Roman" w:hAnsi="Arial" w:cs="Arial"/>
          <w:sz w:val="24"/>
          <w:szCs w:val="24"/>
        </w:rPr>
        <w:t xml:space="preserve"> failed to provide Student with the services set forth in applicable IEP</w:t>
      </w:r>
      <w:r w:rsidR="002D6327">
        <w:rPr>
          <w:rFonts w:ascii="Arial" w:eastAsia="Times New Roman" w:hAnsi="Arial" w:cs="Arial"/>
          <w:sz w:val="24"/>
          <w:szCs w:val="24"/>
        </w:rPr>
        <w:t>s</w:t>
      </w:r>
      <w:r>
        <w:rPr>
          <w:rFonts w:ascii="Arial" w:eastAsia="Times New Roman" w:hAnsi="Arial" w:cs="Arial"/>
          <w:sz w:val="24"/>
          <w:szCs w:val="24"/>
        </w:rPr>
        <w:t>.</w:t>
      </w:r>
      <w:r w:rsidR="00405DCC">
        <w:rPr>
          <w:rFonts w:ascii="Arial" w:eastAsia="Times New Roman" w:hAnsi="Arial" w:cs="Arial"/>
          <w:sz w:val="24"/>
          <w:szCs w:val="24"/>
        </w:rPr>
        <w:t xml:space="preserve">  Student further allege</w:t>
      </w:r>
      <w:r w:rsidR="00DD2905">
        <w:rPr>
          <w:rFonts w:ascii="Arial" w:eastAsia="Times New Roman" w:hAnsi="Arial" w:cs="Arial"/>
          <w:sz w:val="24"/>
          <w:szCs w:val="24"/>
        </w:rPr>
        <w:t>s</w:t>
      </w:r>
      <w:r w:rsidR="00405DCC">
        <w:rPr>
          <w:rFonts w:ascii="Arial" w:eastAsia="Times New Roman" w:hAnsi="Arial" w:cs="Arial"/>
          <w:sz w:val="24"/>
          <w:szCs w:val="24"/>
        </w:rPr>
        <w:t xml:space="preserve"> that records from Southbridge Public Schools contain </w:t>
      </w:r>
      <w:r w:rsidR="00A070AE">
        <w:rPr>
          <w:rFonts w:ascii="Arial" w:eastAsia="Times New Roman" w:hAnsi="Arial" w:cs="Arial"/>
          <w:sz w:val="24"/>
          <w:szCs w:val="24"/>
        </w:rPr>
        <w:t>n</w:t>
      </w:r>
      <w:r w:rsidR="00405DCC">
        <w:rPr>
          <w:rFonts w:ascii="Arial" w:eastAsia="Times New Roman" w:hAnsi="Arial" w:cs="Arial"/>
          <w:sz w:val="24"/>
          <w:szCs w:val="24"/>
        </w:rPr>
        <w:t>either “Non-SEIS Services” (NSS) letters</w:t>
      </w:r>
      <w:r>
        <w:rPr>
          <w:rFonts w:ascii="Arial" w:eastAsia="Times New Roman" w:hAnsi="Arial" w:cs="Arial"/>
          <w:sz w:val="24"/>
          <w:szCs w:val="24"/>
        </w:rPr>
        <w:t xml:space="preserve">, </w:t>
      </w:r>
      <w:r w:rsidR="00405DCC">
        <w:rPr>
          <w:rFonts w:ascii="Arial" w:eastAsia="Times New Roman" w:hAnsi="Arial" w:cs="Arial"/>
          <w:sz w:val="24"/>
          <w:szCs w:val="24"/>
        </w:rPr>
        <w:t>which would indicate that SEIS could not perform the service</w:t>
      </w:r>
      <w:r>
        <w:rPr>
          <w:rFonts w:ascii="Arial" w:eastAsia="Times New Roman" w:hAnsi="Arial" w:cs="Arial"/>
          <w:sz w:val="24"/>
          <w:szCs w:val="24"/>
        </w:rPr>
        <w:t>,</w:t>
      </w:r>
      <w:r w:rsidR="00405DCC">
        <w:rPr>
          <w:rFonts w:ascii="Arial" w:eastAsia="Times New Roman" w:hAnsi="Arial" w:cs="Arial"/>
          <w:sz w:val="24"/>
          <w:szCs w:val="24"/>
        </w:rPr>
        <w:t xml:space="preserve"> and as such was requesting that Southbridge either provide or pay for the service, </w:t>
      </w:r>
      <w:r w:rsidR="00A070AE">
        <w:rPr>
          <w:rFonts w:ascii="Arial" w:eastAsia="Times New Roman" w:hAnsi="Arial" w:cs="Arial"/>
          <w:sz w:val="24"/>
          <w:szCs w:val="24"/>
        </w:rPr>
        <w:t>n</w:t>
      </w:r>
      <w:r w:rsidR="00405DCC">
        <w:rPr>
          <w:rFonts w:ascii="Arial" w:eastAsia="Times New Roman" w:hAnsi="Arial" w:cs="Arial"/>
          <w:sz w:val="24"/>
          <w:szCs w:val="24"/>
        </w:rPr>
        <w:t xml:space="preserve">or quarterly progress reports from SEIS staff.  </w:t>
      </w:r>
      <w:r w:rsidR="009A2424">
        <w:rPr>
          <w:rFonts w:ascii="Arial" w:eastAsia="Times New Roman" w:hAnsi="Arial" w:cs="Arial"/>
          <w:sz w:val="24"/>
          <w:szCs w:val="24"/>
        </w:rPr>
        <w:t xml:space="preserve">  </w:t>
      </w:r>
    </w:p>
    <w:p w14:paraId="3B198717" w14:textId="57B07432" w:rsidR="002A2012" w:rsidRPr="000C0D44" w:rsidRDefault="00EF58AF" w:rsidP="000C0D44">
      <w:pPr>
        <w:spacing w:after="0" w:line="240" w:lineRule="auto"/>
        <w:rPr>
          <w:rFonts w:ascii="Arial" w:eastAsia="Times New Roman" w:hAnsi="Arial" w:cs="Arial"/>
          <w:sz w:val="24"/>
          <w:szCs w:val="24"/>
        </w:rPr>
      </w:pPr>
      <w:r w:rsidRPr="000C0D44">
        <w:rPr>
          <w:rFonts w:ascii="Arial" w:eastAsia="Times New Roman" w:hAnsi="Arial" w:cs="Arial"/>
          <w:sz w:val="24"/>
          <w:szCs w:val="24"/>
        </w:rPr>
        <w:t xml:space="preserve"> </w:t>
      </w:r>
    </w:p>
    <w:p w14:paraId="679F532A" w14:textId="77777777" w:rsidR="00E80350" w:rsidRDefault="00E80350" w:rsidP="00DD2905">
      <w:pPr>
        <w:spacing w:after="0" w:line="240" w:lineRule="auto"/>
        <w:jc w:val="center"/>
        <w:rPr>
          <w:rFonts w:ascii="Arial" w:eastAsia="Times New Roman" w:hAnsi="Arial" w:cs="Arial"/>
          <w:b/>
          <w:sz w:val="24"/>
          <w:szCs w:val="24"/>
          <w:u w:val="single"/>
        </w:rPr>
      </w:pPr>
      <w:r w:rsidRPr="00E80350">
        <w:rPr>
          <w:rFonts w:ascii="Arial" w:eastAsia="Times New Roman" w:hAnsi="Arial" w:cs="Arial"/>
          <w:b/>
          <w:sz w:val="24"/>
          <w:szCs w:val="24"/>
          <w:u w:val="single"/>
        </w:rPr>
        <w:t>ISSUE PRESENTED</w:t>
      </w:r>
    </w:p>
    <w:p w14:paraId="66466379" w14:textId="77777777" w:rsidR="00E80350" w:rsidRDefault="00E80350" w:rsidP="00E80350">
      <w:pPr>
        <w:spacing w:after="0" w:line="240" w:lineRule="auto"/>
        <w:ind w:firstLine="720"/>
        <w:jc w:val="center"/>
        <w:rPr>
          <w:rFonts w:ascii="Arial" w:eastAsia="Times New Roman" w:hAnsi="Arial" w:cs="Arial"/>
          <w:b/>
          <w:sz w:val="24"/>
          <w:szCs w:val="24"/>
          <w:u w:val="single"/>
        </w:rPr>
      </w:pPr>
    </w:p>
    <w:p w14:paraId="35630468" w14:textId="33E7B7C8" w:rsidR="003C6F17" w:rsidRPr="009D3DAC" w:rsidRDefault="009B2D90" w:rsidP="00362233">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At issue is whether DESE is a necessary party in this matter.  </w:t>
      </w:r>
    </w:p>
    <w:p w14:paraId="62965280" w14:textId="79BC5507" w:rsidR="00415DCA" w:rsidRDefault="00415DCA" w:rsidP="00E30F01">
      <w:pPr>
        <w:spacing w:after="0" w:line="240" w:lineRule="auto"/>
        <w:rPr>
          <w:rFonts w:ascii="Arial" w:eastAsia="Times New Roman" w:hAnsi="Arial" w:cs="Arial"/>
          <w:b/>
          <w:sz w:val="24"/>
          <w:szCs w:val="24"/>
          <w:u w:val="single"/>
        </w:rPr>
      </w:pPr>
    </w:p>
    <w:p w14:paraId="2E941052" w14:textId="1C121158" w:rsidR="00CD4530" w:rsidRPr="00CD4530" w:rsidRDefault="00415DCA" w:rsidP="00415DCA">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P</w:t>
      </w:r>
      <w:r w:rsidR="00CD4530" w:rsidRPr="00CD4530">
        <w:rPr>
          <w:rFonts w:ascii="Arial" w:eastAsia="Times New Roman" w:hAnsi="Arial" w:cs="Arial"/>
          <w:b/>
          <w:sz w:val="24"/>
          <w:szCs w:val="24"/>
          <w:u w:val="single"/>
        </w:rPr>
        <w:t>osition of Student</w:t>
      </w:r>
    </w:p>
    <w:p w14:paraId="0142F74E" w14:textId="77777777" w:rsidR="003F65E4" w:rsidRDefault="003F65E4" w:rsidP="00410139">
      <w:pPr>
        <w:spacing w:after="0" w:line="240" w:lineRule="auto"/>
        <w:ind w:firstLine="720"/>
        <w:rPr>
          <w:rFonts w:ascii="Arial" w:eastAsia="Times New Roman" w:hAnsi="Arial" w:cs="Arial"/>
          <w:sz w:val="24"/>
          <w:szCs w:val="24"/>
        </w:rPr>
      </w:pPr>
    </w:p>
    <w:p w14:paraId="230A0154" w14:textId="005AD338" w:rsidR="00746FD9" w:rsidRDefault="00415DCA" w:rsidP="00901B6D">
      <w:pPr>
        <w:spacing w:after="0" w:line="240" w:lineRule="auto"/>
        <w:ind w:firstLine="720"/>
        <w:rPr>
          <w:rFonts w:ascii="Arial" w:eastAsia="Times New Roman" w:hAnsi="Arial" w:cs="Arial"/>
          <w:sz w:val="24"/>
          <w:szCs w:val="24"/>
        </w:rPr>
      </w:pPr>
      <w:r>
        <w:rPr>
          <w:rFonts w:ascii="Arial" w:eastAsia="Times New Roman" w:hAnsi="Arial" w:cs="Arial"/>
          <w:sz w:val="24"/>
          <w:szCs w:val="24"/>
        </w:rPr>
        <w:t>Under federal and state law, DESE was responsible for ensuring that Student received a FAPE while in the custody of DYS</w:t>
      </w:r>
      <w:r w:rsidR="00901B6D">
        <w:rPr>
          <w:rFonts w:ascii="Arial" w:eastAsia="Times New Roman" w:hAnsi="Arial" w:cs="Arial"/>
          <w:sz w:val="24"/>
          <w:szCs w:val="24"/>
        </w:rPr>
        <w:t>, as well as for complying with various procedural requirements such as notifying Southbridge if it was not able to provide certain services.</w:t>
      </w:r>
      <w:r>
        <w:rPr>
          <w:rFonts w:ascii="Arial" w:eastAsia="Times New Roman" w:hAnsi="Arial" w:cs="Arial"/>
          <w:sz w:val="24"/>
          <w:szCs w:val="24"/>
        </w:rPr>
        <w:t xml:space="preserve">  DESE failed to do so, in violation of the relevant statutory provisions.  Consequently, DESE may be liable for relief including compensatory services.  Unless DESE is </w:t>
      </w:r>
      <w:proofErr w:type="gramStart"/>
      <w:r w:rsidR="00901B6D">
        <w:rPr>
          <w:rFonts w:ascii="Arial" w:eastAsia="Times New Roman" w:hAnsi="Arial" w:cs="Arial"/>
          <w:sz w:val="24"/>
          <w:szCs w:val="24"/>
        </w:rPr>
        <w:t>made</w:t>
      </w:r>
      <w:proofErr w:type="gramEnd"/>
      <w:r w:rsidR="00901B6D">
        <w:rPr>
          <w:rFonts w:ascii="Arial" w:eastAsia="Times New Roman" w:hAnsi="Arial" w:cs="Arial"/>
          <w:sz w:val="24"/>
          <w:szCs w:val="24"/>
        </w:rPr>
        <w:t xml:space="preserve"> </w:t>
      </w:r>
      <w:r>
        <w:rPr>
          <w:rFonts w:ascii="Arial" w:eastAsia="Times New Roman" w:hAnsi="Arial" w:cs="Arial"/>
          <w:sz w:val="24"/>
          <w:szCs w:val="24"/>
        </w:rPr>
        <w:t xml:space="preserve">a party in this matter, </w:t>
      </w:r>
      <w:r w:rsidR="00901B6D">
        <w:rPr>
          <w:rFonts w:ascii="Arial" w:eastAsia="Times New Roman" w:hAnsi="Arial" w:cs="Arial"/>
          <w:sz w:val="24"/>
          <w:szCs w:val="24"/>
        </w:rPr>
        <w:t>such relief cannot be granted.</w:t>
      </w:r>
    </w:p>
    <w:p w14:paraId="3765AABD" w14:textId="5253F29F" w:rsidR="00901B6D" w:rsidRDefault="00901B6D" w:rsidP="00901B6D">
      <w:pPr>
        <w:spacing w:after="0" w:line="240" w:lineRule="auto"/>
        <w:ind w:firstLine="720"/>
        <w:rPr>
          <w:rFonts w:ascii="Arial" w:eastAsia="Times New Roman" w:hAnsi="Arial" w:cs="Arial"/>
          <w:sz w:val="24"/>
          <w:szCs w:val="24"/>
        </w:rPr>
      </w:pPr>
    </w:p>
    <w:p w14:paraId="798F9D71" w14:textId="6D801B7D" w:rsidR="00901B6D" w:rsidRDefault="00901B6D" w:rsidP="00901B6D">
      <w:pPr>
        <w:spacing w:after="0" w:line="240" w:lineRule="auto"/>
        <w:ind w:firstLine="720"/>
        <w:jc w:val="center"/>
        <w:rPr>
          <w:rFonts w:ascii="Arial" w:eastAsia="Times New Roman" w:hAnsi="Arial" w:cs="Arial"/>
          <w:b/>
          <w:bCs/>
          <w:sz w:val="24"/>
          <w:szCs w:val="24"/>
          <w:u w:val="single"/>
        </w:rPr>
      </w:pPr>
      <w:r w:rsidRPr="00901B6D">
        <w:rPr>
          <w:rFonts w:ascii="Arial" w:eastAsia="Times New Roman" w:hAnsi="Arial" w:cs="Arial"/>
          <w:b/>
          <w:bCs/>
          <w:sz w:val="24"/>
          <w:szCs w:val="24"/>
          <w:u w:val="single"/>
        </w:rPr>
        <w:t>Position of DESE</w:t>
      </w:r>
    </w:p>
    <w:p w14:paraId="66AB6A9E" w14:textId="592611EE" w:rsidR="00901B6D" w:rsidRDefault="00901B6D" w:rsidP="00901B6D">
      <w:pPr>
        <w:spacing w:after="0" w:line="240" w:lineRule="auto"/>
        <w:ind w:firstLine="720"/>
        <w:jc w:val="center"/>
        <w:rPr>
          <w:rFonts w:ascii="Arial" w:eastAsia="Times New Roman" w:hAnsi="Arial" w:cs="Arial"/>
          <w:b/>
          <w:bCs/>
          <w:sz w:val="24"/>
          <w:szCs w:val="24"/>
          <w:u w:val="single"/>
        </w:rPr>
      </w:pPr>
    </w:p>
    <w:p w14:paraId="73E70294" w14:textId="2CD9A6EE" w:rsidR="00901B6D" w:rsidRDefault="00901B6D" w:rsidP="00F65448">
      <w:pPr>
        <w:spacing w:after="0" w:line="240" w:lineRule="auto"/>
        <w:ind w:firstLine="720"/>
        <w:rPr>
          <w:rFonts w:ascii="Arial" w:eastAsia="Times New Roman" w:hAnsi="Arial" w:cs="Arial"/>
          <w:b/>
          <w:sz w:val="24"/>
          <w:szCs w:val="24"/>
          <w:u w:val="single"/>
        </w:rPr>
      </w:pPr>
      <w:r>
        <w:rPr>
          <w:rFonts w:ascii="Arial" w:eastAsia="Times New Roman" w:hAnsi="Arial" w:cs="Arial"/>
          <w:sz w:val="24"/>
          <w:szCs w:val="24"/>
        </w:rPr>
        <w:t xml:space="preserve">Joinder is unnecessary and inappropriate because </w:t>
      </w:r>
      <w:r w:rsidR="00A1414B">
        <w:rPr>
          <w:rFonts w:ascii="Arial" w:eastAsia="Times New Roman" w:hAnsi="Arial" w:cs="Arial"/>
          <w:sz w:val="24"/>
          <w:szCs w:val="24"/>
        </w:rPr>
        <w:t>Paren</w:t>
      </w:r>
      <w:r>
        <w:rPr>
          <w:rFonts w:ascii="Arial" w:eastAsia="Times New Roman" w:hAnsi="Arial" w:cs="Arial"/>
          <w:sz w:val="24"/>
          <w:szCs w:val="24"/>
        </w:rPr>
        <w:t xml:space="preserve">t has not alleged that DESE failed to fulfill its obligation to provide her with special education services or denied her access to such services while she was in DYS custody.  </w:t>
      </w:r>
      <w:r w:rsidR="00D26CD2">
        <w:rPr>
          <w:rFonts w:ascii="Arial" w:eastAsia="Times New Roman" w:hAnsi="Arial" w:cs="Arial"/>
          <w:sz w:val="24"/>
          <w:szCs w:val="24"/>
        </w:rPr>
        <w:t>Rather</w:t>
      </w:r>
      <w:r>
        <w:rPr>
          <w:rFonts w:ascii="Arial" w:eastAsia="Times New Roman" w:hAnsi="Arial" w:cs="Arial"/>
          <w:sz w:val="24"/>
          <w:szCs w:val="24"/>
        </w:rPr>
        <w:t xml:space="preserve">, the primary issue in this case </w:t>
      </w:r>
      <w:r w:rsidR="00D26CD2">
        <w:rPr>
          <w:rFonts w:ascii="Arial" w:eastAsia="Times New Roman" w:hAnsi="Arial" w:cs="Arial"/>
          <w:sz w:val="24"/>
          <w:szCs w:val="24"/>
        </w:rPr>
        <w:t xml:space="preserve">is </w:t>
      </w:r>
      <w:r>
        <w:rPr>
          <w:rFonts w:ascii="Arial" w:eastAsia="Times New Roman" w:hAnsi="Arial" w:cs="Arial"/>
          <w:sz w:val="24"/>
          <w:szCs w:val="24"/>
        </w:rPr>
        <w:t>the appropriateness of Southbridge’s proposed out-of-district placement</w:t>
      </w:r>
      <w:r w:rsidR="00D26CD2">
        <w:rPr>
          <w:rFonts w:ascii="Arial" w:eastAsia="Times New Roman" w:hAnsi="Arial" w:cs="Arial"/>
          <w:sz w:val="24"/>
          <w:szCs w:val="24"/>
        </w:rPr>
        <w:t>.</w:t>
      </w:r>
    </w:p>
    <w:p w14:paraId="13B169A3" w14:textId="77777777" w:rsidR="00DD2905" w:rsidRDefault="00DD2905" w:rsidP="00B74C43">
      <w:pPr>
        <w:spacing w:after="0" w:line="240" w:lineRule="auto"/>
        <w:jc w:val="center"/>
        <w:rPr>
          <w:rFonts w:ascii="Arial" w:eastAsia="Times New Roman" w:hAnsi="Arial" w:cs="Arial"/>
          <w:b/>
          <w:sz w:val="24"/>
          <w:szCs w:val="24"/>
          <w:u w:val="single"/>
        </w:rPr>
      </w:pPr>
    </w:p>
    <w:p w14:paraId="51E1BA2C" w14:textId="7B9163DF" w:rsidR="00E80350" w:rsidRDefault="000F6B4F" w:rsidP="00B74C43">
      <w:pPr>
        <w:spacing w:after="0" w:line="240" w:lineRule="auto"/>
        <w:jc w:val="center"/>
        <w:rPr>
          <w:rFonts w:ascii="Arial" w:eastAsia="Times New Roman" w:hAnsi="Arial" w:cs="Arial"/>
          <w:b/>
          <w:sz w:val="24"/>
          <w:szCs w:val="24"/>
          <w:u w:val="single"/>
        </w:rPr>
      </w:pPr>
      <w:r w:rsidRPr="000A6682">
        <w:rPr>
          <w:rFonts w:ascii="Arial" w:eastAsia="Times New Roman" w:hAnsi="Arial" w:cs="Arial"/>
          <w:b/>
          <w:sz w:val="24"/>
          <w:szCs w:val="24"/>
          <w:u w:val="single"/>
        </w:rPr>
        <w:t>ANALYSIS AND RULING</w:t>
      </w:r>
    </w:p>
    <w:p w14:paraId="13553488" w14:textId="77777777" w:rsidR="009D3DAC" w:rsidRDefault="009D3DAC" w:rsidP="00225116">
      <w:pPr>
        <w:spacing w:after="0" w:line="240" w:lineRule="auto"/>
        <w:rPr>
          <w:rFonts w:ascii="Arial" w:eastAsia="Times New Roman" w:hAnsi="Arial" w:cs="Arial"/>
          <w:sz w:val="24"/>
          <w:szCs w:val="24"/>
        </w:rPr>
      </w:pPr>
    </w:p>
    <w:p w14:paraId="7339A448" w14:textId="15437B21" w:rsidR="00553E78" w:rsidRPr="008C1933" w:rsidRDefault="00E30F01" w:rsidP="008C1933">
      <w:pPr>
        <w:pStyle w:val="ListParagraph"/>
        <w:spacing w:after="0" w:line="240" w:lineRule="auto"/>
        <w:ind w:left="0" w:firstLine="720"/>
        <w:rPr>
          <w:rFonts w:ascii="Arial" w:hAnsi="Arial" w:cs="Arial"/>
          <w:sz w:val="24"/>
          <w:szCs w:val="24"/>
        </w:rPr>
      </w:pPr>
      <w:r w:rsidRPr="00E30F01">
        <w:rPr>
          <w:rFonts w:ascii="Arial" w:eastAsia="Times New Roman" w:hAnsi="Arial" w:cs="Arial"/>
          <w:bCs/>
          <w:sz w:val="24"/>
          <w:szCs w:val="24"/>
        </w:rPr>
        <w:t xml:space="preserve">Rule </w:t>
      </w:r>
      <w:r w:rsidRPr="00E30F01">
        <w:rPr>
          <w:rFonts w:ascii="Arial" w:hAnsi="Arial" w:cs="Arial"/>
          <w:sz w:val="24"/>
          <w:szCs w:val="24"/>
        </w:rPr>
        <w:t xml:space="preserve"> I.J. of the </w:t>
      </w:r>
      <w:r w:rsidRPr="00E30F01">
        <w:rPr>
          <w:rFonts w:ascii="Arial" w:hAnsi="Arial" w:cs="Arial"/>
          <w:i/>
          <w:sz w:val="24"/>
          <w:szCs w:val="24"/>
        </w:rPr>
        <w:t>Hearing Rules for Special Education Appeals</w:t>
      </w:r>
      <w:r w:rsidRPr="00E30F01">
        <w:rPr>
          <w:rFonts w:ascii="Arial" w:hAnsi="Arial" w:cs="Arial"/>
          <w:sz w:val="24"/>
          <w:szCs w:val="24"/>
        </w:rPr>
        <w:t xml:space="preserve"> (</w:t>
      </w:r>
      <w:r w:rsidRPr="00E30F01">
        <w:rPr>
          <w:rFonts w:ascii="Arial" w:hAnsi="Arial" w:cs="Arial"/>
          <w:i/>
          <w:sz w:val="24"/>
          <w:szCs w:val="24"/>
        </w:rPr>
        <w:t>Hearing Rules</w:t>
      </w:r>
      <w:r w:rsidRPr="00E30F01">
        <w:rPr>
          <w:rFonts w:ascii="Arial" w:hAnsi="Arial" w:cs="Arial"/>
          <w:sz w:val="24"/>
          <w:szCs w:val="24"/>
        </w:rPr>
        <w:t xml:space="preserve">) allows a hearing officer to join a person or entity as a party to a special education appeal upon the written request of an existing party where: “complete relief cannot be granted among those who are already parties, or the person being joined has an interest relating to the subject matter of the case and is so situated that the case cannot be disposed of in their absence.”  </w:t>
      </w:r>
      <w:r w:rsidRPr="00E30F01">
        <w:rPr>
          <w:rFonts w:ascii="Arial" w:hAnsi="Arial" w:cs="Arial"/>
          <w:i/>
          <w:sz w:val="24"/>
          <w:szCs w:val="24"/>
        </w:rPr>
        <w:t>Id</w:t>
      </w:r>
      <w:r w:rsidRPr="00E30F01">
        <w:rPr>
          <w:rFonts w:ascii="Arial" w:hAnsi="Arial" w:cs="Arial"/>
          <w:sz w:val="24"/>
          <w:szCs w:val="24"/>
        </w:rPr>
        <w:t xml:space="preserve">.  This Rule lists the following factors to be considered in determining whether a person or entity should be joined: “the risk of prejudice to the present parties in the absence of the proposed party; the range of alternatives for fashioning relief; the inadequacy of a judgment entered in the proposed </w:t>
      </w:r>
      <w:r w:rsidRPr="00E30F01">
        <w:rPr>
          <w:rFonts w:ascii="Arial" w:hAnsi="Arial" w:cs="Arial"/>
          <w:sz w:val="24"/>
          <w:szCs w:val="24"/>
        </w:rPr>
        <w:lastRenderedPageBreak/>
        <w:t xml:space="preserve">party’s absence; and the existence of an alternative forum to resolve the issues.” </w:t>
      </w:r>
      <w:r w:rsidRPr="00E30F01">
        <w:rPr>
          <w:rFonts w:ascii="Arial" w:hAnsi="Arial" w:cs="Arial"/>
          <w:i/>
          <w:sz w:val="24"/>
          <w:szCs w:val="24"/>
        </w:rPr>
        <w:t>Hearing Rules</w:t>
      </w:r>
      <w:r w:rsidRPr="00E30F01">
        <w:rPr>
          <w:rFonts w:ascii="Arial" w:hAnsi="Arial" w:cs="Arial"/>
          <w:sz w:val="24"/>
          <w:szCs w:val="24"/>
        </w:rPr>
        <w:t>, Rule 1</w:t>
      </w:r>
      <w:r w:rsidR="00A1414B">
        <w:rPr>
          <w:rFonts w:ascii="Arial" w:hAnsi="Arial" w:cs="Arial"/>
          <w:sz w:val="24"/>
          <w:szCs w:val="24"/>
        </w:rPr>
        <w:t>.</w:t>
      </w:r>
      <w:r w:rsidRPr="00E30F01">
        <w:rPr>
          <w:rFonts w:ascii="Arial" w:hAnsi="Arial" w:cs="Arial"/>
          <w:sz w:val="24"/>
          <w:szCs w:val="24"/>
        </w:rPr>
        <w:t xml:space="preserve">J. </w:t>
      </w:r>
    </w:p>
    <w:p w14:paraId="40E6F7FA" w14:textId="77777777" w:rsidR="00DD2905" w:rsidRDefault="00DD2905" w:rsidP="008C1933">
      <w:pPr>
        <w:spacing w:after="0" w:line="240" w:lineRule="auto"/>
        <w:ind w:firstLine="720"/>
        <w:rPr>
          <w:rFonts w:ascii="Arial" w:eastAsia="Times New Roman" w:hAnsi="Arial" w:cs="Arial"/>
          <w:sz w:val="24"/>
          <w:szCs w:val="24"/>
        </w:rPr>
      </w:pPr>
    </w:p>
    <w:p w14:paraId="40F53035" w14:textId="11996158" w:rsidR="00540185" w:rsidRDefault="008C1933" w:rsidP="008C1933">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Whether DESE is a proper party in this matter depends on its potential liability for </w:t>
      </w:r>
      <w:r w:rsidR="00DD2905">
        <w:rPr>
          <w:rFonts w:ascii="Arial" w:eastAsia="Times New Roman" w:hAnsi="Arial" w:cs="Arial"/>
          <w:sz w:val="24"/>
          <w:szCs w:val="24"/>
        </w:rPr>
        <w:t xml:space="preserve">any </w:t>
      </w:r>
      <w:r>
        <w:rPr>
          <w:rFonts w:ascii="Arial" w:eastAsia="Times New Roman" w:hAnsi="Arial" w:cs="Arial"/>
          <w:sz w:val="24"/>
          <w:szCs w:val="24"/>
        </w:rPr>
        <w:t xml:space="preserve">of the relief sought.  </w:t>
      </w:r>
      <w:r w:rsidR="008810AE">
        <w:rPr>
          <w:rFonts w:ascii="Arial" w:eastAsia="Times New Roman" w:hAnsi="Arial" w:cs="Arial"/>
          <w:sz w:val="24"/>
          <w:szCs w:val="24"/>
        </w:rPr>
        <w:t>As</w:t>
      </w:r>
      <w:r w:rsidR="00DD2905">
        <w:rPr>
          <w:rFonts w:ascii="Arial" w:eastAsia="Times New Roman" w:hAnsi="Arial" w:cs="Arial"/>
          <w:sz w:val="24"/>
          <w:szCs w:val="24"/>
        </w:rPr>
        <w:t xml:space="preserve"> </w:t>
      </w:r>
      <w:r w:rsidR="00A1414B">
        <w:rPr>
          <w:rFonts w:ascii="Arial" w:eastAsia="Times New Roman" w:hAnsi="Arial" w:cs="Arial"/>
          <w:sz w:val="24"/>
          <w:szCs w:val="24"/>
        </w:rPr>
        <w:t>Parent</w:t>
      </w:r>
      <w:r w:rsidR="008810AE">
        <w:rPr>
          <w:rFonts w:ascii="Arial" w:eastAsia="Times New Roman" w:hAnsi="Arial" w:cs="Arial"/>
          <w:sz w:val="24"/>
          <w:szCs w:val="24"/>
        </w:rPr>
        <w:t xml:space="preserve"> point</w:t>
      </w:r>
      <w:r w:rsidR="00DD2905">
        <w:rPr>
          <w:rFonts w:ascii="Arial" w:eastAsia="Times New Roman" w:hAnsi="Arial" w:cs="Arial"/>
          <w:sz w:val="24"/>
          <w:szCs w:val="24"/>
        </w:rPr>
        <w:t>s</w:t>
      </w:r>
      <w:r w:rsidR="008810AE">
        <w:rPr>
          <w:rFonts w:ascii="Arial" w:eastAsia="Times New Roman" w:hAnsi="Arial" w:cs="Arial"/>
          <w:sz w:val="24"/>
          <w:szCs w:val="24"/>
        </w:rPr>
        <w:t xml:space="preserve"> out in </w:t>
      </w:r>
      <w:r w:rsidR="00DD2905">
        <w:rPr>
          <w:rFonts w:ascii="Arial" w:eastAsia="Times New Roman" w:hAnsi="Arial" w:cs="Arial"/>
          <w:sz w:val="24"/>
          <w:szCs w:val="24"/>
        </w:rPr>
        <w:t>her</w:t>
      </w:r>
      <w:r w:rsidR="008810AE">
        <w:rPr>
          <w:rFonts w:ascii="Arial" w:eastAsia="Times New Roman" w:hAnsi="Arial" w:cs="Arial"/>
          <w:sz w:val="24"/>
          <w:szCs w:val="24"/>
        </w:rPr>
        <w:t xml:space="preserve"> memoran</w:t>
      </w:r>
      <w:r w:rsidR="00150E44">
        <w:rPr>
          <w:rFonts w:ascii="Arial" w:eastAsia="Times New Roman" w:hAnsi="Arial" w:cs="Arial"/>
          <w:sz w:val="24"/>
          <w:szCs w:val="24"/>
        </w:rPr>
        <w:t xml:space="preserve">dum, </w:t>
      </w:r>
      <w:r w:rsidR="005A6FCA">
        <w:rPr>
          <w:rFonts w:ascii="Arial" w:eastAsia="Times New Roman" w:hAnsi="Arial" w:cs="Arial"/>
          <w:sz w:val="24"/>
          <w:szCs w:val="24"/>
        </w:rPr>
        <w:t>under both federal</w:t>
      </w:r>
      <w:r w:rsidR="005A6FCA">
        <w:rPr>
          <w:rStyle w:val="FootnoteReference"/>
          <w:rFonts w:ascii="Arial" w:eastAsia="Times New Roman" w:hAnsi="Arial" w:cs="Arial"/>
          <w:sz w:val="24"/>
          <w:szCs w:val="24"/>
        </w:rPr>
        <w:footnoteReference w:id="3"/>
      </w:r>
      <w:r w:rsidR="00176DFD">
        <w:rPr>
          <w:rFonts w:ascii="Arial" w:eastAsia="Times New Roman" w:hAnsi="Arial" w:cs="Arial"/>
          <w:sz w:val="24"/>
          <w:szCs w:val="24"/>
        </w:rPr>
        <w:t xml:space="preserve"> </w:t>
      </w:r>
      <w:r w:rsidR="005A6FCA">
        <w:rPr>
          <w:rFonts w:ascii="Arial" w:eastAsia="Times New Roman" w:hAnsi="Arial" w:cs="Arial"/>
          <w:sz w:val="24"/>
          <w:szCs w:val="24"/>
        </w:rPr>
        <w:t>and state</w:t>
      </w:r>
      <w:r w:rsidR="005A6FCA">
        <w:rPr>
          <w:rStyle w:val="FootnoteReference"/>
          <w:rFonts w:ascii="Arial" w:eastAsia="Times New Roman" w:hAnsi="Arial" w:cs="Arial"/>
          <w:sz w:val="24"/>
          <w:szCs w:val="24"/>
        </w:rPr>
        <w:footnoteReference w:id="4"/>
      </w:r>
      <w:r w:rsidR="00176DFD">
        <w:rPr>
          <w:rFonts w:ascii="Arial" w:eastAsia="Times New Roman" w:hAnsi="Arial" w:cs="Arial"/>
          <w:sz w:val="24"/>
          <w:szCs w:val="24"/>
        </w:rPr>
        <w:t xml:space="preserve"> l</w:t>
      </w:r>
      <w:r w:rsidR="005A6FCA">
        <w:rPr>
          <w:rFonts w:ascii="Arial" w:eastAsia="Times New Roman" w:hAnsi="Arial" w:cs="Arial"/>
          <w:sz w:val="24"/>
          <w:szCs w:val="24"/>
        </w:rPr>
        <w:t xml:space="preserve">aw, </w:t>
      </w:r>
      <w:r w:rsidR="00B020E8">
        <w:rPr>
          <w:rFonts w:ascii="Arial" w:eastAsia="Times New Roman" w:hAnsi="Arial" w:cs="Arial"/>
          <w:sz w:val="24"/>
          <w:szCs w:val="24"/>
        </w:rPr>
        <w:t>DESE</w:t>
      </w:r>
      <w:r w:rsidR="003D1E70">
        <w:rPr>
          <w:rFonts w:ascii="Arial" w:eastAsia="Times New Roman" w:hAnsi="Arial" w:cs="Arial"/>
          <w:sz w:val="24"/>
          <w:szCs w:val="24"/>
        </w:rPr>
        <w:t>,</w:t>
      </w:r>
      <w:r w:rsidR="005A6FCA">
        <w:rPr>
          <w:rFonts w:ascii="Arial" w:eastAsia="Times New Roman" w:hAnsi="Arial" w:cs="Arial"/>
          <w:sz w:val="24"/>
          <w:szCs w:val="24"/>
        </w:rPr>
        <w:t xml:space="preserve"> </w:t>
      </w:r>
      <w:r w:rsidR="00B020E8">
        <w:rPr>
          <w:rFonts w:ascii="Arial" w:eastAsia="Times New Roman" w:hAnsi="Arial" w:cs="Arial"/>
          <w:sz w:val="24"/>
          <w:szCs w:val="24"/>
        </w:rPr>
        <w:t xml:space="preserve">is responsible for </w:t>
      </w:r>
      <w:r w:rsidR="005A6FCA">
        <w:rPr>
          <w:rFonts w:ascii="Arial" w:eastAsia="Times New Roman" w:hAnsi="Arial" w:cs="Arial"/>
          <w:sz w:val="24"/>
          <w:szCs w:val="24"/>
        </w:rPr>
        <w:t>providing special education services to eli</w:t>
      </w:r>
      <w:r w:rsidR="00526932">
        <w:rPr>
          <w:rFonts w:ascii="Arial" w:eastAsia="Times New Roman" w:hAnsi="Arial" w:cs="Arial"/>
          <w:sz w:val="24"/>
          <w:szCs w:val="24"/>
        </w:rPr>
        <w:t>gible students</w:t>
      </w:r>
      <w:r w:rsidR="005A6FCA">
        <w:rPr>
          <w:rFonts w:ascii="Arial" w:eastAsia="Times New Roman" w:hAnsi="Arial" w:cs="Arial"/>
          <w:sz w:val="24"/>
          <w:szCs w:val="24"/>
        </w:rPr>
        <w:t xml:space="preserve"> in DYS custod</w:t>
      </w:r>
      <w:r w:rsidR="00540185">
        <w:rPr>
          <w:rFonts w:ascii="Arial" w:eastAsia="Times New Roman" w:hAnsi="Arial" w:cs="Arial"/>
          <w:sz w:val="24"/>
          <w:szCs w:val="24"/>
        </w:rPr>
        <w:t>y.</w:t>
      </w:r>
      <w:r w:rsidR="005A6FCA">
        <w:rPr>
          <w:rFonts w:ascii="Arial" w:eastAsia="Times New Roman" w:hAnsi="Arial" w:cs="Arial"/>
          <w:sz w:val="24"/>
          <w:szCs w:val="24"/>
        </w:rPr>
        <w:t xml:space="preserve"> </w:t>
      </w:r>
      <w:r w:rsidR="00526932">
        <w:rPr>
          <w:rFonts w:ascii="Arial" w:eastAsia="Times New Roman" w:hAnsi="Arial" w:cs="Arial"/>
          <w:sz w:val="24"/>
          <w:szCs w:val="24"/>
        </w:rPr>
        <w:t xml:space="preserve"> As such, DESE may be </w:t>
      </w:r>
      <w:r>
        <w:rPr>
          <w:rFonts w:ascii="Arial" w:eastAsia="Times New Roman" w:hAnsi="Arial" w:cs="Arial"/>
          <w:sz w:val="24"/>
          <w:szCs w:val="24"/>
        </w:rPr>
        <w:t xml:space="preserve">responsible for prospective or compensatory services </w:t>
      </w:r>
      <w:r w:rsidR="00526932">
        <w:rPr>
          <w:rFonts w:ascii="Arial" w:eastAsia="Times New Roman" w:hAnsi="Arial" w:cs="Arial"/>
          <w:sz w:val="24"/>
          <w:szCs w:val="24"/>
        </w:rPr>
        <w:t xml:space="preserve">if it </w:t>
      </w:r>
      <w:r w:rsidR="00540185">
        <w:rPr>
          <w:rFonts w:ascii="Arial" w:eastAsia="Times New Roman" w:hAnsi="Arial" w:cs="Arial"/>
          <w:sz w:val="24"/>
          <w:szCs w:val="24"/>
        </w:rPr>
        <w:t xml:space="preserve">fails </w:t>
      </w:r>
      <w:r w:rsidR="00490ABA">
        <w:rPr>
          <w:rFonts w:ascii="Arial" w:eastAsia="Times New Roman" w:hAnsi="Arial" w:cs="Arial"/>
          <w:sz w:val="24"/>
          <w:szCs w:val="24"/>
        </w:rPr>
        <w:t xml:space="preserve">either </w:t>
      </w:r>
      <w:r w:rsidR="00540185">
        <w:rPr>
          <w:rFonts w:ascii="Arial" w:eastAsia="Times New Roman" w:hAnsi="Arial" w:cs="Arial"/>
          <w:sz w:val="24"/>
          <w:szCs w:val="24"/>
        </w:rPr>
        <w:t>to</w:t>
      </w:r>
      <w:r w:rsidR="00526932">
        <w:rPr>
          <w:rFonts w:ascii="Arial" w:eastAsia="Times New Roman" w:hAnsi="Arial" w:cs="Arial"/>
          <w:sz w:val="24"/>
          <w:szCs w:val="24"/>
        </w:rPr>
        <w:t xml:space="preserve"> </w:t>
      </w:r>
      <w:r w:rsidR="00D939F2">
        <w:rPr>
          <w:rFonts w:ascii="Arial" w:eastAsia="Times New Roman" w:hAnsi="Arial" w:cs="Arial"/>
          <w:sz w:val="24"/>
          <w:szCs w:val="24"/>
        </w:rPr>
        <w:t xml:space="preserve">deliver </w:t>
      </w:r>
      <w:r w:rsidR="00490ABA">
        <w:rPr>
          <w:rFonts w:ascii="Arial" w:eastAsia="Times New Roman" w:hAnsi="Arial" w:cs="Arial"/>
          <w:sz w:val="24"/>
          <w:szCs w:val="24"/>
        </w:rPr>
        <w:t xml:space="preserve">a student’s IEP </w:t>
      </w:r>
      <w:r w:rsidR="00D939F2">
        <w:rPr>
          <w:rFonts w:ascii="Arial" w:eastAsia="Times New Roman" w:hAnsi="Arial" w:cs="Arial"/>
          <w:sz w:val="24"/>
          <w:szCs w:val="24"/>
        </w:rPr>
        <w:t>services</w:t>
      </w:r>
      <w:r w:rsidR="00540185">
        <w:rPr>
          <w:rFonts w:ascii="Arial" w:eastAsia="Times New Roman" w:hAnsi="Arial" w:cs="Arial"/>
          <w:sz w:val="24"/>
          <w:szCs w:val="24"/>
        </w:rPr>
        <w:t xml:space="preserve"> </w:t>
      </w:r>
      <w:r w:rsidR="00176DFD">
        <w:rPr>
          <w:rFonts w:ascii="Arial" w:eastAsia="Times New Roman" w:hAnsi="Arial" w:cs="Arial"/>
          <w:sz w:val="24"/>
          <w:szCs w:val="24"/>
        </w:rPr>
        <w:t xml:space="preserve">directly </w:t>
      </w:r>
      <w:r w:rsidR="00490ABA">
        <w:rPr>
          <w:rFonts w:ascii="Arial" w:eastAsia="Times New Roman" w:hAnsi="Arial" w:cs="Arial"/>
          <w:sz w:val="24"/>
          <w:szCs w:val="24"/>
        </w:rPr>
        <w:t xml:space="preserve">or </w:t>
      </w:r>
      <w:r w:rsidR="00540185">
        <w:rPr>
          <w:rFonts w:ascii="Arial" w:eastAsia="Times New Roman" w:hAnsi="Arial" w:cs="Arial"/>
          <w:sz w:val="24"/>
          <w:szCs w:val="24"/>
        </w:rPr>
        <w:t>to follow</w:t>
      </w:r>
      <w:r w:rsidR="00196BCB">
        <w:rPr>
          <w:rFonts w:ascii="Arial" w:eastAsia="Times New Roman" w:hAnsi="Arial" w:cs="Arial"/>
          <w:sz w:val="24"/>
          <w:szCs w:val="24"/>
        </w:rPr>
        <w:t xml:space="preserve"> established procedures to</w:t>
      </w:r>
      <w:r w:rsidR="00540185">
        <w:rPr>
          <w:rFonts w:ascii="Arial" w:eastAsia="Times New Roman" w:hAnsi="Arial" w:cs="Arial"/>
          <w:sz w:val="24"/>
          <w:szCs w:val="24"/>
        </w:rPr>
        <w:t xml:space="preserve"> </w:t>
      </w:r>
      <w:r w:rsidR="00490ABA">
        <w:rPr>
          <w:rFonts w:ascii="Arial" w:eastAsia="Times New Roman" w:hAnsi="Arial" w:cs="Arial"/>
          <w:sz w:val="24"/>
          <w:szCs w:val="24"/>
        </w:rPr>
        <w:t xml:space="preserve">secure from the </w:t>
      </w:r>
      <w:r w:rsidR="00540185">
        <w:rPr>
          <w:rFonts w:ascii="Arial" w:eastAsia="Times New Roman" w:hAnsi="Arial" w:cs="Arial"/>
          <w:sz w:val="24"/>
          <w:szCs w:val="24"/>
        </w:rPr>
        <w:t>school distric</w:t>
      </w:r>
      <w:r w:rsidR="00490ABA">
        <w:rPr>
          <w:rFonts w:ascii="Arial" w:eastAsia="Times New Roman" w:hAnsi="Arial" w:cs="Arial"/>
          <w:sz w:val="24"/>
          <w:szCs w:val="24"/>
        </w:rPr>
        <w:t>t</w:t>
      </w:r>
      <w:r w:rsidR="00540185">
        <w:rPr>
          <w:rFonts w:ascii="Arial" w:eastAsia="Times New Roman" w:hAnsi="Arial" w:cs="Arial"/>
          <w:sz w:val="24"/>
          <w:szCs w:val="24"/>
        </w:rPr>
        <w:t xml:space="preserve"> of residence </w:t>
      </w:r>
      <w:r w:rsidR="00490ABA">
        <w:rPr>
          <w:rFonts w:ascii="Arial" w:eastAsia="Times New Roman" w:hAnsi="Arial" w:cs="Arial"/>
          <w:sz w:val="24"/>
          <w:szCs w:val="24"/>
        </w:rPr>
        <w:t xml:space="preserve">any </w:t>
      </w:r>
      <w:r w:rsidR="00540185">
        <w:rPr>
          <w:rFonts w:ascii="Arial" w:eastAsia="Times New Roman" w:hAnsi="Arial" w:cs="Arial"/>
          <w:sz w:val="24"/>
          <w:szCs w:val="24"/>
        </w:rPr>
        <w:t>IEP services which DESE</w:t>
      </w:r>
      <w:r w:rsidR="003D1E70">
        <w:rPr>
          <w:rFonts w:ascii="Arial" w:eastAsia="Times New Roman" w:hAnsi="Arial" w:cs="Arial"/>
          <w:sz w:val="24"/>
          <w:szCs w:val="24"/>
        </w:rPr>
        <w:t xml:space="preserve"> </w:t>
      </w:r>
      <w:r w:rsidR="00540185">
        <w:rPr>
          <w:rFonts w:ascii="Arial" w:eastAsia="Times New Roman" w:hAnsi="Arial" w:cs="Arial"/>
          <w:sz w:val="24"/>
          <w:szCs w:val="24"/>
        </w:rPr>
        <w:t>cannot provide</w:t>
      </w:r>
      <w:r w:rsidR="00490ABA">
        <w:rPr>
          <w:rFonts w:ascii="Arial" w:eastAsia="Times New Roman" w:hAnsi="Arial" w:cs="Arial"/>
          <w:sz w:val="24"/>
          <w:szCs w:val="24"/>
        </w:rPr>
        <w:t xml:space="preserve"> itself</w:t>
      </w:r>
      <w:r w:rsidR="003D1E70">
        <w:rPr>
          <w:rFonts w:ascii="Arial" w:eastAsia="Times New Roman" w:hAnsi="Arial" w:cs="Arial"/>
          <w:sz w:val="24"/>
          <w:szCs w:val="24"/>
        </w:rPr>
        <w:t xml:space="preserve"> through its service delivery division, SEIS.</w:t>
      </w:r>
      <w:r>
        <w:rPr>
          <w:rStyle w:val="FootnoteReference"/>
          <w:rFonts w:ascii="Arial" w:eastAsia="Times New Roman" w:hAnsi="Arial" w:cs="Arial"/>
          <w:sz w:val="24"/>
          <w:szCs w:val="24"/>
        </w:rPr>
        <w:footnoteReference w:id="5"/>
      </w:r>
      <w:r w:rsidR="00540185">
        <w:rPr>
          <w:rFonts w:ascii="Arial" w:eastAsia="Times New Roman" w:hAnsi="Arial" w:cs="Arial"/>
          <w:sz w:val="24"/>
          <w:szCs w:val="24"/>
        </w:rPr>
        <w:t xml:space="preserve">  </w:t>
      </w:r>
    </w:p>
    <w:p w14:paraId="194679A3" w14:textId="77777777" w:rsidR="00176DFD" w:rsidRDefault="00176DFD" w:rsidP="00176DFD">
      <w:pPr>
        <w:pStyle w:val="ListParagraph"/>
        <w:spacing w:after="0" w:line="240" w:lineRule="auto"/>
        <w:ind w:left="0" w:firstLine="720"/>
        <w:rPr>
          <w:rFonts w:ascii="Arial" w:hAnsi="Arial" w:cs="Arial"/>
          <w:sz w:val="24"/>
          <w:szCs w:val="24"/>
        </w:rPr>
      </w:pPr>
    </w:p>
    <w:p w14:paraId="70C97236" w14:textId="7E744E2B" w:rsidR="00176DFD" w:rsidRDefault="00176DFD" w:rsidP="00176DFD">
      <w:pPr>
        <w:pStyle w:val="ListParagraph"/>
        <w:spacing w:after="0" w:line="240" w:lineRule="auto"/>
        <w:ind w:left="0" w:firstLine="720"/>
        <w:rPr>
          <w:rFonts w:ascii="Arial" w:hAnsi="Arial" w:cs="Arial"/>
          <w:sz w:val="24"/>
          <w:szCs w:val="24"/>
        </w:rPr>
      </w:pPr>
      <w:r>
        <w:rPr>
          <w:rFonts w:ascii="Arial" w:hAnsi="Arial" w:cs="Arial"/>
          <w:sz w:val="24"/>
          <w:szCs w:val="24"/>
        </w:rPr>
        <w:t>In the instant case, contrary to the assertions of DESE, Parent</w:t>
      </w:r>
      <w:r w:rsidR="00A1414B">
        <w:rPr>
          <w:rFonts w:ascii="Arial" w:hAnsi="Arial" w:cs="Arial"/>
          <w:sz w:val="24"/>
          <w:szCs w:val="24"/>
        </w:rPr>
        <w:t xml:space="preserve"> has</w:t>
      </w:r>
      <w:r>
        <w:rPr>
          <w:rFonts w:ascii="Arial" w:hAnsi="Arial" w:cs="Arial"/>
          <w:sz w:val="24"/>
          <w:szCs w:val="24"/>
        </w:rPr>
        <w:t xml:space="preserve"> alleged that during Student’s time in DYS custody, DESE</w:t>
      </w:r>
      <w:r w:rsidR="00490ABA">
        <w:rPr>
          <w:rFonts w:ascii="Arial" w:hAnsi="Arial" w:cs="Arial"/>
          <w:sz w:val="24"/>
          <w:szCs w:val="24"/>
        </w:rPr>
        <w:t>/S</w:t>
      </w:r>
      <w:r>
        <w:rPr>
          <w:rFonts w:ascii="Arial" w:hAnsi="Arial" w:cs="Arial"/>
          <w:sz w:val="24"/>
          <w:szCs w:val="24"/>
        </w:rPr>
        <w:t>EIS failed to provide Student with the educational services set forth in her accepted IEPs.  Parent further allege</w:t>
      </w:r>
      <w:r w:rsidR="00B410CC">
        <w:rPr>
          <w:rFonts w:ascii="Arial" w:hAnsi="Arial" w:cs="Arial"/>
          <w:sz w:val="24"/>
          <w:szCs w:val="24"/>
        </w:rPr>
        <w:t>s</w:t>
      </w:r>
      <w:r>
        <w:rPr>
          <w:rFonts w:ascii="Arial" w:hAnsi="Arial" w:cs="Arial"/>
          <w:sz w:val="24"/>
          <w:szCs w:val="24"/>
        </w:rPr>
        <w:t xml:space="preserve"> that DESE/SEIS failed to fulfill certain procedural requirements, such as informing Southbridge of its inability to provide certain services and issuing quarterly progress reports. </w:t>
      </w:r>
      <w:r w:rsidR="00490ABA">
        <w:rPr>
          <w:rFonts w:ascii="Arial" w:hAnsi="Arial" w:cs="Arial"/>
          <w:sz w:val="24"/>
          <w:szCs w:val="24"/>
        </w:rPr>
        <w:t>They seek compensatory relief corresponding to the alleged denial of FAPE while Student was in the custody of DYS.</w:t>
      </w:r>
    </w:p>
    <w:p w14:paraId="77FEF1B8" w14:textId="0A8C0A2C" w:rsidR="00490ABA" w:rsidRPr="00B410CC" w:rsidRDefault="00490ABA" w:rsidP="00B410CC">
      <w:pPr>
        <w:spacing w:after="0" w:line="240" w:lineRule="auto"/>
        <w:rPr>
          <w:rFonts w:ascii="Arial" w:hAnsi="Arial" w:cs="Arial"/>
          <w:sz w:val="24"/>
          <w:szCs w:val="24"/>
        </w:rPr>
      </w:pPr>
    </w:p>
    <w:p w14:paraId="7F878BDD" w14:textId="0EFCFC02" w:rsidR="00D939F2" w:rsidRPr="00E043F5" w:rsidRDefault="00490ABA" w:rsidP="00E043F5">
      <w:pPr>
        <w:pStyle w:val="ListParagraph"/>
        <w:spacing w:after="0" w:line="240" w:lineRule="auto"/>
        <w:ind w:left="0" w:firstLine="720"/>
        <w:rPr>
          <w:rFonts w:ascii="Arial" w:hAnsi="Arial" w:cs="Arial"/>
          <w:sz w:val="24"/>
          <w:szCs w:val="24"/>
        </w:rPr>
      </w:pPr>
      <w:r>
        <w:rPr>
          <w:rFonts w:ascii="Arial" w:hAnsi="Arial" w:cs="Arial"/>
          <w:sz w:val="24"/>
          <w:szCs w:val="24"/>
        </w:rPr>
        <w:t xml:space="preserve">Based on the foregoing, </w:t>
      </w:r>
      <w:proofErr w:type="gramStart"/>
      <w:r>
        <w:rPr>
          <w:rFonts w:ascii="Arial" w:hAnsi="Arial" w:cs="Arial"/>
          <w:sz w:val="24"/>
          <w:szCs w:val="24"/>
        </w:rPr>
        <w:t>it i</w:t>
      </w:r>
      <w:r w:rsidR="007E4439">
        <w:rPr>
          <w:rFonts w:ascii="Arial" w:hAnsi="Arial" w:cs="Arial"/>
          <w:sz w:val="24"/>
          <w:szCs w:val="24"/>
        </w:rPr>
        <w:t>s</w:t>
      </w:r>
      <w:r>
        <w:rPr>
          <w:rFonts w:ascii="Arial" w:hAnsi="Arial" w:cs="Arial"/>
          <w:sz w:val="24"/>
          <w:szCs w:val="24"/>
        </w:rPr>
        <w:t xml:space="preserve"> clear that the</w:t>
      </w:r>
      <w:proofErr w:type="gramEnd"/>
      <w:r>
        <w:rPr>
          <w:rFonts w:ascii="Arial" w:hAnsi="Arial" w:cs="Arial"/>
          <w:sz w:val="24"/>
          <w:szCs w:val="24"/>
        </w:rPr>
        <w:t xml:space="preserve"> criteria for joinder set forth in Rule I.J. have been met.  Complete relief, </w:t>
      </w:r>
      <w:r w:rsidR="007E4439">
        <w:rPr>
          <w:rFonts w:ascii="Arial" w:hAnsi="Arial" w:cs="Arial"/>
          <w:sz w:val="24"/>
          <w:szCs w:val="24"/>
        </w:rPr>
        <w:t xml:space="preserve">which </w:t>
      </w:r>
      <w:r w:rsidR="00B410CC">
        <w:rPr>
          <w:rFonts w:ascii="Arial" w:hAnsi="Arial" w:cs="Arial"/>
          <w:sz w:val="24"/>
          <w:szCs w:val="24"/>
        </w:rPr>
        <w:t>c</w:t>
      </w:r>
      <w:r w:rsidR="007E4439">
        <w:rPr>
          <w:rFonts w:ascii="Arial" w:hAnsi="Arial" w:cs="Arial"/>
          <w:sz w:val="24"/>
          <w:szCs w:val="24"/>
        </w:rPr>
        <w:t xml:space="preserve">ould include </w:t>
      </w:r>
      <w:r>
        <w:rPr>
          <w:rFonts w:ascii="Arial" w:hAnsi="Arial" w:cs="Arial"/>
          <w:sz w:val="24"/>
          <w:szCs w:val="24"/>
        </w:rPr>
        <w:t>compensatory services, is not available unless DESE is a party</w:t>
      </w:r>
      <w:r w:rsidR="007E4439">
        <w:rPr>
          <w:rFonts w:ascii="Arial" w:hAnsi="Arial" w:cs="Arial"/>
          <w:sz w:val="24"/>
          <w:szCs w:val="24"/>
        </w:rPr>
        <w:t xml:space="preserve">; DESE has an interest in the subject matter of this case, which cannot be disposed of in its absence; and there is a risk of prejudice to the existing parties if DESE </w:t>
      </w:r>
      <w:r w:rsidR="00B410CC">
        <w:rPr>
          <w:rFonts w:ascii="Arial" w:hAnsi="Arial" w:cs="Arial"/>
          <w:sz w:val="24"/>
          <w:szCs w:val="24"/>
        </w:rPr>
        <w:t>because Parents would be unable to obtain relief (such as compensatory services) f</w:t>
      </w:r>
      <w:r w:rsidR="007E4439">
        <w:rPr>
          <w:rFonts w:ascii="Arial" w:hAnsi="Arial" w:cs="Arial"/>
          <w:sz w:val="24"/>
          <w:szCs w:val="24"/>
        </w:rPr>
        <w:t>or which DESE may be liable</w:t>
      </w:r>
      <w:r w:rsidR="00B410CC">
        <w:rPr>
          <w:rFonts w:ascii="Arial" w:hAnsi="Arial" w:cs="Arial"/>
          <w:sz w:val="24"/>
          <w:szCs w:val="24"/>
        </w:rPr>
        <w:t xml:space="preserve"> if </w:t>
      </w:r>
      <w:r w:rsidR="007E4439">
        <w:rPr>
          <w:rFonts w:ascii="Arial" w:hAnsi="Arial" w:cs="Arial"/>
          <w:sz w:val="24"/>
          <w:szCs w:val="24"/>
        </w:rPr>
        <w:t xml:space="preserve">DESE is </w:t>
      </w:r>
      <w:r w:rsidR="00B410CC">
        <w:rPr>
          <w:rFonts w:ascii="Arial" w:hAnsi="Arial" w:cs="Arial"/>
          <w:sz w:val="24"/>
          <w:szCs w:val="24"/>
        </w:rPr>
        <w:t xml:space="preserve"> not a party in this matter.</w:t>
      </w:r>
      <w:r w:rsidR="002851D5">
        <w:rPr>
          <w:rStyle w:val="FootnoteReference"/>
          <w:rFonts w:ascii="Arial" w:hAnsi="Arial" w:cs="Arial"/>
          <w:sz w:val="24"/>
          <w:szCs w:val="24"/>
        </w:rPr>
        <w:footnoteReference w:id="6"/>
      </w:r>
      <w:r w:rsidR="007E4439">
        <w:rPr>
          <w:rFonts w:ascii="Arial" w:hAnsi="Arial" w:cs="Arial"/>
          <w:sz w:val="24"/>
          <w:szCs w:val="24"/>
        </w:rPr>
        <w:t xml:space="preserve"> </w:t>
      </w:r>
    </w:p>
    <w:p w14:paraId="1D396120" w14:textId="2D966693" w:rsidR="002F5300" w:rsidRPr="002F5300" w:rsidRDefault="002F5300" w:rsidP="002F5300">
      <w:pPr>
        <w:spacing w:after="0" w:line="240" w:lineRule="auto"/>
        <w:rPr>
          <w:rFonts w:ascii="Arial" w:eastAsia="Times New Roman" w:hAnsi="Arial" w:cs="Arial"/>
          <w:sz w:val="24"/>
          <w:szCs w:val="24"/>
        </w:rPr>
      </w:pPr>
    </w:p>
    <w:p w14:paraId="3831CE31" w14:textId="68D1320C" w:rsidR="00E80350" w:rsidRPr="00E80350" w:rsidRDefault="00BE75E9" w:rsidP="00BE75E9">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 xml:space="preserve">CONCLUSION AND </w:t>
      </w:r>
      <w:r w:rsidR="00E80350">
        <w:rPr>
          <w:rFonts w:ascii="Arial" w:eastAsia="Times New Roman" w:hAnsi="Arial" w:cs="Arial"/>
          <w:b/>
          <w:sz w:val="24"/>
          <w:szCs w:val="24"/>
          <w:u w:val="single"/>
        </w:rPr>
        <w:t>ORDER</w:t>
      </w:r>
    </w:p>
    <w:p w14:paraId="69C0070A" w14:textId="77777777" w:rsidR="00101D6C" w:rsidRDefault="00101D6C" w:rsidP="00D33C5B">
      <w:pPr>
        <w:spacing w:after="0" w:line="240" w:lineRule="auto"/>
        <w:rPr>
          <w:rFonts w:ascii="Arial" w:eastAsia="Times New Roman" w:hAnsi="Arial" w:cs="Arial"/>
          <w:sz w:val="24"/>
          <w:szCs w:val="24"/>
        </w:rPr>
      </w:pPr>
    </w:p>
    <w:p w14:paraId="4EAF002E" w14:textId="2BACAA43" w:rsidR="00E601EE" w:rsidRDefault="007E4439" w:rsidP="003F1EF6">
      <w:pPr>
        <w:spacing w:line="240" w:lineRule="auto"/>
        <w:ind w:firstLine="720"/>
        <w:rPr>
          <w:rFonts w:ascii="Arial" w:eastAsia="Times New Roman" w:hAnsi="Arial" w:cs="Arial"/>
          <w:sz w:val="24"/>
          <w:szCs w:val="24"/>
        </w:rPr>
      </w:pPr>
      <w:r>
        <w:rPr>
          <w:rFonts w:ascii="Arial" w:hAnsi="Arial" w:cs="Arial"/>
          <w:sz w:val="24"/>
          <w:szCs w:val="24"/>
        </w:rPr>
        <w:t>Parent’s/Student’s Motion to Join DESE as a party in the matter is GRANTED.  As stated in Note 1, above, such joinder is applicable solely to the second portion of the bifurcated hearing, which will take place on April 26, 27, and 29, 2021.</w:t>
      </w:r>
      <w:r w:rsidR="00BE75E9">
        <w:rPr>
          <w:rFonts w:ascii="Arial" w:hAnsi="Arial" w:cs="Arial"/>
          <w:sz w:val="24"/>
          <w:szCs w:val="24"/>
        </w:rPr>
        <w:t xml:space="preserve">  </w:t>
      </w:r>
    </w:p>
    <w:p w14:paraId="4A76AB39" w14:textId="77777777" w:rsidR="003F1EF6" w:rsidRDefault="003F1EF6">
      <w:pPr>
        <w:rPr>
          <w:rFonts w:ascii="Arial" w:eastAsia="Times New Roman" w:hAnsi="Arial" w:cs="Arial"/>
          <w:sz w:val="24"/>
          <w:szCs w:val="24"/>
        </w:rPr>
      </w:pPr>
    </w:p>
    <w:p w14:paraId="450B1BF9" w14:textId="77777777" w:rsidR="003F1EF6" w:rsidRDefault="003F1EF6">
      <w:pPr>
        <w:rPr>
          <w:rFonts w:ascii="Arial" w:eastAsia="Times New Roman" w:hAnsi="Arial" w:cs="Arial"/>
          <w:sz w:val="24"/>
          <w:szCs w:val="24"/>
        </w:rPr>
      </w:pPr>
    </w:p>
    <w:p w14:paraId="2AA6CCA3" w14:textId="45937562" w:rsidR="00E601EE" w:rsidRDefault="00E601EE">
      <w:pPr>
        <w:rPr>
          <w:rFonts w:ascii="Arial" w:eastAsia="Times New Roman" w:hAnsi="Arial" w:cs="Arial"/>
          <w:sz w:val="24"/>
          <w:szCs w:val="24"/>
        </w:rPr>
      </w:pPr>
      <w:r>
        <w:rPr>
          <w:rFonts w:ascii="Arial" w:eastAsia="Times New Roman" w:hAnsi="Arial" w:cs="Arial"/>
          <w:sz w:val="24"/>
          <w:szCs w:val="24"/>
        </w:rPr>
        <w:lastRenderedPageBreak/>
        <w:t>By the Hearing Officer</w:t>
      </w:r>
    </w:p>
    <w:p w14:paraId="702E5F09" w14:textId="77777777" w:rsidR="00BE75E9" w:rsidRDefault="00BE75E9" w:rsidP="00BE75E9">
      <w:pPr>
        <w:rPr>
          <w:rFonts w:ascii="Brush Script MT" w:eastAsia="Times New Roman" w:hAnsi="Brush Script MT" w:cs="Arial"/>
          <w:sz w:val="40"/>
          <w:szCs w:val="40"/>
        </w:rPr>
      </w:pPr>
      <w:r>
        <w:rPr>
          <w:rFonts w:ascii="Arial" w:eastAsia="Times New Roman" w:hAnsi="Arial" w:cs="Arial"/>
          <w:sz w:val="24"/>
          <w:szCs w:val="24"/>
        </w:rPr>
        <w:t>/s/</w:t>
      </w:r>
      <w:r>
        <w:rPr>
          <w:rFonts w:ascii="Brush Script MT" w:eastAsia="Times New Roman" w:hAnsi="Brush Script MT" w:cs="Arial"/>
          <w:sz w:val="40"/>
          <w:szCs w:val="40"/>
        </w:rPr>
        <w:t>Sara Berman</w:t>
      </w:r>
    </w:p>
    <w:p w14:paraId="55570606" w14:textId="3E00CD90" w:rsidR="00E601EE" w:rsidRPr="00BE75E9" w:rsidRDefault="00E601EE" w:rsidP="00BE75E9">
      <w:pPr>
        <w:rPr>
          <w:rFonts w:ascii="Brush Script MT" w:eastAsia="Times New Roman" w:hAnsi="Brush Script MT" w:cs="Arial"/>
          <w:sz w:val="40"/>
          <w:szCs w:val="40"/>
        </w:rPr>
      </w:pPr>
      <w:r>
        <w:rPr>
          <w:rFonts w:ascii="Arial" w:eastAsia="Times New Roman" w:hAnsi="Arial" w:cs="Arial"/>
          <w:sz w:val="24"/>
          <w:szCs w:val="24"/>
        </w:rPr>
        <w:t>________________________</w:t>
      </w:r>
    </w:p>
    <w:p w14:paraId="068F027A" w14:textId="16ADBA6A" w:rsidR="00E601EE" w:rsidRDefault="00E601EE" w:rsidP="00E601EE">
      <w:pPr>
        <w:spacing w:line="240" w:lineRule="auto"/>
        <w:rPr>
          <w:rFonts w:ascii="Arial" w:hAnsi="Arial" w:cs="Arial"/>
          <w:sz w:val="24"/>
          <w:szCs w:val="24"/>
        </w:rPr>
      </w:pPr>
      <w:r>
        <w:rPr>
          <w:rFonts w:ascii="Arial" w:hAnsi="Arial" w:cs="Arial"/>
          <w:sz w:val="24"/>
          <w:szCs w:val="24"/>
        </w:rPr>
        <w:t>Sara Berman</w:t>
      </w:r>
    </w:p>
    <w:p w14:paraId="21D53D91" w14:textId="095CDE23" w:rsidR="006E0BD7" w:rsidRDefault="006E0BD7" w:rsidP="00E601EE">
      <w:pPr>
        <w:spacing w:line="240" w:lineRule="auto"/>
        <w:rPr>
          <w:rFonts w:ascii="Arial" w:hAnsi="Arial" w:cs="Arial"/>
          <w:sz w:val="24"/>
          <w:szCs w:val="24"/>
        </w:rPr>
      </w:pPr>
      <w:r>
        <w:rPr>
          <w:rFonts w:ascii="Arial" w:hAnsi="Arial" w:cs="Arial"/>
          <w:sz w:val="24"/>
          <w:szCs w:val="24"/>
        </w:rPr>
        <w:t xml:space="preserve">Dated: </w:t>
      </w:r>
      <w:r w:rsidR="006F4E26">
        <w:rPr>
          <w:rFonts w:ascii="Arial" w:hAnsi="Arial" w:cs="Arial"/>
          <w:sz w:val="24"/>
          <w:szCs w:val="24"/>
        </w:rPr>
        <w:t xml:space="preserve">February </w:t>
      </w:r>
      <w:r w:rsidR="005B140C">
        <w:rPr>
          <w:rFonts w:ascii="Arial" w:hAnsi="Arial" w:cs="Arial"/>
          <w:sz w:val="24"/>
          <w:szCs w:val="24"/>
        </w:rPr>
        <w:t>9</w:t>
      </w:r>
      <w:r w:rsidR="006F4E26">
        <w:rPr>
          <w:rFonts w:ascii="Arial" w:hAnsi="Arial" w:cs="Arial"/>
          <w:sz w:val="24"/>
          <w:szCs w:val="24"/>
        </w:rPr>
        <w:t>, 2021</w:t>
      </w:r>
    </w:p>
    <w:sectPr w:rsidR="006E0BD7" w:rsidSect="00310FA5">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EC17F" w14:textId="77777777" w:rsidR="003013CE" w:rsidRDefault="003013CE" w:rsidP="00CA40BA">
      <w:pPr>
        <w:spacing w:after="0" w:line="240" w:lineRule="auto"/>
      </w:pPr>
      <w:r>
        <w:separator/>
      </w:r>
    </w:p>
  </w:endnote>
  <w:endnote w:type="continuationSeparator" w:id="0">
    <w:p w14:paraId="0BEF41E1" w14:textId="77777777" w:rsidR="003013CE" w:rsidRDefault="003013CE" w:rsidP="00CA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693094"/>
      <w:docPartObj>
        <w:docPartGallery w:val="Page Numbers (Bottom of Page)"/>
        <w:docPartUnique/>
      </w:docPartObj>
    </w:sdtPr>
    <w:sdtEndPr>
      <w:rPr>
        <w:noProof/>
      </w:rPr>
    </w:sdtEndPr>
    <w:sdtContent>
      <w:p w14:paraId="08A53FFE" w14:textId="4ED6B08B" w:rsidR="005B0C21" w:rsidRDefault="005B0C21">
        <w:pPr>
          <w:pStyle w:val="Footer"/>
          <w:jc w:val="center"/>
        </w:pPr>
        <w:r>
          <w:fldChar w:fldCharType="begin"/>
        </w:r>
        <w:r>
          <w:instrText xml:space="preserve"> PAGE   \* MERGEFORMAT </w:instrText>
        </w:r>
        <w:r>
          <w:fldChar w:fldCharType="separate"/>
        </w:r>
        <w:r w:rsidR="000A6682">
          <w:rPr>
            <w:noProof/>
          </w:rPr>
          <w:t>3</w:t>
        </w:r>
        <w:r>
          <w:rPr>
            <w:noProof/>
          </w:rPr>
          <w:fldChar w:fldCharType="end"/>
        </w:r>
      </w:p>
    </w:sdtContent>
  </w:sdt>
  <w:p w14:paraId="0D16311C" w14:textId="566A9403" w:rsidR="005B0C21" w:rsidRDefault="003F16D9" w:rsidP="003F16D9">
    <w:pPr>
      <w:pStyle w:val="Footer"/>
      <w:tabs>
        <w:tab w:val="clear" w:pos="4680"/>
        <w:tab w:val="clear" w:pos="9360"/>
        <w:tab w:val="left" w:pos="16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AD6B" w14:textId="5012B0DC" w:rsidR="00310FA5" w:rsidRDefault="00310FA5">
    <w:pPr>
      <w:pStyle w:val="Footer"/>
      <w:jc w:val="center"/>
    </w:pPr>
  </w:p>
  <w:p w14:paraId="4E4AF7EA" w14:textId="77777777" w:rsidR="00310FA5" w:rsidRDefault="00310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2F417" w14:textId="77777777" w:rsidR="003013CE" w:rsidRDefault="003013CE" w:rsidP="00CA40BA">
      <w:pPr>
        <w:spacing w:after="0" w:line="240" w:lineRule="auto"/>
      </w:pPr>
      <w:r>
        <w:separator/>
      </w:r>
    </w:p>
  </w:footnote>
  <w:footnote w:type="continuationSeparator" w:id="0">
    <w:p w14:paraId="606BBE15" w14:textId="77777777" w:rsidR="003013CE" w:rsidRDefault="003013CE" w:rsidP="00CA40BA">
      <w:pPr>
        <w:spacing w:after="0" w:line="240" w:lineRule="auto"/>
      </w:pPr>
      <w:r>
        <w:continuationSeparator/>
      </w:r>
    </w:p>
  </w:footnote>
  <w:footnote w:id="1">
    <w:p w14:paraId="371225B5" w14:textId="77777777" w:rsidR="004362E1" w:rsidRDefault="004362E1" w:rsidP="004362E1">
      <w:pPr>
        <w:pStyle w:val="FootnoteText"/>
      </w:pPr>
      <w:r>
        <w:rPr>
          <w:rStyle w:val="FootnoteReference"/>
        </w:rPr>
        <w:footnoteRef/>
      </w:r>
      <w:r>
        <w:t xml:space="preserve"> Student </w:t>
      </w:r>
      <w:proofErr w:type="gramStart"/>
      <w:r>
        <w:t>actually began</w:t>
      </w:r>
      <w:proofErr w:type="gramEnd"/>
      <w:r>
        <w:t xml:space="preserve"> moving in and out of DYS custody beginning in the summer of 2016; however, she seeks relief only for the period from July 22, 2018 to December 6, 2019.</w:t>
      </w:r>
    </w:p>
  </w:footnote>
  <w:footnote w:id="2">
    <w:p w14:paraId="2B041FFE" w14:textId="192AFEA5" w:rsidR="00026A43" w:rsidRPr="00026A43" w:rsidRDefault="00026A43">
      <w:pPr>
        <w:pStyle w:val="FootnoteText"/>
      </w:pPr>
      <w:r>
        <w:rPr>
          <w:rStyle w:val="FootnoteReference"/>
        </w:rPr>
        <w:footnoteRef/>
      </w:r>
      <w:r>
        <w:t xml:space="preserve"> </w:t>
      </w:r>
      <w:r w:rsidRPr="00026A43">
        <w:rPr>
          <w:rFonts w:ascii="Arial" w:eastAsia="Times New Roman" w:hAnsi="Arial" w:cs="Arial"/>
        </w:rPr>
        <w:t xml:space="preserve">By agreement of the parties, the hearing has been bifurcated.  Issues pertaining to Student’s prospective IEP and placement will be determined after a hearing on March </w:t>
      </w:r>
      <w:r w:rsidR="00A16165">
        <w:rPr>
          <w:rFonts w:ascii="Arial" w:eastAsia="Times New Roman" w:hAnsi="Arial" w:cs="Arial"/>
        </w:rPr>
        <w:t>22-24,</w:t>
      </w:r>
      <w:r w:rsidRPr="00026A43">
        <w:rPr>
          <w:rFonts w:ascii="Arial" w:eastAsia="Times New Roman" w:hAnsi="Arial" w:cs="Arial"/>
        </w:rPr>
        <w:t xml:space="preserve"> 2021.  Evidence regarding alleged past denials of FAPE and compensatory services will be heard on </w:t>
      </w:r>
      <w:r w:rsidR="00A16165">
        <w:rPr>
          <w:rFonts w:ascii="Arial" w:eastAsia="Times New Roman" w:hAnsi="Arial" w:cs="Arial"/>
        </w:rPr>
        <w:t>April 26, 27 and 29</w:t>
      </w:r>
      <w:r w:rsidRPr="00026A43">
        <w:rPr>
          <w:rFonts w:ascii="Arial" w:eastAsia="Times New Roman" w:hAnsi="Arial" w:cs="Arial"/>
        </w:rPr>
        <w:t>, 2021.  The parties agree that</w:t>
      </w:r>
      <w:r w:rsidR="00652CE2">
        <w:rPr>
          <w:rFonts w:ascii="Arial" w:eastAsia="Times New Roman" w:hAnsi="Arial" w:cs="Arial"/>
        </w:rPr>
        <w:t xml:space="preserve"> the </w:t>
      </w:r>
      <w:r w:rsidR="00652CE2" w:rsidRPr="006F4E26">
        <w:rPr>
          <w:rFonts w:ascii="Arial" w:eastAsia="Times New Roman" w:hAnsi="Arial" w:cs="Arial"/>
          <w:i/>
          <w:iCs/>
        </w:rPr>
        <w:t>Motion to Join</w:t>
      </w:r>
      <w:r w:rsidRPr="006F4E26">
        <w:rPr>
          <w:rFonts w:ascii="Arial" w:eastAsia="Times New Roman" w:hAnsi="Arial" w:cs="Arial"/>
          <w:i/>
          <w:iCs/>
        </w:rPr>
        <w:t xml:space="preserve"> DESE</w:t>
      </w:r>
      <w:r w:rsidRPr="00026A43">
        <w:rPr>
          <w:rFonts w:ascii="Arial" w:eastAsia="Times New Roman" w:hAnsi="Arial" w:cs="Arial"/>
        </w:rPr>
        <w:t xml:space="preserve"> </w:t>
      </w:r>
      <w:r w:rsidR="00652CE2">
        <w:rPr>
          <w:rFonts w:ascii="Arial" w:eastAsia="Times New Roman" w:hAnsi="Arial" w:cs="Arial"/>
        </w:rPr>
        <w:t xml:space="preserve">applies only to the second hearing because any potential liability on the part of DESE would be confined to compensatory services.  </w:t>
      </w:r>
    </w:p>
  </w:footnote>
  <w:footnote w:id="3">
    <w:p w14:paraId="5582BD3E" w14:textId="6E44B1EE" w:rsidR="005A6FCA" w:rsidRPr="003F1EF6" w:rsidRDefault="005A6FCA">
      <w:pPr>
        <w:pStyle w:val="FootnoteText"/>
        <w:rPr>
          <w:rFonts w:ascii="Arial" w:eastAsia="Times New Roman" w:hAnsi="Arial" w:cs="Arial"/>
          <w:sz w:val="24"/>
          <w:szCs w:val="24"/>
        </w:rPr>
      </w:pPr>
      <w:r w:rsidRPr="00196BCB">
        <w:rPr>
          <w:rStyle w:val="FootnoteReference"/>
        </w:rPr>
        <w:footnoteRef/>
      </w:r>
      <w:r w:rsidRPr="00196BCB">
        <w:t xml:space="preserve"> </w:t>
      </w:r>
      <w:r w:rsidRPr="00196BCB">
        <w:rPr>
          <w:rFonts w:ascii="Arial" w:eastAsia="Times New Roman" w:hAnsi="Arial" w:cs="Arial"/>
        </w:rPr>
        <w:t>20 USC § 1412(a)(1(A); (a)(11</w:t>
      </w:r>
      <w:r w:rsidRPr="00540185">
        <w:rPr>
          <w:rFonts w:ascii="Arial" w:eastAsia="Times New Roman" w:hAnsi="Arial" w:cs="Arial"/>
        </w:rPr>
        <w:t>)</w:t>
      </w:r>
      <w:r w:rsidR="00540185" w:rsidRPr="00540185">
        <w:rPr>
          <w:rFonts w:ascii="Arial" w:eastAsia="Times New Roman" w:hAnsi="Arial" w:cs="Arial"/>
        </w:rPr>
        <w:t>; 34 CFR 300.2(b)(1).</w:t>
      </w:r>
      <w:r w:rsidR="00540185">
        <w:rPr>
          <w:rFonts w:ascii="Arial" w:eastAsia="Times New Roman" w:hAnsi="Arial" w:cs="Arial"/>
          <w:sz w:val="24"/>
          <w:szCs w:val="24"/>
        </w:rPr>
        <w:t xml:space="preserve">   </w:t>
      </w:r>
    </w:p>
  </w:footnote>
  <w:footnote w:id="4">
    <w:p w14:paraId="1D302873" w14:textId="5C6AD6C5" w:rsidR="003F1EF6" w:rsidRPr="003F1EF6" w:rsidRDefault="005A6FCA" w:rsidP="003F1EF6">
      <w:pPr>
        <w:pStyle w:val="Heading2"/>
        <w:rPr>
          <w:rFonts w:asciiTheme="minorHAnsi" w:hAnsiTheme="minorHAnsi" w:cstheme="minorHAnsi"/>
          <w:color w:val="000000" w:themeColor="text1"/>
          <w:sz w:val="20"/>
          <w:szCs w:val="20"/>
        </w:rPr>
      </w:pPr>
      <w:r w:rsidRPr="00196BCB">
        <w:rPr>
          <w:rStyle w:val="FootnoteReference"/>
          <w:rFonts w:asciiTheme="minorHAnsi" w:hAnsiTheme="minorHAnsi" w:cstheme="minorHAnsi"/>
          <w:color w:val="000000" w:themeColor="text1"/>
          <w:sz w:val="20"/>
          <w:szCs w:val="20"/>
        </w:rPr>
        <w:footnoteRef/>
      </w:r>
      <w:r w:rsidRPr="00196BCB">
        <w:rPr>
          <w:rFonts w:asciiTheme="minorHAnsi" w:hAnsiTheme="minorHAnsi" w:cstheme="minorHAnsi"/>
          <w:color w:val="000000" w:themeColor="text1"/>
          <w:sz w:val="20"/>
          <w:szCs w:val="20"/>
        </w:rPr>
        <w:t xml:space="preserve"> MGL c. 71B </w:t>
      </w:r>
      <w:r w:rsidR="00196BCB" w:rsidRPr="00196BCB">
        <w:rPr>
          <w:rFonts w:asciiTheme="minorHAnsi" w:hAnsiTheme="minorHAnsi" w:cstheme="minorHAnsi"/>
          <w:color w:val="000000" w:themeColor="text1"/>
          <w:sz w:val="20"/>
          <w:szCs w:val="20"/>
        </w:rPr>
        <w:t>§12</w:t>
      </w:r>
      <w:r w:rsidR="00196BCB">
        <w:rPr>
          <w:rFonts w:asciiTheme="minorHAnsi" w:hAnsiTheme="minorHAnsi" w:cstheme="minorHAnsi"/>
          <w:color w:val="000000" w:themeColor="text1"/>
          <w:sz w:val="20"/>
          <w:szCs w:val="20"/>
        </w:rPr>
        <w:t>;</w:t>
      </w:r>
      <w:r w:rsidR="00196BCB" w:rsidRPr="00196BCB">
        <w:rPr>
          <w:rFonts w:asciiTheme="minorHAnsi" w:hAnsiTheme="minorHAnsi" w:cstheme="minorHAnsi"/>
          <w:color w:val="000000" w:themeColor="text1"/>
          <w:sz w:val="20"/>
          <w:szCs w:val="20"/>
        </w:rPr>
        <w:t xml:space="preserve"> 603 CMR 28.06(9)</w:t>
      </w:r>
    </w:p>
  </w:footnote>
  <w:footnote w:id="5">
    <w:p w14:paraId="389C5535" w14:textId="227C8F2C" w:rsidR="003F1EF6" w:rsidRDefault="008C1933">
      <w:pPr>
        <w:pStyle w:val="FootnoteText"/>
      </w:pPr>
      <w:r>
        <w:rPr>
          <w:rStyle w:val="FootnoteReference"/>
        </w:rPr>
        <w:footnoteRef/>
      </w:r>
      <w:r>
        <w:t xml:space="preserve"> See 603 CMR 28.06(9)(c)-(d), which, supplemented by DESE guidance documents and an interagency agreement between DESE and DYS, outlines procedures f</w:t>
      </w:r>
      <w:r w:rsidR="005B140C">
        <w:t>or</w:t>
      </w:r>
      <w:r>
        <w:t xml:space="preserve"> allocating responsibility among DESE, DYS, and a student’s LEA, including the requirement </w:t>
      </w:r>
      <w:r w:rsidR="005B140C">
        <w:t xml:space="preserve">that </w:t>
      </w:r>
      <w:r>
        <w:t>DESE notify the LEA if it cannot provide all of a student’s IEP services such that the LEA becomes responsible for doing so</w:t>
      </w:r>
      <w:r w:rsidR="003F1EF6">
        <w:t>.</w:t>
      </w:r>
    </w:p>
  </w:footnote>
  <w:footnote w:id="6">
    <w:p w14:paraId="0E47A2E8" w14:textId="4880C249" w:rsidR="002851D5" w:rsidRPr="003F1EF6" w:rsidRDefault="002851D5" w:rsidP="003F1EF6">
      <w:pPr>
        <w:pStyle w:val="ListParagraph"/>
        <w:spacing w:after="0" w:line="240" w:lineRule="auto"/>
        <w:ind w:left="0"/>
        <w:rPr>
          <w:rFonts w:ascii="Arial" w:hAnsi="Arial" w:cs="Arial"/>
          <w:sz w:val="20"/>
          <w:szCs w:val="20"/>
        </w:rPr>
      </w:pPr>
      <w:r w:rsidRPr="003F1EF6">
        <w:rPr>
          <w:rStyle w:val="FootnoteReference"/>
          <w:sz w:val="20"/>
          <w:szCs w:val="20"/>
        </w:rPr>
        <w:footnoteRef/>
      </w:r>
      <w:r w:rsidRPr="003F1EF6">
        <w:rPr>
          <w:sz w:val="20"/>
          <w:szCs w:val="20"/>
        </w:rPr>
        <w:t xml:space="preserve"> Joinder of DESE in this case is consistent with several prior BSEA rulings on the same issue.  See, </w:t>
      </w:r>
      <w:proofErr w:type="spellStart"/>
      <w:r w:rsidRPr="003F1EF6">
        <w:rPr>
          <w:rFonts w:ascii="Arial" w:hAnsi="Arial" w:cs="Arial"/>
          <w:i/>
          <w:color w:val="333333"/>
          <w:sz w:val="20"/>
          <w:szCs w:val="20"/>
        </w:rPr>
        <w:t>e.g</w:t>
      </w:r>
      <w:proofErr w:type="spellEnd"/>
      <w:r w:rsidRPr="003F1EF6">
        <w:rPr>
          <w:rFonts w:ascii="Arial" w:hAnsi="Arial" w:cs="Arial"/>
          <w:color w:val="333333"/>
          <w:sz w:val="20"/>
          <w:szCs w:val="20"/>
        </w:rPr>
        <w:t xml:space="preserve">, </w:t>
      </w:r>
      <w:r w:rsidRPr="003F1EF6">
        <w:rPr>
          <w:rFonts w:ascii="Arial" w:hAnsi="Arial" w:cs="Arial"/>
          <w:i/>
          <w:color w:val="333333"/>
          <w:sz w:val="20"/>
          <w:szCs w:val="20"/>
        </w:rPr>
        <w:t>Student v. Boston Public Schools &amp; DESE</w:t>
      </w:r>
      <w:r w:rsidRPr="003F1EF6">
        <w:rPr>
          <w:rFonts w:ascii="Arial" w:hAnsi="Arial" w:cs="Arial"/>
          <w:color w:val="333333"/>
          <w:sz w:val="20"/>
          <w:szCs w:val="20"/>
        </w:rPr>
        <w:t xml:space="preserve">, BSEA No. 2006658 (Figueroa, June 17, 2020); </w:t>
      </w:r>
      <w:r w:rsidRPr="003F1EF6">
        <w:rPr>
          <w:rFonts w:ascii="Arial" w:hAnsi="Arial" w:cs="Arial"/>
          <w:i/>
          <w:iCs/>
          <w:color w:val="333333"/>
          <w:sz w:val="20"/>
          <w:szCs w:val="20"/>
        </w:rPr>
        <w:t>Student v. Boston Public Schools&amp; DESE</w:t>
      </w:r>
      <w:r w:rsidRPr="003F1EF6">
        <w:rPr>
          <w:rFonts w:ascii="Arial" w:hAnsi="Arial" w:cs="Arial"/>
          <w:color w:val="333333"/>
          <w:sz w:val="20"/>
          <w:szCs w:val="20"/>
        </w:rPr>
        <w:t xml:space="preserve">, BSEA No. </w:t>
      </w:r>
      <w:r w:rsidR="00E043F5" w:rsidRPr="003F1EF6">
        <w:rPr>
          <w:rFonts w:ascii="Arial" w:hAnsi="Arial" w:cs="Arial"/>
          <w:color w:val="333333"/>
          <w:sz w:val="20"/>
          <w:szCs w:val="20"/>
        </w:rPr>
        <w:t>2008658 (Berman, August 10, 2020)</w:t>
      </w:r>
    </w:p>
    <w:p w14:paraId="6E4712CA" w14:textId="6D416875" w:rsidR="002851D5" w:rsidRDefault="002851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89B"/>
    <w:multiLevelType w:val="hybridMultilevel"/>
    <w:tmpl w:val="618EDAB0"/>
    <w:lvl w:ilvl="0" w:tplc="CF661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50411"/>
    <w:multiLevelType w:val="hybridMultilevel"/>
    <w:tmpl w:val="11A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A28EC"/>
    <w:multiLevelType w:val="hybridMultilevel"/>
    <w:tmpl w:val="83FCC1DC"/>
    <w:lvl w:ilvl="0" w:tplc="B03C86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ED58AA"/>
    <w:multiLevelType w:val="hybridMultilevel"/>
    <w:tmpl w:val="950EE27C"/>
    <w:lvl w:ilvl="0" w:tplc="4E6E40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BFA5775"/>
    <w:multiLevelType w:val="hybridMultilevel"/>
    <w:tmpl w:val="FB208372"/>
    <w:lvl w:ilvl="0" w:tplc="42A65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8F526C"/>
    <w:multiLevelType w:val="hybridMultilevel"/>
    <w:tmpl w:val="B01A6C80"/>
    <w:lvl w:ilvl="0" w:tplc="F43EB52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111F8F"/>
    <w:multiLevelType w:val="hybridMultilevel"/>
    <w:tmpl w:val="83FCC1DC"/>
    <w:lvl w:ilvl="0" w:tplc="B03C86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B93100"/>
    <w:multiLevelType w:val="hybridMultilevel"/>
    <w:tmpl w:val="7B7CD372"/>
    <w:lvl w:ilvl="0" w:tplc="4E3E0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65DD0"/>
    <w:multiLevelType w:val="multilevel"/>
    <w:tmpl w:val="A37C5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8"/>
  </w:num>
  <w:num w:numId="5">
    <w:abstractNumId w:val="5"/>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5B"/>
    <w:rsid w:val="00004B20"/>
    <w:rsid w:val="00005B36"/>
    <w:rsid w:val="00010C74"/>
    <w:rsid w:val="00013F03"/>
    <w:rsid w:val="00014273"/>
    <w:rsid w:val="00022F58"/>
    <w:rsid w:val="00026A43"/>
    <w:rsid w:val="00030556"/>
    <w:rsid w:val="000331B1"/>
    <w:rsid w:val="000418BD"/>
    <w:rsid w:val="000474E8"/>
    <w:rsid w:val="00054174"/>
    <w:rsid w:val="00067225"/>
    <w:rsid w:val="000740B9"/>
    <w:rsid w:val="000813C4"/>
    <w:rsid w:val="00081EF8"/>
    <w:rsid w:val="00085CB3"/>
    <w:rsid w:val="00086A19"/>
    <w:rsid w:val="000876EB"/>
    <w:rsid w:val="000A4368"/>
    <w:rsid w:val="000A6682"/>
    <w:rsid w:val="000A6D52"/>
    <w:rsid w:val="000B491F"/>
    <w:rsid w:val="000C0D44"/>
    <w:rsid w:val="000C7337"/>
    <w:rsid w:val="000E4639"/>
    <w:rsid w:val="000F0783"/>
    <w:rsid w:val="000F2817"/>
    <w:rsid w:val="000F6B4F"/>
    <w:rsid w:val="00101D6C"/>
    <w:rsid w:val="001215D1"/>
    <w:rsid w:val="001321D0"/>
    <w:rsid w:val="001370C1"/>
    <w:rsid w:val="00144783"/>
    <w:rsid w:val="00150E44"/>
    <w:rsid w:val="0015769A"/>
    <w:rsid w:val="00164C8C"/>
    <w:rsid w:val="00165E30"/>
    <w:rsid w:val="0017359B"/>
    <w:rsid w:val="00176DFD"/>
    <w:rsid w:val="00181735"/>
    <w:rsid w:val="00184FF2"/>
    <w:rsid w:val="0019182E"/>
    <w:rsid w:val="00195153"/>
    <w:rsid w:val="00195A34"/>
    <w:rsid w:val="00196BCB"/>
    <w:rsid w:val="001B3C02"/>
    <w:rsid w:val="001B606E"/>
    <w:rsid w:val="001D61F4"/>
    <w:rsid w:val="001E664F"/>
    <w:rsid w:val="00205F7A"/>
    <w:rsid w:val="00206667"/>
    <w:rsid w:val="0021274B"/>
    <w:rsid w:val="00220A61"/>
    <w:rsid w:val="00225116"/>
    <w:rsid w:val="00232149"/>
    <w:rsid w:val="00235958"/>
    <w:rsid w:val="00246751"/>
    <w:rsid w:val="00251EB4"/>
    <w:rsid w:val="002525B6"/>
    <w:rsid w:val="00254932"/>
    <w:rsid w:val="00271A70"/>
    <w:rsid w:val="00285157"/>
    <w:rsid w:val="002851D5"/>
    <w:rsid w:val="00297CB9"/>
    <w:rsid w:val="002A2012"/>
    <w:rsid w:val="002B088E"/>
    <w:rsid w:val="002B43EA"/>
    <w:rsid w:val="002C7C07"/>
    <w:rsid w:val="002D4F98"/>
    <w:rsid w:val="002D5F35"/>
    <w:rsid w:val="002D6327"/>
    <w:rsid w:val="002E1B8F"/>
    <w:rsid w:val="002E1F6B"/>
    <w:rsid w:val="002E2CB0"/>
    <w:rsid w:val="002F0FCC"/>
    <w:rsid w:val="002F5300"/>
    <w:rsid w:val="003013CE"/>
    <w:rsid w:val="00304921"/>
    <w:rsid w:val="0030549C"/>
    <w:rsid w:val="003078DE"/>
    <w:rsid w:val="003104E8"/>
    <w:rsid w:val="00310FA5"/>
    <w:rsid w:val="00332714"/>
    <w:rsid w:val="0033371F"/>
    <w:rsid w:val="003361C4"/>
    <w:rsid w:val="00336310"/>
    <w:rsid w:val="00362233"/>
    <w:rsid w:val="0038511F"/>
    <w:rsid w:val="0039458A"/>
    <w:rsid w:val="00395708"/>
    <w:rsid w:val="003C6F17"/>
    <w:rsid w:val="003D1E70"/>
    <w:rsid w:val="003D68CE"/>
    <w:rsid w:val="003F16D9"/>
    <w:rsid w:val="003F1EF6"/>
    <w:rsid w:val="003F370E"/>
    <w:rsid w:val="003F65E4"/>
    <w:rsid w:val="003F7705"/>
    <w:rsid w:val="00405DCC"/>
    <w:rsid w:val="00410139"/>
    <w:rsid w:val="00415DCA"/>
    <w:rsid w:val="004163FD"/>
    <w:rsid w:val="004362E1"/>
    <w:rsid w:val="00447452"/>
    <w:rsid w:val="00451F4F"/>
    <w:rsid w:val="004565F3"/>
    <w:rsid w:val="0046104E"/>
    <w:rsid w:val="00470CC5"/>
    <w:rsid w:val="00471385"/>
    <w:rsid w:val="00490ABA"/>
    <w:rsid w:val="00493A33"/>
    <w:rsid w:val="004A0918"/>
    <w:rsid w:val="004A7F9A"/>
    <w:rsid w:val="004B6278"/>
    <w:rsid w:val="004C5552"/>
    <w:rsid w:val="004C6ED2"/>
    <w:rsid w:val="004D0DC6"/>
    <w:rsid w:val="004D6898"/>
    <w:rsid w:val="004E4392"/>
    <w:rsid w:val="004F2731"/>
    <w:rsid w:val="004F418D"/>
    <w:rsid w:val="0050292D"/>
    <w:rsid w:val="005153C4"/>
    <w:rsid w:val="005222BB"/>
    <w:rsid w:val="00526932"/>
    <w:rsid w:val="00540185"/>
    <w:rsid w:val="00540805"/>
    <w:rsid w:val="005417EB"/>
    <w:rsid w:val="00553E78"/>
    <w:rsid w:val="00556364"/>
    <w:rsid w:val="00562798"/>
    <w:rsid w:val="005726D4"/>
    <w:rsid w:val="00575078"/>
    <w:rsid w:val="00581F54"/>
    <w:rsid w:val="005825FF"/>
    <w:rsid w:val="005921ED"/>
    <w:rsid w:val="005A1481"/>
    <w:rsid w:val="005A5DC8"/>
    <w:rsid w:val="005A6FCA"/>
    <w:rsid w:val="005B0C21"/>
    <w:rsid w:val="005B140C"/>
    <w:rsid w:val="005B23DF"/>
    <w:rsid w:val="005B608D"/>
    <w:rsid w:val="005C25EB"/>
    <w:rsid w:val="00602782"/>
    <w:rsid w:val="006123D1"/>
    <w:rsid w:val="0061248E"/>
    <w:rsid w:val="00616E35"/>
    <w:rsid w:val="0062172D"/>
    <w:rsid w:val="00625ECE"/>
    <w:rsid w:val="00627563"/>
    <w:rsid w:val="00632532"/>
    <w:rsid w:val="00652CE2"/>
    <w:rsid w:val="00666093"/>
    <w:rsid w:val="00670A76"/>
    <w:rsid w:val="006740FA"/>
    <w:rsid w:val="006805B2"/>
    <w:rsid w:val="0069221F"/>
    <w:rsid w:val="006B2F48"/>
    <w:rsid w:val="006D4FE2"/>
    <w:rsid w:val="006E0BD7"/>
    <w:rsid w:val="006F323A"/>
    <w:rsid w:val="006F4E26"/>
    <w:rsid w:val="0071446A"/>
    <w:rsid w:val="007173BC"/>
    <w:rsid w:val="00723121"/>
    <w:rsid w:val="00731064"/>
    <w:rsid w:val="00741C9B"/>
    <w:rsid w:val="00742BE5"/>
    <w:rsid w:val="00746FD9"/>
    <w:rsid w:val="0075141A"/>
    <w:rsid w:val="00773F11"/>
    <w:rsid w:val="007956F6"/>
    <w:rsid w:val="007B4874"/>
    <w:rsid w:val="007B5294"/>
    <w:rsid w:val="007D41F8"/>
    <w:rsid w:val="007E4439"/>
    <w:rsid w:val="007F4153"/>
    <w:rsid w:val="007F7A91"/>
    <w:rsid w:val="008164DA"/>
    <w:rsid w:val="00826A7B"/>
    <w:rsid w:val="00827D7D"/>
    <w:rsid w:val="008321F5"/>
    <w:rsid w:val="00836A88"/>
    <w:rsid w:val="0083773E"/>
    <w:rsid w:val="00842AE6"/>
    <w:rsid w:val="008545A0"/>
    <w:rsid w:val="00861559"/>
    <w:rsid w:val="00876258"/>
    <w:rsid w:val="008810AE"/>
    <w:rsid w:val="00882054"/>
    <w:rsid w:val="00894154"/>
    <w:rsid w:val="008958B1"/>
    <w:rsid w:val="008A2828"/>
    <w:rsid w:val="008A2B86"/>
    <w:rsid w:val="008B6208"/>
    <w:rsid w:val="008C1933"/>
    <w:rsid w:val="008D5A5D"/>
    <w:rsid w:val="008E71A4"/>
    <w:rsid w:val="008F1FB1"/>
    <w:rsid w:val="008F5C8B"/>
    <w:rsid w:val="00901B6D"/>
    <w:rsid w:val="00903E50"/>
    <w:rsid w:val="00913912"/>
    <w:rsid w:val="009161CB"/>
    <w:rsid w:val="00924D22"/>
    <w:rsid w:val="00925C70"/>
    <w:rsid w:val="0093202C"/>
    <w:rsid w:val="00934413"/>
    <w:rsid w:val="00936990"/>
    <w:rsid w:val="00944A8D"/>
    <w:rsid w:val="00960277"/>
    <w:rsid w:val="009634A8"/>
    <w:rsid w:val="0098215E"/>
    <w:rsid w:val="0098279E"/>
    <w:rsid w:val="009853DE"/>
    <w:rsid w:val="00991EAC"/>
    <w:rsid w:val="00991F32"/>
    <w:rsid w:val="0099357A"/>
    <w:rsid w:val="00995827"/>
    <w:rsid w:val="00995A0A"/>
    <w:rsid w:val="00997164"/>
    <w:rsid w:val="009A08F3"/>
    <w:rsid w:val="009A2424"/>
    <w:rsid w:val="009B231B"/>
    <w:rsid w:val="009B2D90"/>
    <w:rsid w:val="009C579F"/>
    <w:rsid w:val="009D3DAC"/>
    <w:rsid w:val="00A05C4A"/>
    <w:rsid w:val="00A070AE"/>
    <w:rsid w:val="00A112C6"/>
    <w:rsid w:val="00A12F1F"/>
    <w:rsid w:val="00A1414B"/>
    <w:rsid w:val="00A16165"/>
    <w:rsid w:val="00A3036D"/>
    <w:rsid w:val="00A369A1"/>
    <w:rsid w:val="00A4208D"/>
    <w:rsid w:val="00A42A69"/>
    <w:rsid w:val="00A47B23"/>
    <w:rsid w:val="00A70F43"/>
    <w:rsid w:val="00A7166C"/>
    <w:rsid w:val="00A739DB"/>
    <w:rsid w:val="00A871CB"/>
    <w:rsid w:val="00A8751C"/>
    <w:rsid w:val="00A932B9"/>
    <w:rsid w:val="00A93D6A"/>
    <w:rsid w:val="00AB5860"/>
    <w:rsid w:val="00AC0DD7"/>
    <w:rsid w:val="00AC3E32"/>
    <w:rsid w:val="00AC3F55"/>
    <w:rsid w:val="00AD145C"/>
    <w:rsid w:val="00AD4218"/>
    <w:rsid w:val="00B020E8"/>
    <w:rsid w:val="00B04796"/>
    <w:rsid w:val="00B07C06"/>
    <w:rsid w:val="00B135D5"/>
    <w:rsid w:val="00B227E8"/>
    <w:rsid w:val="00B410CC"/>
    <w:rsid w:val="00B71606"/>
    <w:rsid w:val="00B74C43"/>
    <w:rsid w:val="00B82A4D"/>
    <w:rsid w:val="00B855F3"/>
    <w:rsid w:val="00B951B7"/>
    <w:rsid w:val="00B97A52"/>
    <w:rsid w:val="00BA1129"/>
    <w:rsid w:val="00BB1306"/>
    <w:rsid w:val="00BB2A7D"/>
    <w:rsid w:val="00BD6194"/>
    <w:rsid w:val="00BE75E9"/>
    <w:rsid w:val="00BF4D2B"/>
    <w:rsid w:val="00C177C0"/>
    <w:rsid w:val="00C21C23"/>
    <w:rsid w:val="00C21E98"/>
    <w:rsid w:val="00C24F8E"/>
    <w:rsid w:val="00C360D9"/>
    <w:rsid w:val="00C52CD4"/>
    <w:rsid w:val="00C556B8"/>
    <w:rsid w:val="00C650B3"/>
    <w:rsid w:val="00C74901"/>
    <w:rsid w:val="00C84DE4"/>
    <w:rsid w:val="00C86888"/>
    <w:rsid w:val="00C95D52"/>
    <w:rsid w:val="00CA2AC8"/>
    <w:rsid w:val="00CA40BA"/>
    <w:rsid w:val="00CB15DF"/>
    <w:rsid w:val="00CD21C9"/>
    <w:rsid w:val="00CD4530"/>
    <w:rsid w:val="00CD6BD2"/>
    <w:rsid w:val="00CD6F90"/>
    <w:rsid w:val="00CE24A0"/>
    <w:rsid w:val="00D01ED5"/>
    <w:rsid w:val="00D1091C"/>
    <w:rsid w:val="00D11EF9"/>
    <w:rsid w:val="00D14748"/>
    <w:rsid w:val="00D17F11"/>
    <w:rsid w:val="00D26CD2"/>
    <w:rsid w:val="00D33C5B"/>
    <w:rsid w:val="00D43922"/>
    <w:rsid w:val="00D46012"/>
    <w:rsid w:val="00D673AC"/>
    <w:rsid w:val="00D67CB4"/>
    <w:rsid w:val="00D82875"/>
    <w:rsid w:val="00D84471"/>
    <w:rsid w:val="00D939F2"/>
    <w:rsid w:val="00D95FCC"/>
    <w:rsid w:val="00DA672F"/>
    <w:rsid w:val="00DD2905"/>
    <w:rsid w:val="00DD5D92"/>
    <w:rsid w:val="00DE6256"/>
    <w:rsid w:val="00DF154C"/>
    <w:rsid w:val="00DF1D9E"/>
    <w:rsid w:val="00DF5DAF"/>
    <w:rsid w:val="00E020B0"/>
    <w:rsid w:val="00E043F5"/>
    <w:rsid w:val="00E161E0"/>
    <w:rsid w:val="00E227A6"/>
    <w:rsid w:val="00E27FC5"/>
    <w:rsid w:val="00E30F01"/>
    <w:rsid w:val="00E3777D"/>
    <w:rsid w:val="00E3780A"/>
    <w:rsid w:val="00E50371"/>
    <w:rsid w:val="00E57663"/>
    <w:rsid w:val="00E601EE"/>
    <w:rsid w:val="00E619A6"/>
    <w:rsid w:val="00E6296C"/>
    <w:rsid w:val="00E63F73"/>
    <w:rsid w:val="00E7312A"/>
    <w:rsid w:val="00E7792B"/>
    <w:rsid w:val="00E80350"/>
    <w:rsid w:val="00E92F96"/>
    <w:rsid w:val="00E93F47"/>
    <w:rsid w:val="00EB10E2"/>
    <w:rsid w:val="00ED0954"/>
    <w:rsid w:val="00ED5D21"/>
    <w:rsid w:val="00EE6AEF"/>
    <w:rsid w:val="00EF58AF"/>
    <w:rsid w:val="00F12F07"/>
    <w:rsid w:val="00F135D0"/>
    <w:rsid w:val="00F22F93"/>
    <w:rsid w:val="00F27FFE"/>
    <w:rsid w:val="00F31C56"/>
    <w:rsid w:val="00F33A28"/>
    <w:rsid w:val="00F3770C"/>
    <w:rsid w:val="00F61CB7"/>
    <w:rsid w:val="00F652C3"/>
    <w:rsid w:val="00F65448"/>
    <w:rsid w:val="00F73CBA"/>
    <w:rsid w:val="00F8433C"/>
    <w:rsid w:val="00F87E13"/>
    <w:rsid w:val="00FB5BF8"/>
    <w:rsid w:val="00FB6B97"/>
    <w:rsid w:val="00FD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03272"/>
  <w15:docId w15:val="{E758F26D-4D54-4AD0-866D-CE634F39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D68C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5F5F5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5B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1"/>
  </w:style>
  <w:style w:type="paragraph" w:styleId="Footer">
    <w:name w:val="footer"/>
    <w:basedOn w:val="Normal"/>
    <w:link w:val="FooterChar"/>
    <w:uiPriority w:val="99"/>
    <w:unhideWhenUsed/>
    <w:rsid w:val="005B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1"/>
  </w:style>
  <w:style w:type="paragraph" w:styleId="BalloonText">
    <w:name w:val="Balloon Text"/>
    <w:basedOn w:val="Normal"/>
    <w:link w:val="BalloonTextChar"/>
    <w:uiPriority w:val="99"/>
    <w:semiHidden/>
    <w:unhideWhenUsed/>
    <w:rsid w:val="0025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B6"/>
    <w:rPr>
      <w:rFonts w:ascii="Tahoma" w:hAnsi="Tahoma" w:cs="Tahoma"/>
      <w:sz w:val="16"/>
      <w:szCs w:val="16"/>
    </w:rPr>
  </w:style>
  <w:style w:type="paragraph" w:styleId="BlockText">
    <w:name w:val="Block Text"/>
    <w:basedOn w:val="Normal"/>
    <w:rsid w:val="00D67CB4"/>
    <w:pPr>
      <w:spacing w:after="0" w:line="240" w:lineRule="auto"/>
      <w:ind w:left="1440" w:right="1440"/>
    </w:pPr>
    <w:rPr>
      <w:rFonts w:ascii="Times New Roman" w:eastAsia="Times New Roman" w:hAnsi="Times New Roman" w:cs="Times New Roman"/>
      <w:sz w:val="24"/>
      <w:szCs w:val="20"/>
    </w:rPr>
  </w:style>
  <w:style w:type="paragraph" w:styleId="NormalWeb">
    <w:name w:val="Normal (Web)"/>
    <w:basedOn w:val="Normal"/>
    <w:uiPriority w:val="99"/>
    <w:unhideWhenUsed/>
    <w:rsid w:val="00816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D68CE"/>
    <w:rPr>
      <w:rFonts w:asciiTheme="majorHAnsi" w:eastAsiaTheme="majorEastAsia" w:hAnsiTheme="majorHAnsi" w:cstheme="majorBidi"/>
      <w:color w:val="A5A5A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313773">
      <w:bodyDiv w:val="1"/>
      <w:marLeft w:val="0"/>
      <w:marRight w:val="0"/>
      <w:marTop w:val="0"/>
      <w:marBottom w:val="0"/>
      <w:divBdr>
        <w:top w:val="none" w:sz="0" w:space="0" w:color="auto"/>
        <w:left w:val="none" w:sz="0" w:space="0" w:color="auto"/>
        <w:bottom w:val="none" w:sz="0" w:space="0" w:color="auto"/>
        <w:right w:val="none" w:sz="0" w:space="0" w:color="auto"/>
      </w:divBdr>
      <w:divsChild>
        <w:div w:id="1386685227">
          <w:marLeft w:val="0"/>
          <w:marRight w:val="0"/>
          <w:marTop w:val="0"/>
          <w:marBottom w:val="0"/>
          <w:divBdr>
            <w:top w:val="none" w:sz="0" w:space="0" w:color="auto"/>
            <w:left w:val="none" w:sz="0" w:space="0" w:color="auto"/>
            <w:bottom w:val="none" w:sz="0" w:space="0" w:color="auto"/>
            <w:right w:val="none" w:sz="0" w:space="0" w:color="auto"/>
          </w:divBdr>
          <w:divsChild>
            <w:div w:id="1350788636">
              <w:marLeft w:val="0"/>
              <w:marRight w:val="0"/>
              <w:marTop w:val="0"/>
              <w:marBottom w:val="0"/>
              <w:divBdr>
                <w:top w:val="none" w:sz="0" w:space="0" w:color="auto"/>
                <w:left w:val="none" w:sz="0" w:space="0" w:color="auto"/>
                <w:bottom w:val="none" w:sz="0" w:space="0" w:color="auto"/>
                <w:right w:val="none" w:sz="0" w:space="0" w:color="auto"/>
              </w:divBdr>
              <w:divsChild>
                <w:div w:id="1540169405">
                  <w:marLeft w:val="0"/>
                  <w:marRight w:val="0"/>
                  <w:marTop w:val="0"/>
                  <w:marBottom w:val="0"/>
                  <w:divBdr>
                    <w:top w:val="none" w:sz="0" w:space="0" w:color="auto"/>
                    <w:left w:val="none" w:sz="0" w:space="0" w:color="auto"/>
                    <w:bottom w:val="none" w:sz="0" w:space="0" w:color="auto"/>
                    <w:right w:val="none" w:sz="0" w:space="0" w:color="auto"/>
                  </w:divBdr>
                </w:div>
              </w:divsChild>
            </w:div>
            <w:div w:id="839930519">
              <w:marLeft w:val="0"/>
              <w:marRight w:val="0"/>
              <w:marTop w:val="0"/>
              <w:marBottom w:val="0"/>
              <w:divBdr>
                <w:top w:val="none" w:sz="0" w:space="0" w:color="auto"/>
                <w:left w:val="none" w:sz="0" w:space="0" w:color="auto"/>
                <w:bottom w:val="none" w:sz="0" w:space="0" w:color="auto"/>
                <w:right w:val="none" w:sz="0" w:space="0" w:color="auto"/>
              </w:divBdr>
              <w:divsChild>
                <w:div w:id="1728069217">
                  <w:marLeft w:val="0"/>
                  <w:marRight w:val="0"/>
                  <w:marTop w:val="0"/>
                  <w:marBottom w:val="0"/>
                  <w:divBdr>
                    <w:top w:val="none" w:sz="0" w:space="0" w:color="auto"/>
                    <w:left w:val="none" w:sz="0" w:space="0" w:color="auto"/>
                    <w:bottom w:val="none" w:sz="0" w:space="0" w:color="auto"/>
                    <w:right w:val="none" w:sz="0" w:space="0" w:color="auto"/>
                  </w:divBdr>
                </w:div>
              </w:divsChild>
            </w:div>
            <w:div w:id="2146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90989">
      <w:bodyDiv w:val="1"/>
      <w:marLeft w:val="0"/>
      <w:marRight w:val="0"/>
      <w:marTop w:val="0"/>
      <w:marBottom w:val="0"/>
      <w:divBdr>
        <w:top w:val="none" w:sz="0" w:space="0" w:color="auto"/>
        <w:left w:val="none" w:sz="0" w:space="0" w:color="auto"/>
        <w:bottom w:val="none" w:sz="0" w:space="0" w:color="auto"/>
        <w:right w:val="none" w:sz="0" w:space="0" w:color="auto"/>
      </w:divBdr>
    </w:div>
    <w:div w:id="1403528237">
      <w:bodyDiv w:val="1"/>
      <w:marLeft w:val="0"/>
      <w:marRight w:val="0"/>
      <w:marTop w:val="0"/>
      <w:marBottom w:val="0"/>
      <w:divBdr>
        <w:top w:val="none" w:sz="0" w:space="0" w:color="auto"/>
        <w:left w:val="none" w:sz="0" w:space="0" w:color="auto"/>
        <w:bottom w:val="none" w:sz="0" w:space="0" w:color="auto"/>
        <w:right w:val="none" w:sz="0" w:space="0" w:color="auto"/>
      </w:divBdr>
    </w:div>
    <w:div w:id="1540044275">
      <w:bodyDiv w:val="1"/>
      <w:marLeft w:val="0"/>
      <w:marRight w:val="0"/>
      <w:marTop w:val="0"/>
      <w:marBottom w:val="0"/>
      <w:divBdr>
        <w:top w:val="none" w:sz="0" w:space="0" w:color="auto"/>
        <w:left w:val="none" w:sz="0" w:space="0" w:color="auto"/>
        <w:bottom w:val="none" w:sz="0" w:space="0" w:color="auto"/>
        <w:right w:val="none" w:sz="0" w:space="0" w:color="auto"/>
      </w:divBdr>
    </w:div>
    <w:div w:id="1586302075">
      <w:bodyDiv w:val="1"/>
      <w:marLeft w:val="0"/>
      <w:marRight w:val="0"/>
      <w:marTop w:val="0"/>
      <w:marBottom w:val="0"/>
      <w:divBdr>
        <w:top w:val="none" w:sz="0" w:space="0" w:color="auto"/>
        <w:left w:val="none" w:sz="0" w:space="0" w:color="auto"/>
        <w:bottom w:val="none" w:sz="0" w:space="0" w:color="auto"/>
        <w:right w:val="none" w:sz="0" w:space="0" w:color="auto"/>
      </w:divBdr>
      <w:divsChild>
        <w:div w:id="281112046">
          <w:marLeft w:val="0"/>
          <w:marRight w:val="0"/>
          <w:marTop w:val="0"/>
          <w:marBottom w:val="0"/>
          <w:divBdr>
            <w:top w:val="none" w:sz="0" w:space="0" w:color="auto"/>
            <w:left w:val="none" w:sz="0" w:space="0" w:color="auto"/>
            <w:bottom w:val="none" w:sz="0" w:space="0" w:color="auto"/>
            <w:right w:val="none" w:sz="0" w:space="0" w:color="auto"/>
          </w:divBdr>
          <w:divsChild>
            <w:div w:id="1179655906">
              <w:marLeft w:val="0"/>
              <w:marRight w:val="0"/>
              <w:marTop w:val="0"/>
              <w:marBottom w:val="0"/>
              <w:divBdr>
                <w:top w:val="none" w:sz="0" w:space="0" w:color="auto"/>
                <w:left w:val="none" w:sz="0" w:space="0" w:color="auto"/>
                <w:bottom w:val="none" w:sz="0" w:space="0" w:color="auto"/>
                <w:right w:val="none" w:sz="0" w:space="0" w:color="auto"/>
              </w:divBdr>
              <w:divsChild>
                <w:div w:id="1267154780">
                  <w:marLeft w:val="0"/>
                  <w:marRight w:val="0"/>
                  <w:marTop w:val="0"/>
                  <w:marBottom w:val="0"/>
                  <w:divBdr>
                    <w:top w:val="none" w:sz="0" w:space="0" w:color="auto"/>
                    <w:left w:val="none" w:sz="0" w:space="0" w:color="auto"/>
                    <w:bottom w:val="none" w:sz="0" w:space="0" w:color="auto"/>
                    <w:right w:val="none" w:sz="0" w:space="0" w:color="auto"/>
                  </w:divBdr>
                </w:div>
              </w:divsChild>
            </w:div>
            <w:div w:id="316806514">
              <w:marLeft w:val="0"/>
              <w:marRight w:val="0"/>
              <w:marTop w:val="0"/>
              <w:marBottom w:val="0"/>
              <w:divBdr>
                <w:top w:val="none" w:sz="0" w:space="0" w:color="auto"/>
                <w:left w:val="none" w:sz="0" w:space="0" w:color="auto"/>
                <w:bottom w:val="none" w:sz="0" w:space="0" w:color="auto"/>
                <w:right w:val="none" w:sz="0" w:space="0" w:color="auto"/>
              </w:divBdr>
              <w:divsChild>
                <w:div w:id="1592543354">
                  <w:marLeft w:val="0"/>
                  <w:marRight w:val="0"/>
                  <w:marTop w:val="0"/>
                  <w:marBottom w:val="0"/>
                  <w:divBdr>
                    <w:top w:val="none" w:sz="0" w:space="0" w:color="auto"/>
                    <w:left w:val="none" w:sz="0" w:space="0" w:color="auto"/>
                    <w:bottom w:val="none" w:sz="0" w:space="0" w:color="auto"/>
                    <w:right w:val="none" w:sz="0" w:space="0" w:color="auto"/>
                  </w:divBdr>
                </w:div>
              </w:divsChild>
            </w:div>
            <w:div w:id="740449335">
              <w:marLeft w:val="0"/>
              <w:marRight w:val="0"/>
              <w:marTop w:val="0"/>
              <w:marBottom w:val="0"/>
              <w:divBdr>
                <w:top w:val="none" w:sz="0" w:space="0" w:color="auto"/>
                <w:left w:val="none" w:sz="0" w:space="0" w:color="auto"/>
                <w:bottom w:val="none" w:sz="0" w:space="0" w:color="auto"/>
                <w:right w:val="none" w:sz="0" w:space="0" w:color="auto"/>
              </w:divBdr>
              <w:divsChild>
                <w:div w:id="1415513990">
                  <w:marLeft w:val="0"/>
                  <w:marRight w:val="0"/>
                  <w:marTop w:val="0"/>
                  <w:marBottom w:val="0"/>
                  <w:divBdr>
                    <w:top w:val="none" w:sz="0" w:space="0" w:color="auto"/>
                    <w:left w:val="none" w:sz="0" w:space="0" w:color="auto"/>
                    <w:bottom w:val="none" w:sz="0" w:space="0" w:color="auto"/>
                    <w:right w:val="none" w:sz="0" w:space="0" w:color="auto"/>
                  </w:divBdr>
                </w:div>
              </w:divsChild>
            </w:div>
            <w:div w:id="14902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5EE8-F9A1-4663-AAD1-26B1D9BA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Colleen (ALA)</dc:creator>
  <cp:lastModifiedBy>Erlichman, Reece (ALA)</cp:lastModifiedBy>
  <cp:revision>2</cp:revision>
  <cp:lastPrinted>2017-01-09T20:56:00Z</cp:lastPrinted>
  <dcterms:created xsi:type="dcterms:W3CDTF">2021-02-10T17:28:00Z</dcterms:created>
  <dcterms:modified xsi:type="dcterms:W3CDTF">2021-02-10T17:28:00Z</dcterms:modified>
</cp:coreProperties>
</file>