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59F8F" w14:textId="77777777" w:rsidR="00E9703A" w:rsidRPr="001A5086" w:rsidRDefault="00E9703A" w:rsidP="00BF01D4">
      <w:pPr>
        <w:pStyle w:val="NoSpacing"/>
        <w:rPr>
          <w:bCs/>
        </w:rPr>
      </w:pPr>
    </w:p>
    <w:p w14:paraId="14FF6DCB" w14:textId="42C79F8B" w:rsidR="00957D05" w:rsidRPr="001A5086" w:rsidRDefault="00957D05" w:rsidP="00957D05">
      <w:pPr>
        <w:pStyle w:val="NoSpacing"/>
        <w:jc w:val="center"/>
        <w:rPr>
          <w:b/>
        </w:rPr>
      </w:pPr>
      <w:r w:rsidRPr="001A5086">
        <w:rPr>
          <w:b/>
        </w:rPr>
        <w:t>COMMONWEALTH OF MASSACHUSETTS</w:t>
      </w:r>
    </w:p>
    <w:p w14:paraId="2623B035" w14:textId="77777777" w:rsidR="00957D05" w:rsidRPr="001A5086" w:rsidRDefault="00957D05" w:rsidP="00957D05">
      <w:pPr>
        <w:pStyle w:val="NoSpacing"/>
        <w:jc w:val="center"/>
        <w:rPr>
          <w:b/>
        </w:rPr>
      </w:pPr>
      <w:r w:rsidRPr="001A5086">
        <w:rPr>
          <w:b/>
        </w:rPr>
        <w:t>DIVISION OF ADMINISTRATIVE LAW APPEALS</w:t>
      </w:r>
    </w:p>
    <w:p w14:paraId="422BA238" w14:textId="77777777" w:rsidR="00957D05" w:rsidRPr="001A5086" w:rsidRDefault="00957D05" w:rsidP="00957D05">
      <w:pPr>
        <w:pStyle w:val="NoSpacing"/>
        <w:jc w:val="center"/>
        <w:rPr>
          <w:b/>
        </w:rPr>
      </w:pPr>
      <w:r w:rsidRPr="001A5086">
        <w:rPr>
          <w:b/>
        </w:rPr>
        <w:t>BUREAU OF SPECIAL EDUCATION APPEALS</w:t>
      </w:r>
    </w:p>
    <w:p w14:paraId="1EFB0454" w14:textId="77777777" w:rsidR="00957D05" w:rsidRPr="001A5086" w:rsidRDefault="00957D05" w:rsidP="00957D05">
      <w:pPr>
        <w:pStyle w:val="NoSpacing"/>
        <w:jc w:val="center"/>
        <w:rPr>
          <w:b/>
        </w:rPr>
      </w:pPr>
    </w:p>
    <w:p w14:paraId="1EE1D705" w14:textId="77777777" w:rsidR="00957D05" w:rsidRPr="001A5086" w:rsidRDefault="00957D05" w:rsidP="00957D05">
      <w:pPr>
        <w:pStyle w:val="NoSpacing"/>
        <w:jc w:val="center"/>
      </w:pPr>
    </w:p>
    <w:p w14:paraId="59029FC0" w14:textId="77777777" w:rsidR="00957D05" w:rsidRPr="001A5086" w:rsidRDefault="00957D05" w:rsidP="00957D05">
      <w:pPr>
        <w:pStyle w:val="NoSpacing"/>
      </w:pPr>
      <w:r w:rsidRPr="001A5086">
        <w:t>In re:    Stewart</w:t>
      </w:r>
      <w:r w:rsidRPr="001A5086">
        <w:rPr>
          <w:rStyle w:val="FootnoteReference"/>
        </w:rPr>
        <w:footnoteReference w:id="1"/>
      </w:r>
      <w:r w:rsidRPr="001A5086">
        <w:tab/>
      </w:r>
      <w:r w:rsidRPr="001A5086">
        <w:tab/>
      </w:r>
      <w:r w:rsidRPr="001A5086">
        <w:tab/>
      </w:r>
      <w:r w:rsidRPr="001A5086">
        <w:tab/>
      </w:r>
      <w:r w:rsidRPr="001A5086">
        <w:tab/>
      </w:r>
      <w:r w:rsidRPr="001A5086">
        <w:tab/>
      </w:r>
      <w:r w:rsidRPr="001A5086">
        <w:tab/>
      </w:r>
      <w:r w:rsidRPr="001A5086">
        <w:tab/>
        <w:t>BSEA</w:t>
      </w:r>
      <w:r w:rsidRPr="001A5086">
        <w:rPr>
          <w:b/>
        </w:rPr>
        <w:t xml:space="preserve"> #</w:t>
      </w:r>
      <w:r w:rsidRPr="001A5086">
        <w:t>2101061</w:t>
      </w:r>
    </w:p>
    <w:p w14:paraId="54B766C9" w14:textId="77777777" w:rsidR="00957D05" w:rsidRPr="001A5086" w:rsidRDefault="00957D05" w:rsidP="00957D05">
      <w:pPr>
        <w:pStyle w:val="NoSpacing"/>
        <w:rPr>
          <w:b/>
        </w:rPr>
      </w:pPr>
    </w:p>
    <w:p w14:paraId="1AEF054A" w14:textId="30ED2EA7" w:rsidR="00957D05" w:rsidRPr="001A5086" w:rsidRDefault="00957D05" w:rsidP="00957D05">
      <w:pPr>
        <w:pStyle w:val="NoSpacing"/>
        <w:jc w:val="center"/>
        <w:rPr>
          <w:b/>
          <w:u w:val="single"/>
        </w:rPr>
      </w:pPr>
      <w:r w:rsidRPr="001A5086">
        <w:rPr>
          <w:b/>
          <w:u w:val="single"/>
        </w:rPr>
        <w:t xml:space="preserve">RULING ON PARENT’S MOTION TO SEQUESTER WITNESSES </w:t>
      </w:r>
    </w:p>
    <w:p w14:paraId="1623850D" w14:textId="6BB40907" w:rsidR="0052666D" w:rsidRPr="001A5086" w:rsidRDefault="0052666D" w:rsidP="00957D05">
      <w:pPr>
        <w:pStyle w:val="NoSpacing"/>
        <w:jc w:val="center"/>
        <w:rPr>
          <w:b/>
          <w:u w:val="single"/>
        </w:rPr>
      </w:pPr>
    </w:p>
    <w:p w14:paraId="771E32C5" w14:textId="639F177D" w:rsidR="0052666D" w:rsidRPr="001A5086" w:rsidRDefault="0052666D" w:rsidP="0052666D">
      <w:pPr>
        <w:pStyle w:val="NoSpacing"/>
        <w:ind w:firstLine="720"/>
      </w:pPr>
      <w:r w:rsidRPr="001A5086">
        <w:t xml:space="preserve">This matter comes before the Hearing Officer on </w:t>
      </w:r>
      <w:r w:rsidR="00033AB9">
        <w:t>Parent’s</w:t>
      </w:r>
      <w:r w:rsidRPr="001A5086">
        <w:t xml:space="preserve"> Motion to Sequester</w:t>
      </w:r>
      <w:r w:rsidR="00033AB9">
        <w:t xml:space="preserve"> Witnesses</w:t>
      </w:r>
      <w:r w:rsidRPr="001A5086">
        <w:t xml:space="preserve"> </w:t>
      </w:r>
      <w:r w:rsidR="00796BD8">
        <w:t>during</w:t>
      </w:r>
      <w:r w:rsidRPr="001A5086">
        <w:t xml:space="preserve"> a hearing scheduled to begin on </w:t>
      </w:r>
      <w:r w:rsidR="00BF3520" w:rsidRPr="001A5086">
        <w:t>May 11, 2021</w:t>
      </w:r>
      <w:r w:rsidRPr="001A5086">
        <w:t>.</w:t>
      </w:r>
      <w:r w:rsidR="00057E42">
        <w:rPr>
          <w:rStyle w:val="FootnoteReference"/>
        </w:rPr>
        <w:footnoteReference w:id="2"/>
      </w:r>
      <w:r w:rsidRPr="001A5086">
        <w:t xml:space="preserve"> Parent filed the instant Motion on </w:t>
      </w:r>
      <w:r w:rsidR="00BF3520" w:rsidRPr="001A5086">
        <w:t>January</w:t>
      </w:r>
      <w:r w:rsidRPr="001A5086">
        <w:t xml:space="preserve"> </w:t>
      </w:r>
      <w:r w:rsidR="00BF3520" w:rsidRPr="001A5086">
        <w:t>2</w:t>
      </w:r>
      <w:r w:rsidRPr="001A5086">
        <w:t xml:space="preserve">8, </w:t>
      </w:r>
      <w:r w:rsidR="00BF3520" w:rsidRPr="001A5086">
        <w:t>2021</w:t>
      </w:r>
      <w:r w:rsidR="00CA3F33" w:rsidRPr="001A5086">
        <w:t xml:space="preserve"> and requested a hearing on </w:t>
      </w:r>
      <w:r w:rsidR="00033AB9">
        <w:t>it</w:t>
      </w:r>
      <w:r w:rsidR="00CA3F33" w:rsidRPr="001A5086">
        <w:t>.</w:t>
      </w:r>
      <w:r w:rsidRPr="001A5086">
        <w:t xml:space="preserve"> </w:t>
      </w:r>
      <w:r w:rsidR="00CA3F33" w:rsidRPr="001A5086">
        <w:t>To date</w:t>
      </w:r>
      <w:r w:rsidR="00BF3520" w:rsidRPr="001A5086">
        <w:t xml:space="preserve">, </w:t>
      </w:r>
      <w:r w:rsidR="009639DF">
        <w:t>Acton-Boxborough Regional School District (</w:t>
      </w:r>
      <w:r w:rsidR="00806940">
        <w:t>ABRSD</w:t>
      </w:r>
      <w:r w:rsidR="009639DF">
        <w:t xml:space="preserve"> or the District)</w:t>
      </w:r>
      <w:r w:rsidRPr="001A5086">
        <w:t xml:space="preserve"> </w:t>
      </w:r>
      <w:r w:rsidR="00E72039" w:rsidRPr="001A5086">
        <w:t xml:space="preserve">has not </w:t>
      </w:r>
      <w:r w:rsidR="00033AB9">
        <w:t>responded</w:t>
      </w:r>
      <w:r w:rsidR="00033AB9" w:rsidRPr="00751FBE">
        <w:t>.</w:t>
      </w:r>
      <w:r w:rsidR="00C25671" w:rsidRPr="00751FBE">
        <w:rPr>
          <w:rStyle w:val="FootnoteReference"/>
        </w:rPr>
        <w:footnoteReference w:id="3"/>
      </w:r>
      <w:r w:rsidR="00751FBE">
        <w:t xml:space="preserve"> As </w:t>
      </w:r>
      <w:r w:rsidR="00D22F85" w:rsidRPr="001A5086">
        <w:t xml:space="preserve">oral argument would not advance my understanding of the issues involved, </w:t>
      </w:r>
      <w:r w:rsidR="00CA3F33" w:rsidRPr="001A5086">
        <w:t xml:space="preserve">I </w:t>
      </w:r>
      <w:r w:rsidR="00BA6D39" w:rsidRPr="001A5086">
        <w:t xml:space="preserve">am ruling </w:t>
      </w:r>
      <w:r w:rsidR="00E35A45" w:rsidRPr="001A5086">
        <w:t xml:space="preserve">on Parent’s </w:t>
      </w:r>
      <w:r w:rsidR="00E35A45" w:rsidRPr="001A5086">
        <w:rPr>
          <w:i/>
          <w:iCs/>
        </w:rPr>
        <w:t>Motion to Sequester Witnesses</w:t>
      </w:r>
      <w:r w:rsidR="00E35A45" w:rsidRPr="001A5086">
        <w:t xml:space="preserve"> </w:t>
      </w:r>
      <w:r w:rsidR="00BA6D39" w:rsidRPr="001A5086">
        <w:t>without</w:t>
      </w:r>
      <w:r w:rsidR="00E35A45" w:rsidRPr="001A5086">
        <w:t xml:space="preserve"> </w:t>
      </w:r>
      <w:r w:rsidR="00BA6D39" w:rsidRPr="001A5086">
        <w:t>a hearing.</w:t>
      </w:r>
      <w:r w:rsidR="00BA6D39" w:rsidRPr="001A5086">
        <w:rPr>
          <w:rStyle w:val="FootnoteReference"/>
        </w:rPr>
        <w:footnoteReference w:id="4"/>
      </w:r>
      <w:r w:rsidR="00BA6D39" w:rsidRPr="001A5086">
        <w:t xml:space="preserve"> </w:t>
      </w:r>
      <w:r w:rsidRPr="001A5086">
        <w:t xml:space="preserve">For the reasons below, Parent’s Motion is hereby </w:t>
      </w:r>
      <w:r w:rsidR="00E72039" w:rsidRPr="005A3805">
        <w:t>ALLOWED in part and DENIED in part</w:t>
      </w:r>
      <w:r w:rsidRPr="005A3805">
        <w:t>.</w:t>
      </w:r>
    </w:p>
    <w:p w14:paraId="5C8EA008" w14:textId="268BA643" w:rsidR="0052666D" w:rsidRDefault="0052666D" w:rsidP="0052666D">
      <w:pPr>
        <w:pStyle w:val="NoSpacing"/>
      </w:pPr>
    </w:p>
    <w:p w14:paraId="56761A33" w14:textId="77777777" w:rsidR="00AD082A" w:rsidRPr="001A5086" w:rsidRDefault="00AD082A" w:rsidP="0052666D">
      <w:pPr>
        <w:pStyle w:val="NoSpacing"/>
      </w:pPr>
    </w:p>
    <w:p w14:paraId="01C5A6D1" w14:textId="521BEBEB" w:rsidR="00914685" w:rsidRPr="001A5086" w:rsidRDefault="00914685" w:rsidP="00914685">
      <w:pPr>
        <w:pStyle w:val="NoSpacing"/>
        <w:numPr>
          <w:ilvl w:val="0"/>
          <w:numId w:val="4"/>
        </w:numPr>
      </w:pPr>
      <w:r w:rsidRPr="001A5086">
        <w:t>FACTUAL BACKGROUND AND PROCEDURAL HISTORY</w:t>
      </w:r>
    </w:p>
    <w:p w14:paraId="143688CA" w14:textId="0B2A6EE0" w:rsidR="00914685" w:rsidRPr="001A5086" w:rsidRDefault="00914685" w:rsidP="00914685">
      <w:pPr>
        <w:pStyle w:val="NoSpacing"/>
      </w:pPr>
    </w:p>
    <w:p w14:paraId="700792C2" w14:textId="5C5DD927" w:rsidR="00AE5CD7" w:rsidRPr="001A5086" w:rsidRDefault="00AE5CD7" w:rsidP="00280351">
      <w:pPr>
        <w:pStyle w:val="NoSpacing"/>
        <w:ind w:firstLine="720"/>
        <w:rPr>
          <w:b/>
          <w:u w:val="single"/>
        </w:rPr>
      </w:pPr>
      <w:r w:rsidRPr="001A5086">
        <w:t xml:space="preserve">The factual background and procedural history of this matter </w:t>
      </w:r>
      <w:r w:rsidR="00033AB9">
        <w:t>have</w:t>
      </w:r>
      <w:r w:rsidR="00033AB9" w:rsidRPr="001A5086">
        <w:t xml:space="preserve"> </w:t>
      </w:r>
      <w:r w:rsidRPr="001A5086">
        <w:t xml:space="preserve">been described in detail in my previous published Rulings, including my </w:t>
      </w:r>
      <w:r w:rsidRPr="001A5086">
        <w:rPr>
          <w:bCs/>
          <w:i/>
          <w:iCs/>
        </w:rPr>
        <w:t>Ruling on Parent’s Motion to Consolidate</w:t>
      </w:r>
      <w:r w:rsidRPr="001A5086">
        <w:rPr>
          <w:bCs/>
        </w:rPr>
        <w:t xml:space="preserve">, issued </w:t>
      </w:r>
      <w:r w:rsidRPr="001A5086">
        <w:t xml:space="preserve">December 23, 2020, and my </w:t>
      </w:r>
      <w:r w:rsidRPr="001A5086">
        <w:rPr>
          <w:i/>
          <w:iCs/>
        </w:rPr>
        <w:t xml:space="preserve">Ruling on Acton-Boxborough Regional School District’s Partial Motion to Dismiss and Parent’s Motion to Join the Town of </w:t>
      </w:r>
      <w:r w:rsidRPr="00033AB9">
        <w:rPr>
          <w:i/>
          <w:iCs/>
        </w:rPr>
        <w:t>Acton</w:t>
      </w:r>
      <w:r w:rsidRPr="001A5086">
        <w:t xml:space="preserve">, issued March 12, 2021. I need not repeat </w:t>
      </w:r>
      <w:r w:rsidR="008D2002">
        <w:t>them</w:t>
      </w:r>
      <w:r w:rsidRPr="001A5086">
        <w:t xml:space="preserve"> here.</w:t>
      </w:r>
    </w:p>
    <w:p w14:paraId="75EC3168" w14:textId="77777777" w:rsidR="00914685" w:rsidRPr="001A5086" w:rsidRDefault="00914685" w:rsidP="00914685">
      <w:pPr>
        <w:pStyle w:val="NoSpacing"/>
      </w:pPr>
    </w:p>
    <w:p w14:paraId="792055E3" w14:textId="065B3C5C" w:rsidR="005223AC" w:rsidRPr="001A5086" w:rsidRDefault="0052666D" w:rsidP="0052666D">
      <w:pPr>
        <w:pStyle w:val="NoSpacing"/>
      </w:pPr>
      <w:r w:rsidRPr="001A5086">
        <w:tab/>
      </w:r>
      <w:r w:rsidR="00AE5CD7" w:rsidRPr="001A5086">
        <w:t xml:space="preserve">On January 28, 2021, Parent filed a </w:t>
      </w:r>
      <w:r w:rsidR="00AE5CD7" w:rsidRPr="001A5086">
        <w:rPr>
          <w:i/>
          <w:iCs/>
        </w:rPr>
        <w:t>Motion to Sequester Witnesses</w:t>
      </w:r>
      <w:r w:rsidR="00AE5CD7" w:rsidRPr="001A5086">
        <w:t xml:space="preserve"> claiming, in part, that sequestration is necessary to </w:t>
      </w:r>
      <w:r w:rsidR="00580839" w:rsidRPr="001A5086">
        <w:t>prevent witnesses who may be subject to future federal claims</w:t>
      </w:r>
      <w:r w:rsidR="005A3805">
        <w:t xml:space="preserve">—regarding </w:t>
      </w:r>
      <w:r w:rsidR="00747EBE">
        <w:t xml:space="preserve">the alleged bullying of Stewart, his “forced hospitalization,” Parent’s arrest, the involvement of the </w:t>
      </w:r>
      <w:r w:rsidR="008D2002">
        <w:t>School</w:t>
      </w:r>
      <w:r w:rsidR="00747EBE">
        <w:t xml:space="preserve"> Resource Officer (SRO)</w:t>
      </w:r>
      <w:r w:rsidR="00CD6EC5">
        <w:t>, and the allegedly retaliatory assignment of a 1:1 aide to Stewart</w:t>
      </w:r>
      <w:r w:rsidR="005A3805">
        <w:t xml:space="preserve">—from </w:t>
      </w:r>
      <w:r w:rsidR="00580839" w:rsidRPr="001A5086">
        <w:t xml:space="preserve">tailoring their testimony in an effort to avoid liability for said claims. </w:t>
      </w:r>
      <w:r w:rsidR="00CD6EC5">
        <w:t xml:space="preserve">In her Motion, </w:t>
      </w:r>
      <w:r w:rsidR="000A5FF3" w:rsidRPr="001A5086">
        <w:t xml:space="preserve">Parent </w:t>
      </w:r>
      <w:r w:rsidR="00CD6EC5">
        <w:t>referenced</w:t>
      </w:r>
      <w:r w:rsidR="00CD6EC5" w:rsidRPr="001A5086">
        <w:t xml:space="preserve"> </w:t>
      </w:r>
      <w:r w:rsidR="006B676C" w:rsidRPr="001A5086">
        <w:t xml:space="preserve">her intent to seek damages </w:t>
      </w:r>
      <w:r w:rsidR="00C601E4">
        <w:t xml:space="preserve">in </w:t>
      </w:r>
      <w:r w:rsidR="000A5FF3" w:rsidRPr="001A5086">
        <w:t>federal court against the District, the Town of Acton</w:t>
      </w:r>
      <w:r w:rsidR="004274EF">
        <w:t xml:space="preserve"> (Town or Acton)</w:t>
      </w:r>
      <w:r w:rsidR="000A5FF3" w:rsidRPr="001A5086">
        <w:t xml:space="preserve">, and </w:t>
      </w:r>
      <w:r w:rsidR="00A25794" w:rsidRPr="001A5086">
        <w:t>some</w:t>
      </w:r>
      <w:r w:rsidR="00C25671">
        <w:t xml:space="preserve"> </w:t>
      </w:r>
      <w:r w:rsidR="00DF1220">
        <w:t xml:space="preserve">of the </w:t>
      </w:r>
      <w:r w:rsidR="00C601E4">
        <w:t>witnesses</w:t>
      </w:r>
      <w:r w:rsidR="00A25794" w:rsidRPr="001A5086">
        <w:t xml:space="preserve"> </w:t>
      </w:r>
      <w:r w:rsidR="00A25794" w:rsidRPr="00DF1220">
        <w:t>in an individual capacity</w:t>
      </w:r>
      <w:r w:rsidR="006B676C" w:rsidRPr="001A5086">
        <w:rPr>
          <w:b/>
          <w:bCs/>
        </w:rPr>
        <w:t xml:space="preserve"> </w:t>
      </w:r>
      <w:r w:rsidR="006B676C" w:rsidRPr="001A5086">
        <w:t xml:space="preserve">after she has exhausted administrative remedies </w:t>
      </w:r>
      <w:r w:rsidR="009D34AD">
        <w:t>at</w:t>
      </w:r>
      <w:r w:rsidR="009D34AD" w:rsidRPr="001A5086">
        <w:t xml:space="preserve"> </w:t>
      </w:r>
      <w:r w:rsidR="006B676C" w:rsidRPr="001A5086">
        <w:t xml:space="preserve">the </w:t>
      </w:r>
      <w:r w:rsidR="009D34AD">
        <w:t>Bureau of Special Education Appeals (BSEA)</w:t>
      </w:r>
      <w:r w:rsidR="006B676C" w:rsidRPr="001A5086">
        <w:t xml:space="preserve">. </w:t>
      </w:r>
      <w:r w:rsidR="005223AC" w:rsidRPr="001A5086">
        <w:lastRenderedPageBreak/>
        <w:t xml:space="preserve">Parent further asserts that the media attention surrounding the January 9, 2020 incident </w:t>
      </w:r>
      <w:r w:rsidR="0011789F" w:rsidRPr="001A5086">
        <w:t xml:space="preserve">(January incident) </w:t>
      </w:r>
      <w:r w:rsidR="005223AC" w:rsidRPr="001A5086">
        <w:t xml:space="preserve">creates </w:t>
      </w:r>
      <w:r w:rsidR="0046100B">
        <w:t xml:space="preserve">an </w:t>
      </w:r>
      <w:r w:rsidR="005223AC" w:rsidRPr="001A5086">
        <w:t xml:space="preserve">additional </w:t>
      </w:r>
      <w:r w:rsidR="00DF1220">
        <w:t>incentive</w:t>
      </w:r>
      <w:r w:rsidR="005223AC" w:rsidRPr="001A5086">
        <w:t xml:space="preserve"> for the District to </w:t>
      </w:r>
      <w:r w:rsidR="00C601E4">
        <w:t>ensure</w:t>
      </w:r>
      <w:r w:rsidR="00720AE1" w:rsidRPr="001A5086">
        <w:t xml:space="preserve"> consistent testimony at hearing. </w:t>
      </w:r>
    </w:p>
    <w:p w14:paraId="5A24A0CC" w14:textId="77777777" w:rsidR="005223AC" w:rsidRPr="001A5086" w:rsidRDefault="005223AC" w:rsidP="005223AC">
      <w:pPr>
        <w:pStyle w:val="NoSpacing"/>
        <w:ind w:firstLine="720"/>
      </w:pPr>
    </w:p>
    <w:p w14:paraId="7D6317DA" w14:textId="5023EC15" w:rsidR="001A5086" w:rsidRDefault="006B676C" w:rsidP="005223AC">
      <w:pPr>
        <w:pStyle w:val="NoSpacing"/>
        <w:ind w:firstLine="720"/>
      </w:pPr>
      <w:r w:rsidRPr="001A5086">
        <w:t xml:space="preserve">To support her allegation that </w:t>
      </w:r>
      <w:r w:rsidR="001651A2">
        <w:t>in the absence of sequestration, witnesses will tailor testimony improperly</w:t>
      </w:r>
      <w:r w:rsidRPr="001A5086">
        <w:t xml:space="preserve">, Parent </w:t>
      </w:r>
      <w:r w:rsidR="005223AC" w:rsidRPr="001A5086">
        <w:t>adduces</w:t>
      </w:r>
      <w:r w:rsidRPr="001A5086">
        <w:t xml:space="preserve"> </w:t>
      </w:r>
      <w:r w:rsidR="00720AE1" w:rsidRPr="001A5086">
        <w:t xml:space="preserve">two new pieces of </w:t>
      </w:r>
      <w:r w:rsidR="005223AC" w:rsidRPr="001A5086">
        <w:t>evidence</w:t>
      </w:r>
      <w:r w:rsidR="001651A2">
        <w:t>:</w:t>
      </w:r>
      <w:r w:rsidR="005223AC" w:rsidRPr="001A5086">
        <w:t xml:space="preserve"> </w:t>
      </w:r>
      <w:r w:rsidR="0011789F" w:rsidRPr="001A5086">
        <w:t>a</w:t>
      </w:r>
      <w:r w:rsidR="00BB7894" w:rsidRPr="001A5086">
        <w:t xml:space="preserve">n excerpt from a </w:t>
      </w:r>
      <w:r w:rsidR="0011789F" w:rsidRPr="001A5086">
        <w:t>police report noting a</w:t>
      </w:r>
      <w:r w:rsidR="00720AE1" w:rsidRPr="001A5086">
        <w:t xml:space="preserve"> </w:t>
      </w:r>
      <w:r w:rsidR="00BB7894" w:rsidRPr="001A5086">
        <w:t xml:space="preserve">subsequent </w:t>
      </w:r>
      <w:r w:rsidR="005223AC" w:rsidRPr="001A5086">
        <w:t>conversation</w:t>
      </w:r>
      <w:r w:rsidR="0011789F" w:rsidRPr="001A5086">
        <w:t xml:space="preserve"> between </w:t>
      </w:r>
      <w:r w:rsidR="00DF1220">
        <w:t xml:space="preserve">the District and </w:t>
      </w:r>
      <w:r w:rsidR="005223AC" w:rsidRPr="001A5086">
        <w:t xml:space="preserve">the Acton Police Department (APD) </w:t>
      </w:r>
      <w:r w:rsidR="00720AE1" w:rsidRPr="001A5086">
        <w:t>about</w:t>
      </w:r>
      <w:r w:rsidR="005223AC" w:rsidRPr="001A5086">
        <w:t xml:space="preserve"> the January incident,</w:t>
      </w:r>
      <w:r w:rsidR="005223AC" w:rsidRPr="001A5086">
        <w:rPr>
          <w:rStyle w:val="FootnoteReference"/>
        </w:rPr>
        <w:footnoteReference w:id="5"/>
      </w:r>
      <w:r w:rsidR="005223AC" w:rsidRPr="001A5086">
        <w:t xml:space="preserve"> and</w:t>
      </w:r>
      <w:r w:rsidR="0011789F" w:rsidRPr="001A5086">
        <w:t xml:space="preserve"> </w:t>
      </w:r>
      <w:r w:rsidR="00BB7894" w:rsidRPr="001A5086">
        <w:t xml:space="preserve">an excerpt from an investigative report that notes a District employee’s disagreement with </w:t>
      </w:r>
      <w:r w:rsidR="001651A2">
        <w:t>the APD’s portrayal of</w:t>
      </w:r>
      <w:r w:rsidR="001651A2" w:rsidRPr="001A5086">
        <w:t xml:space="preserve"> </w:t>
      </w:r>
      <w:r w:rsidR="00BB7894" w:rsidRPr="001A5086">
        <w:t>the January incident.</w:t>
      </w:r>
      <w:r w:rsidR="00BB7894" w:rsidRPr="001A5086">
        <w:rPr>
          <w:rStyle w:val="FootnoteReference"/>
        </w:rPr>
        <w:footnoteReference w:id="6"/>
      </w:r>
      <w:r w:rsidR="00280351" w:rsidRPr="001A5086">
        <w:t xml:space="preserve"> </w:t>
      </w:r>
    </w:p>
    <w:p w14:paraId="074A5875" w14:textId="42D61696" w:rsidR="001A5086" w:rsidRDefault="001A5086" w:rsidP="005223AC">
      <w:pPr>
        <w:pStyle w:val="NoSpacing"/>
        <w:ind w:firstLine="720"/>
      </w:pPr>
    </w:p>
    <w:p w14:paraId="2A2D4A64" w14:textId="77777777" w:rsidR="00AD082A" w:rsidRDefault="00AD082A" w:rsidP="005223AC">
      <w:pPr>
        <w:pStyle w:val="NoSpacing"/>
        <w:ind w:firstLine="720"/>
      </w:pPr>
    </w:p>
    <w:p w14:paraId="42E71892" w14:textId="0BD809C5" w:rsidR="00A25794" w:rsidRDefault="001A5086" w:rsidP="0052666D">
      <w:pPr>
        <w:pStyle w:val="NoSpacing"/>
        <w:numPr>
          <w:ilvl w:val="0"/>
          <w:numId w:val="4"/>
        </w:numPr>
      </w:pPr>
      <w:r>
        <w:t xml:space="preserve">DISCUSSION </w:t>
      </w:r>
      <w:r w:rsidR="00280351" w:rsidRPr="001A5086">
        <w:t xml:space="preserve"> </w:t>
      </w:r>
    </w:p>
    <w:p w14:paraId="79FB8BFA" w14:textId="77777777" w:rsidR="00AD082A" w:rsidRPr="001A5086" w:rsidRDefault="00AD082A" w:rsidP="00AD082A">
      <w:pPr>
        <w:pStyle w:val="NoSpacing"/>
        <w:ind w:left="1080"/>
      </w:pPr>
    </w:p>
    <w:p w14:paraId="5C256C0C" w14:textId="77777777" w:rsidR="001A5086" w:rsidRPr="001A5086" w:rsidRDefault="001A5086" w:rsidP="001A5086">
      <w:pPr>
        <w:pStyle w:val="ListParagraph"/>
        <w:numPr>
          <w:ilvl w:val="1"/>
          <w:numId w:val="7"/>
        </w:numPr>
      </w:pPr>
      <w:r w:rsidRPr="001A5086">
        <w:rPr>
          <w:u w:val="single"/>
        </w:rPr>
        <w:t>Standard for Ruling on Motion to Sequester Witnesses</w:t>
      </w:r>
    </w:p>
    <w:p w14:paraId="22AEF349" w14:textId="77777777" w:rsidR="001A5086" w:rsidRPr="001A5086" w:rsidRDefault="001A5086" w:rsidP="001A5086">
      <w:pPr>
        <w:pStyle w:val="NoSpacing"/>
        <w:ind w:firstLine="720"/>
      </w:pPr>
    </w:p>
    <w:p w14:paraId="444F9EB2" w14:textId="7E379E1B" w:rsidR="00D328F6" w:rsidRDefault="001A5086" w:rsidP="001A5086">
      <w:pPr>
        <w:pStyle w:val="NoSpacing"/>
        <w:ind w:firstLine="720"/>
      </w:pPr>
      <w:r w:rsidRPr="009A6D6E">
        <w:t>Although the Federal Rules of Evidence provide for the sequestration of witnesses in federal court upon request, with certain exceptions,</w:t>
      </w:r>
      <w:r w:rsidRPr="009A6D6E">
        <w:rPr>
          <w:rStyle w:val="FootnoteReference"/>
        </w:rPr>
        <w:footnoteReference w:id="7"/>
      </w:r>
      <w:r w:rsidRPr="009A6D6E">
        <w:t xml:space="preserve"> these Rules do not apply to </w:t>
      </w:r>
      <w:r w:rsidR="001651A2">
        <w:t xml:space="preserve">BSEA </w:t>
      </w:r>
      <w:r w:rsidRPr="009A6D6E">
        <w:t>proceedings.</w:t>
      </w:r>
      <w:r w:rsidRPr="009A6D6E">
        <w:rPr>
          <w:rStyle w:val="FootnoteReference"/>
        </w:rPr>
        <w:footnoteReference w:id="8"/>
      </w:r>
      <w:r w:rsidRPr="009A6D6E">
        <w:t xml:space="preserve"> Massachusetts state courts leave the decision whether to sequester witnesses within the discretion of the trial court judge.</w:t>
      </w:r>
      <w:r w:rsidRPr="009A6D6E">
        <w:rPr>
          <w:rStyle w:val="FootnoteReference"/>
        </w:rPr>
        <w:footnoteReference w:id="9"/>
      </w:r>
      <w:r w:rsidRPr="009A6D6E">
        <w:t xml:space="preserve"> Neither the BSEA Hearing Rules nor state regulations governing administrative hearings address the issue,</w:t>
      </w:r>
      <w:r w:rsidR="00D30BAC" w:rsidRPr="009A6D6E">
        <w:rPr>
          <w:rStyle w:val="FootnoteReference"/>
        </w:rPr>
        <w:footnoteReference w:id="10"/>
      </w:r>
      <w:r w:rsidRPr="009A6D6E">
        <w:t xml:space="preserve"> though BSEA Hearing Officers have held that Hearing Officers have the discretion to sequester witnesses upon a determination that it is necessary to do so to “conduct a fair hearing.”</w:t>
      </w:r>
      <w:r w:rsidRPr="009A6D6E">
        <w:rPr>
          <w:rStyle w:val="FootnoteReference"/>
        </w:rPr>
        <w:footnoteReference w:id="11"/>
      </w:r>
      <w:r w:rsidRPr="009A6D6E">
        <w:t xml:space="preserve"> </w:t>
      </w:r>
      <w:r w:rsidR="00BE5C9A">
        <w:t>Because sequestration is the exception, not the rule</w:t>
      </w:r>
      <w:r w:rsidR="0020216F">
        <w:t>,</w:t>
      </w:r>
      <w:r w:rsidR="00BE5C9A">
        <w:t xml:space="preserve"> Parent</w:t>
      </w:r>
      <w:r w:rsidR="0020216F">
        <w:t>,</w:t>
      </w:r>
      <w:r w:rsidR="00BE5C9A">
        <w:t xml:space="preserve"> as the moving party, bears the burden of establishing that departure from “past practice and settled expectations permitting all interested and/or affected individuals to participate in special education due process proceedings” is necessary in the instant matter to ensure a fair hearing.</w:t>
      </w:r>
      <w:r w:rsidR="00BE5C9A">
        <w:rPr>
          <w:rStyle w:val="FootnoteReference"/>
        </w:rPr>
        <w:footnoteReference w:id="12"/>
      </w:r>
      <w:r w:rsidR="00BE5C9A">
        <w:t xml:space="preserve"> </w:t>
      </w:r>
    </w:p>
    <w:p w14:paraId="36B96772" w14:textId="77777777" w:rsidR="00796BD8" w:rsidRDefault="00796BD8" w:rsidP="001A5086">
      <w:pPr>
        <w:pStyle w:val="NoSpacing"/>
        <w:ind w:firstLine="720"/>
      </w:pPr>
    </w:p>
    <w:p w14:paraId="3CA505A0" w14:textId="6C3D60A0" w:rsidR="009C60A5" w:rsidRDefault="004D1AA2" w:rsidP="001A5086">
      <w:pPr>
        <w:pStyle w:val="NoSpacing"/>
        <w:ind w:firstLine="720"/>
      </w:pPr>
      <w:r>
        <w:lastRenderedPageBreak/>
        <w:t xml:space="preserve">To determine whether Parent has met her burden, I </w:t>
      </w:r>
      <w:r w:rsidR="00796BD8">
        <w:t>consider</w:t>
      </w:r>
      <w:r>
        <w:t xml:space="preserve"> the six factors</w:t>
      </w:r>
      <w:r w:rsidR="00131B27">
        <w:t xml:space="preserve"> set forth by</w:t>
      </w:r>
      <w:r w:rsidR="00131B27" w:rsidRPr="00086B78">
        <w:t xml:space="preserve"> </w:t>
      </w:r>
      <w:r w:rsidR="00927EC4">
        <w:t xml:space="preserve">the </w:t>
      </w:r>
      <w:r w:rsidR="00131B27">
        <w:t xml:space="preserve">United States Court of Appeals for the Second Circuit </w:t>
      </w:r>
      <w:r w:rsidR="00D328F6">
        <w:t xml:space="preserve">in </w:t>
      </w:r>
      <w:r w:rsidR="00131B27" w:rsidRPr="009C60A5">
        <w:rPr>
          <w:i/>
          <w:iCs/>
        </w:rPr>
        <w:t>U.S. v. Jackson</w:t>
      </w:r>
      <w:r w:rsidR="00796BD8">
        <w:rPr>
          <w:i/>
          <w:iCs/>
        </w:rPr>
        <w:t>,</w:t>
      </w:r>
      <w:r w:rsidR="00131B27" w:rsidRPr="00D328F6">
        <w:rPr>
          <w:rStyle w:val="FootnoteReference"/>
        </w:rPr>
        <w:footnoteReference w:id="13"/>
      </w:r>
      <w:r w:rsidR="00131B27">
        <w:t xml:space="preserve"> </w:t>
      </w:r>
      <w:r w:rsidR="00796BD8">
        <w:t>which</w:t>
      </w:r>
      <w:r w:rsidR="00131B27">
        <w:t xml:space="preserve"> </w:t>
      </w:r>
      <w:r w:rsidR="00796BD8">
        <w:t xml:space="preserve">BSEA </w:t>
      </w:r>
      <w:r w:rsidR="004B098F">
        <w:t>Hearing Officer Bill Crane</w:t>
      </w:r>
      <w:r w:rsidR="00796BD8">
        <w:t xml:space="preserve"> applied</w:t>
      </w:r>
      <w:r w:rsidR="00086B78">
        <w:t xml:space="preserve"> in </w:t>
      </w:r>
      <w:r w:rsidR="00086B78" w:rsidRPr="00D328F6">
        <w:rPr>
          <w:i/>
          <w:iCs/>
        </w:rPr>
        <w:t>In Re Stoneham Public Schools</w:t>
      </w:r>
      <w:r w:rsidR="00D328F6">
        <w:t>.</w:t>
      </w:r>
      <w:r w:rsidR="009C60A5" w:rsidRPr="009C60A5">
        <w:rPr>
          <w:rStyle w:val="FootnoteReference"/>
        </w:rPr>
        <w:footnoteReference w:id="14"/>
      </w:r>
      <w:r w:rsidR="00086B78" w:rsidRPr="009C60A5">
        <w:t xml:space="preserve"> </w:t>
      </w:r>
      <w:r w:rsidR="00D328F6">
        <w:t xml:space="preserve">The </w:t>
      </w:r>
      <w:r w:rsidR="00D328F6">
        <w:rPr>
          <w:i/>
          <w:iCs/>
        </w:rPr>
        <w:t>Jackson</w:t>
      </w:r>
      <w:r w:rsidR="00D328F6">
        <w:t xml:space="preserve"> Court used these factors to decide whether </w:t>
      </w:r>
      <w:r w:rsidR="00762803">
        <w:t>to decline a request to sequester</w:t>
      </w:r>
      <w:r w:rsidR="00D328F6">
        <w:t xml:space="preserve"> </w:t>
      </w:r>
      <w:r>
        <w:t>under Federal Rule of Eviden</w:t>
      </w:r>
      <w:r w:rsidR="00086B78">
        <w:t>c</w:t>
      </w:r>
      <w:r>
        <w:t>e 615 (Ru</w:t>
      </w:r>
      <w:r w:rsidR="009C60A5">
        <w:t>le</w:t>
      </w:r>
      <w:r>
        <w:t xml:space="preserve"> 615)</w:t>
      </w:r>
      <w:r w:rsidR="009C60A5">
        <w:t>:</w:t>
      </w:r>
    </w:p>
    <w:p w14:paraId="5EC2A01E" w14:textId="77777777" w:rsidR="009C60A5" w:rsidRDefault="009C60A5" w:rsidP="001A5086">
      <w:pPr>
        <w:pStyle w:val="NoSpacing"/>
        <w:ind w:firstLine="720"/>
      </w:pPr>
    </w:p>
    <w:p w14:paraId="34EC2A54" w14:textId="7E50F0FE" w:rsidR="009C60A5" w:rsidRPr="003F3E07" w:rsidRDefault="00985235" w:rsidP="009C60A5">
      <w:pPr>
        <w:pStyle w:val="NoSpacing"/>
        <w:numPr>
          <w:ilvl w:val="3"/>
          <w:numId w:val="7"/>
        </w:numPr>
      </w:pPr>
      <w:r>
        <w:t>h</w:t>
      </w:r>
      <w:r w:rsidR="009C60A5" w:rsidRPr="003F3E07">
        <w:t xml:space="preserve">ow critical the testimony in question is; </w:t>
      </w:r>
    </w:p>
    <w:p w14:paraId="78F6D843" w14:textId="023A3B03" w:rsidR="009C60A5" w:rsidRPr="003F3E07" w:rsidRDefault="00985235" w:rsidP="009C60A5">
      <w:pPr>
        <w:pStyle w:val="NoSpacing"/>
        <w:numPr>
          <w:ilvl w:val="3"/>
          <w:numId w:val="7"/>
        </w:numPr>
      </w:pPr>
      <w:r>
        <w:t>w</w:t>
      </w:r>
      <w:r w:rsidR="009C60A5" w:rsidRPr="003F3E07">
        <w:t xml:space="preserve">hether the information is ordinarily subject to tailoring such that cross-examination or other evidence could not bring to light any deficiencies; </w:t>
      </w:r>
    </w:p>
    <w:p w14:paraId="66815F5F" w14:textId="0EF68396" w:rsidR="009C60A5" w:rsidRPr="003F3E07" w:rsidRDefault="00985235" w:rsidP="009C60A5">
      <w:pPr>
        <w:pStyle w:val="NoSpacing"/>
        <w:numPr>
          <w:ilvl w:val="3"/>
          <w:numId w:val="7"/>
        </w:numPr>
      </w:pPr>
      <w:r>
        <w:t>t</w:t>
      </w:r>
      <w:r w:rsidR="009C60A5" w:rsidRPr="003F3E07">
        <w:t xml:space="preserve">o what extent the testimony of the witness in question is likely to encompass the same issues as that of other witnesses; </w:t>
      </w:r>
    </w:p>
    <w:p w14:paraId="02157851" w14:textId="2222CC64" w:rsidR="009C60A5" w:rsidRPr="003F3E07" w:rsidRDefault="00985235" w:rsidP="009C60A5">
      <w:pPr>
        <w:pStyle w:val="NoSpacing"/>
        <w:numPr>
          <w:ilvl w:val="3"/>
          <w:numId w:val="7"/>
        </w:numPr>
      </w:pPr>
      <w:r>
        <w:t>t</w:t>
      </w:r>
      <w:r w:rsidR="009C60A5" w:rsidRPr="003F3E07">
        <w:t>he order in which the witnesses will testify;</w:t>
      </w:r>
    </w:p>
    <w:p w14:paraId="258F3B10" w14:textId="2C07D9F8" w:rsidR="009C60A5" w:rsidRPr="003F3E07" w:rsidRDefault="00985235" w:rsidP="009C60A5">
      <w:pPr>
        <w:pStyle w:val="NoSpacing"/>
        <w:numPr>
          <w:ilvl w:val="3"/>
          <w:numId w:val="7"/>
        </w:numPr>
      </w:pPr>
      <w:r>
        <w:t>a</w:t>
      </w:r>
      <w:r w:rsidR="009C60A5" w:rsidRPr="003F3E07">
        <w:t xml:space="preserve">ny potential for bias that might motivate the witness to tailor his testimony; and </w:t>
      </w:r>
    </w:p>
    <w:p w14:paraId="2CB7F2B7" w14:textId="4441B711" w:rsidR="001A5086" w:rsidRPr="00EF1BBD" w:rsidRDefault="00985235" w:rsidP="00EF1BBD">
      <w:pPr>
        <w:pStyle w:val="NoSpacing"/>
        <w:numPr>
          <w:ilvl w:val="3"/>
          <w:numId w:val="7"/>
        </w:numPr>
      </w:pPr>
      <w:r>
        <w:t>w</w:t>
      </w:r>
      <w:r w:rsidR="009C60A5" w:rsidRPr="003F3E07">
        <w:t>hether the witness’ presence is “essential” rather than simply desirable.</w:t>
      </w:r>
      <w:r w:rsidR="003F3E07">
        <w:rPr>
          <w:rStyle w:val="FootnoteReference"/>
        </w:rPr>
        <w:footnoteReference w:id="15"/>
      </w:r>
    </w:p>
    <w:p w14:paraId="27E71CFD" w14:textId="77777777" w:rsidR="001A5086" w:rsidRPr="001A5086" w:rsidRDefault="001A5086" w:rsidP="001A5086">
      <w:pPr>
        <w:ind w:firstLine="720"/>
      </w:pPr>
    </w:p>
    <w:p w14:paraId="2DE50160" w14:textId="7DE8F957" w:rsidR="00AD082A" w:rsidRPr="001C0B7E" w:rsidRDefault="001A5086" w:rsidP="00AD082A">
      <w:pPr>
        <w:pStyle w:val="ListParagraph"/>
        <w:numPr>
          <w:ilvl w:val="1"/>
          <w:numId w:val="7"/>
        </w:numPr>
      </w:pPr>
      <w:r w:rsidRPr="001A5086">
        <w:rPr>
          <w:u w:val="single"/>
        </w:rPr>
        <w:t xml:space="preserve">Application of the Standard Demonstrates </w:t>
      </w:r>
      <w:r w:rsidR="001C0B7E">
        <w:rPr>
          <w:u w:val="single"/>
        </w:rPr>
        <w:t xml:space="preserve">that Limited </w:t>
      </w:r>
      <w:r w:rsidRPr="001A5086">
        <w:rPr>
          <w:u w:val="single"/>
        </w:rPr>
        <w:t xml:space="preserve">Sequestration </w:t>
      </w:r>
      <w:r w:rsidRPr="00DC4DA8">
        <w:rPr>
          <w:u w:val="single"/>
        </w:rPr>
        <w:t>is</w:t>
      </w:r>
      <w:r w:rsidRPr="001A5086">
        <w:rPr>
          <w:u w:val="single"/>
        </w:rPr>
        <w:t xml:space="preserve"> Appropriate</w:t>
      </w:r>
    </w:p>
    <w:p w14:paraId="451F5E1C" w14:textId="77777777" w:rsidR="00DC4DA8" w:rsidRDefault="00DC4DA8" w:rsidP="00AD082A">
      <w:pPr>
        <w:ind w:firstLine="720"/>
      </w:pPr>
    </w:p>
    <w:p w14:paraId="5C25CE3E" w14:textId="5BAE5CF2" w:rsidR="00664696" w:rsidRDefault="00664696" w:rsidP="00AD082A">
      <w:pPr>
        <w:ind w:firstLine="720"/>
      </w:pPr>
      <w:r>
        <w:t>Parent</w:t>
      </w:r>
      <w:r w:rsidR="00796BD8">
        <w:t xml:space="preserve"> has requested sequestration of </w:t>
      </w:r>
      <w:proofErr w:type="gramStart"/>
      <w:r w:rsidR="00796BD8">
        <w:t>all  the</w:t>
      </w:r>
      <w:proofErr w:type="gramEnd"/>
      <w:r w:rsidR="00796BD8">
        <w:t xml:space="preserve"> District’s witnesses. Her</w:t>
      </w:r>
      <w:r>
        <w:t xml:space="preserve"> argument focuse</w:t>
      </w:r>
      <w:r w:rsidR="005C0807">
        <w:t>s</w:t>
      </w:r>
      <w:r>
        <w:t xml:space="preserve"> on the </w:t>
      </w:r>
      <w:r w:rsidR="00D5510B">
        <w:t>fifth</w:t>
      </w:r>
      <w:r>
        <w:t xml:space="preserve"> </w:t>
      </w:r>
      <w:r w:rsidRPr="00AD082A">
        <w:rPr>
          <w:i/>
        </w:rPr>
        <w:t xml:space="preserve">Jackson </w:t>
      </w:r>
      <w:r>
        <w:t>factor</w:t>
      </w:r>
      <w:r w:rsidR="00F103C2">
        <w:t>:</w:t>
      </w:r>
      <w:r>
        <w:t xml:space="preserve"> potential for bias that might motivate witnesses to tailor their testimony.</w:t>
      </w:r>
      <w:r w:rsidR="00796BD8">
        <w:t xml:space="preserve"> Parent </w:t>
      </w:r>
      <w:r w:rsidR="00D5510B">
        <w:t>distinguishe</w:t>
      </w:r>
      <w:r w:rsidR="005C0807">
        <w:t>s</w:t>
      </w:r>
      <w:r w:rsidR="00D5510B">
        <w:t xml:space="preserve"> her case from </w:t>
      </w:r>
      <w:r w:rsidR="00DC07D6" w:rsidRPr="00AD082A">
        <w:rPr>
          <w:i/>
          <w:iCs/>
        </w:rPr>
        <w:t>In Re Trina and Barnstable Public Schools</w:t>
      </w:r>
      <w:r w:rsidR="00DC07D6" w:rsidRPr="00AD082A">
        <w:rPr>
          <w:rStyle w:val="FootnoteReference"/>
          <w:vertAlign w:val="baseline"/>
        </w:rPr>
        <w:t>,</w:t>
      </w:r>
      <w:r w:rsidR="00DC07D6">
        <w:rPr>
          <w:rStyle w:val="FootnoteReference"/>
        </w:rPr>
        <w:footnoteReference w:id="16"/>
      </w:r>
      <w:r w:rsidR="00DC07D6">
        <w:t xml:space="preserve"> </w:t>
      </w:r>
      <w:r w:rsidR="00DC4DA8">
        <w:t xml:space="preserve">where this Hearing Officer denied a motion for sequestration </w:t>
      </w:r>
      <w:r w:rsidR="005C0807">
        <w:t xml:space="preserve">that </w:t>
      </w:r>
      <w:r w:rsidR="00927EC4">
        <w:t>was based</w:t>
      </w:r>
      <w:r w:rsidR="005C0807">
        <w:t xml:space="preserve"> on the mere possibility of witnesses hearing and matching their testimony to that of other witnesses</w:t>
      </w:r>
      <w:r w:rsidR="0089035A">
        <w:t xml:space="preserve">. </w:t>
      </w:r>
      <w:r w:rsidR="00796BD8">
        <w:t>She</w:t>
      </w:r>
      <w:r w:rsidR="000409A8">
        <w:t xml:space="preserve"> likens her case to </w:t>
      </w:r>
      <w:r w:rsidR="000409A8" w:rsidRPr="00AD082A">
        <w:rPr>
          <w:i/>
          <w:iCs/>
        </w:rPr>
        <w:t>In Re CBDE Public Schools</w:t>
      </w:r>
      <w:r w:rsidR="000409A8">
        <w:t>,</w:t>
      </w:r>
      <w:r w:rsidR="000409A8">
        <w:rPr>
          <w:rStyle w:val="FootnoteReference"/>
        </w:rPr>
        <w:footnoteReference w:id="17"/>
      </w:r>
      <w:r w:rsidR="000409A8">
        <w:t xml:space="preserve"> in which</w:t>
      </w:r>
      <w:r w:rsidR="00F103C2">
        <w:t xml:space="preserve"> former</w:t>
      </w:r>
      <w:r w:rsidR="000409A8">
        <w:t xml:space="preserve"> Hearing Officer Crane </w:t>
      </w:r>
      <w:r w:rsidR="00796BD8">
        <w:t xml:space="preserve">determined that </w:t>
      </w:r>
      <w:r w:rsidR="000409A8">
        <w:t xml:space="preserve">sequestration was warranted because the parties’ </w:t>
      </w:r>
      <w:r w:rsidR="007503B1">
        <w:t xml:space="preserve">pending </w:t>
      </w:r>
      <w:r w:rsidR="000409A8">
        <w:t>damages dispute</w:t>
      </w:r>
      <w:r w:rsidR="007503B1">
        <w:t xml:space="preserve"> in federal court would have potentially biased  witnesses</w:t>
      </w:r>
      <w:r w:rsidR="00985235">
        <w:t xml:space="preserve"> before the BSEA</w:t>
      </w:r>
      <w:r w:rsidR="007503B1">
        <w:t xml:space="preserve"> and motivated them to improperly tailor their testimony</w:t>
      </w:r>
      <w:r w:rsidR="000409A8">
        <w:t xml:space="preserve">. </w:t>
      </w:r>
    </w:p>
    <w:p w14:paraId="4633D68C" w14:textId="77777777" w:rsidR="00712200" w:rsidRDefault="00712200" w:rsidP="00664696">
      <w:pPr>
        <w:pStyle w:val="NoSpacing"/>
        <w:ind w:firstLine="720"/>
      </w:pPr>
    </w:p>
    <w:p w14:paraId="33E526EF" w14:textId="4B30949E" w:rsidR="00AE48D6" w:rsidRDefault="000409A8" w:rsidP="003D57C1">
      <w:pPr>
        <w:ind w:firstLine="720"/>
      </w:pPr>
      <w:r w:rsidRPr="000409A8">
        <w:t xml:space="preserve">Upon consideration of Parent’s </w:t>
      </w:r>
      <w:r w:rsidRPr="000409A8">
        <w:rPr>
          <w:i/>
          <w:iCs/>
        </w:rPr>
        <w:t>Motion to Sequester Witnesses</w:t>
      </w:r>
      <w:r w:rsidRPr="000409A8">
        <w:t xml:space="preserve">, as well as the </w:t>
      </w:r>
      <w:r w:rsidR="00F97571">
        <w:t xml:space="preserve">procedural record, I find that Parent has established a potential for bias that might motivate </w:t>
      </w:r>
      <w:r w:rsidR="002B41E5">
        <w:t xml:space="preserve">some </w:t>
      </w:r>
      <w:r w:rsidR="00F97571">
        <w:t>witnesses in the instant matter to tailor their testimony.</w:t>
      </w:r>
      <w:r w:rsidR="00186FA2">
        <w:t xml:space="preserve"> </w:t>
      </w:r>
      <w:r w:rsidR="00F97571">
        <w:t xml:space="preserve">Although Parent has not yet </w:t>
      </w:r>
      <w:r w:rsidR="00671CCB">
        <w:t>initiated</w:t>
      </w:r>
      <w:r w:rsidR="00F97571">
        <w:t xml:space="preserve"> </w:t>
      </w:r>
      <w:r w:rsidR="00671CCB">
        <w:t xml:space="preserve">a federal lawsuit, she has made clear, through Counsel, that parties named in her federal suit will include some of the non-party witnesses called to testify during </w:t>
      </w:r>
      <w:r w:rsidR="007503B1">
        <w:t xml:space="preserve">the BSEA </w:t>
      </w:r>
      <w:r w:rsidR="00671CCB">
        <w:t>hearing.</w:t>
      </w:r>
      <w:r w:rsidR="00671CCB">
        <w:rPr>
          <w:rStyle w:val="FootnoteReference"/>
        </w:rPr>
        <w:footnoteReference w:id="18"/>
      </w:r>
      <w:r w:rsidR="00C028C9">
        <w:t xml:space="preserve"> According to Parent, the federal suit would arise out of the same set of </w:t>
      </w:r>
      <w:r w:rsidR="00F51831">
        <w:t xml:space="preserve">underlying </w:t>
      </w:r>
      <w:r w:rsidR="00C028C9">
        <w:t xml:space="preserve">facts that </w:t>
      </w:r>
      <w:r w:rsidR="00F51831">
        <w:t xml:space="preserve">are at issue </w:t>
      </w:r>
      <w:r w:rsidR="00264360">
        <w:t>before the</w:t>
      </w:r>
      <w:r w:rsidR="007503B1">
        <w:t xml:space="preserve"> BSEA</w:t>
      </w:r>
      <w:r w:rsidR="0075712E">
        <w:t>.</w:t>
      </w:r>
      <w:r w:rsidR="0075712E">
        <w:rPr>
          <w:rStyle w:val="FootnoteReference"/>
        </w:rPr>
        <w:footnoteReference w:id="19"/>
      </w:r>
      <w:r w:rsidR="00C028C9">
        <w:t xml:space="preserve"> </w:t>
      </w:r>
      <w:r w:rsidR="002602B8">
        <w:t xml:space="preserve">Parent </w:t>
      </w:r>
      <w:r w:rsidR="00A504F9">
        <w:t>has</w:t>
      </w:r>
      <w:r w:rsidR="002602B8">
        <w:t xml:space="preserve"> substantiated her allegation with </w:t>
      </w:r>
      <w:r w:rsidR="00390486">
        <w:t xml:space="preserve">new evidence </w:t>
      </w:r>
      <w:r w:rsidR="0064720A">
        <w:t>demonstrating that</w:t>
      </w:r>
      <w:r w:rsidR="00390486">
        <w:t xml:space="preserve"> </w:t>
      </w:r>
      <w:r w:rsidR="00A504F9">
        <w:t xml:space="preserve">at least one </w:t>
      </w:r>
      <w:r w:rsidR="00390486">
        <w:t xml:space="preserve">conversation </w:t>
      </w:r>
      <w:r w:rsidR="00A504F9">
        <w:t xml:space="preserve">about the January incident has taken place </w:t>
      </w:r>
      <w:r w:rsidR="00390486">
        <w:t xml:space="preserve">between the District and APD </w:t>
      </w:r>
      <w:r w:rsidR="00390486">
        <w:lastRenderedPageBreak/>
        <w:t>(a subsidiary of Acton)</w:t>
      </w:r>
      <w:r w:rsidR="00A504F9">
        <w:t>—Parent’s prospective adverse parties in federal court</w:t>
      </w:r>
      <w:r w:rsidR="00390486">
        <w:t>.</w:t>
      </w:r>
      <w:r w:rsidR="002602B8">
        <w:rPr>
          <w:rStyle w:val="FootnoteReference"/>
        </w:rPr>
        <w:footnoteReference w:id="20"/>
      </w:r>
      <w:r w:rsidR="002602B8">
        <w:t xml:space="preserve"> </w:t>
      </w:r>
      <w:r w:rsidR="00DA7AA0">
        <w:t xml:space="preserve">Parent thus raises concerns not only about </w:t>
      </w:r>
      <w:r w:rsidR="00405F10">
        <w:t xml:space="preserve">witnesses hearing </w:t>
      </w:r>
      <w:r w:rsidR="00FC31D8">
        <w:t>other witnesses</w:t>
      </w:r>
      <w:r w:rsidR="00405F10">
        <w:t xml:space="preserve"> and making adjustments accordingly,</w:t>
      </w:r>
      <w:r w:rsidR="00DA7AA0">
        <w:t xml:space="preserve"> but about inaccurate testimony and collusio</w:t>
      </w:r>
      <w:r w:rsidR="00405F10">
        <w:t>n—concern</w:t>
      </w:r>
      <w:r w:rsidR="00AE48D6">
        <w:t>s</w:t>
      </w:r>
      <w:r w:rsidR="00405F10">
        <w:t xml:space="preserve"> that Rule 615 can address.</w:t>
      </w:r>
      <w:r w:rsidR="00405F10">
        <w:rPr>
          <w:rStyle w:val="FootnoteReference"/>
        </w:rPr>
        <w:footnoteReference w:id="21"/>
      </w:r>
      <w:r w:rsidR="007453CC">
        <w:t xml:space="preserve"> </w:t>
      </w:r>
      <w:r w:rsidR="00A25E3A">
        <w:t>In light of Parent’s allegations and</w:t>
      </w:r>
      <w:r w:rsidR="007453CC">
        <w:t xml:space="preserve"> the </w:t>
      </w:r>
      <w:r w:rsidR="000E683C">
        <w:t xml:space="preserve">similarities between </w:t>
      </w:r>
      <w:r w:rsidR="007453CC">
        <w:t xml:space="preserve">this matter </w:t>
      </w:r>
      <w:r w:rsidR="000E683C">
        <w:t>and</w:t>
      </w:r>
      <w:r w:rsidR="007453CC">
        <w:t xml:space="preserve"> </w:t>
      </w:r>
      <w:r w:rsidR="007453CC" w:rsidRPr="000409A8">
        <w:rPr>
          <w:i/>
          <w:iCs/>
        </w:rPr>
        <w:t>In Re CBDE Public Schools</w:t>
      </w:r>
      <w:r w:rsidR="007453CC" w:rsidRPr="007C514A">
        <w:t>,</w:t>
      </w:r>
      <w:r w:rsidR="007453CC">
        <w:rPr>
          <w:i/>
          <w:iCs/>
        </w:rPr>
        <w:t xml:space="preserve"> </w:t>
      </w:r>
      <w:r w:rsidR="007453CC">
        <w:t>Rule 615 guide</w:t>
      </w:r>
      <w:r w:rsidR="002B41E5">
        <w:t>s</w:t>
      </w:r>
      <w:r w:rsidR="007453CC">
        <w:t xml:space="preserve"> my decision.</w:t>
      </w:r>
      <w:r w:rsidR="007453CC">
        <w:rPr>
          <w:rStyle w:val="FootnoteReference"/>
        </w:rPr>
        <w:footnoteReference w:id="22"/>
      </w:r>
      <w:r w:rsidR="007453CC">
        <w:t xml:space="preserve"> </w:t>
      </w:r>
      <w:r w:rsidR="007950C3">
        <w:t xml:space="preserve">Applying </w:t>
      </w:r>
      <w:r w:rsidR="002B41E5">
        <w:t>this Rule</w:t>
      </w:r>
      <w:r w:rsidR="007950C3">
        <w:t xml:space="preserve">, </w:t>
      </w:r>
      <w:r w:rsidR="004274EF">
        <w:t xml:space="preserve">I </w:t>
      </w:r>
      <w:r w:rsidR="00FC31D8">
        <w:t>find</w:t>
      </w:r>
      <w:r w:rsidR="004274EF">
        <w:t xml:space="preserve"> that</w:t>
      </w:r>
      <w:r w:rsidR="00405F10">
        <w:t xml:space="preserve"> </w:t>
      </w:r>
      <w:r w:rsidR="00AE48D6">
        <w:t xml:space="preserve">Parent </w:t>
      </w:r>
      <w:r w:rsidR="00FC31D8">
        <w:t xml:space="preserve">has established a reasonable basis for concluding that prejudicial tailoring of </w:t>
      </w:r>
      <w:r w:rsidR="00F74C83">
        <w:t xml:space="preserve">some witnesses’ </w:t>
      </w:r>
      <w:r w:rsidR="00FC31D8">
        <w:t xml:space="preserve">testimony </w:t>
      </w:r>
      <w:r w:rsidR="000E4D04">
        <w:t xml:space="preserve">might </w:t>
      </w:r>
      <w:r w:rsidR="00FC31D8">
        <w:t xml:space="preserve"> occur in the absence of sequestration. </w:t>
      </w:r>
    </w:p>
    <w:p w14:paraId="07B53E18" w14:textId="77777777" w:rsidR="00BA6203" w:rsidRDefault="00BA6203" w:rsidP="003D57C1">
      <w:pPr>
        <w:ind w:firstLine="720"/>
      </w:pPr>
    </w:p>
    <w:p w14:paraId="727BAA62" w14:textId="28CF6C16" w:rsidR="0005733E" w:rsidRDefault="00700980" w:rsidP="003D57C1">
      <w:pPr>
        <w:ind w:firstLine="720"/>
      </w:pPr>
      <w:r>
        <w:t xml:space="preserve">Moreover, the evidence </w:t>
      </w:r>
      <w:r w:rsidR="001D41DB">
        <w:t xml:space="preserve">Parent proffered in support of her </w:t>
      </w:r>
      <w:r w:rsidR="001D41DB" w:rsidRPr="001D41DB">
        <w:rPr>
          <w:i/>
          <w:iCs/>
        </w:rPr>
        <w:t>Motion to Sequester Witnesses</w:t>
      </w:r>
      <w:r w:rsidR="001D41DB">
        <w:t xml:space="preserve"> </w:t>
      </w:r>
      <w:r>
        <w:t xml:space="preserve">is bolstered by the </w:t>
      </w:r>
      <w:r w:rsidR="00D34063">
        <w:t xml:space="preserve">shifting alignment between the District and the Town of Acton </w:t>
      </w:r>
      <w:r w:rsidR="00B54C8D">
        <w:t>with respect to</w:t>
      </w:r>
      <w:r w:rsidR="00D34063">
        <w:t xml:space="preserve"> this proceeding.</w:t>
      </w:r>
      <w:r w:rsidR="00D34063">
        <w:rPr>
          <w:rStyle w:val="FootnoteReference"/>
        </w:rPr>
        <w:footnoteReference w:id="23"/>
      </w:r>
      <w:r w:rsidR="00D34063">
        <w:t xml:space="preserve"> </w:t>
      </w:r>
      <w:r w:rsidR="004977A3">
        <w:t xml:space="preserve">In its </w:t>
      </w:r>
      <w:r w:rsidR="004977A3" w:rsidRPr="001E757E">
        <w:rPr>
          <w:i/>
          <w:iCs/>
        </w:rPr>
        <w:t xml:space="preserve">Partial </w:t>
      </w:r>
      <w:r w:rsidR="004977A3">
        <w:rPr>
          <w:i/>
          <w:iCs/>
        </w:rPr>
        <w:t>Motion to Dismiss</w:t>
      </w:r>
      <w:r w:rsidR="004977A3" w:rsidRPr="00C42532">
        <w:t xml:space="preserve"> and </w:t>
      </w:r>
      <w:r w:rsidR="004977A3" w:rsidRPr="00C42532">
        <w:rPr>
          <w:i/>
          <w:iCs/>
        </w:rPr>
        <w:t>Opposition</w:t>
      </w:r>
      <w:r w:rsidR="004977A3">
        <w:rPr>
          <w:i/>
          <w:iCs/>
        </w:rPr>
        <w:t xml:space="preserve"> to Join the Town of Acton</w:t>
      </w:r>
      <w:r w:rsidR="004977A3">
        <w:t>,</w:t>
      </w:r>
      <w:r w:rsidR="002A24EC">
        <w:t xml:space="preserve"> </w:t>
      </w:r>
      <w:r w:rsidR="004977A3">
        <w:t xml:space="preserve">the </w:t>
      </w:r>
      <w:r w:rsidR="002A24EC">
        <w:t xml:space="preserve">District </w:t>
      </w:r>
      <w:r w:rsidR="008C3EE4">
        <w:t xml:space="preserve">initially </w:t>
      </w:r>
      <w:r w:rsidR="004977A3">
        <w:t>argued that Acton, not the District, was</w:t>
      </w:r>
      <w:r w:rsidR="002A24EC">
        <w:t xml:space="preserve"> </w:t>
      </w:r>
      <w:r w:rsidR="004977A3">
        <w:t xml:space="preserve">exclusively </w:t>
      </w:r>
      <w:r w:rsidR="002B41E5">
        <w:t xml:space="preserve">responsible </w:t>
      </w:r>
      <w:r>
        <w:t xml:space="preserve">for the </w:t>
      </w:r>
      <w:r w:rsidR="002B41E5">
        <w:t xml:space="preserve">involvement of the </w:t>
      </w:r>
      <w:r w:rsidR="00057E42">
        <w:t>SRO</w:t>
      </w:r>
      <w:r>
        <w:t xml:space="preserve"> in the January incident.</w:t>
      </w:r>
      <w:r>
        <w:rPr>
          <w:rStyle w:val="FootnoteReference"/>
        </w:rPr>
        <w:footnoteReference w:id="24"/>
      </w:r>
      <w:r>
        <w:t xml:space="preserve"> </w:t>
      </w:r>
      <w:r w:rsidR="004977A3">
        <w:t>The District then reversed its position during oral argument on January 22, 2021 and conceded that it would</w:t>
      </w:r>
      <w:r w:rsidR="004977A3" w:rsidRPr="00C42532">
        <w:rPr>
          <w:iCs/>
        </w:rPr>
        <w:t xml:space="preserve"> be the one to “answer for” the SRO’s involvement.</w:t>
      </w:r>
      <w:r w:rsidR="00930A9C" w:rsidRPr="00CC2007">
        <w:rPr>
          <w:iCs/>
          <w:vertAlign w:val="superscript"/>
        </w:rPr>
        <w:footnoteReference w:id="25"/>
      </w:r>
      <w:r w:rsidR="004977A3">
        <w:t xml:space="preserve"> </w:t>
      </w:r>
      <w:r w:rsidR="00930A9C">
        <w:t xml:space="preserve">The District’s concession on this issue was preceded by an email exchange in which </w:t>
      </w:r>
      <w:r w:rsidR="004274EF" w:rsidRPr="001A5086">
        <w:t xml:space="preserve">Counsel for </w:t>
      </w:r>
      <w:r w:rsidR="004274EF">
        <w:t xml:space="preserve">Acton </w:t>
      </w:r>
      <w:r w:rsidR="004274EF" w:rsidRPr="001A5086">
        <w:t xml:space="preserve">indicated that </w:t>
      </w:r>
      <w:r w:rsidR="00796BD8">
        <w:t>the Town</w:t>
      </w:r>
      <w:r w:rsidR="004274EF" w:rsidRPr="001A5086">
        <w:t xml:space="preserve"> joined </w:t>
      </w:r>
      <w:r w:rsidR="004274EF">
        <w:t>the District</w:t>
      </w:r>
      <w:r w:rsidR="004274EF" w:rsidRPr="001A5086">
        <w:t xml:space="preserve"> in its </w:t>
      </w:r>
      <w:r w:rsidR="004274EF" w:rsidRPr="001A5086">
        <w:rPr>
          <w:i/>
          <w:iCs/>
        </w:rPr>
        <w:t>Opposition</w:t>
      </w:r>
      <w:r w:rsidR="008C3EE4">
        <w:t xml:space="preserve">, </w:t>
      </w:r>
      <w:r w:rsidR="004274EF" w:rsidRPr="001A5086">
        <w:t xml:space="preserve">Counsel did not represent Acton in </w:t>
      </w:r>
      <w:r w:rsidR="0005733E">
        <w:t>this</w:t>
      </w:r>
      <w:r w:rsidR="004274EF" w:rsidRPr="001A5086">
        <w:t xml:space="preserve"> matter</w:t>
      </w:r>
      <w:r w:rsidR="008C3EE4">
        <w:t>,</w:t>
      </w:r>
      <w:r w:rsidR="004274EF" w:rsidRPr="001A5086">
        <w:t xml:space="preserve"> and that Acton </w:t>
      </w:r>
      <w:r w:rsidR="0005733E">
        <w:t>would not</w:t>
      </w:r>
      <w:r w:rsidR="004274EF" w:rsidRPr="001A5086">
        <w:t xml:space="preserve"> </w:t>
      </w:r>
      <w:r w:rsidR="0005733E">
        <w:t xml:space="preserve">(and in fact, did not) </w:t>
      </w:r>
      <w:r w:rsidR="004274EF" w:rsidRPr="001A5086">
        <w:t xml:space="preserve">participate in the </w:t>
      </w:r>
      <w:r w:rsidR="004274EF" w:rsidRPr="001A5086">
        <w:rPr>
          <w:i/>
          <w:iCs/>
        </w:rPr>
        <w:t>Motion Session</w:t>
      </w:r>
      <w:r w:rsidR="0005733E">
        <w:rPr>
          <w:i/>
          <w:iCs/>
        </w:rPr>
        <w:t xml:space="preserve"> </w:t>
      </w:r>
      <w:r w:rsidR="0005733E">
        <w:t xml:space="preserve">discussing </w:t>
      </w:r>
      <w:r w:rsidR="00930A9C">
        <w:t>joinder</w:t>
      </w:r>
      <w:r w:rsidR="004274EF" w:rsidRPr="001A5086">
        <w:t>.</w:t>
      </w:r>
      <w:r w:rsidR="004274EF" w:rsidRPr="001A5086">
        <w:rPr>
          <w:rStyle w:val="FootnoteReference"/>
        </w:rPr>
        <w:footnoteReference w:id="26"/>
      </w:r>
      <w:r w:rsidR="0005733E">
        <w:t xml:space="preserve"> </w:t>
      </w:r>
      <w:r w:rsidR="00B54C8D">
        <w:t>Though the District and Town of Acton’s interests</w:t>
      </w:r>
      <w:r w:rsidR="007C514A">
        <w:t xml:space="preserve"> with regard to the actions of the SRO</w:t>
      </w:r>
      <w:r w:rsidR="00B54C8D">
        <w:t xml:space="preserve"> are currently aligned, I cannot predict with certainty how a federal lawsuit </w:t>
      </w:r>
      <w:r w:rsidR="008C3EE4">
        <w:t>might impact this alignment.</w:t>
      </w:r>
      <w:r w:rsidR="00B54C8D">
        <w:t xml:space="preserve"> As such, I find </w:t>
      </w:r>
      <w:r w:rsidR="008C3EE4">
        <w:t xml:space="preserve">that </w:t>
      </w:r>
      <w:r w:rsidR="00B54C8D">
        <w:t>sequestration</w:t>
      </w:r>
      <w:r w:rsidR="008C3EE4">
        <w:t xml:space="preserve"> of certain witnesses</w:t>
      </w:r>
      <w:r w:rsidR="00B54C8D">
        <w:t xml:space="preserve"> is the </w:t>
      </w:r>
      <w:r w:rsidR="00BA6203">
        <w:t>appropriate</w:t>
      </w:r>
      <w:r w:rsidR="00B54C8D">
        <w:t xml:space="preserve"> safeguard to ensure reliable testimony and</w:t>
      </w:r>
      <w:r w:rsidR="00BA6203">
        <w:t xml:space="preserve"> </w:t>
      </w:r>
      <w:r w:rsidR="00B54C8D">
        <w:t>a fair hearing</w:t>
      </w:r>
      <w:r w:rsidR="00796BD8">
        <w:t xml:space="preserve"> regarding those claims that are the subject of Parent’s federal claims</w:t>
      </w:r>
      <w:r w:rsidR="00B54C8D">
        <w:t xml:space="preserve">. </w:t>
      </w:r>
    </w:p>
    <w:p w14:paraId="495722D3" w14:textId="463212B1" w:rsidR="0005733E" w:rsidRDefault="0005733E" w:rsidP="003D57C1">
      <w:pPr>
        <w:ind w:firstLine="720"/>
      </w:pPr>
    </w:p>
    <w:p w14:paraId="354724F3" w14:textId="428F1E1D" w:rsidR="00712200" w:rsidRDefault="00796BD8" w:rsidP="00796BD8">
      <w:pPr>
        <w:pStyle w:val="NoSpacing"/>
        <w:ind w:firstLine="720"/>
      </w:pPr>
      <w:bookmarkStart w:id="0" w:name="_Hlk68609818"/>
      <w:r>
        <w:t>Al</w:t>
      </w:r>
      <w:r w:rsidR="00712200" w:rsidRPr="00E71824">
        <w:t xml:space="preserve">though Parent has implied, through her attorney, that she has reason to believe that </w:t>
      </w:r>
      <w:r w:rsidR="00712200" w:rsidRPr="00806556">
        <w:t>all</w:t>
      </w:r>
      <w:r w:rsidR="00712200" w:rsidRPr="00E71824">
        <w:t xml:space="preserve"> of the District’s witnesses might be biased and particularly inclined to tailor and match their testimony, she has only met her burden</w:t>
      </w:r>
      <w:r>
        <w:t xml:space="preserve"> as to testimony</w:t>
      </w:r>
      <w:r w:rsidR="00751FBE">
        <w:t xml:space="preserve"> by District personnel and employees of the Town of Acton (and its subsidiaries)</w:t>
      </w:r>
      <w:r>
        <w:t xml:space="preserve"> pertaining to her claims about the alleged bullying of Stewart, his “forced hospitalization,” her arrest, the involvement of the SRO, and the assignment of a 1:1 aide to Stewart to the extent such testimony is focused on ABRSD’s allegedly retaliatory </w:t>
      </w:r>
      <w:r>
        <w:lastRenderedPageBreak/>
        <w:t>motives</w:t>
      </w:r>
      <w:r w:rsidR="008A4488">
        <w:t>.</w:t>
      </w:r>
      <w:bookmarkEnd w:id="0"/>
      <w:r w:rsidR="00CE6588">
        <w:rPr>
          <w:rStyle w:val="FootnoteReference"/>
        </w:rPr>
        <w:footnoteReference w:id="27"/>
      </w:r>
      <w:r w:rsidR="008A4488">
        <w:t xml:space="preserve"> </w:t>
      </w:r>
      <w:r w:rsidR="00712200" w:rsidRPr="00E71824">
        <w:t xml:space="preserve">Parent has not provided a reasonable basis to believe that prejudicial tailoring </w:t>
      </w:r>
      <w:r w:rsidR="00806556">
        <w:t>would</w:t>
      </w:r>
      <w:r w:rsidR="00712200" w:rsidRPr="00E71824">
        <w:t xml:space="preserve"> result from </w:t>
      </w:r>
      <w:r w:rsidR="00806556">
        <w:t xml:space="preserve">having witnesses present </w:t>
      </w:r>
      <w:r w:rsidR="00240E39">
        <w:t>at all other times</w:t>
      </w:r>
      <w:r w:rsidR="00F74C83">
        <w:t>.</w:t>
      </w:r>
      <w:r w:rsidR="00FF11A0" w:rsidRPr="00E71824">
        <w:t xml:space="preserve"> Moreover, I </w:t>
      </w:r>
      <w:r w:rsidR="00712200" w:rsidRPr="00E71824">
        <w:t xml:space="preserve">find </w:t>
      </w:r>
      <w:r w:rsidR="00DA291C">
        <w:t xml:space="preserve">that </w:t>
      </w:r>
      <w:r w:rsidR="00712200" w:rsidRPr="00E71824">
        <w:t xml:space="preserve">the interests of justice would be best served by allowing the District’s witnesses to hear and respond to </w:t>
      </w:r>
      <w:r w:rsidR="00FF11A0" w:rsidRPr="00E71824">
        <w:t xml:space="preserve">observations and </w:t>
      </w:r>
      <w:r w:rsidR="001A3084" w:rsidRPr="00E71824">
        <w:t>recommendations</w:t>
      </w:r>
      <w:r w:rsidR="00712200" w:rsidRPr="00E71824">
        <w:t xml:space="preserve"> </w:t>
      </w:r>
      <w:r w:rsidR="009F60AE">
        <w:t>offered</w:t>
      </w:r>
      <w:r w:rsidR="00712200" w:rsidRPr="00E71824">
        <w:t xml:space="preserve"> by </w:t>
      </w:r>
      <w:r w:rsidR="00913423">
        <w:t>evaluators,</w:t>
      </w:r>
      <w:r w:rsidR="00913423" w:rsidRPr="00E71824">
        <w:t xml:space="preserve"> </w:t>
      </w:r>
      <w:r w:rsidR="00AD082A" w:rsidRPr="00E71824">
        <w:t>expert</w:t>
      </w:r>
      <w:r w:rsidR="00FF11A0" w:rsidRPr="00E71824">
        <w:t xml:space="preserve"> </w:t>
      </w:r>
      <w:r w:rsidR="00712200" w:rsidRPr="00E71824">
        <w:t>witnesses</w:t>
      </w:r>
      <w:r w:rsidR="00913423">
        <w:t>, and colleagues</w:t>
      </w:r>
      <w:r w:rsidR="00712200" w:rsidRPr="00E71824">
        <w:t xml:space="preserve">, as this will likely assist </w:t>
      </w:r>
      <w:r w:rsidR="009F60AE">
        <w:t xml:space="preserve">in </w:t>
      </w:r>
      <w:r w:rsidR="00712200" w:rsidRPr="00E71824">
        <w:t xml:space="preserve">my determination </w:t>
      </w:r>
      <w:r w:rsidR="009F60AE">
        <w:t>as to</w:t>
      </w:r>
      <w:r w:rsidR="00712200" w:rsidRPr="00E71824">
        <w:t xml:space="preserve"> </w:t>
      </w:r>
      <w:r w:rsidR="00FF11A0" w:rsidRPr="00E71824">
        <w:t xml:space="preserve">whether </w:t>
      </w:r>
      <w:r w:rsidR="00524E09" w:rsidRPr="00E71824">
        <w:t xml:space="preserve">the District provided appropriate programming for </w:t>
      </w:r>
      <w:r w:rsidR="00FF11A0" w:rsidRPr="00E71824">
        <w:t>Stewar</w:t>
      </w:r>
      <w:r w:rsidR="00524E09" w:rsidRPr="00E71824">
        <w:t>t.</w:t>
      </w:r>
      <w:r w:rsidR="001A3084" w:rsidRPr="00E71824">
        <w:rPr>
          <w:rStyle w:val="FootnoteReference"/>
        </w:rPr>
        <w:footnoteReference w:id="28"/>
      </w:r>
    </w:p>
    <w:p w14:paraId="488C7B0F" w14:textId="059E0B23" w:rsidR="001A5086" w:rsidRDefault="001A5086" w:rsidP="001A5086">
      <w:pPr>
        <w:pStyle w:val="NoSpacing"/>
      </w:pPr>
    </w:p>
    <w:p w14:paraId="7BA380A7" w14:textId="77777777" w:rsidR="00AD082A" w:rsidRPr="001A5086" w:rsidRDefault="00AD082A" w:rsidP="001A5086">
      <w:pPr>
        <w:pStyle w:val="NoSpacing"/>
      </w:pPr>
    </w:p>
    <w:p w14:paraId="5059B867" w14:textId="77777777" w:rsidR="001A5086" w:rsidRPr="001A5086" w:rsidRDefault="001A5086" w:rsidP="001A5086">
      <w:pPr>
        <w:pStyle w:val="NoSpacing"/>
      </w:pPr>
      <w:r w:rsidRPr="001A5086">
        <w:t>CONCLUSION</w:t>
      </w:r>
    </w:p>
    <w:p w14:paraId="1D042BF9" w14:textId="77777777" w:rsidR="001A5086" w:rsidRPr="001A5086" w:rsidRDefault="001A5086" w:rsidP="001A5086">
      <w:pPr>
        <w:pStyle w:val="NoSpacing"/>
      </w:pPr>
    </w:p>
    <w:p w14:paraId="4417C028" w14:textId="41001250" w:rsidR="001A5086" w:rsidRPr="001A5086" w:rsidRDefault="001A5086" w:rsidP="001A5086">
      <w:pPr>
        <w:pStyle w:val="NoSpacing"/>
        <w:ind w:firstLine="720"/>
      </w:pPr>
      <w:r w:rsidRPr="001A5086">
        <w:t xml:space="preserve">Upon consideration of Parent’s </w:t>
      </w:r>
      <w:r w:rsidRPr="001A5086">
        <w:rPr>
          <w:i/>
          <w:iCs/>
        </w:rPr>
        <w:t xml:space="preserve">Motion </w:t>
      </w:r>
      <w:r w:rsidR="00DB69EE">
        <w:rPr>
          <w:i/>
          <w:iCs/>
        </w:rPr>
        <w:t xml:space="preserve">to Sequester </w:t>
      </w:r>
      <w:r w:rsidR="00DB69EE" w:rsidRPr="00DB69EE">
        <w:rPr>
          <w:i/>
          <w:iCs/>
        </w:rPr>
        <w:t>Witnesses</w:t>
      </w:r>
      <w:r w:rsidR="00DB69EE">
        <w:t xml:space="preserve">, </w:t>
      </w:r>
      <w:r w:rsidRPr="00DB69EE">
        <w:t>the</w:t>
      </w:r>
      <w:r w:rsidRPr="001A5086">
        <w:t xml:space="preserve"> relevant </w:t>
      </w:r>
      <w:r w:rsidR="00DB69EE">
        <w:t>procedural history, and exhibits</w:t>
      </w:r>
      <w:r w:rsidRPr="001A5086">
        <w:t xml:space="preserve">, I found credible support for Parent’s contention that sequestering </w:t>
      </w:r>
      <w:r w:rsidR="00690693">
        <w:t xml:space="preserve">some </w:t>
      </w:r>
      <w:r w:rsidRPr="001A5086">
        <w:t>witnesses would be necessary for me to conduct a fair hearing.</w:t>
      </w:r>
      <w:r w:rsidRPr="001A5086">
        <w:rPr>
          <w:rStyle w:val="FootnoteReference"/>
        </w:rPr>
        <w:footnoteReference w:id="29"/>
      </w:r>
      <w:r w:rsidRPr="001A5086">
        <w:t xml:space="preserve"> As such, Parent’s </w:t>
      </w:r>
      <w:r w:rsidRPr="001A5086">
        <w:rPr>
          <w:i/>
          <w:iCs/>
        </w:rPr>
        <w:t xml:space="preserve">Motion </w:t>
      </w:r>
      <w:r w:rsidR="00DB69EE">
        <w:rPr>
          <w:i/>
          <w:iCs/>
        </w:rPr>
        <w:t>to Sequester</w:t>
      </w:r>
      <w:r w:rsidRPr="001A5086">
        <w:rPr>
          <w:i/>
          <w:iCs/>
        </w:rPr>
        <w:t xml:space="preserve"> Witnesses </w:t>
      </w:r>
      <w:r w:rsidRPr="001A5086">
        <w:t xml:space="preserve">is hereby </w:t>
      </w:r>
      <w:r w:rsidR="00DB69EE" w:rsidRPr="00690693">
        <w:t>ALLOWED in part and DENIED in part</w:t>
      </w:r>
      <w:r w:rsidRPr="001A5086">
        <w:t>.</w:t>
      </w:r>
      <w:r w:rsidR="00913423">
        <w:rPr>
          <w:rStyle w:val="FootnoteReference"/>
        </w:rPr>
        <w:footnoteReference w:id="30"/>
      </w:r>
    </w:p>
    <w:p w14:paraId="5E338A0F" w14:textId="77777777" w:rsidR="001A5086" w:rsidRPr="001A5086" w:rsidRDefault="001A5086" w:rsidP="001A5086">
      <w:pPr>
        <w:pStyle w:val="NoSpacing"/>
      </w:pPr>
    </w:p>
    <w:p w14:paraId="7A443EE2" w14:textId="77777777" w:rsidR="001A5086" w:rsidRPr="001A5086" w:rsidRDefault="001A5086" w:rsidP="001A5086">
      <w:pPr>
        <w:pStyle w:val="NoSpacing"/>
      </w:pPr>
    </w:p>
    <w:p w14:paraId="272D5159" w14:textId="77777777" w:rsidR="001A5086" w:rsidRPr="001A5086" w:rsidRDefault="001A5086" w:rsidP="001A5086">
      <w:pPr>
        <w:pStyle w:val="NoSpacing"/>
      </w:pPr>
      <w:r w:rsidRPr="001A5086">
        <w:t>ORDER</w:t>
      </w:r>
    </w:p>
    <w:p w14:paraId="109696E1" w14:textId="77777777" w:rsidR="001A5086" w:rsidRPr="001A5086" w:rsidRDefault="001A5086" w:rsidP="001A5086">
      <w:pPr>
        <w:pStyle w:val="NoSpacing"/>
      </w:pPr>
    </w:p>
    <w:p w14:paraId="347BD14B" w14:textId="7B63DC1C" w:rsidR="008D2002" w:rsidRPr="008D2002" w:rsidRDefault="00D73D02" w:rsidP="008D2002">
      <w:pPr>
        <w:pStyle w:val="NoSpacing"/>
        <w:ind w:firstLine="720"/>
      </w:pPr>
      <w:r>
        <w:t>To the extent witnesses are offering testimony regarding</w:t>
      </w:r>
      <w:r w:rsidRPr="00913423">
        <w:t xml:space="preserve"> </w:t>
      </w:r>
      <w:r>
        <w:t xml:space="preserve">the alleged bullying of Stewart, his “forced hospitalization,” Parent’s arrest, the involvement of the SRO, and the allegedly retaliatory assignment of a 1:1 aide to Stewart, all witnesses except for the District’s designated representative will be sequestered. At all other times there is no need for sequestration. </w:t>
      </w:r>
      <w:r w:rsidR="001A5086" w:rsidRPr="001A5086">
        <w:t xml:space="preserve">The matter will proceed </w:t>
      </w:r>
      <w:r w:rsidR="008D2002" w:rsidRPr="008D2002">
        <w:t>to Pre-Hearing Conference on April 12, 2021 and Hearing on May 11, 12, 13, and 14, 2021.</w:t>
      </w:r>
    </w:p>
    <w:p w14:paraId="5A225C80" w14:textId="0D18F6FA" w:rsidR="001A5086" w:rsidRDefault="001A5086" w:rsidP="00E71824">
      <w:pPr>
        <w:pStyle w:val="NoSpacing"/>
        <w:ind w:left="720"/>
      </w:pPr>
    </w:p>
    <w:p w14:paraId="1DCBF671" w14:textId="77777777" w:rsidR="00E71824" w:rsidRPr="001A5086" w:rsidRDefault="00E71824" w:rsidP="00E71824">
      <w:pPr>
        <w:pStyle w:val="NoSpacing"/>
        <w:ind w:left="720"/>
      </w:pPr>
    </w:p>
    <w:p w14:paraId="148C5D8E" w14:textId="77777777" w:rsidR="00796BD8" w:rsidRDefault="00796BD8" w:rsidP="00796BD8"/>
    <w:p w14:paraId="1B3B29E2" w14:textId="7F3104D7" w:rsidR="00796BD8" w:rsidRDefault="00796BD8" w:rsidP="00796BD8">
      <w:r w:rsidRPr="00C42532">
        <w:t>By the Hearing Officer</w:t>
      </w:r>
      <w:r>
        <w:t>:</w:t>
      </w:r>
      <w:r w:rsidRPr="00CC2007">
        <w:rPr>
          <w:rStyle w:val="FootnoteReference"/>
        </w:rPr>
        <w:footnoteReference w:id="31"/>
      </w:r>
    </w:p>
    <w:p w14:paraId="1693B1A1" w14:textId="77777777" w:rsidR="005F681A" w:rsidRPr="006B69D4" w:rsidRDefault="005F681A" w:rsidP="00796BD8"/>
    <w:p w14:paraId="47C294A0" w14:textId="77777777" w:rsidR="00796BD8" w:rsidRPr="00CD2E74" w:rsidRDefault="00796BD8" w:rsidP="00796BD8">
      <w:pPr>
        <w:rPr>
          <w:rFonts w:ascii="Freestyle Script" w:hAnsi="Freestyle Script"/>
          <w:sz w:val="32"/>
          <w:szCs w:val="32"/>
        </w:rPr>
      </w:pPr>
      <w:r w:rsidRPr="00CD2E74">
        <w:rPr>
          <w:u w:val="single"/>
        </w:rPr>
        <w:t>/s</w:t>
      </w:r>
      <w:proofErr w:type="gramStart"/>
      <w:r w:rsidRPr="00CD2E74">
        <w:rPr>
          <w:u w:val="single"/>
        </w:rPr>
        <w:t xml:space="preserve">/  </w:t>
      </w:r>
      <w:r w:rsidRPr="00CD2E74">
        <w:rPr>
          <w:rFonts w:ascii="Freestyle Script" w:hAnsi="Freestyle Script"/>
          <w:sz w:val="32"/>
          <w:szCs w:val="32"/>
          <w:u w:val="single"/>
        </w:rPr>
        <w:t>Amy</w:t>
      </w:r>
      <w:proofErr w:type="gramEnd"/>
      <w:r w:rsidRPr="00CD2E74">
        <w:rPr>
          <w:rFonts w:ascii="Freestyle Script" w:hAnsi="Freestyle Script"/>
          <w:sz w:val="32"/>
          <w:szCs w:val="32"/>
          <w:u w:val="single"/>
        </w:rPr>
        <w:t xml:space="preserve"> M. Reichbach</w:t>
      </w:r>
    </w:p>
    <w:p w14:paraId="3A387BE5" w14:textId="07832291" w:rsidR="001A5086" w:rsidRPr="005F681A" w:rsidRDefault="001A5086" w:rsidP="005F681A">
      <w:pPr>
        <w:tabs>
          <w:tab w:val="left" w:pos="4084"/>
        </w:tabs>
      </w:pPr>
      <w:r w:rsidRPr="001A5086">
        <w:t xml:space="preserve">Dated: </w:t>
      </w:r>
      <w:r w:rsidR="00796BD8">
        <w:t xml:space="preserve">April </w:t>
      </w:r>
      <w:r w:rsidR="00FF1C66">
        <w:t>6</w:t>
      </w:r>
      <w:r w:rsidR="00796BD8">
        <w:t>, 2021</w:t>
      </w:r>
      <w:r w:rsidRPr="001A5086">
        <w:rPr>
          <w:b/>
        </w:rPr>
        <w:tab/>
      </w:r>
      <w:r w:rsidRPr="001A5086">
        <w:rPr>
          <w:b/>
        </w:rPr>
        <w:tab/>
      </w:r>
    </w:p>
    <w:p w14:paraId="23F5CA5F" w14:textId="77777777" w:rsidR="001A5086" w:rsidRPr="001A5086" w:rsidRDefault="001A5086" w:rsidP="001A5086">
      <w:pPr>
        <w:pStyle w:val="NoSpacing"/>
      </w:pPr>
    </w:p>
    <w:p w14:paraId="346B793D" w14:textId="34BA1415" w:rsidR="00806940" w:rsidRPr="001A5086" w:rsidRDefault="00806940" w:rsidP="00CF6A14">
      <w:pPr>
        <w:pStyle w:val="ListParagraph"/>
        <w:ind w:left="1800"/>
      </w:pPr>
    </w:p>
    <w:sectPr w:rsidR="00806940" w:rsidRPr="001A5086" w:rsidSect="009435C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8C6B7" w14:textId="77777777" w:rsidR="00946CA4" w:rsidRDefault="00946CA4" w:rsidP="00957D05">
      <w:r>
        <w:separator/>
      </w:r>
    </w:p>
  </w:endnote>
  <w:endnote w:type="continuationSeparator" w:id="0">
    <w:p w14:paraId="3B56929A" w14:textId="77777777" w:rsidR="00946CA4" w:rsidRDefault="00946CA4" w:rsidP="0095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4237211"/>
      <w:docPartObj>
        <w:docPartGallery w:val="Page Numbers (Bottom of Page)"/>
        <w:docPartUnique/>
      </w:docPartObj>
    </w:sdtPr>
    <w:sdtEndPr>
      <w:rPr>
        <w:rStyle w:val="PageNumber"/>
      </w:rPr>
    </w:sdtEndPr>
    <w:sdtContent>
      <w:p w14:paraId="560EF078" w14:textId="307D74A5" w:rsidR="00AD082A" w:rsidRDefault="00AD082A" w:rsidP="00B313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259E1" w14:textId="77777777" w:rsidR="00AD082A" w:rsidRDefault="00AD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037241"/>
      <w:docPartObj>
        <w:docPartGallery w:val="Page Numbers (Bottom of Page)"/>
        <w:docPartUnique/>
      </w:docPartObj>
    </w:sdtPr>
    <w:sdtEndPr>
      <w:rPr>
        <w:rStyle w:val="PageNumber"/>
      </w:rPr>
    </w:sdtEndPr>
    <w:sdtContent>
      <w:p w14:paraId="3465ED66" w14:textId="712A14D2" w:rsidR="00AD082A" w:rsidRDefault="00AD082A" w:rsidP="00B313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36E116" w14:textId="77777777" w:rsidR="00AD082A" w:rsidRDefault="00AD0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2FA22" w14:textId="77777777" w:rsidR="00946CA4" w:rsidRDefault="00946CA4" w:rsidP="00957D05">
      <w:r>
        <w:separator/>
      </w:r>
    </w:p>
  </w:footnote>
  <w:footnote w:type="continuationSeparator" w:id="0">
    <w:p w14:paraId="696068DA" w14:textId="77777777" w:rsidR="00946CA4" w:rsidRDefault="00946CA4" w:rsidP="00957D05">
      <w:r>
        <w:continuationSeparator/>
      </w:r>
    </w:p>
  </w:footnote>
  <w:footnote w:id="1">
    <w:p w14:paraId="5EAA9A4F" w14:textId="77777777" w:rsidR="00957D05" w:rsidRPr="005A3805" w:rsidRDefault="00957D05" w:rsidP="00BF01D4">
      <w:pPr>
        <w:pStyle w:val="NoSpacing"/>
        <w:rPr>
          <w:sz w:val="20"/>
          <w:szCs w:val="20"/>
        </w:rPr>
      </w:pPr>
      <w:r w:rsidRPr="005A3805">
        <w:rPr>
          <w:rStyle w:val="FootnoteReference"/>
          <w:sz w:val="20"/>
          <w:szCs w:val="20"/>
        </w:rPr>
        <w:footnoteRef/>
      </w:r>
      <w:r w:rsidRPr="005A3805">
        <w:rPr>
          <w:sz w:val="20"/>
          <w:szCs w:val="20"/>
        </w:rPr>
        <w:t xml:space="preserve"> “Stewart” is a pseudonym chosen by the Hearing Officer to protect the privacy of the Student in documents available to the public.</w:t>
      </w:r>
    </w:p>
  </w:footnote>
  <w:footnote w:id="2">
    <w:p w14:paraId="48BC479D" w14:textId="4DC4492A" w:rsidR="00057E42" w:rsidRPr="005A3805" w:rsidRDefault="00057E42">
      <w:pPr>
        <w:pStyle w:val="FootnoteText"/>
        <w:rPr>
          <w:sz w:val="20"/>
          <w:szCs w:val="20"/>
        </w:rPr>
      </w:pPr>
      <w:r w:rsidRPr="005A3805">
        <w:rPr>
          <w:rStyle w:val="FootnoteReference"/>
          <w:sz w:val="20"/>
          <w:szCs w:val="20"/>
        </w:rPr>
        <w:footnoteRef/>
      </w:r>
      <w:r w:rsidRPr="005A3805">
        <w:rPr>
          <w:sz w:val="20"/>
          <w:szCs w:val="20"/>
        </w:rPr>
        <w:t xml:space="preserve"> In her Motion, Parent specifically requested the sequestration of all non-party witnesses, aside from a designated </w:t>
      </w:r>
      <w:r w:rsidR="00796BD8">
        <w:rPr>
          <w:sz w:val="20"/>
          <w:szCs w:val="20"/>
        </w:rPr>
        <w:t>District r</w:t>
      </w:r>
      <w:r w:rsidRPr="005A3805">
        <w:rPr>
          <w:sz w:val="20"/>
          <w:szCs w:val="20"/>
        </w:rPr>
        <w:t xml:space="preserve">epresentative. </w:t>
      </w:r>
    </w:p>
  </w:footnote>
  <w:footnote w:id="3">
    <w:p w14:paraId="4154548B" w14:textId="77C1B8F9" w:rsidR="00C25671" w:rsidRPr="005A3805" w:rsidRDefault="00C25671" w:rsidP="00C25671">
      <w:pPr>
        <w:pStyle w:val="NoSpacing"/>
        <w:rPr>
          <w:sz w:val="20"/>
          <w:szCs w:val="20"/>
        </w:rPr>
      </w:pPr>
      <w:r w:rsidRPr="005A3805">
        <w:rPr>
          <w:rStyle w:val="FootnoteReference"/>
          <w:sz w:val="20"/>
          <w:szCs w:val="20"/>
        </w:rPr>
        <w:footnoteRef/>
      </w:r>
      <w:r w:rsidRPr="005A3805">
        <w:rPr>
          <w:sz w:val="20"/>
          <w:szCs w:val="20"/>
        </w:rPr>
        <w:t xml:space="preserve"> </w:t>
      </w:r>
      <w:r w:rsidR="0046100B" w:rsidRPr="005A3805">
        <w:rPr>
          <w:sz w:val="20"/>
          <w:szCs w:val="20"/>
        </w:rPr>
        <w:t xml:space="preserve">Pursuant to </w:t>
      </w:r>
      <w:r w:rsidRPr="005A3805">
        <w:rPr>
          <w:sz w:val="20"/>
          <w:szCs w:val="20"/>
        </w:rPr>
        <w:t xml:space="preserve">Bureau of Special Education Appeals (BSEA) </w:t>
      </w:r>
      <w:r w:rsidRPr="005A3805">
        <w:rPr>
          <w:i/>
          <w:sz w:val="20"/>
          <w:szCs w:val="20"/>
        </w:rPr>
        <w:t xml:space="preserve">Hearing Rule </w:t>
      </w:r>
      <w:r w:rsidRPr="00796BD8">
        <w:rPr>
          <w:iCs/>
          <w:sz w:val="20"/>
          <w:szCs w:val="20"/>
        </w:rPr>
        <w:t>VI(C)</w:t>
      </w:r>
      <w:r w:rsidR="0046100B" w:rsidRPr="00796BD8">
        <w:rPr>
          <w:iCs/>
          <w:sz w:val="20"/>
          <w:szCs w:val="20"/>
        </w:rPr>
        <w:t>,</w:t>
      </w:r>
      <w:r w:rsidRPr="005A3805">
        <w:rPr>
          <w:sz w:val="20"/>
          <w:szCs w:val="20"/>
        </w:rPr>
        <w:t xml:space="preserve"> “</w:t>
      </w:r>
      <w:r w:rsidR="0046100B" w:rsidRPr="005A3805">
        <w:rPr>
          <w:sz w:val="20"/>
          <w:szCs w:val="20"/>
        </w:rPr>
        <w:t>[a]</w:t>
      </w:r>
      <w:proofErr w:type="spellStart"/>
      <w:r w:rsidRPr="005A3805">
        <w:rPr>
          <w:sz w:val="20"/>
          <w:szCs w:val="20"/>
        </w:rPr>
        <w:t>ny</w:t>
      </w:r>
      <w:proofErr w:type="spellEnd"/>
      <w:r w:rsidRPr="005A3805">
        <w:rPr>
          <w:sz w:val="20"/>
          <w:szCs w:val="20"/>
        </w:rPr>
        <w:t xml:space="preserve"> party may file written objections to the allowance of the motion and may request a hearing on the motion within seven (7) calendar days after a written motion is filed with the Hearing Officer and the opposing party, unless the Hearing Officer determines that a shorter or longer time is warranted.”</w:t>
      </w:r>
    </w:p>
  </w:footnote>
  <w:footnote w:id="4">
    <w:p w14:paraId="46903378" w14:textId="7D3D6E56" w:rsidR="00BA6D39" w:rsidRPr="005A3805" w:rsidRDefault="00BA6D39" w:rsidP="00BF01D4">
      <w:pPr>
        <w:pStyle w:val="NoSpacing"/>
        <w:rPr>
          <w:sz w:val="20"/>
          <w:szCs w:val="20"/>
        </w:rPr>
      </w:pPr>
      <w:r w:rsidRPr="005A3805">
        <w:rPr>
          <w:rStyle w:val="FootnoteReference"/>
          <w:sz w:val="20"/>
          <w:szCs w:val="20"/>
        </w:rPr>
        <w:footnoteRef/>
      </w:r>
      <w:r w:rsidRPr="005A3805">
        <w:rPr>
          <w:sz w:val="20"/>
          <w:szCs w:val="20"/>
        </w:rPr>
        <w:t xml:space="preserve"> </w:t>
      </w:r>
      <w:r w:rsidR="00E35A45" w:rsidRPr="005A3805">
        <w:rPr>
          <w:sz w:val="20"/>
          <w:szCs w:val="20"/>
        </w:rPr>
        <w:t xml:space="preserve">BSEA </w:t>
      </w:r>
      <w:r w:rsidR="00E35A45" w:rsidRPr="005A3805">
        <w:rPr>
          <w:i/>
          <w:iCs/>
          <w:sz w:val="20"/>
          <w:szCs w:val="20"/>
        </w:rPr>
        <w:t xml:space="preserve">Hearing Rule </w:t>
      </w:r>
      <w:r w:rsidR="00E35A45" w:rsidRPr="00796BD8">
        <w:rPr>
          <w:sz w:val="20"/>
          <w:szCs w:val="20"/>
        </w:rPr>
        <w:t>VI(D)</w:t>
      </w:r>
      <w:r w:rsidR="00E35A45" w:rsidRPr="005A3805">
        <w:rPr>
          <w:sz w:val="20"/>
          <w:szCs w:val="20"/>
        </w:rPr>
        <w:t xml:space="preserve"> provides in relevant part: “A Hearing Officer may rule on a motion without holding a hearing if: delay would seriously injure a party; testimony or oral argument would not advance the Hearing Officer's understanding of the issues involved; or a ruling without a hearing would best serve the public interest.”</w:t>
      </w:r>
    </w:p>
  </w:footnote>
  <w:footnote w:id="5">
    <w:p w14:paraId="3746C6FA" w14:textId="25741118" w:rsidR="005223AC" w:rsidRPr="005A3805" w:rsidRDefault="005223AC" w:rsidP="00BF01D4">
      <w:pPr>
        <w:pStyle w:val="NoSpacing"/>
        <w:rPr>
          <w:sz w:val="20"/>
          <w:szCs w:val="20"/>
        </w:rPr>
      </w:pPr>
      <w:r w:rsidRPr="005A3805">
        <w:rPr>
          <w:rStyle w:val="FootnoteReference"/>
          <w:sz w:val="20"/>
          <w:szCs w:val="20"/>
        </w:rPr>
        <w:footnoteRef/>
      </w:r>
      <w:r w:rsidRPr="005A3805">
        <w:rPr>
          <w:sz w:val="20"/>
          <w:szCs w:val="20"/>
        </w:rPr>
        <w:t xml:space="preserve"> </w:t>
      </w:r>
      <w:r w:rsidR="00F84979" w:rsidRPr="005A3805">
        <w:rPr>
          <w:sz w:val="20"/>
          <w:szCs w:val="20"/>
        </w:rPr>
        <w:t xml:space="preserve">See </w:t>
      </w:r>
      <w:r w:rsidRPr="005A3805">
        <w:rPr>
          <w:sz w:val="20"/>
          <w:szCs w:val="20"/>
        </w:rPr>
        <w:t>Ex. D</w:t>
      </w:r>
      <w:r w:rsidR="00930A9C" w:rsidRPr="005A3805">
        <w:rPr>
          <w:sz w:val="20"/>
          <w:szCs w:val="20"/>
        </w:rPr>
        <w:t xml:space="preserve"> to </w:t>
      </w:r>
      <w:r w:rsidR="00930A9C" w:rsidRPr="005A3805">
        <w:rPr>
          <w:i/>
          <w:iCs/>
          <w:sz w:val="20"/>
          <w:szCs w:val="20"/>
        </w:rPr>
        <w:t>Motion to Sequester Witnesses</w:t>
      </w:r>
      <w:r w:rsidR="00F84979" w:rsidRPr="005A3805">
        <w:rPr>
          <w:i/>
          <w:iCs/>
          <w:sz w:val="20"/>
          <w:szCs w:val="20"/>
        </w:rPr>
        <w:t xml:space="preserve"> </w:t>
      </w:r>
      <w:r w:rsidR="00F84979" w:rsidRPr="005A3805">
        <w:rPr>
          <w:sz w:val="20"/>
          <w:szCs w:val="20"/>
        </w:rPr>
        <w:t xml:space="preserve">(suggesting that if the District and APD had met </w:t>
      </w:r>
      <w:r w:rsidR="0007574A">
        <w:rPr>
          <w:sz w:val="20"/>
          <w:szCs w:val="20"/>
        </w:rPr>
        <w:t xml:space="preserve">once </w:t>
      </w:r>
      <w:r w:rsidR="00F84979" w:rsidRPr="005A3805">
        <w:rPr>
          <w:sz w:val="20"/>
          <w:szCs w:val="20"/>
        </w:rPr>
        <w:t>before to discuss their statements</w:t>
      </w:r>
      <w:r w:rsidR="00BD72D1" w:rsidRPr="005A3805">
        <w:rPr>
          <w:sz w:val="20"/>
          <w:szCs w:val="20"/>
        </w:rPr>
        <w:t>,</w:t>
      </w:r>
      <w:r w:rsidR="00F84979" w:rsidRPr="005A3805">
        <w:rPr>
          <w:sz w:val="20"/>
          <w:szCs w:val="20"/>
        </w:rPr>
        <w:t xml:space="preserve"> they might do so again to make sure their testimony is aligned)</w:t>
      </w:r>
      <w:r w:rsidR="00930A9C" w:rsidRPr="005A3805">
        <w:rPr>
          <w:sz w:val="20"/>
          <w:szCs w:val="20"/>
        </w:rPr>
        <w:t xml:space="preserve">. </w:t>
      </w:r>
    </w:p>
  </w:footnote>
  <w:footnote w:id="6">
    <w:p w14:paraId="19D672D7" w14:textId="3B7C1393" w:rsidR="00BB7894" w:rsidRPr="005A3805" w:rsidRDefault="00BB7894" w:rsidP="00BF01D4">
      <w:pPr>
        <w:pStyle w:val="NoSpacing"/>
        <w:rPr>
          <w:sz w:val="20"/>
          <w:szCs w:val="20"/>
        </w:rPr>
      </w:pPr>
      <w:r w:rsidRPr="005A3805">
        <w:rPr>
          <w:rStyle w:val="FootnoteReference"/>
          <w:sz w:val="20"/>
          <w:szCs w:val="20"/>
        </w:rPr>
        <w:footnoteRef/>
      </w:r>
      <w:r w:rsidRPr="005A3805">
        <w:rPr>
          <w:sz w:val="20"/>
          <w:szCs w:val="20"/>
        </w:rPr>
        <w:t xml:space="preserve"> </w:t>
      </w:r>
      <w:r w:rsidR="00F84979" w:rsidRPr="005A3805">
        <w:rPr>
          <w:sz w:val="20"/>
          <w:szCs w:val="20"/>
        </w:rPr>
        <w:t xml:space="preserve">See </w:t>
      </w:r>
      <w:r w:rsidRPr="005A3805">
        <w:rPr>
          <w:sz w:val="20"/>
          <w:szCs w:val="20"/>
        </w:rPr>
        <w:t>Ex. E</w:t>
      </w:r>
      <w:r w:rsidR="00930A9C" w:rsidRPr="005A3805">
        <w:rPr>
          <w:sz w:val="20"/>
          <w:szCs w:val="20"/>
        </w:rPr>
        <w:t xml:space="preserve"> to </w:t>
      </w:r>
      <w:r w:rsidR="00930A9C" w:rsidRPr="005A3805">
        <w:rPr>
          <w:i/>
          <w:iCs/>
          <w:sz w:val="20"/>
          <w:szCs w:val="20"/>
        </w:rPr>
        <w:t>Motion to Sequester Witnesses</w:t>
      </w:r>
      <w:r w:rsidR="00F84979" w:rsidRPr="005A3805">
        <w:rPr>
          <w:sz w:val="20"/>
          <w:szCs w:val="20"/>
        </w:rPr>
        <w:t xml:space="preserve"> (suggesting that the District</w:t>
      </w:r>
      <w:r w:rsidR="00BD72D1" w:rsidRPr="005A3805">
        <w:rPr>
          <w:sz w:val="20"/>
          <w:szCs w:val="20"/>
        </w:rPr>
        <w:t xml:space="preserve">’s employee wanted the APD to change the police report to align with her </w:t>
      </w:r>
      <w:r w:rsidR="00324386">
        <w:rPr>
          <w:sz w:val="20"/>
          <w:szCs w:val="20"/>
        </w:rPr>
        <w:t>description</w:t>
      </w:r>
      <w:r w:rsidR="00BD72D1" w:rsidRPr="005A3805">
        <w:rPr>
          <w:sz w:val="20"/>
          <w:szCs w:val="20"/>
        </w:rPr>
        <w:t xml:space="preserve"> of the January incident). </w:t>
      </w:r>
      <w:r w:rsidR="00F84979" w:rsidRPr="005A3805">
        <w:rPr>
          <w:sz w:val="20"/>
          <w:szCs w:val="20"/>
        </w:rPr>
        <w:t xml:space="preserve"> </w:t>
      </w:r>
    </w:p>
  </w:footnote>
  <w:footnote w:id="7">
    <w:p w14:paraId="2761719C" w14:textId="41D6126D" w:rsidR="001A5086" w:rsidRPr="005A3805" w:rsidRDefault="001A5086" w:rsidP="00BF01D4">
      <w:pPr>
        <w:pStyle w:val="NoSpacing"/>
        <w:rPr>
          <w:sz w:val="20"/>
          <w:szCs w:val="20"/>
        </w:rPr>
      </w:pPr>
      <w:r w:rsidRPr="005A3805">
        <w:rPr>
          <w:rStyle w:val="FootnoteReference"/>
          <w:sz w:val="20"/>
          <w:szCs w:val="20"/>
        </w:rPr>
        <w:footnoteRef/>
      </w:r>
      <w:r w:rsidRPr="005A3805">
        <w:rPr>
          <w:sz w:val="20"/>
          <w:szCs w:val="20"/>
        </w:rPr>
        <w:t xml:space="preserve"> See </w:t>
      </w:r>
      <w:r w:rsidR="00DF1220" w:rsidRPr="005A3805">
        <w:rPr>
          <w:sz w:val="20"/>
          <w:szCs w:val="20"/>
        </w:rPr>
        <w:t>Fed. R. Evid. 615.</w:t>
      </w:r>
    </w:p>
  </w:footnote>
  <w:footnote w:id="8">
    <w:p w14:paraId="60503201" w14:textId="4D555521" w:rsidR="001A5086" w:rsidRPr="005A3805" w:rsidRDefault="001A5086" w:rsidP="00BF01D4">
      <w:pPr>
        <w:pStyle w:val="NoSpacing"/>
        <w:rPr>
          <w:sz w:val="20"/>
          <w:szCs w:val="20"/>
        </w:rPr>
      </w:pPr>
      <w:r w:rsidRPr="005A3805">
        <w:rPr>
          <w:rStyle w:val="FootnoteReference"/>
          <w:sz w:val="20"/>
          <w:szCs w:val="20"/>
        </w:rPr>
        <w:footnoteRef/>
      </w:r>
      <w:r w:rsidRPr="005A3805">
        <w:rPr>
          <w:sz w:val="20"/>
          <w:szCs w:val="20"/>
        </w:rPr>
        <w:t xml:space="preserve"> </w:t>
      </w:r>
      <w:r w:rsidR="00D30BAC" w:rsidRPr="005A3805">
        <w:rPr>
          <w:sz w:val="20"/>
          <w:szCs w:val="20"/>
        </w:rPr>
        <w:t>BSEA</w:t>
      </w:r>
      <w:r w:rsidRPr="005A3805">
        <w:rPr>
          <w:sz w:val="20"/>
          <w:szCs w:val="20"/>
        </w:rPr>
        <w:t xml:space="preserve"> </w:t>
      </w:r>
      <w:r w:rsidRPr="005A3805">
        <w:rPr>
          <w:i/>
          <w:sz w:val="20"/>
          <w:szCs w:val="20"/>
        </w:rPr>
        <w:t xml:space="preserve">Hearing Rule </w:t>
      </w:r>
      <w:r w:rsidRPr="00796BD8">
        <w:rPr>
          <w:iCs/>
          <w:sz w:val="20"/>
          <w:szCs w:val="20"/>
        </w:rPr>
        <w:t>X(C)</w:t>
      </w:r>
      <w:r w:rsidRPr="005A3805">
        <w:rPr>
          <w:sz w:val="20"/>
          <w:szCs w:val="20"/>
        </w:rPr>
        <w:t xml:space="preserve"> (“Hearing Officer shall not be bound by the rules of evidence applicable to courts”)</w:t>
      </w:r>
      <w:r w:rsidR="00DF1220" w:rsidRPr="005A3805">
        <w:rPr>
          <w:sz w:val="20"/>
          <w:szCs w:val="20"/>
        </w:rPr>
        <w:t>.</w:t>
      </w:r>
    </w:p>
  </w:footnote>
  <w:footnote w:id="9">
    <w:p w14:paraId="7F9B4360" w14:textId="0857BA70" w:rsidR="001A5086" w:rsidRPr="005A3805" w:rsidRDefault="001A5086" w:rsidP="00BF01D4">
      <w:pPr>
        <w:pStyle w:val="NoSpacing"/>
        <w:rPr>
          <w:sz w:val="20"/>
          <w:szCs w:val="20"/>
        </w:rPr>
      </w:pPr>
      <w:r w:rsidRPr="005A3805">
        <w:rPr>
          <w:rStyle w:val="FootnoteReference"/>
          <w:sz w:val="20"/>
          <w:szCs w:val="20"/>
        </w:rPr>
        <w:footnoteRef/>
      </w:r>
      <w:r w:rsidRPr="005A3805">
        <w:rPr>
          <w:sz w:val="20"/>
          <w:szCs w:val="20"/>
        </w:rPr>
        <w:t xml:space="preserve"> Mass. Guide to Evidence §</w:t>
      </w:r>
      <w:r w:rsidR="00927EC4">
        <w:rPr>
          <w:sz w:val="20"/>
          <w:szCs w:val="20"/>
        </w:rPr>
        <w:t> </w:t>
      </w:r>
      <w:r w:rsidRPr="005A3805">
        <w:rPr>
          <w:sz w:val="20"/>
          <w:szCs w:val="20"/>
        </w:rPr>
        <w:t>615</w:t>
      </w:r>
      <w:r w:rsidR="00DC4DA8" w:rsidRPr="005A3805">
        <w:rPr>
          <w:sz w:val="20"/>
          <w:szCs w:val="20"/>
        </w:rPr>
        <w:t>;</w:t>
      </w:r>
      <w:r w:rsidRPr="005A3805">
        <w:rPr>
          <w:sz w:val="20"/>
          <w:szCs w:val="20"/>
        </w:rPr>
        <w:t xml:space="preserve"> Mass. R. Crim. P. 21.</w:t>
      </w:r>
    </w:p>
  </w:footnote>
  <w:footnote w:id="10">
    <w:p w14:paraId="61E17DC4" w14:textId="5B290AA2" w:rsidR="00D30BAC" w:rsidRPr="005A3805" w:rsidRDefault="00D30BAC" w:rsidP="00BF01D4">
      <w:pPr>
        <w:pStyle w:val="NoSpacing"/>
        <w:rPr>
          <w:sz w:val="20"/>
          <w:szCs w:val="20"/>
        </w:rPr>
      </w:pPr>
      <w:r w:rsidRPr="005A3805">
        <w:rPr>
          <w:rStyle w:val="FootnoteReference"/>
          <w:sz w:val="20"/>
          <w:szCs w:val="20"/>
        </w:rPr>
        <w:footnoteRef/>
      </w:r>
      <w:r w:rsidRPr="005A3805">
        <w:rPr>
          <w:sz w:val="20"/>
          <w:szCs w:val="20"/>
        </w:rPr>
        <w:t xml:space="preserve"> Cf. </w:t>
      </w:r>
      <w:r w:rsidRPr="005A3805">
        <w:rPr>
          <w:i/>
          <w:iCs/>
          <w:sz w:val="20"/>
          <w:szCs w:val="20"/>
        </w:rPr>
        <w:t xml:space="preserve">In </w:t>
      </w:r>
      <w:r w:rsidR="00CD2C9B" w:rsidRPr="005A3805">
        <w:rPr>
          <w:i/>
          <w:iCs/>
          <w:sz w:val="20"/>
          <w:szCs w:val="20"/>
        </w:rPr>
        <w:t>Re</w:t>
      </w:r>
      <w:r w:rsidRPr="005A3805">
        <w:rPr>
          <w:i/>
          <w:iCs/>
          <w:sz w:val="20"/>
          <w:szCs w:val="20"/>
        </w:rPr>
        <w:t xml:space="preserve"> Stoneham Pub. Sch.</w:t>
      </w:r>
      <w:r w:rsidRPr="005A3805">
        <w:rPr>
          <w:sz w:val="20"/>
          <w:szCs w:val="20"/>
        </w:rPr>
        <w:t xml:space="preserve">, BSEA #1300160 (Crane 2012) (noting that </w:t>
      </w:r>
      <w:r w:rsidR="00981749" w:rsidRPr="005A3805">
        <w:rPr>
          <w:sz w:val="20"/>
          <w:szCs w:val="20"/>
        </w:rPr>
        <w:t xml:space="preserve">the </w:t>
      </w:r>
      <w:r w:rsidRPr="005A3805">
        <w:rPr>
          <w:sz w:val="20"/>
          <w:szCs w:val="20"/>
        </w:rPr>
        <w:t>“Division of Administrative Law Appeals Magistrates, who have no greater authority than BSEA Hearing Officers regarding sequestering witnesses, have a practice of more routinely allowing motions to sequester witnesses”).</w:t>
      </w:r>
    </w:p>
  </w:footnote>
  <w:footnote w:id="11">
    <w:p w14:paraId="0274B31D" w14:textId="3E72510D" w:rsidR="001A5086" w:rsidRPr="005A3805" w:rsidRDefault="001A5086" w:rsidP="00BF01D4">
      <w:pPr>
        <w:pStyle w:val="NoSpacing"/>
        <w:rPr>
          <w:sz w:val="20"/>
          <w:szCs w:val="20"/>
        </w:rPr>
      </w:pPr>
      <w:r w:rsidRPr="005A3805">
        <w:rPr>
          <w:rStyle w:val="FootnoteReference"/>
          <w:sz w:val="20"/>
          <w:szCs w:val="20"/>
        </w:rPr>
        <w:footnoteRef/>
      </w:r>
      <w:r w:rsidRPr="005A3805">
        <w:rPr>
          <w:sz w:val="20"/>
          <w:szCs w:val="20"/>
        </w:rPr>
        <w:t xml:space="preserve"> </w:t>
      </w:r>
      <w:r w:rsidR="00981749" w:rsidRPr="005A3805">
        <w:rPr>
          <w:sz w:val="20"/>
          <w:szCs w:val="20"/>
        </w:rPr>
        <w:t xml:space="preserve">603 CMR 28.08(5)(c). </w:t>
      </w:r>
      <w:r w:rsidR="00D30BAC" w:rsidRPr="005A3805">
        <w:rPr>
          <w:sz w:val="20"/>
          <w:szCs w:val="20"/>
        </w:rPr>
        <w:t>See</w:t>
      </w:r>
      <w:r w:rsidR="00BB7A02" w:rsidRPr="005A3805">
        <w:rPr>
          <w:sz w:val="20"/>
          <w:szCs w:val="20"/>
        </w:rPr>
        <w:t>, e.g.,</w:t>
      </w:r>
      <w:r w:rsidR="00D30BAC" w:rsidRPr="005A3805">
        <w:rPr>
          <w:sz w:val="20"/>
          <w:szCs w:val="20"/>
        </w:rPr>
        <w:t xml:space="preserve"> </w:t>
      </w:r>
      <w:r w:rsidR="00CD2C9B" w:rsidRPr="005A3805">
        <w:rPr>
          <w:i/>
          <w:iCs/>
          <w:sz w:val="20"/>
          <w:szCs w:val="20"/>
        </w:rPr>
        <w:t>In Re Quentin</w:t>
      </w:r>
      <w:r w:rsidR="00CD2C9B" w:rsidRPr="005A3805">
        <w:rPr>
          <w:sz w:val="20"/>
          <w:szCs w:val="20"/>
        </w:rPr>
        <w:t>, BSEA #19-07460 (Reichbach 2019) (allowing Parents’ sequestration request)</w:t>
      </w:r>
      <w:r w:rsidR="00086B78" w:rsidRPr="005A3805">
        <w:rPr>
          <w:sz w:val="20"/>
          <w:szCs w:val="20"/>
        </w:rPr>
        <w:t>;</w:t>
      </w:r>
      <w:r w:rsidR="00CD2C9B" w:rsidRPr="005A3805">
        <w:rPr>
          <w:sz w:val="20"/>
          <w:szCs w:val="20"/>
        </w:rPr>
        <w:t xml:space="preserve"> </w:t>
      </w:r>
      <w:r w:rsidRPr="005A3805">
        <w:rPr>
          <w:i/>
          <w:sz w:val="20"/>
          <w:szCs w:val="20"/>
        </w:rPr>
        <w:t xml:space="preserve">In Re CBDE </w:t>
      </w:r>
      <w:r w:rsidR="00582247" w:rsidRPr="005A3805">
        <w:rPr>
          <w:i/>
          <w:sz w:val="20"/>
          <w:szCs w:val="20"/>
        </w:rPr>
        <w:t>Pub.</w:t>
      </w:r>
      <w:r w:rsidRPr="005A3805">
        <w:rPr>
          <w:i/>
          <w:sz w:val="20"/>
          <w:szCs w:val="20"/>
        </w:rPr>
        <w:t xml:space="preserve"> </w:t>
      </w:r>
      <w:r w:rsidR="00582247" w:rsidRPr="005A3805">
        <w:rPr>
          <w:i/>
          <w:sz w:val="20"/>
          <w:szCs w:val="20"/>
        </w:rPr>
        <w:t>Sch.</w:t>
      </w:r>
      <w:r w:rsidRPr="005A3805">
        <w:rPr>
          <w:sz w:val="20"/>
          <w:szCs w:val="20"/>
        </w:rPr>
        <w:t xml:space="preserve">, BSEA #106854 (Crane 2011) (allowing Parent’s </w:t>
      </w:r>
      <w:r w:rsidR="00985235">
        <w:rPr>
          <w:sz w:val="20"/>
          <w:szCs w:val="20"/>
        </w:rPr>
        <w:t xml:space="preserve">motion to sequester, </w:t>
      </w:r>
      <w:r w:rsidRPr="005A3805">
        <w:rPr>
          <w:sz w:val="20"/>
          <w:szCs w:val="20"/>
        </w:rPr>
        <w:t xml:space="preserve"> in a case described by the Hearing Officer as “unusual in that a hearing is being held solely for the purpose of making findings to assist a federal court to resolve the parties’ damages dispute” and as such, explicitly looking to Federal Rules of Evidence for guidance)</w:t>
      </w:r>
      <w:r w:rsidR="00086B78" w:rsidRPr="005A3805">
        <w:rPr>
          <w:sz w:val="20"/>
          <w:szCs w:val="20"/>
        </w:rPr>
        <w:t>;</w:t>
      </w:r>
      <w:r w:rsidR="00CD2C9B" w:rsidRPr="005A3805">
        <w:rPr>
          <w:sz w:val="20"/>
          <w:szCs w:val="20"/>
        </w:rPr>
        <w:t xml:space="preserve"> </w:t>
      </w:r>
      <w:r w:rsidR="00582247" w:rsidRPr="005A3805">
        <w:rPr>
          <w:i/>
          <w:iCs/>
          <w:sz w:val="20"/>
          <w:szCs w:val="20"/>
        </w:rPr>
        <w:t>In Re Student v. Bedford Pub. Sch.</w:t>
      </w:r>
      <w:r w:rsidR="00582247" w:rsidRPr="005A3805">
        <w:rPr>
          <w:sz w:val="20"/>
          <w:szCs w:val="20"/>
        </w:rPr>
        <w:t xml:space="preserve">, BSEA #09-5853 (Figueroa 2009) (allowing Parent’s </w:t>
      </w:r>
      <w:r w:rsidR="00981749" w:rsidRPr="005A3805">
        <w:rPr>
          <w:sz w:val="20"/>
          <w:szCs w:val="20"/>
        </w:rPr>
        <w:t>sequestration request</w:t>
      </w:r>
      <w:r w:rsidR="00582247" w:rsidRPr="005A3805">
        <w:rPr>
          <w:sz w:val="20"/>
          <w:szCs w:val="20"/>
        </w:rPr>
        <w:t xml:space="preserve">). </w:t>
      </w:r>
      <w:r w:rsidR="00BB7A02" w:rsidRPr="005A3805">
        <w:rPr>
          <w:sz w:val="20"/>
          <w:szCs w:val="20"/>
        </w:rPr>
        <w:t>But see</w:t>
      </w:r>
      <w:r w:rsidR="00796BD8">
        <w:rPr>
          <w:sz w:val="20"/>
          <w:szCs w:val="20"/>
        </w:rPr>
        <w:t xml:space="preserve"> </w:t>
      </w:r>
      <w:r w:rsidR="00796BD8" w:rsidRPr="005A3805">
        <w:rPr>
          <w:i/>
          <w:iCs/>
          <w:sz w:val="20"/>
          <w:szCs w:val="20"/>
        </w:rPr>
        <w:t>In Re Ollie</w:t>
      </w:r>
      <w:r w:rsidR="00796BD8" w:rsidRPr="005A3805">
        <w:rPr>
          <w:sz w:val="20"/>
          <w:szCs w:val="20"/>
        </w:rPr>
        <w:t xml:space="preserve">, BSEA </w:t>
      </w:r>
      <w:r w:rsidR="00796BD8" w:rsidRPr="005A3805">
        <w:rPr>
          <w:b/>
          <w:sz w:val="20"/>
          <w:szCs w:val="20"/>
        </w:rPr>
        <w:t>#</w:t>
      </w:r>
      <w:r w:rsidR="00796BD8" w:rsidRPr="005A3805">
        <w:rPr>
          <w:sz w:val="20"/>
          <w:szCs w:val="20"/>
        </w:rPr>
        <w:t>2007894 (Reichbach 2020) (denying motion</w:t>
      </w:r>
      <w:r w:rsidR="00796BD8">
        <w:rPr>
          <w:sz w:val="20"/>
          <w:szCs w:val="20"/>
        </w:rPr>
        <w:t xml:space="preserve"> to sequester</w:t>
      </w:r>
      <w:r w:rsidR="00796BD8" w:rsidRPr="005A3805">
        <w:rPr>
          <w:sz w:val="20"/>
          <w:szCs w:val="20"/>
        </w:rPr>
        <w:t xml:space="preserve"> where Parent failed to substantiate off-the-record comments she claimed had been made by District employees who were allegedly motivated to provide false testimony in fear of retaliation by the District)</w:t>
      </w:r>
      <w:r w:rsidR="00796BD8">
        <w:rPr>
          <w:sz w:val="20"/>
          <w:szCs w:val="20"/>
        </w:rPr>
        <w:t>;</w:t>
      </w:r>
      <w:r w:rsidR="00BB7A02" w:rsidRPr="005A3805">
        <w:rPr>
          <w:sz w:val="20"/>
          <w:szCs w:val="20"/>
        </w:rPr>
        <w:t xml:space="preserve"> </w:t>
      </w:r>
      <w:r w:rsidR="00796BD8">
        <w:rPr>
          <w:i/>
          <w:iCs/>
          <w:sz w:val="20"/>
          <w:szCs w:val="20"/>
        </w:rPr>
        <w:t xml:space="preserve">In Re </w:t>
      </w:r>
      <w:r w:rsidR="00796BD8" w:rsidRPr="00796BD8">
        <w:rPr>
          <w:i/>
          <w:iCs/>
          <w:sz w:val="20"/>
          <w:szCs w:val="20"/>
        </w:rPr>
        <w:t>Trina</w:t>
      </w:r>
      <w:r w:rsidR="00796BD8">
        <w:rPr>
          <w:sz w:val="20"/>
          <w:szCs w:val="20"/>
        </w:rPr>
        <w:t>, BSEA #1601943</w:t>
      </w:r>
      <w:r w:rsidR="00796BD8">
        <w:rPr>
          <w:i/>
          <w:iCs/>
          <w:sz w:val="20"/>
          <w:szCs w:val="20"/>
        </w:rPr>
        <w:t xml:space="preserve"> </w:t>
      </w:r>
      <w:r w:rsidR="00796BD8" w:rsidRPr="005A3805">
        <w:rPr>
          <w:sz w:val="20"/>
          <w:szCs w:val="20"/>
        </w:rPr>
        <w:t xml:space="preserve">(denying Parents’ </w:t>
      </w:r>
      <w:r w:rsidR="00796BD8">
        <w:rPr>
          <w:sz w:val="20"/>
          <w:szCs w:val="20"/>
        </w:rPr>
        <w:t>sequestration request</w:t>
      </w:r>
      <w:r w:rsidR="00796BD8" w:rsidRPr="005A3805">
        <w:rPr>
          <w:sz w:val="20"/>
          <w:szCs w:val="20"/>
        </w:rPr>
        <w:t xml:space="preserve"> in the absence of a specific basis for </w:t>
      </w:r>
      <w:r w:rsidR="00796BD8">
        <w:rPr>
          <w:sz w:val="20"/>
          <w:szCs w:val="20"/>
        </w:rPr>
        <w:t>concluding</w:t>
      </w:r>
      <w:r w:rsidR="00796BD8" w:rsidRPr="005A3805">
        <w:rPr>
          <w:sz w:val="20"/>
          <w:szCs w:val="20"/>
        </w:rPr>
        <w:t xml:space="preserve"> prejudicial tailoring </w:t>
      </w:r>
      <w:r w:rsidR="00796BD8">
        <w:rPr>
          <w:sz w:val="20"/>
          <w:szCs w:val="20"/>
        </w:rPr>
        <w:t>would</w:t>
      </w:r>
      <w:r w:rsidR="00796BD8" w:rsidRPr="005A3805">
        <w:rPr>
          <w:sz w:val="20"/>
          <w:szCs w:val="20"/>
        </w:rPr>
        <w:t xml:space="preserve"> occur)</w:t>
      </w:r>
      <w:r w:rsidR="00796BD8">
        <w:rPr>
          <w:sz w:val="20"/>
          <w:szCs w:val="20"/>
        </w:rPr>
        <w:t xml:space="preserve">; </w:t>
      </w:r>
      <w:r w:rsidRPr="00796BD8">
        <w:rPr>
          <w:i/>
          <w:iCs/>
          <w:sz w:val="20"/>
          <w:szCs w:val="20"/>
        </w:rPr>
        <w:t>In</w:t>
      </w:r>
      <w:r w:rsidRPr="005A3805">
        <w:rPr>
          <w:i/>
          <w:sz w:val="20"/>
          <w:szCs w:val="20"/>
        </w:rPr>
        <w:t xml:space="preserve"> Re Stoneham</w:t>
      </w:r>
      <w:r w:rsidR="00DC4DA8" w:rsidRPr="005A3805">
        <w:rPr>
          <w:i/>
          <w:sz w:val="20"/>
          <w:szCs w:val="20"/>
        </w:rPr>
        <w:t xml:space="preserve"> </w:t>
      </w:r>
      <w:r w:rsidRPr="005A3805">
        <w:rPr>
          <w:sz w:val="20"/>
          <w:szCs w:val="20"/>
        </w:rPr>
        <w:t>(</w:t>
      </w:r>
      <w:r w:rsidR="00796BD8">
        <w:rPr>
          <w:sz w:val="20"/>
          <w:szCs w:val="20"/>
        </w:rPr>
        <w:t>same).</w:t>
      </w:r>
    </w:p>
  </w:footnote>
  <w:footnote w:id="12">
    <w:p w14:paraId="2408F0CB" w14:textId="6C0CFA9E" w:rsidR="00BE5C9A" w:rsidRPr="005A3805" w:rsidRDefault="00BE5C9A">
      <w:pPr>
        <w:pStyle w:val="FootnoteText"/>
        <w:rPr>
          <w:sz w:val="20"/>
          <w:szCs w:val="20"/>
        </w:rPr>
      </w:pPr>
      <w:r w:rsidRPr="005A3805">
        <w:rPr>
          <w:rStyle w:val="FootnoteReference"/>
          <w:sz w:val="20"/>
          <w:szCs w:val="20"/>
        </w:rPr>
        <w:footnoteRef/>
      </w:r>
      <w:r w:rsidRPr="005A3805">
        <w:rPr>
          <w:sz w:val="20"/>
          <w:szCs w:val="20"/>
        </w:rPr>
        <w:t xml:space="preserve"> </w:t>
      </w:r>
      <w:r w:rsidRPr="005A3805">
        <w:rPr>
          <w:i/>
          <w:iCs/>
          <w:sz w:val="20"/>
          <w:szCs w:val="20"/>
        </w:rPr>
        <w:t>In Re Violet &amp; Walpole Pub. Sch.,</w:t>
      </w:r>
      <w:r w:rsidRPr="005A3805">
        <w:rPr>
          <w:sz w:val="20"/>
          <w:szCs w:val="20"/>
        </w:rPr>
        <w:t xml:space="preserve"> BSEA #12-3645 (Byrne 2015).</w:t>
      </w:r>
    </w:p>
  </w:footnote>
  <w:footnote w:id="13">
    <w:p w14:paraId="6FCFDEEB" w14:textId="77777777" w:rsidR="00131B27" w:rsidRPr="005A3805" w:rsidRDefault="00131B27" w:rsidP="00131B27">
      <w:pPr>
        <w:pStyle w:val="FootnoteText"/>
        <w:rPr>
          <w:sz w:val="20"/>
          <w:szCs w:val="20"/>
        </w:rPr>
      </w:pPr>
      <w:r w:rsidRPr="005A3805">
        <w:rPr>
          <w:rStyle w:val="FootnoteReference"/>
          <w:sz w:val="20"/>
          <w:szCs w:val="20"/>
        </w:rPr>
        <w:footnoteRef/>
      </w:r>
      <w:r w:rsidRPr="005A3805">
        <w:rPr>
          <w:sz w:val="20"/>
          <w:szCs w:val="20"/>
        </w:rPr>
        <w:t xml:space="preserve"> 60 F.3d 128 (2d Cir. 1995).</w:t>
      </w:r>
    </w:p>
  </w:footnote>
  <w:footnote w:id="14">
    <w:p w14:paraId="37D61B39" w14:textId="17405CF7" w:rsidR="009C60A5" w:rsidRPr="005A3805" w:rsidRDefault="009C60A5">
      <w:pPr>
        <w:pStyle w:val="FootnoteText"/>
        <w:rPr>
          <w:sz w:val="20"/>
          <w:szCs w:val="20"/>
        </w:rPr>
      </w:pPr>
      <w:r w:rsidRPr="005A3805">
        <w:rPr>
          <w:rStyle w:val="FootnoteReference"/>
          <w:sz w:val="20"/>
          <w:szCs w:val="20"/>
        </w:rPr>
        <w:footnoteRef/>
      </w:r>
      <w:r w:rsidRPr="005A3805">
        <w:rPr>
          <w:sz w:val="20"/>
          <w:szCs w:val="20"/>
        </w:rPr>
        <w:t xml:space="preserve"> </w:t>
      </w:r>
      <w:r w:rsidR="00324386" w:rsidRPr="005A3805">
        <w:rPr>
          <w:sz w:val="20"/>
          <w:szCs w:val="20"/>
        </w:rPr>
        <w:t>BSEA #1300160 (Crane 2012)</w:t>
      </w:r>
      <w:r w:rsidR="00324386">
        <w:rPr>
          <w:sz w:val="20"/>
          <w:szCs w:val="20"/>
        </w:rPr>
        <w:t xml:space="preserve">. </w:t>
      </w:r>
    </w:p>
  </w:footnote>
  <w:footnote w:id="15">
    <w:p w14:paraId="4CB540D4" w14:textId="62E75F9D" w:rsidR="003F3E07" w:rsidRPr="005A3805" w:rsidRDefault="003F3E07">
      <w:pPr>
        <w:pStyle w:val="FootnoteText"/>
        <w:rPr>
          <w:sz w:val="20"/>
          <w:szCs w:val="20"/>
        </w:rPr>
      </w:pPr>
      <w:r w:rsidRPr="005A3805">
        <w:rPr>
          <w:rStyle w:val="FootnoteReference"/>
          <w:sz w:val="20"/>
          <w:szCs w:val="20"/>
        </w:rPr>
        <w:footnoteRef/>
      </w:r>
      <w:r w:rsidRPr="005A3805">
        <w:rPr>
          <w:sz w:val="20"/>
          <w:szCs w:val="20"/>
        </w:rPr>
        <w:t xml:space="preserve"> </w:t>
      </w:r>
      <w:r w:rsidR="0020216F">
        <w:rPr>
          <w:i/>
          <w:iCs/>
          <w:sz w:val="20"/>
          <w:szCs w:val="20"/>
        </w:rPr>
        <w:t>Jackson</w:t>
      </w:r>
      <w:r w:rsidR="0020216F">
        <w:rPr>
          <w:sz w:val="20"/>
          <w:szCs w:val="20"/>
        </w:rPr>
        <w:t xml:space="preserve">, </w:t>
      </w:r>
      <w:r w:rsidR="0020216F" w:rsidRPr="005A3805">
        <w:rPr>
          <w:sz w:val="20"/>
          <w:szCs w:val="20"/>
        </w:rPr>
        <w:t>60 F.3d</w:t>
      </w:r>
      <w:r w:rsidR="00BA6CE3" w:rsidRPr="005A3805">
        <w:rPr>
          <w:i/>
          <w:iCs/>
          <w:sz w:val="20"/>
          <w:szCs w:val="20"/>
        </w:rPr>
        <w:t xml:space="preserve"> </w:t>
      </w:r>
      <w:r w:rsidR="00BA6CE3" w:rsidRPr="005A3805">
        <w:rPr>
          <w:sz w:val="20"/>
          <w:szCs w:val="20"/>
        </w:rPr>
        <w:t xml:space="preserve">at </w:t>
      </w:r>
      <w:r w:rsidRPr="005A3805">
        <w:rPr>
          <w:sz w:val="20"/>
          <w:szCs w:val="20"/>
        </w:rPr>
        <w:t>135</w:t>
      </w:r>
      <w:r w:rsidR="00BA6CE3" w:rsidRPr="005A3805">
        <w:rPr>
          <w:sz w:val="20"/>
          <w:szCs w:val="20"/>
        </w:rPr>
        <w:t>.</w:t>
      </w:r>
    </w:p>
  </w:footnote>
  <w:footnote w:id="16">
    <w:p w14:paraId="52300215" w14:textId="7F40C0C9" w:rsidR="00DC07D6" w:rsidRPr="005A3805" w:rsidRDefault="00DC07D6" w:rsidP="00BF01D4">
      <w:pPr>
        <w:pStyle w:val="NoSpacing"/>
        <w:rPr>
          <w:sz w:val="20"/>
          <w:szCs w:val="20"/>
        </w:rPr>
      </w:pPr>
      <w:r w:rsidRPr="005A3805">
        <w:rPr>
          <w:rStyle w:val="FootnoteReference"/>
          <w:sz w:val="20"/>
          <w:szCs w:val="20"/>
        </w:rPr>
        <w:footnoteRef/>
      </w:r>
      <w:r w:rsidRPr="005A3805">
        <w:rPr>
          <w:sz w:val="20"/>
          <w:szCs w:val="20"/>
        </w:rPr>
        <w:t xml:space="preserve"> </w:t>
      </w:r>
      <w:r w:rsidR="00F103C2" w:rsidRPr="005A3805">
        <w:rPr>
          <w:sz w:val="20"/>
          <w:szCs w:val="20"/>
        </w:rPr>
        <w:t>BSEA</w:t>
      </w:r>
      <w:r w:rsidR="00F103C2" w:rsidRPr="005A3805">
        <w:rPr>
          <w:b/>
          <w:sz w:val="20"/>
          <w:szCs w:val="20"/>
        </w:rPr>
        <w:t xml:space="preserve"> #</w:t>
      </w:r>
      <w:r w:rsidR="00F103C2" w:rsidRPr="005A3805">
        <w:rPr>
          <w:sz w:val="20"/>
          <w:szCs w:val="20"/>
        </w:rPr>
        <w:t>1601943 (Reichbach 2016)</w:t>
      </w:r>
      <w:r w:rsidR="002B41E5" w:rsidRPr="005A3805">
        <w:rPr>
          <w:sz w:val="20"/>
          <w:szCs w:val="20"/>
        </w:rPr>
        <w:t>.</w:t>
      </w:r>
    </w:p>
  </w:footnote>
  <w:footnote w:id="17">
    <w:p w14:paraId="2FFF2B5D" w14:textId="7E351F3E" w:rsidR="000409A8" w:rsidRPr="005A3805" w:rsidRDefault="000409A8" w:rsidP="00BF01D4">
      <w:pPr>
        <w:pStyle w:val="NoSpacing"/>
        <w:rPr>
          <w:sz w:val="20"/>
          <w:szCs w:val="20"/>
        </w:rPr>
      </w:pPr>
      <w:r w:rsidRPr="005A3805">
        <w:rPr>
          <w:rStyle w:val="FootnoteReference"/>
          <w:sz w:val="20"/>
          <w:szCs w:val="20"/>
        </w:rPr>
        <w:footnoteRef/>
      </w:r>
      <w:r w:rsidRPr="005A3805">
        <w:rPr>
          <w:sz w:val="20"/>
          <w:szCs w:val="20"/>
        </w:rPr>
        <w:t xml:space="preserve"> </w:t>
      </w:r>
      <w:r w:rsidR="00F103C2" w:rsidRPr="005A3805">
        <w:rPr>
          <w:sz w:val="20"/>
          <w:szCs w:val="20"/>
        </w:rPr>
        <w:t>BSEA #106854 (Crane 2011)</w:t>
      </w:r>
      <w:r w:rsidR="00324386">
        <w:rPr>
          <w:sz w:val="20"/>
          <w:szCs w:val="20"/>
        </w:rPr>
        <w:t>.</w:t>
      </w:r>
      <w:r w:rsidR="00F103C2" w:rsidRPr="005A3805">
        <w:rPr>
          <w:sz w:val="20"/>
          <w:szCs w:val="20"/>
        </w:rPr>
        <w:t xml:space="preserve"> </w:t>
      </w:r>
    </w:p>
  </w:footnote>
  <w:footnote w:id="18">
    <w:p w14:paraId="40AB9618" w14:textId="573587EF" w:rsidR="00671CCB" w:rsidRPr="005A3805" w:rsidRDefault="00671CCB" w:rsidP="00BF01D4">
      <w:pPr>
        <w:pStyle w:val="NoSpacing"/>
        <w:rPr>
          <w:sz w:val="20"/>
          <w:szCs w:val="20"/>
        </w:rPr>
      </w:pPr>
      <w:r w:rsidRPr="005A3805">
        <w:rPr>
          <w:rStyle w:val="FootnoteReference"/>
          <w:sz w:val="20"/>
          <w:szCs w:val="20"/>
        </w:rPr>
        <w:footnoteRef/>
      </w:r>
      <w:r w:rsidRPr="005A3805">
        <w:rPr>
          <w:sz w:val="20"/>
          <w:szCs w:val="20"/>
        </w:rPr>
        <w:t xml:space="preserve"> Parent</w:t>
      </w:r>
      <w:r w:rsidR="00C028C9" w:rsidRPr="005A3805">
        <w:rPr>
          <w:sz w:val="20"/>
          <w:szCs w:val="20"/>
        </w:rPr>
        <w:t>s’</w:t>
      </w:r>
      <w:r w:rsidRPr="005A3805">
        <w:rPr>
          <w:sz w:val="20"/>
          <w:szCs w:val="20"/>
        </w:rPr>
        <w:t xml:space="preserve"> only adverse party </w:t>
      </w:r>
      <w:r w:rsidRPr="005A3805">
        <w:rPr>
          <w:i/>
          <w:sz w:val="20"/>
          <w:szCs w:val="20"/>
        </w:rPr>
        <w:t>In Re CBDE Public Schools</w:t>
      </w:r>
      <w:r w:rsidRPr="005A3805">
        <w:rPr>
          <w:sz w:val="20"/>
          <w:szCs w:val="20"/>
        </w:rPr>
        <w:t xml:space="preserve"> was the School District</w:t>
      </w:r>
      <w:r w:rsidR="002B41E5" w:rsidRPr="005A3805">
        <w:rPr>
          <w:sz w:val="20"/>
          <w:szCs w:val="20"/>
        </w:rPr>
        <w:t>,</w:t>
      </w:r>
      <w:r w:rsidRPr="005A3805">
        <w:rPr>
          <w:sz w:val="20"/>
          <w:szCs w:val="20"/>
        </w:rPr>
        <w:t xml:space="preserve"> but</w:t>
      </w:r>
      <w:r w:rsidR="00C028C9" w:rsidRPr="005A3805">
        <w:rPr>
          <w:sz w:val="20"/>
          <w:szCs w:val="20"/>
        </w:rPr>
        <w:t xml:space="preserve"> in </w:t>
      </w:r>
      <w:r w:rsidR="002B41E5" w:rsidRPr="005A3805">
        <w:rPr>
          <w:sz w:val="20"/>
          <w:szCs w:val="20"/>
        </w:rPr>
        <w:t xml:space="preserve">their </w:t>
      </w:r>
      <w:r w:rsidR="00C028C9" w:rsidRPr="005A3805">
        <w:rPr>
          <w:sz w:val="20"/>
          <w:szCs w:val="20"/>
        </w:rPr>
        <w:t>federal lawsuit, they also</w:t>
      </w:r>
      <w:r w:rsidRPr="005A3805">
        <w:rPr>
          <w:sz w:val="20"/>
          <w:szCs w:val="20"/>
        </w:rPr>
        <w:t xml:space="preserve"> </w:t>
      </w:r>
      <w:r w:rsidR="00C028C9" w:rsidRPr="005A3805">
        <w:rPr>
          <w:sz w:val="20"/>
          <w:szCs w:val="20"/>
        </w:rPr>
        <w:t xml:space="preserve">alleged individual liability of six District staff and the town of CBDE. </w:t>
      </w:r>
    </w:p>
  </w:footnote>
  <w:footnote w:id="19">
    <w:p w14:paraId="29DE1D79" w14:textId="22D4F1C2" w:rsidR="0075712E" w:rsidRPr="005A3805" w:rsidRDefault="0075712E" w:rsidP="00BF01D4">
      <w:pPr>
        <w:pStyle w:val="NoSpacing"/>
        <w:rPr>
          <w:rFonts w:eastAsiaTheme="minorHAnsi"/>
          <w:iCs/>
          <w:sz w:val="20"/>
          <w:szCs w:val="20"/>
        </w:rPr>
      </w:pPr>
      <w:r w:rsidRPr="005A3805">
        <w:rPr>
          <w:rStyle w:val="FootnoteReference"/>
          <w:sz w:val="20"/>
          <w:szCs w:val="20"/>
        </w:rPr>
        <w:footnoteRef/>
      </w:r>
      <w:r w:rsidRPr="005A3805">
        <w:rPr>
          <w:sz w:val="20"/>
          <w:szCs w:val="20"/>
        </w:rPr>
        <w:t xml:space="preserve"> See </w:t>
      </w:r>
      <w:proofErr w:type="gramStart"/>
      <w:r w:rsidRPr="005A3805">
        <w:rPr>
          <w:i/>
          <w:sz w:val="20"/>
          <w:szCs w:val="20"/>
        </w:rPr>
        <w:t>In</w:t>
      </w:r>
      <w:proofErr w:type="gramEnd"/>
      <w:r w:rsidRPr="005A3805">
        <w:rPr>
          <w:i/>
          <w:sz w:val="20"/>
          <w:szCs w:val="20"/>
        </w:rPr>
        <w:t xml:space="preserve"> Re CBDE</w:t>
      </w:r>
      <w:r w:rsidR="00A504F9" w:rsidRPr="005A3805">
        <w:rPr>
          <w:i/>
          <w:sz w:val="20"/>
          <w:szCs w:val="20"/>
        </w:rPr>
        <w:t xml:space="preserve"> </w:t>
      </w:r>
      <w:r w:rsidRPr="005A3805">
        <w:rPr>
          <w:iCs/>
          <w:sz w:val="20"/>
          <w:szCs w:val="20"/>
        </w:rPr>
        <w:t>(“</w:t>
      </w:r>
      <w:r w:rsidRPr="005A3805">
        <w:rPr>
          <w:rFonts w:eastAsiaTheme="minorHAnsi"/>
          <w:iCs/>
          <w:sz w:val="20"/>
          <w:szCs w:val="20"/>
        </w:rPr>
        <w:t>Many of the Court claims mirrored the claims made in the instant dispute before the BSEA</w:t>
      </w:r>
      <w:r w:rsidRPr="005A3805">
        <w:rPr>
          <w:iCs/>
          <w:sz w:val="20"/>
          <w:szCs w:val="20"/>
        </w:rPr>
        <w:t xml:space="preserve">”). </w:t>
      </w:r>
    </w:p>
  </w:footnote>
  <w:footnote w:id="20">
    <w:p w14:paraId="4D55C1BA" w14:textId="1B73A09E" w:rsidR="002602B8" w:rsidRPr="005A3805" w:rsidRDefault="002602B8" w:rsidP="00BF01D4">
      <w:pPr>
        <w:pStyle w:val="NoSpacing"/>
        <w:rPr>
          <w:sz w:val="20"/>
          <w:szCs w:val="20"/>
        </w:rPr>
      </w:pPr>
      <w:r w:rsidRPr="005A3805">
        <w:rPr>
          <w:rStyle w:val="FootnoteReference"/>
          <w:sz w:val="20"/>
          <w:szCs w:val="20"/>
        </w:rPr>
        <w:footnoteRef/>
      </w:r>
      <w:r w:rsidRPr="005A3805">
        <w:rPr>
          <w:sz w:val="20"/>
          <w:szCs w:val="20"/>
        </w:rPr>
        <w:t xml:space="preserve"> </w:t>
      </w:r>
      <w:r w:rsidR="00F74C83">
        <w:rPr>
          <w:sz w:val="20"/>
          <w:szCs w:val="20"/>
        </w:rPr>
        <w:t xml:space="preserve">See </w:t>
      </w:r>
      <w:r w:rsidR="00F74C83" w:rsidRPr="005A3805">
        <w:rPr>
          <w:sz w:val="20"/>
          <w:szCs w:val="20"/>
        </w:rPr>
        <w:t xml:space="preserve">Ex. D to </w:t>
      </w:r>
      <w:r w:rsidR="00F74C83" w:rsidRPr="005A3805">
        <w:rPr>
          <w:i/>
          <w:iCs/>
          <w:sz w:val="20"/>
          <w:szCs w:val="20"/>
        </w:rPr>
        <w:t xml:space="preserve">Motion to Sequester </w:t>
      </w:r>
      <w:r w:rsidR="00F74C83" w:rsidRPr="00F74C83">
        <w:rPr>
          <w:i/>
          <w:iCs/>
          <w:sz w:val="20"/>
          <w:szCs w:val="20"/>
        </w:rPr>
        <w:t>Witnesses</w:t>
      </w:r>
      <w:r w:rsidR="00F74C83">
        <w:rPr>
          <w:sz w:val="20"/>
          <w:szCs w:val="20"/>
        </w:rPr>
        <w:t xml:space="preserve">. </w:t>
      </w:r>
      <w:r w:rsidRPr="00F74C83">
        <w:rPr>
          <w:sz w:val="20"/>
          <w:szCs w:val="20"/>
        </w:rPr>
        <w:t>Cf</w:t>
      </w:r>
      <w:r w:rsidRPr="005A3805">
        <w:rPr>
          <w:sz w:val="20"/>
          <w:szCs w:val="20"/>
        </w:rPr>
        <w:t xml:space="preserve">. </w:t>
      </w:r>
      <w:r w:rsidRPr="005A3805">
        <w:rPr>
          <w:i/>
          <w:iCs/>
          <w:sz w:val="20"/>
          <w:szCs w:val="20"/>
        </w:rPr>
        <w:t>In Re Ollie</w:t>
      </w:r>
      <w:r w:rsidR="00796BD8">
        <w:rPr>
          <w:sz w:val="20"/>
          <w:szCs w:val="20"/>
        </w:rPr>
        <w:t xml:space="preserve"> </w:t>
      </w:r>
      <w:r w:rsidRPr="005A3805">
        <w:rPr>
          <w:sz w:val="20"/>
          <w:szCs w:val="20"/>
        </w:rPr>
        <w:t xml:space="preserve">(denying </w:t>
      </w:r>
      <w:r w:rsidR="00796BD8">
        <w:rPr>
          <w:sz w:val="20"/>
          <w:szCs w:val="20"/>
        </w:rPr>
        <w:t>sequestration</w:t>
      </w:r>
      <w:r w:rsidRPr="005A3805">
        <w:rPr>
          <w:sz w:val="20"/>
          <w:szCs w:val="20"/>
        </w:rPr>
        <w:t xml:space="preserve"> where Parent </w:t>
      </w:r>
      <w:r w:rsidR="00796BD8">
        <w:rPr>
          <w:sz w:val="20"/>
          <w:szCs w:val="20"/>
        </w:rPr>
        <w:t>was unable to s</w:t>
      </w:r>
      <w:r w:rsidRPr="005A3805">
        <w:rPr>
          <w:sz w:val="20"/>
          <w:szCs w:val="20"/>
        </w:rPr>
        <w:t>ubstantiate</w:t>
      </w:r>
      <w:r w:rsidR="00796BD8">
        <w:rPr>
          <w:sz w:val="20"/>
          <w:szCs w:val="20"/>
        </w:rPr>
        <w:t xml:space="preserve"> her allegations regarding witnesses’ motivation to provide false testimony</w:t>
      </w:r>
      <w:r w:rsidR="00A504F9" w:rsidRPr="005A3805">
        <w:rPr>
          <w:sz w:val="20"/>
          <w:szCs w:val="20"/>
        </w:rPr>
        <w:t>).</w:t>
      </w:r>
    </w:p>
  </w:footnote>
  <w:footnote w:id="21">
    <w:p w14:paraId="63EEF36A" w14:textId="37D07475" w:rsidR="00405F10" w:rsidRPr="005A3805" w:rsidRDefault="00405F10" w:rsidP="00BF01D4">
      <w:pPr>
        <w:pStyle w:val="NoSpacing"/>
        <w:rPr>
          <w:sz w:val="20"/>
          <w:szCs w:val="20"/>
        </w:rPr>
      </w:pPr>
      <w:r w:rsidRPr="005A3805">
        <w:rPr>
          <w:rStyle w:val="FootnoteReference"/>
          <w:sz w:val="20"/>
          <w:szCs w:val="20"/>
        </w:rPr>
        <w:footnoteRef/>
      </w:r>
      <w:r w:rsidRPr="005A3805">
        <w:rPr>
          <w:sz w:val="20"/>
          <w:szCs w:val="20"/>
        </w:rPr>
        <w:t xml:space="preserve"> </w:t>
      </w:r>
      <w:r w:rsidR="007C514A">
        <w:rPr>
          <w:sz w:val="20"/>
          <w:szCs w:val="20"/>
        </w:rPr>
        <w:t xml:space="preserve">See </w:t>
      </w:r>
      <w:r w:rsidRPr="005A3805">
        <w:rPr>
          <w:i/>
          <w:iCs/>
          <w:sz w:val="20"/>
          <w:szCs w:val="20"/>
        </w:rPr>
        <w:t xml:space="preserve">In Re Stoneham </w:t>
      </w:r>
      <w:r w:rsidRPr="005A3805">
        <w:rPr>
          <w:sz w:val="20"/>
          <w:szCs w:val="20"/>
        </w:rPr>
        <w:t xml:space="preserve">(“[T]he advisory committee’s notes indicate that Rule 615 was adopted because the “efficacy of excluding or sequestering witnesses has long been recognized as a means of discouraging and exposing fabrication, inaccuracy, and collusion” (citing Fed. R. Evid. 615, advisory committee note)). </w:t>
      </w:r>
    </w:p>
  </w:footnote>
  <w:footnote w:id="22">
    <w:p w14:paraId="7DB0D8EB" w14:textId="25B2D68C" w:rsidR="007453CC" w:rsidRPr="005A3805" w:rsidRDefault="007453CC" w:rsidP="00BF01D4">
      <w:pPr>
        <w:pStyle w:val="NoSpacing"/>
        <w:rPr>
          <w:sz w:val="20"/>
          <w:szCs w:val="20"/>
        </w:rPr>
      </w:pPr>
      <w:r w:rsidRPr="005A3805">
        <w:rPr>
          <w:rStyle w:val="FootnoteReference"/>
          <w:sz w:val="20"/>
          <w:szCs w:val="20"/>
        </w:rPr>
        <w:footnoteRef/>
      </w:r>
      <w:r w:rsidRPr="005A3805">
        <w:rPr>
          <w:sz w:val="20"/>
          <w:szCs w:val="20"/>
        </w:rPr>
        <w:t xml:space="preserve"> See </w:t>
      </w:r>
      <w:r w:rsidRPr="005A3805">
        <w:rPr>
          <w:i/>
          <w:sz w:val="20"/>
          <w:szCs w:val="20"/>
        </w:rPr>
        <w:t xml:space="preserve">In Re CBDE </w:t>
      </w:r>
      <w:r w:rsidRPr="005A3805">
        <w:rPr>
          <w:sz w:val="20"/>
          <w:szCs w:val="20"/>
        </w:rPr>
        <w:t>(“I reasoned that the instant dispute is unusual in that a hearing is being held solely for the purpose of making findings to assist a federal court to resolve the parties’ damages dispute. For this reason, I found it appropriate to be guided by Rule 615 of the Federal Rules of Evidence.”)</w:t>
      </w:r>
    </w:p>
  </w:footnote>
  <w:footnote w:id="23">
    <w:p w14:paraId="6566AC69" w14:textId="41414A2F" w:rsidR="00D34063" w:rsidRPr="005A3805" w:rsidRDefault="00D34063" w:rsidP="00BF01D4">
      <w:pPr>
        <w:pStyle w:val="NoSpacing"/>
        <w:rPr>
          <w:sz w:val="20"/>
          <w:szCs w:val="20"/>
        </w:rPr>
      </w:pPr>
      <w:r w:rsidRPr="005A3805">
        <w:rPr>
          <w:rStyle w:val="FootnoteReference"/>
          <w:sz w:val="20"/>
          <w:szCs w:val="20"/>
        </w:rPr>
        <w:footnoteRef/>
      </w:r>
      <w:r w:rsidRPr="005A3805">
        <w:rPr>
          <w:sz w:val="20"/>
          <w:szCs w:val="20"/>
        </w:rPr>
        <w:t xml:space="preserve"> </w:t>
      </w:r>
      <w:r w:rsidR="00413A7D" w:rsidRPr="005A3805">
        <w:rPr>
          <w:sz w:val="20"/>
          <w:szCs w:val="20"/>
        </w:rPr>
        <w:t>The</w:t>
      </w:r>
      <w:r w:rsidRPr="005A3805">
        <w:rPr>
          <w:sz w:val="20"/>
          <w:szCs w:val="20"/>
        </w:rPr>
        <w:t xml:space="preserve"> </w:t>
      </w:r>
      <w:r w:rsidR="000E683C">
        <w:rPr>
          <w:sz w:val="20"/>
          <w:szCs w:val="20"/>
        </w:rPr>
        <w:t>Acton Police Department (APD)</w:t>
      </w:r>
      <w:r w:rsidRPr="005A3805">
        <w:rPr>
          <w:sz w:val="20"/>
          <w:szCs w:val="20"/>
        </w:rPr>
        <w:t xml:space="preserve"> is a subsidiary of the Town of Acton, and as such, APD Officers who are called to testify as non-party witnesses </w:t>
      </w:r>
      <w:r w:rsidR="00413A7D" w:rsidRPr="005A3805">
        <w:rPr>
          <w:sz w:val="20"/>
          <w:szCs w:val="20"/>
        </w:rPr>
        <w:t xml:space="preserve">before the BSEA </w:t>
      </w:r>
      <w:r w:rsidRPr="005A3805">
        <w:rPr>
          <w:sz w:val="20"/>
          <w:szCs w:val="20"/>
        </w:rPr>
        <w:t>may become party witnesses in Parent’s federal lawsuit.</w:t>
      </w:r>
      <w:r w:rsidR="002A24EC" w:rsidRPr="005A3805">
        <w:rPr>
          <w:sz w:val="20"/>
          <w:szCs w:val="20"/>
        </w:rPr>
        <w:t xml:space="preserve"> The School Resource Officer (SRO) is an APD employee.</w:t>
      </w:r>
    </w:p>
  </w:footnote>
  <w:footnote w:id="24">
    <w:p w14:paraId="34A94E8B" w14:textId="4FEB323E" w:rsidR="00700980" w:rsidRPr="005A3805" w:rsidRDefault="00700980" w:rsidP="00BF01D4">
      <w:pPr>
        <w:pStyle w:val="NoSpacing"/>
        <w:rPr>
          <w:sz w:val="20"/>
          <w:szCs w:val="20"/>
        </w:rPr>
      </w:pPr>
      <w:r w:rsidRPr="005A3805">
        <w:rPr>
          <w:rStyle w:val="FootnoteReference"/>
          <w:sz w:val="20"/>
          <w:szCs w:val="20"/>
        </w:rPr>
        <w:footnoteRef/>
      </w:r>
      <w:r w:rsidRPr="005A3805">
        <w:rPr>
          <w:sz w:val="20"/>
          <w:szCs w:val="20"/>
        </w:rPr>
        <w:t xml:space="preserve"> See </w:t>
      </w:r>
      <w:r w:rsidRPr="005A3805">
        <w:rPr>
          <w:i/>
          <w:iCs/>
          <w:sz w:val="20"/>
          <w:szCs w:val="20"/>
        </w:rPr>
        <w:t>Ruling on Acton-Boxborough Regional School District’s Partial Motion to Dismiss and Parent’s Motion to Join the Town of Acton</w:t>
      </w:r>
      <w:r w:rsidR="00905614" w:rsidRPr="005A3805">
        <w:rPr>
          <w:sz w:val="20"/>
          <w:szCs w:val="20"/>
        </w:rPr>
        <w:t>,</w:t>
      </w:r>
      <w:r w:rsidRPr="005A3805">
        <w:rPr>
          <w:sz w:val="20"/>
          <w:szCs w:val="20"/>
        </w:rPr>
        <w:t xml:space="preserve"> for a detailed discussion of the issues remaining for </w:t>
      </w:r>
      <w:r w:rsidR="00413A7D" w:rsidRPr="005A3805">
        <w:rPr>
          <w:sz w:val="20"/>
          <w:szCs w:val="20"/>
        </w:rPr>
        <w:t>hearing</w:t>
      </w:r>
      <w:r w:rsidRPr="005A3805">
        <w:rPr>
          <w:sz w:val="20"/>
          <w:szCs w:val="20"/>
        </w:rPr>
        <w:t xml:space="preserve"> regarding the </w:t>
      </w:r>
      <w:r w:rsidR="007C514A">
        <w:rPr>
          <w:sz w:val="20"/>
          <w:szCs w:val="20"/>
        </w:rPr>
        <w:t>SRO’s</w:t>
      </w:r>
      <w:r w:rsidRPr="005A3805">
        <w:rPr>
          <w:sz w:val="20"/>
          <w:szCs w:val="20"/>
        </w:rPr>
        <w:t xml:space="preserve"> alleged involvement in </w:t>
      </w:r>
      <w:r w:rsidR="004A11FA" w:rsidRPr="005A3805">
        <w:rPr>
          <w:sz w:val="20"/>
          <w:szCs w:val="20"/>
        </w:rPr>
        <w:t>Stewart’s behavioral intervention on January 7, 8, and 9, 2020.</w:t>
      </w:r>
      <w:r w:rsidR="00413A7D" w:rsidRPr="005A3805">
        <w:rPr>
          <w:sz w:val="20"/>
          <w:szCs w:val="20"/>
        </w:rPr>
        <w:t xml:space="preserve"> </w:t>
      </w:r>
    </w:p>
  </w:footnote>
  <w:footnote w:id="25">
    <w:p w14:paraId="14DA1EB3" w14:textId="4B3D0A8C" w:rsidR="00930A9C" w:rsidRPr="005A3805" w:rsidRDefault="00930A9C" w:rsidP="00BF01D4">
      <w:pPr>
        <w:pStyle w:val="NoSpacing"/>
        <w:rPr>
          <w:sz w:val="20"/>
          <w:szCs w:val="20"/>
        </w:rPr>
      </w:pPr>
      <w:r w:rsidRPr="005A3805">
        <w:rPr>
          <w:rStyle w:val="FootnoteReference"/>
          <w:sz w:val="20"/>
          <w:szCs w:val="20"/>
        </w:rPr>
        <w:footnoteRef/>
      </w:r>
      <w:r w:rsidRPr="005A3805">
        <w:rPr>
          <w:sz w:val="20"/>
          <w:szCs w:val="20"/>
        </w:rPr>
        <w:t xml:space="preserve"> See </w:t>
      </w:r>
      <w:r w:rsidR="00905614" w:rsidRPr="005A3805">
        <w:rPr>
          <w:sz w:val="20"/>
          <w:szCs w:val="20"/>
        </w:rPr>
        <w:t xml:space="preserve">Transcript of January 22, 2021 </w:t>
      </w:r>
      <w:r w:rsidR="00905614" w:rsidRPr="005A3805">
        <w:rPr>
          <w:i/>
          <w:iCs/>
          <w:sz w:val="20"/>
          <w:szCs w:val="20"/>
        </w:rPr>
        <w:t>Motion Session</w:t>
      </w:r>
      <w:r w:rsidR="00905614" w:rsidRPr="005A3805">
        <w:rPr>
          <w:sz w:val="20"/>
          <w:szCs w:val="20"/>
        </w:rPr>
        <w:t xml:space="preserve"> (Tr.) at</w:t>
      </w:r>
      <w:r w:rsidRPr="005A3805">
        <w:rPr>
          <w:sz w:val="20"/>
          <w:szCs w:val="20"/>
        </w:rPr>
        <w:t xml:space="preserve"> 42</w:t>
      </w:r>
      <w:r w:rsidR="007C514A">
        <w:rPr>
          <w:sz w:val="20"/>
          <w:szCs w:val="20"/>
        </w:rPr>
        <w:t>;</w:t>
      </w:r>
      <w:r w:rsidRPr="005A3805">
        <w:rPr>
          <w:sz w:val="20"/>
          <w:szCs w:val="20"/>
        </w:rPr>
        <w:t xml:space="preserve"> Tr. at 44 (“The Hearing Office can make findings relative to the SRO and how Acton-Boxborough Regional School District used the SRO in relation to [Student’s] entitlement to FAPE, but not against the Town of Acton.”) (statement of Attorney Brunt</w:t>
      </w:r>
      <w:r w:rsidR="00905614" w:rsidRPr="005A3805">
        <w:rPr>
          <w:sz w:val="20"/>
          <w:szCs w:val="20"/>
        </w:rPr>
        <w:t>, Counsel for ABRSD</w:t>
      </w:r>
      <w:r w:rsidRPr="005A3805">
        <w:rPr>
          <w:sz w:val="20"/>
          <w:szCs w:val="20"/>
        </w:rPr>
        <w:t>).</w:t>
      </w:r>
    </w:p>
  </w:footnote>
  <w:footnote w:id="26">
    <w:p w14:paraId="4447A5C5" w14:textId="27ECEA4A" w:rsidR="004274EF" w:rsidRPr="005A3805" w:rsidRDefault="004274EF" w:rsidP="00BF01D4">
      <w:pPr>
        <w:pStyle w:val="NoSpacing"/>
        <w:rPr>
          <w:sz w:val="20"/>
          <w:szCs w:val="20"/>
        </w:rPr>
      </w:pPr>
      <w:r w:rsidRPr="005A3805">
        <w:rPr>
          <w:rStyle w:val="FootnoteReference"/>
          <w:sz w:val="20"/>
          <w:szCs w:val="20"/>
        </w:rPr>
        <w:footnoteRef/>
      </w:r>
      <w:r w:rsidRPr="005A3805">
        <w:rPr>
          <w:sz w:val="20"/>
          <w:szCs w:val="20"/>
        </w:rPr>
        <w:t xml:space="preserve"> </w:t>
      </w:r>
      <w:r w:rsidR="007C514A">
        <w:rPr>
          <w:sz w:val="20"/>
          <w:szCs w:val="20"/>
        </w:rPr>
        <w:t xml:space="preserve">See </w:t>
      </w:r>
      <w:r w:rsidR="00796BD8">
        <w:rPr>
          <w:i/>
          <w:iCs/>
          <w:sz w:val="20"/>
          <w:szCs w:val="20"/>
        </w:rPr>
        <w:t>i</w:t>
      </w:r>
      <w:r w:rsidR="00905614" w:rsidRPr="005A3805">
        <w:rPr>
          <w:i/>
          <w:iCs/>
          <w:sz w:val="20"/>
          <w:szCs w:val="20"/>
        </w:rPr>
        <w:t>d.</w:t>
      </w:r>
      <w:r w:rsidR="00905614" w:rsidRPr="005A3805">
        <w:rPr>
          <w:sz w:val="20"/>
          <w:szCs w:val="20"/>
        </w:rPr>
        <w:t xml:space="preserve"> at </w:t>
      </w:r>
      <w:r w:rsidRPr="005A3805">
        <w:rPr>
          <w:sz w:val="20"/>
          <w:szCs w:val="20"/>
        </w:rPr>
        <w:t>39-40.</w:t>
      </w:r>
    </w:p>
  </w:footnote>
  <w:footnote w:id="27">
    <w:p w14:paraId="2B6BC17B" w14:textId="650CEC18" w:rsidR="00CE6588" w:rsidRPr="005A3805" w:rsidRDefault="00CE6588">
      <w:pPr>
        <w:pStyle w:val="FootnoteText"/>
        <w:rPr>
          <w:sz w:val="20"/>
          <w:szCs w:val="20"/>
        </w:rPr>
      </w:pPr>
      <w:r w:rsidRPr="005A3805">
        <w:rPr>
          <w:rStyle w:val="FootnoteReference"/>
          <w:sz w:val="20"/>
          <w:szCs w:val="20"/>
        </w:rPr>
        <w:footnoteRef/>
      </w:r>
      <w:r w:rsidRPr="005A3805">
        <w:rPr>
          <w:sz w:val="20"/>
          <w:szCs w:val="20"/>
        </w:rPr>
        <w:t xml:space="preserve"> A designated representative from the District would also be present during the testimony of all non-party witnesses. </w:t>
      </w:r>
    </w:p>
  </w:footnote>
  <w:footnote w:id="28">
    <w:p w14:paraId="6131A4C2" w14:textId="303D0277" w:rsidR="001A3084" w:rsidRPr="005A3805" w:rsidRDefault="001A3084" w:rsidP="00BF01D4">
      <w:pPr>
        <w:pStyle w:val="NoSpacing"/>
        <w:rPr>
          <w:sz w:val="20"/>
          <w:szCs w:val="20"/>
        </w:rPr>
      </w:pPr>
      <w:r w:rsidRPr="005A3805">
        <w:rPr>
          <w:rStyle w:val="FootnoteReference"/>
          <w:sz w:val="20"/>
          <w:szCs w:val="20"/>
        </w:rPr>
        <w:footnoteRef/>
      </w:r>
      <w:r w:rsidRPr="005A3805">
        <w:rPr>
          <w:sz w:val="20"/>
          <w:szCs w:val="20"/>
        </w:rPr>
        <w:t xml:space="preserve"> See </w:t>
      </w:r>
      <w:r w:rsidRPr="005A3805">
        <w:rPr>
          <w:i/>
          <w:iCs/>
          <w:sz w:val="20"/>
          <w:szCs w:val="20"/>
        </w:rPr>
        <w:t>In Re Bedford</w:t>
      </w:r>
      <w:r w:rsidR="00D72EED">
        <w:rPr>
          <w:sz w:val="20"/>
          <w:szCs w:val="20"/>
        </w:rPr>
        <w:t xml:space="preserve"> </w:t>
      </w:r>
      <w:r w:rsidR="00AD082A" w:rsidRPr="005A3805">
        <w:rPr>
          <w:sz w:val="20"/>
          <w:szCs w:val="20"/>
        </w:rPr>
        <w:t xml:space="preserve">(“It is unusual in the context of BSEA hearings for witnesses to be sequestered. When this occurs, witnesses who provide services to students are deprived of hearing information, such as insight as to particular disabilities, explanations on how a disability may impact a student, or recommendations not explicitly stated in reports. Often, this information is offered by school and independent evaluators, and the information may assist staff in the provision of services to the particular student.”) </w:t>
      </w:r>
    </w:p>
  </w:footnote>
  <w:footnote w:id="29">
    <w:p w14:paraId="0C2445EC" w14:textId="0E23AC92" w:rsidR="001A5086" w:rsidRPr="005A3805" w:rsidRDefault="001A5086" w:rsidP="00BF01D4">
      <w:pPr>
        <w:pStyle w:val="NoSpacing"/>
        <w:rPr>
          <w:sz w:val="20"/>
          <w:szCs w:val="20"/>
        </w:rPr>
      </w:pPr>
      <w:r w:rsidRPr="005A3805">
        <w:rPr>
          <w:rStyle w:val="FootnoteReference"/>
          <w:sz w:val="20"/>
          <w:szCs w:val="20"/>
        </w:rPr>
        <w:footnoteRef/>
      </w:r>
      <w:r w:rsidRPr="005A3805">
        <w:rPr>
          <w:sz w:val="20"/>
          <w:szCs w:val="20"/>
        </w:rPr>
        <w:t xml:space="preserve"> See 603 CMR 28.08(5)(c); </w:t>
      </w:r>
      <w:r w:rsidR="00D328F6" w:rsidRPr="005A3805">
        <w:rPr>
          <w:i/>
          <w:iCs/>
          <w:sz w:val="20"/>
          <w:szCs w:val="20"/>
        </w:rPr>
        <w:t>In Re CBDE</w:t>
      </w:r>
      <w:r w:rsidR="00D73D02">
        <w:rPr>
          <w:sz w:val="20"/>
          <w:szCs w:val="20"/>
        </w:rPr>
        <w:t>.</w:t>
      </w:r>
    </w:p>
  </w:footnote>
  <w:footnote w:id="30">
    <w:p w14:paraId="60889C05" w14:textId="5AAE9FA6" w:rsidR="00913423" w:rsidRPr="005A3805" w:rsidRDefault="00913423">
      <w:pPr>
        <w:pStyle w:val="FootnoteText"/>
        <w:rPr>
          <w:sz w:val="20"/>
          <w:szCs w:val="20"/>
        </w:rPr>
      </w:pPr>
      <w:r w:rsidRPr="005A3805">
        <w:rPr>
          <w:rStyle w:val="FootnoteReference"/>
          <w:sz w:val="20"/>
          <w:szCs w:val="20"/>
        </w:rPr>
        <w:footnoteRef/>
      </w:r>
      <w:r w:rsidRPr="005A3805">
        <w:rPr>
          <w:sz w:val="20"/>
          <w:szCs w:val="20"/>
        </w:rPr>
        <w:t xml:space="preserve"> In her Motion, Parent requested written </w:t>
      </w:r>
      <w:r w:rsidR="006E380C" w:rsidRPr="005A3805">
        <w:rPr>
          <w:sz w:val="20"/>
          <w:szCs w:val="20"/>
        </w:rPr>
        <w:t xml:space="preserve">findings with respect to any witnesses not sequestered. </w:t>
      </w:r>
      <w:r w:rsidR="00872744">
        <w:rPr>
          <w:sz w:val="20"/>
          <w:szCs w:val="20"/>
        </w:rPr>
        <w:t>As</w:t>
      </w:r>
      <w:r w:rsidR="006E380C" w:rsidRPr="005A3805">
        <w:rPr>
          <w:sz w:val="20"/>
          <w:szCs w:val="20"/>
        </w:rPr>
        <w:t xml:space="preserve"> sequestration </w:t>
      </w:r>
      <w:r w:rsidR="00872744">
        <w:rPr>
          <w:sz w:val="20"/>
          <w:szCs w:val="20"/>
        </w:rPr>
        <w:t xml:space="preserve">in BSEA proceedings is the exception, not the rule, </w:t>
      </w:r>
      <w:r w:rsidR="006E380C" w:rsidRPr="005A3805">
        <w:rPr>
          <w:sz w:val="20"/>
          <w:szCs w:val="20"/>
        </w:rPr>
        <w:t xml:space="preserve">I deny that request. See </w:t>
      </w:r>
      <w:proofErr w:type="gramStart"/>
      <w:r w:rsidR="006E380C" w:rsidRPr="005A3805">
        <w:rPr>
          <w:i/>
          <w:iCs/>
          <w:sz w:val="20"/>
          <w:szCs w:val="20"/>
        </w:rPr>
        <w:t>In</w:t>
      </w:r>
      <w:proofErr w:type="gramEnd"/>
      <w:r w:rsidR="006E380C" w:rsidRPr="005A3805">
        <w:rPr>
          <w:i/>
          <w:iCs/>
          <w:sz w:val="20"/>
          <w:szCs w:val="20"/>
        </w:rPr>
        <w:t xml:space="preserve"> Re Violet</w:t>
      </w:r>
      <w:r w:rsidR="006E380C" w:rsidRPr="00D73D02">
        <w:rPr>
          <w:sz w:val="20"/>
          <w:szCs w:val="20"/>
        </w:rPr>
        <w:t>.</w:t>
      </w:r>
      <w:r w:rsidR="006E380C" w:rsidRPr="005A3805">
        <w:rPr>
          <w:i/>
          <w:iCs/>
          <w:sz w:val="20"/>
          <w:szCs w:val="20"/>
        </w:rPr>
        <w:t xml:space="preserve"> </w:t>
      </w:r>
    </w:p>
  </w:footnote>
  <w:footnote w:id="31">
    <w:p w14:paraId="57C6C93B" w14:textId="77777777" w:rsidR="00796BD8" w:rsidRPr="00751FBE" w:rsidRDefault="00796BD8" w:rsidP="00796BD8">
      <w:pPr>
        <w:pStyle w:val="FootnoteText"/>
        <w:rPr>
          <w:sz w:val="20"/>
          <w:szCs w:val="20"/>
        </w:rPr>
      </w:pPr>
      <w:r w:rsidRPr="00751FBE">
        <w:rPr>
          <w:rStyle w:val="FootnoteReference"/>
          <w:sz w:val="20"/>
          <w:szCs w:val="20"/>
        </w:rPr>
        <w:footnoteRef/>
      </w:r>
      <w:r w:rsidRPr="00751FBE">
        <w:rPr>
          <w:sz w:val="20"/>
          <w:szCs w:val="20"/>
        </w:rPr>
        <w:t xml:space="preserve"> The Hearing Officer gratefully acknowledges the diligent assistance of legal intern Harper Weissburg in the preparation of this Ruling.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61B4"/>
    <w:multiLevelType w:val="hybridMultilevel"/>
    <w:tmpl w:val="2F564EE8"/>
    <w:lvl w:ilvl="0" w:tplc="975AD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81102"/>
    <w:multiLevelType w:val="hybridMultilevel"/>
    <w:tmpl w:val="34CA8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A21"/>
    <w:multiLevelType w:val="hybridMultilevel"/>
    <w:tmpl w:val="8F86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D409E"/>
    <w:multiLevelType w:val="hybridMultilevel"/>
    <w:tmpl w:val="F6FCB310"/>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8351E"/>
    <w:multiLevelType w:val="hybridMultilevel"/>
    <w:tmpl w:val="1A42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51C31"/>
    <w:multiLevelType w:val="hybridMultilevel"/>
    <w:tmpl w:val="5BC62592"/>
    <w:lvl w:ilvl="0" w:tplc="0ABAF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4CE9"/>
    <w:multiLevelType w:val="hybridMultilevel"/>
    <w:tmpl w:val="A0241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5339A"/>
    <w:multiLevelType w:val="hybridMultilevel"/>
    <w:tmpl w:val="A884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07EA7"/>
    <w:multiLevelType w:val="hybridMultilevel"/>
    <w:tmpl w:val="7F406120"/>
    <w:lvl w:ilvl="0" w:tplc="3FD8A5BA">
      <w:start w:val="1"/>
      <w:numFmt w:val="upperRoman"/>
      <w:lvlText w:val="%1."/>
      <w:lvlJc w:val="left"/>
      <w:pPr>
        <w:ind w:left="7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7"/>
  </w:num>
  <w:num w:numId="4">
    <w:abstractNumId w:val="5"/>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8B"/>
    <w:rsid w:val="00006560"/>
    <w:rsid w:val="00033AB9"/>
    <w:rsid w:val="000409A8"/>
    <w:rsid w:val="000540F6"/>
    <w:rsid w:val="0005733E"/>
    <w:rsid w:val="00057E42"/>
    <w:rsid w:val="0007574A"/>
    <w:rsid w:val="00086B78"/>
    <w:rsid w:val="000A5FF3"/>
    <w:rsid w:val="000C19A3"/>
    <w:rsid w:val="000D0DC3"/>
    <w:rsid w:val="000E4D04"/>
    <w:rsid w:val="000E683C"/>
    <w:rsid w:val="000F6503"/>
    <w:rsid w:val="0011789F"/>
    <w:rsid w:val="00131B27"/>
    <w:rsid w:val="001651A2"/>
    <w:rsid w:val="00186FA2"/>
    <w:rsid w:val="00197D16"/>
    <w:rsid w:val="001A3084"/>
    <w:rsid w:val="001A5086"/>
    <w:rsid w:val="001C0B7E"/>
    <w:rsid w:val="001D41DB"/>
    <w:rsid w:val="0020216F"/>
    <w:rsid w:val="00240E39"/>
    <w:rsid w:val="002602B8"/>
    <w:rsid w:val="00264360"/>
    <w:rsid w:val="00280351"/>
    <w:rsid w:val="002A24EC"/>
    <w:rsid w:val="002B41E5"/>
    <w:rsid w:val="002D39D3"/>
    <w:rsid w:val="00324386"/>
    <w:rsid w:val="00382925"/>
    <w:rsid w:val="00390486"/>
    <w:rsid w:val="00392F29"/>
    <w:rsid w:val="003D57C1"/>
    <w:rsid w:val="003F3E07"/>
    <w:rsid w:val="004011D3"/>
    <w:rsid w:val="00405F10"/>
    <w:rsid w:val="00413A7D"/>
    <w:rsid w:val="004274EF"/>
    <w:rsid w:val="00440BB6"/>
    <w:rsid w:val="00444514"/>
    <w:rsid w:val="00452324"/>
    <w:rsid w:val="004570B4"/>
    <w:rsid w:val="0046100B"/>
    <w:rsid w:val="00474FAA"/>
    <w:rsid w:val="004977A3"/>
    <w:rsid w:val="004A11FA"/>
    <w:rsid w:val="004B098F"/>
    <w:rsid w:val="004B0EF7"/>
    <w:rsid w:val="004D1AA2"/>
    <w:rsid w:val="004E21FF"/>
    <w:rsid w:val="005201F7"/>
    <w:rsid w:val="005223AC"/>
    <w:rsid w:val="00524E09"/>
    <w:rsid w:val="0052666D"/>
    <w:rsid w:val="00531093"/>
    <w:rsid w:val="0055191B"/>
    <w:rsid w:val="00553958"/>
    <w:rsid w:val="00580839"/>
    <w:rsid w:val="00582247"/>
    <w:rsid w:val="00583C13"/>
    <w:rsid w:val="005A3805"/>
    <w:rsid w:val="005C0807"/>
    <w:rsid w:val="005F681A"/>
    <w:rsid w:val="00621539"/>
    <w:rsid w:val="00621C23"/>
    <w:rsid w:val="006227A6"/>
    <w:rsid w:val="00626048"/>
    <w:rsid w:val="0064720A"/>
    <w:rsid w:val="00664696"/>
    <w:rsid w:val="00671CCB"/>
    <w:rsid w:val="00687372"/>
    <w:rsid w:val="00690693"/>
    <w:rsid w:val="006B676C"/>
    <w:rsid w:val="006E380C"/>
    <w:rsid w:val="00700980"/>
    <w:rsid w:val="00712200"/>
    <w:rsid w:val="00720AE1"/>
    <w:rsid w:val="007453CC"/>
    <w:rsid w:val="00747EBE"/>
    <w:rsid w:val="007503B1"/>
    <w:rsid w:val="00751FBE"/>
    <w:rsid w:val="0075712E"/>
    <w:rsid w:val="00762803"/>
    <w:rsid w:val="0076338B"/>
    <w:rsid w:val="007950C3"/>
    <w:rsid w:val="007969E9"/>
    <w:rsid w:val="00796BD8"/>
    <w:rsid w:val="007B5064"/>
    <w:rsid w:val="007C514A"/>
    <w:rsid w:val="00806556"/>
    <w:rsid w:val="00806940"/>
    <w:rsid w:val="008108D5"/>
    <w:rsid w:val="00825054"/>
    <w:rsid w:val="00872744"/>
    <w:rsid w:val="00881118"/>
    <w:rsid w:val="0089035A"/>
    <w:rsid w:val="008A4488"/>
    <w:rsid w:val="008C3EE4"/>
    <w:rsid w:val="008D2002"/>
    <w:rsid w:val="008E0D69"/>
    <w:rsid w:val="008F24FD"/>
    <w:rsid w:val="009017E7"/>
    <w:rsid w:val="00905614"/>
    <w:rsid w:val="00913423"/>
    <w:rsid w:val="00914685"/>
    <w:rsid w:val="009278D7"/>
    <w:rsid w:val="00927EC4"/>
    <w:rsid w:val="00930A9C"/>
    <w:rsid w:val="009435C2"/>
    <w:rsid w:val="00946CA4"/>
    <w:rsid w:val="00957D05"/>
    <w:rsid w:val="009639DF"/>
    <w:rsid w:val="00981749"/>
    <w:rsid w:val="00985235"/>
    <w:rsid w:val="009A6D6E"/>
    <w:rsid w:val="009B3942"/>
    <w:rsid w:val="009C20AC"/>
    <w:rsid w:val="009C60A5"/>
    <w:rsid w:val="009D34AD"/>
    <w:rsid w:val="009E1E6A"/>
    <w:rsid w:val="009F60AE"/>
    <w:rsid w:val="00A14531"/>
    <w:rsid w:val="00A25794"/>
    <w:rsid w:val="00A25E3A"/>
    <w:rsid w:val="00A504F9"/>
    <w:rsid w:val="00A8239B"/>
    <w:rsid w:val="00AA7C56"/>
    <w:rsid w:val="00AD082A"/>
    <w:rsid w:val="00AE48D6"/>
    <w:rsid w:val="00AE5CD7"/>
    <w:rsid w:val="00AF4540"/>
    <w:rsid w:val="00B35918"/>
    <w:rsid w:val="00B37589"/>
    <w:rsid w:val="00B54C8D"/>
    <w:rsid w:val="00BA6203"/>
    <w:rsid w:val="00BA6CE3"/>
    <w:rsid w:val="00BA6D39"/>
    <w:rsid w:val="00BB27D3"/>
    <w:rsid w:val="00BB7894"/>
    <w:rsid w:val="00BB7A02"/>
    <w:rsid w:val="00BD72D1"/>
    <w:rsid w:val="00BE5C9A"/>
    <w:rsid w:val="00BF01D4"/>
    <w:rsid w:val="00BF3520"/>
    <w:rsid w:val="00BF77FF"/>
    <w:rsid w:val="00C028C9"/>
    <w:rsid w:val="00C25671"/>
    <w:rsid w:val="00C4697A"/>
    <w:rsid w:val="00C601E4"/>
    <w:rsid w:val="00C65C01"/>
    <w:rsid w:val="00CA3F33"/>
    <w:rsid w:val="00CD2C9B"/>
    <w:rsid w:val="00CD6EC5"/>
    <w:rsid w:val="00CE6588"/>
    <w:rsid w:val="00CF6A14"/>
    <w:rsid w:val="00D0507A"/>
    <w:rsid w:val="00D22F85"/>
    <w:rsid w:val="00D30BAC"/>
    <w:rsid w:val="00D328F6"/>
    <w:rsid w:val="00D34063"/>
    <w:rsid w:val="00D5510B"/>
    <w:rsid w:val="00D72EED"/>
    <w:rsid w:val="00D73D02"/>
    <w:rsid w:val="00D81621"/>
    <w:rsid w:val="00D9257F"/>
    <w:rsid w:val="00D9797C"/>
    <w:rsid w:val="00DA291C"/>
    <w:rsid w:val="00DA4D99"/>
    <w:rsid w:val="00DA7AA0"/>
    <w:rsid w:val="00DB69EE"/>
    <w:rsid w:val="00DC07D6"/>
    <w:rsid w:val="00DC4DA8"/>
    <w:rsid w:val="00DC696E"/>
    <w:rsid w:val="00DE08CE"/>
    <w:rsid w:val="00DF1220"/>
    <w:rsid w:val="00E02881"/>
    <w:rsid w:val="00E13603"/>
    <w:rsid w:val="00E21058"/>
    <w:rsid w:val="00E3320F"/>
    <w:rsid w:val="00E35A45"/>
    <w:rsid w:val="00E52B02"/>
    <w:rsid w:val="00E71824"/>
    <w:rsid w:val="00E72039"/>
    <w:rsid w:val="00E86F5B"/>
    <w:rsid w:val="00E9703A"/>
    <w:rsid w:val="00EB7198"/>
    <w:rsid w:val="00EF1BBD"/>
    <w:rsid w:val="00F00278"/>
    <w:rsid w:val="00F103C2"/>
    <w:rsid w:val="00F13092"/>
    <w:rsid w:val="00F17CBF"/>
    <w:rsid w:val="00F51831"/>
    <w:rsid w:val="00F602B4"/>
    <w:rsid w:val="00F74C83"/>
    <w:rsid w:val="00F84979"/>
    <w:rsid w:val="00F93859"/>
    <w:rsid w:val="00F97571"/>
    <w:rsid w:val="00F9795F"/>
    <w:rsid w:val="00FB5DED"/>
    <w:rsid w:val="00FC31D8"/>
    <w:rsid w:val="00FD0AD0"/>
    <w:rsid w:val="00FD6362"/>
    <w:rsid w:val="00FD7A3F"/>
    <w:rsid w:val="00FF11A0"/>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4B9A"/>
  <w15:chartTrackingRefBased/>
  <w15:docId w15:val="{46B4C1AC-DFCC-E545-8505-191168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12E"/>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0D6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E0D6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8E0D69"/>
    <w:pPr>
      <w:pBdr>
        <w:top w:val="single" w:sz="6" w:space="2" w:color="4A66AC" w:themeColor="accent1"/>
        <w:left w:val="single" w:sz="6" w:space="2" w:color="4A66AC" w:themeColor="accent1"/>
      </w:pBdr>
      <w:spacing w:before="300"/>
      <w:outlineLvl w:val="2"/>
    </w:pPr>
    <w:rPr>
      <w:caps/>
      <w:color w:val="243255" w:themeColor="accent1" w:themeShade="7F"/>
      <w:spacing w:val="15"/>
      <w:sz w:val="22"/>
      <w:szCs w:val="22"/>
    </w:rPr>
  </w:style>
  <w:style w:type="paragraph" w:styleId="Heading4">
    <w:name w:val="heading 4"/>
    <w:basedOn w:val="Normal"/>
    <w:next w:val="Normal"/>
    <w:link w:val="Heading4Char"/>
    <w:uiPriority w:val="9"/>
    <w:semiHidden/>
    <w:unhideWhenUsed/>
    <w:qFormat/>
    <w:rsid w:val="008E0D69"/>
    <w:pPr>
      <w:pBdr>
        <w:top w:val="dotted" w:sz="6" w:space="2" w:color="4A66AC" w:themeColor="accent1"/>
        <w:left w:val="dotted" w:sz="6" w:space="2" w:color="4A66AC" w:themeColor="accent1"/>
      </w:pBdr>
      <w:spacing w:before="30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8E0D69"/>
    <w:pPr>
      <w:pBdr>
        <w:bottom w:val="single" w:sz="6" w:space="1" w:color="4A66AC" w:themeColor="accent1"/>
      </w:pBdr>
      <w:spacing w:before="30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8E0D69"/>
    <w:pPr>
      <w:pBdr>
        <w:bottom w:val="dotted" w:sz="6" w:space="1" w:color="4A66AC" w:themeColor="accent1"/>
      </w:pBdr>
      <w:spacing w:before="30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8E0D69"/>
    <w:pPr>
      <w:spacing w:before="30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8E0D6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8E0D6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D69"/>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semiHidden/>
    <w:rsid w:val="008E0D6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8E0D69"/>
    <w:rPr>
      <w:caps/>
      <w:color w:val="243255" w:themeColor="accent1" w:themeShade="7F"/>
      <w:spacing w:val="15"/>
    </w:rPr>
  </w:style>
  <w:style w:type="character" w:customStyle="1" w:styleId="Heading4Char">
    <w:name w:val="Heading 4 Char"/>
    <w:basedOn w:val="DefaultParagraphFont"/>
    <w:link w:val="Heading4"/>
    <w:uiPriority w:val="9"/>
    <w:semiHidden/>
    <w:rsid w:val="008E0D69"/>
    <w:rPr>
      <w:caps/>
      <w:color w:val="374C80" w:themeColor="accent1" w:themeShade="BF"/>
      <w:spacing w:val="10"/>
    </w:rPr>
  </w:style>
  <w:style w:type="character" w:customStyle="1" w:styleId="Heading5Char">
    <w:name w:val="Heading 5 Char"/>
    <w:basedOn w:val="DefaultParagraphFont"/>
    <w:link w:val="Heading5"/>
    <w:uiPriority w:val="9"/>
    <w:semiHidden/>
    <w:rsid w:val="008E0D69"/>
    <w:rPr>
      <w:caps/>
      <w:color w:val="374C80" w:themeColor="accent1" w:themeShade="BF"/>
      <w:spacing w:val="10"/>
    </w:rPr>
  </w:style>
  <w:style w:type="character" w:customStyle="1" w:styleId="Heading6Char">
    <w:name w:val="Heading 6 Char"/>
    <w:basedOn w:val="DefaultParagraphFont"/>
    <w:link w:val="Heading6"/>
    <w:uiPriority w:val="9"/>
    <w:semiHidden/>
    <w:rsid w:val="008E0D69"/>
    <w:rPr>
      <w:caps/>
      <w:color w:val="374C80" w:themeColor="accent1" w:themeShade="BF"/>
      <w:spacing w:val="10"/>
    </w:rPr>
  </w:style>
  <w:style w:type="character" w:customStyle="1" w:styleId="Heading7Char">
    <w:name w:val="Heading 7 Char"/>
    <w:basedOn w:val="DefaultParagraphFont"/>
    <w:link w:val="Heading7"/>
    <w:uiPriority w:val="9"/>
    <w:semiHidden/>
    <w:rsid w:val="008E0D69"/>
    <w:rPr>
      <w:caps/>
      <w:color w:val="374C80" w:themeColor="accent1" w:themeShade="BF"/>
      <w:spacing w:val="10"/>
    </w:rPr>
  </w:style>
  <w:style w:type="character" w:customStyle="1" w:styleId="Heading8Char">
    <w:name w:val="Heading 8 Char"/>
    <w:basedOn w:val="DefaultParagraphFont"/>
    <w:link w:val="Heading8"/>
    <w:uiPriority w:val="9"/>
    <w:semiHidden/>
    <w:rsid w:val="008E0D69"/>
    <w:rPr>
      <w:caps/>
      <w:spacing w:val="10"/>
      <w:sz w:val="18"/>
      <w:szCs w:val="18"/>
    </w:rPr>
  </w:style>
  <w:style w:type="character" w:customStyle="1" w:styleId="Heading9Char">
    <w:name w:val="Heading 9 Char"/>
    <w:basedOn w:val="DefaultParagraphFont"/>
    <w:link w:val="Heading9"/>
    <w:uiPriority w:val="9"/>
    <w:semiHidden/>
    <w:rsid w:val="008E0D69"/>
    <w:rPr>
      <w:i/>
      <w:caps/>
      <w:spacing w:val="10"/>
      <w:sz w:val="18"/>
      <w:szCs w:val="18"/>
    </w:rPr>
  </w:style>
  <w:style w:type="paragraph" w:styleId="Title">
    <w:name w:val="Title"/>
    <w:basedOn w:val="Normal"/>
    <w:next w:val="Normal"/>
    <w:link w:val="TitleChar"/>
    <w:uiPriority w:val="10"/>
    <w:qFormat/>
    <w:rsid w:val="008E0D69"/>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8E0D69"/>
    <w:rPr>
      <w:caps/>
      <w:color w:val="4A66AC" w:themeColor="accent1"/>
      <w:spacing w:val="10"/>
      <w:kern w:val="28"/>
      <w:sz w:val="52"/>
      <w:szCs w:val="52"/>
    </w:rPr>
  </w:style>
  <w:style w:type="paragraph" w:styleId="Subtitle">
    <w:name w:val="Subtitle"/>
    <w:basedOn w:val="Normal"/>
    <w:next w:val="Normal"/>
    <w:link w:val="SubtitleChar"/>
    <w:uiPriority w:val="11"/>
    <w:qFormat/>
    <w:rsid w:val="008E0D69"/>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8E0D69"/>
    <w:rPr>
      <w:caps/>
      <w:color w:val="595959" w:themeColor="text1" w:themeTint="A6"/>
      <w:spacing w:val="10"/>
      <w:sz w:val="24"/>
      <w:szCs w:val="24"/>
    </w:rPr>
  </w:style>
  <w:style w:type="character" w:styleId="Strong">
    <w:name w:val="Strong"/>
    <w:uiPriority w:val="22"/>
    <w:qFormat/>
    <w:rsid w:val="008E0D69"/>
    <w:rPr>
      <w:b/>
      <w:bCs/>
    </w:rPr>
  </w:style>
  <w:style w:type="character" w:styleId="Emphasis">
    <w:name w:val="Emphasis"/>
    <w:uiPriority w:val="20"/>
    <w:qFormat/>
    <w:rsid w:val="008E0D69"/>
    <w:rPr>
      <w:caps/>
      <w:color w:val="243255" w:themeColor="accent1" w:themeShade="7F"/>
      <w:spacing w:val="5"/>
    </w:rPr>
  </w:style>
  <w:style w:type="paragraph" w:styleId="NoSpacing">
    <w:name w:val="No Spacing"/>
    <w:basedOn w:val="Normal"/>
    <w:link w:val="NoSpacingChar"/>
    <w:uiPriority w:val="1"/>
    <w:qFormat/>
    <w:rsid w:val="008E0D69"/>
  </w:style>
  <w:style w:type="paragraph" w:styleId="ListParagraph">
    <w:name w:val="List Paragraph"/>
    <w:basedOn w:val="Normal"/>
    <w:uiPriority w:val="34"/>
    <w:qFormat/>
    <w:rsid w:val="008E0D69"/>
    <w:pPr>
      <w:ind w:left="720"/>
      <w:contextualSpacing/>
    </w:pPr>
  </w:style>
  <w:style w:type="paragraph" w:styleId="Quote">
    <w:name w:val="Quote"/>
    <w:basedOn w:val="Normal"/>
    <w:next w:val="Normal"/>
    <w:link w:val="QuoteChar"/>
    <w:uiPriority w:val="29"/>
    <w:qFormat/>
    <w:rsid w:val="008E0D69"/>
    <w:rPr>
      <w:i/>
      <w:iCs/>
    </w:rPr>
  </w:style>
  <w:style w:type="character" w:customStyle="1" w:styleId="QuoteChar">
    <w:name w:val="Quote Char"/>
    <w:basedOn w:val="DefaultParagraphFont"/>
    <w:link w:val="Quote"/>
    <w:uiPriority w:val="29"/>
    <w:rsid w:val="008E0D69"/>
    <w:rPr>
      <w:i/>
      <w:iCs/>
      <w:sz w:val="20"/>
      <w:szCs w:val="20"/>
    </w:rPr>
  </w:style>
  <w:style w:type="paragraph" w:styleId="IntenseQuote">
    <w:name w:val="Intense Quote"/>
    <w:basedOn w:val="Normal"/>
    <w:next w:val="Normal"/>
    <w:link w:val="IntenseQuoteChar"/>
    <w:uiPriority w:val="30"/>
    <w:qFormat/>
    <w:rsid w:val="008E0D69"/>
    <w:pPr>
      <w:pBdr>
        <w:top w:val="single" w:sz="4" w:space="10" w:color="4A66AC" w:themeColor="accent1"/>
        <w:left w:val="single" w:sz="4" w:space="10" w:color="4A66AC" w:themeColor="accent1"/>
      </w:pBdr>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8E0D69"/>
    <w:rPr>
      <w:i/>
      <w:iCs/>
      <w:color w:val="4A66AC" w:themeColor="accent1"/>
      <w:sz w:val="20"/>
      <w:szCs w:val="20"/>
    </w:rPr>
  </w:style>
  <w:style w:type="character" w:styleId="SubtleEmphasis">
    <w:name w:val="Subtle Emphasis"/>
    <w:uiPriority w:val="19"/>
    <w:qFormat/>
    <w:rsid w:val="008E0D69"/>
    <w:rPr>
      <w:i/>
      <w:iCs/>
      <w:color w:val="243255" w:themeColor="accent1" w:themeShade="7F"/>
    </w:rPr>
  </w:style>
  <w:style w:type="character" w:styleId="IntenseEmphasis">
    <w:name w:val="Intense Emphasis"/>
    <w:uiPriority w:val="21"/>
    <w:qFormat/>
    <w:rsid w:val="008E0D69"/>
    <w:rPr>
      <w:b/>
      <w:bCs/>
      <w:caps/>
      <w:color w:val="243255" w:themeColor="accent1" w:themeShade="7F"/>
      <w:spacing w:val="10"/>
    </w:rPr>
  </w:style>
  <w:style w:type="character" w:styleId="SubtleReference">
    <w:name w:val="Subtle Reference"/>
    <w:uiPriority w:val="31"/>
    <w:qFormat/>
    <w:rsid w:val="008E0D69"/>
    <w:rPr>
      <w:b/>
      <w:bCs/>
      <w:color w:val="4A66AC" w:themeColor="accent1"/>
    </w:rPr>
  </w:style>
  <w:style w:type="character" w:styleId="IntenseReference">
    <w:name w:val="Intense Reference"/>
    <w:uiPriority w:val="32"/>
    <w:qFormat/>
    <w:rsid w:val="008E0D69"/>
    <w:rPr>
      <w:b/>
      <w:bCs/>
      <w:i/>
      <w:iCs/>
      <w:caps/>
      <w:color w:val="4A66AC" w:themeColor="accent1"/>
    </w:rPr>
  </w:style>
  <w:style w:type="character" w:styleId="BookTitle">
    <w:name w:val="Book Title"/>
    <w:uiPriority w:val="33"/>
    <w:qFormat/>
    <w:rsid w:val="008E0D69"/>
    <w:rPr>
      <w:b/>
      <w:bCs/>
      <w:i/>
      <w:iCs/>
      <w:spacing w:val="9"/>
    </w:rPr>
  </w:style>
  <w:style w:type="paragraph" w:styleId="TOCHeading">
    <w:name w:val="TOC Heading"/>
    <w:basedOn w:val="Heading1"/>
    <w:next w:val="Normal"/>
    <w:uiPriority w:val="39"/>
    <w:semiHidden/>
    <w:unhideWhenUsed/>
    <w:qFormat/>
    <w:rsid w:val="008E0D69"/>
    <w:pPr>
      <w:outlineLvl w:val="9"/>
    </w:pPr>
  </w:style>
  <w:style w:type="paragraph" w:styleId="Caption">
    <w:name w:val="caption"/>
    <w:basedOn w:val="Normal"/>
    <w:next w:val="Normal"/>
    <w:uiPriority w:val="35"/>
    <w:semiHidden/>
    <w:unhideWhenUsed/>
    <w:qFormat/>
    <w:rsid w:val="008E0D69"/>
    <w:rPr>
      <w:b/>
      <w:bCs/>
      <w:color w:val="374C80" w:themeColor="accent1" w:themeShade="BF"/>
      <w:sz w:val="16"/>
      <w:szCs w:val="16"/>
    </w:rPr>
  </w:style>
  <w:style w:type="character" w:customStyle="1" w:styleId="NoSpacingChar">
    <w:name w:val="No Spacing Char"/>
    <w:basedOn w:val="DefaultParagraphFont"/>
    <w:link w:val="NoSpacing"/>
    <w:uiPriority w:val="1"/>
    <w:rsid w:val="008E0D69"/>
    <w:rPr>
      <w:sz w:val="20"/>
      <w:szCs w:val="20"/>
    </w:rPr>
  </w:style>
  <w:style w:type="character" w:styleId="FootnoteReference">
    <w:name w:val="footnote reference"/>
    <w:basedOn w:val="DefaultParagraphFont"/>
    <w:unhideWhenUsed/>
    <w:rsid w:val="00957D05"/>
    <w:rPr>
      <w:vertAlign w:val="superscript"/>
    </w:rPr>
  </w:style>
  <w:style w:type="paragraph" w:styleId="FootnoteText">
    <w:name w:val="footnote text"/>
    <w:basedOn w:val="Normal"/>
    <w:link w:val="FootnoteTextChar"/>
    <w:unhideWhenUsed/>
    <w:rsid w:val="00957D05"/>
  </w:style>
  <w:style w:type="character" w:customStyle="1" w:styleId="FootnoteTextChar">
    <w:name w:val="Footnote Text Char"/>
    <w:basedOn w:val="DefaultParagraphFont"/>
    <w:link w:val="FootnoteText"/>
    <w:rsid w:val="00957D05"/>
    <w:rPr>
      <w:sz w:val="20"/>
      <w:szCs w:val="20"/>
    </w:rPr>
  </w:style>
  <w:style w:type="character" w:styleId="CommentReference">
    <w:name w:val="annotation reference"/>
    <w:basedOn w:val="DefaultParagraphFont"/>
    <w:uiPriority w:val="99"/>
    <w:semiHidden/>
    <w:unhideWhenUsed/>
    <w:rsid w:val="006227A6"/>
    <w:rPr>
      <w:sz w:val="16"/>
      <w:szCs w:val="16"/>
    </w:rPr>
  </w:style>
  <w:style w:type="paragraph" w:styleId="CommentText">
    <w:name w:val="annotation text"/>
    <w:basedOn w:val="Normal"/>
    <w:link w:val="CommentTextChar"/>
    <w:uiPriority w:val="99"/>
    <w:semiHidden/>
    <w:unhideWhenUsed/>
    <w:rsid w:val="006227A6"/>
  </w:style>
  <w:style w:type="character" w:customStyle="1" w:styleId="CommentTextChar">
    <w:name w:val="Comment Text Char"/>
    <w:basedOn w:val="DefaultParagraphFont"/>
    <w:link w:val="CommentText"/>
    <w:uiPriority w:val="99"/>
    <w:semiHidden/>
    <w:rsid w:val="006227A6"/>
    <w:rPr>
      <w:sz w:val="20"/>
      <w:szCs w:val="20"/>
    </w:rPr>
  </w:style>
  <w:style w:type="paragraph" w:styleId="CommentSubject">
    <w:name w:val="annotation subject"/>
    <w:basedOn w:val="CommentText"/>
    <w:next w:val="CommentText"/>
    <w:link w:val="CommentSubjectChar"/>
    <w:uiPriority w:val="99"/>
    <w:semiHidden/>
    <w:unhideWhenUsed/>
    <w:rsid w:val="006227A6"/>
    <w:rPr>
      <w:b/>
      <w:bCs/>
    </w:rPr>
  </w:style>
  <w:style w:type="character" w:customStyle="1" w:styleId="CommentSubjectChar">
    <w:name w:val="Comment Subject Char"/>
    <w:basedOn w:val="CommentTextChar"/>
    <w:link w:val="CommentSubject"/>
    <w:uiPriority w:val="99"/>
    <w:semiHidden/>
    <w:rsid w:val="006227A6"/>
    <w:rPr>
      <w:b/>
      <w:bCs/>
      <w:sz w:val="20"/>
      <w:szCs w:val="20"/>
    </w:rPr>
  </w:style>
  <w:style w:type="paragraph" w:styleId="Revision">
    <w:name w:val="Revision"/>
    <w:hidden/>
    <w:uiPriority w:val="99"/>
    <w:semiHidden/>
    <w:rsid w:val="006227A6"/>
    <w:pPr>
      <w:spacing w:before="0" w:after="0" w:line="240" w:lineRule="auto"/>
    </w:pPr>
    <w:rPr>
      <w:sz w:val="20"/>
      <w:szCs w:val="20"/>
    </w:rPr>
  </w:style>
  <w:style w:type="paragraph" w:styleId="NormalWeb">
    <w:name w:val="Normal (Web)"/>
    <w:basedOn w:val="Normal"/>
    <w:uiPriority w:val="99"/>
    <w:semiHidden/>
    <w:unhideWhenUsed/>
    <w:rsid w:val="00AE48D6"/>
  </w:style>
  <w:style w:type="paragraph" w:styleId="Footer">
    <w:name w:val="footer"/>
    <w:basedOn w:val="Normal"/>
    <w:link w:val="FooterChar"/>
    <w:uiPriority w:val="99"/>
    <w:unhideWhenUsed/>
    <w:rsid w:val="00AD082A"/>
    <w:pPr>
      <w:tabs>
        <w:tab w:val="center" w:pos="4680"/>
        <w:tab w:val="right" w:pos="9360"/>
      </w:tabs>
    </w:pPr>
  </w:style>
  <w:style w:type="character" w:customStyle="1" w:styleId="FooterChar">
    <w:name w:val="Footer Char"/>
    <w:basedOn w:val="DefaultParagraphFont"/>
    <w:link w:val="Footer"/>
    <w:uiPriority w:val="99"/>
    <w:rsid w:val="00AD082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D082A"/>
  </w:style>
  <w:style w:type="paragraph" w:styleId="BalloonText">
    <w:name w:val="Balloon Text"/>
    <w:basedOn w:val="Normal"/>
    <w:link w:val="BalloonTextChar"/>
    <w:uiPriority w:val="99"/>
    <w:semiHidden/>
    <w:unhideWhenUsed/>
    <w:rsid w:val="00583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6441">
      <w:bodyDiv w:val="1"/>
      <w:marLeft w:val="0"/>
      <w:marRight w:val="0"/>
      <w:marTop w:val="0"/>
      <w:marBottom w:val="0"/>
      <w:divBdr>
        <w:top w:val="none" w:sz="0" w:space="0" w:color="auto"/>
        <w:left w:val="none" w:sz="0" w:space="0" w:color="auto"/>
        <w:bottom w:val="none" w:sz="0" w:space="0" w:color="auto"/>
        <w:right w:val="none" w:sz="0" w:space="0" w:color="auto"/>
      </w:divBdr>
    </w:div>
    <w:div w:id="93982039">
      <w:bodyDiv w:val="1"/>
      <w:marLeft w:val="0"/>
      <w:marRight w:val="0"/>
      <w:marTop w:val="0"/>
      <w:marBottom w:val="0"/>
      <w:divBdr>
        <w:top w:val="none" w:sz="0" w:space="0" w:color="auto"/>
        <w:left w:val="none" w:sz="0" w:space="0" w:color="auto"/>
        <w:bottom w:val="none" w:sz="0" w:space="0" w:color="auto"/>
        <w:right w:val="none" w:sz="0" w:space="0" w:color="auto"/>
      </w:divBdr>
    </w:div>
    <w:div w:id="518541167">
      <w:bodyDiv w:val="1"/>
      <w:marLeft w:val="0"/>
      <w:marRight w:val="0"/>
      <w:marTop w:val="0"/>
      <w:marBottom w:val="0"/>
      <w:divBdr>
        <w:top w:val="none" w:sz="0" w:space="0" w:color="auto"/>
        <w:left w:val="none" w:sz="0" w:space="0" w:color="auto"/>
        <w:bottom w:val="none" w:sz="0" w:space="0" w:color="auto"/>
        <w:right w:val="none" w:sz="0" w:space="0" w:color="auto"/>
      </w:divBdr>
    </w:div>
    <w:div w:id="801112612">
      <w:bodyDiv w:val="1"/>
      <w:marLeft w:val="0"/>
      <w:marRight w:val="0"/>
      <w:marTop w:val="0"/>
      <w:marBottom w:val="0"/>
      <w:divBdr>
        <w:top w:val="none" w:sz="0" w:space="0" w:color="auto"/>
        <w:left w:val="none" w:sz="0" w:space="0" w:color="auto"/>
        <w:bottom w:val="none" w:sz="0" w:space="0" w:color="auto"/>
        <w:right w:val="none" w:sz="0" w:space="0" w:color="auto"/>
      </w:divBdr>
    </w:div>
    <w:div w:id="890578280">
      <w:bodyDiv w:val="1"/>
      <w:marLeft w:val="0"/>
      <w:marRight w:val="0"/>
      <w:marTop w:val="0"/>
      <w:marBottom w:val="0"/>
      <w:divBdr>
        <w:top w:val="none" w:sz="0" w:space="0" w:color="auto"/>
        <w:left w:val="none" w:sz="0" w:space="0" w:color="auto"/>
        <w:bottom w:val="none" w:sz="0" w:space="0" w:color="auto"/>
        <w:right w:val="none" w:sz="0" w:space="0" w:color="auto"/>
      </w:divBdr>
    </w:div>
    <w:div w:id="969826585">
      <w:bodyDiv w:val="1"/>
      <w:marLeft w:val="0"/>
      <w:marRight w:val="0"/>
      <w:marTop w:val="0"/>
      <w:marBottom w:val="0"/>
      <w:divBdr>
        <w:top w:val="none" w:sz="0" w:space="0" w:color="auto"/>
        <w:left w:val="none" w:sz="0" w:space="0" w:color="auto"/>
        <w:bottom w:val="none" w:sz="0" w:space="0" w:color="auto"/>
        <w:right w:val="none" w:sz="0" w:space="0" w:color="auto"/>
      </w:divBdr>
    </w:div>
    <w:div w:id="16459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Erlichman, Reece (ALA)</cp:lastModifiedBy>
  <cp:revision>2</cp:revision>
  <dcterms:created xsi:type="dcterms:W3CDTF">2021-04-07T16:16:00Z</dcterms:created>
  <dcterms:modified xsi:type="dcterms:W3CDTF">2021-04-07T16:16:00Z</dcterms:modified>
</cp:coreProperties>
</file>