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01E4E" w14:textId="77777777" w:rsidR="00C532E7" w:rsidRDefault="000D68F0">
      <w:pPr>
        <w:spacing w:line="360" w:lineRule="auto"/>
        <w:jc w:val="center"/>
      </w:pPr>
      <w:r>
        <w:rPr>
          <w:b/>
        </w:rPr>
        <w:t>COMMONWEALTH OF MASSACHUSETTS</w:t>
      </w:r>
    </w:p>
    <w:p w14:paraId="69276C47" w14:textId="77777777" w:rsidR="00C532E7" w:rsidRDefault="000D68F0">
      <w:pPr>
        <w:spacing w:line="360" w:lineRule="auto"/>
        <w:jc w:val="center"/>
      </w:pPr>
      <w:r>
        <w:rPr>
          <w:b/>
        </w:rPr>
        <w:t>DIVISION OF ADMINISTRATIVE LAW APPEALS</w:t>
      </w:r>
    </w:p>
    <w:p w14:paraId="2871C6BF" w14:textId="77777777" w:rsidR="00C532E7" w:rsidRDefault="000D68F0">
      <w:pPr>
        <w:spacing w:line="360" w:lineRule="auto"/>
        <w:jc w:val="center"/>
      </w:pPr>
      <w:r>
        <w:rPr>
          <w:b/>
        </w:rPr>
        <w:t>BUREAU OF SPECIAL EDUCATION APPEALS</w:t>
      </w:r>
    </w:p>
    <w:p w14:paraId="2FE256E5" w14:textId="77777777" w:rsidR="00C532E7" w:rsidRDefault="000D68F0">
      <w:pPr>
        <w:spacing w:line="360" w:lineRule="auto"/>
      </w:pPr>
      <w:r>
        <w:t> </w:t>
      </w:r>
    </w:p>
    <w:p w14:paraId="192C49F0" w14:textId="77777777" w:rsidR="00C532E7" w:rsidRDefault="000D68F0">
      <w:pPr>
        <w:pBdr>
          <w:top w:val="nil"/>
          <w:left w:val="nil"/>
          <w:bottom w:val="nil"/>
          <w:right w:val="nil"/>
          <w:between w:val="nil"/>
        </w:pBdr>
        <w:rPr>
          <w:color w:val="000000"/>
        </w:rPr>
      </w:pPr>
      <w:r>
        <w:rPr>
          <w:color w:val="000000"/>
        </w:rPr>
        <w:t>_________________________________________</w:t>
      </w:r>
    </w:p>
    <w:p w14:paraId="531D3F3F" w14:textId="77777777" w:rsidR="00C532E7" w:rsidRDefault="00C532E7">
      <w:pPr>
        <w:pBdr>
          <w:top w:val="nil"/>
          <w:left w:val="nil"/>
          <w:bottom w:val="nil"/>
          <w:right w:val="nil"/>
          <w:between w:val="nil"/>
        </w:pBdr>
        <w:rPr>
          <w:color w:val="000000"/>
        </w:rPr>
      </w:pPr>
    </w:p>
    <w:p w14:paraId="24104388" w14:textId="77777777" w:rsidR="00C532E7" w:rsidRDefault="000D68F0">
      <w:pPr>
        <w:spacing w:line="360" w:lineRule="auto"/>
      </w:pPr>
      <w:r>
        <w:t xml:space="preserve">IN RE:    </w:t>
      </w:r>
      <w:proofErr w:type="gramStart"/>
      <w:r>
        <w:t>STUDENT  V.</w:t>
      </w:r>
      <w:proofErr w:type="gramEnd"/>
      <w:r>
        <w:t xml:space="preserve"> </w:t>
      </w:r>
    </w:p>
    <w:p w14:paraId="1EFB849C" w14:textId="7C2F1BF5" w:rsidR="00C532E7" w:rsidRDefault="000D68F0">
      <w:pPr>
        <w:spacing w:line="360" w:lineRule="auto"/>
      </w:pPr>
      <w:proofErr w:type="gramStart"/>
      <w:r>
        <w:t>HAMPSHIRE  REGIONAL</w:t>
      </w:r>
      <w:proofErr w:type="gramEnd"/>
      <w:r>
        <w:t xml:space="preserve"> </w:t>
      </w:r>
      <w:r w:rsidR="00576FDE">
        <w:t xml:space="preserve">SCHOOL DISTRICT </w:t>
      </w:r>
      <w:r w:rsidR="00576FDE">
        <w:tab/>
      </w:r>
      <w:r w:rsidR="00576FDE">
        <w:tab/>
        <w:t>BSEA # 2103975</w:t>
      </w:r>
    </w:p>
    <w:p w14:paraId="321B2419" w14:textId="77777777" w:rsidR="00C532E7" w:rsidRDefault="000D68F0">
      <w:pPr>
        <w:spacing w:line="360" w:lineRule="auto"/>
      </w:pPr>
      <w:r>
        <w:t xml:space="preserve"> </w:t>
      </w:r>
    </w:p>
    <w:p w14:paraId="56449B3D" w14:textId="77777777" w:rsidR="00C532E7" w:rsidRDefault="000D68F0">
      <w:pPr>
        <w:spacing w:line="360" w:lineRule="auto"/>
      </w:pPr>
      <w:r>
        <w:t>_________________________________________</w:t>
      </w:r>
    </w:p>
    <w:p w14:paraId="210449EE" w14:textId="77777777" w:rsidR="00C532E7" w:rsidRDefault="000D68F0">
      <w:pPr>
        <w:spacing w:line="360" w:lineRule="auto"/>
      </w:pPr>
      <w:r>
        <w:t> </w:t>
      </w:r>
    </w:p>
    <w:p w14:paraId="3C94EFFA" w14:textId="77777777" w:rsidR="00C532E7" w:rsidRDefault="000D68F0">
      <w:pPr>
        <w:spacing w:line="360" w:lineRule="auto"/>
        <w:jc w:val="center"/>
        <w:rPr>
          <w:b/>
          <w:u w:val="single"/>
        </w:rPr>
      </w:pPr>
      <w:r>
        <w:rPr>
          <w:b/>
          <w:u w:val="single"/>
        </w:rPr>
        <w:t>RULING ON PARENTS’ MOTION TO ENFORCE STAY-PUT</w:t>
      </w:r>
    </w:p>
    <w:p w14:paraId="38C70C5B" w14:textId="77777777" w:rsidR="00C532E7" w:rsidRDefault="00C532E7">
      <w:pPr>
        <w:spacing w:line="360" w:lineRule="auto"/>
        <w:jc w:val="center"/>
      </w:pPr>
    </w:p>
    <w:p w14:paraId="4731E449" w14:textId="77777777" w:rsidR="00C532E7" w:rsidRDefault="000D68F0">
      <w:r>
        <w:t>This matter comes before the Hearing Officer on Parents’</w:t>
      </w:r>
      <w:r>
        <w:rPr>
          <w:i/>
        </w:rPr>
        <w:t xml:space="preserve"> Motion to Enforce Stay-Put,</w:t>
      </w:r>
      <w:r>
        <w:t xml:space="preserve"> which was filed with the BSEA on December 2, 2020.  Hampshire Regional School District (the “District”) filed an </w:t>
      </w:r>
      <w:r>
        <w:rPr>
          <w:i/>
        </w:rPr>
        <w:t>Opposition to the Motion to Dismiss</w:t>
      </w:r>
      <w:r>
        <w:t xml:space="preserve"> on December 4, 2021, and on December 7, 2020 Parents filed </w:t>
      </w:r>
      <w:r>
        <w:rPr>
          <w:i/>
        </w:rPr>
        <w:t>Parents’ Reply to Hampshire Regional School District’s Opposition to Parents’ Motion to Enforce Stay-Put.</w:t>
      </w:r>
      <w:r>
        <w:t xml:space="preserve">  The Parties argued the </w:t>
      </w:r>
      <w:r>
        <w:rPr>
          <w:i/>
        </w:rPr>
        <w:t>Motion</w:t>
      </w:r>
      <w:r>
        <w:t xml:space="preserve"> on January 11, 2020. The arguments and testimony given were recorded by a stenographer, who is in the process of producing a transcript. </w:t>
      </w:r>
    </w:p>
    <w:p w14:paraId="600FAD91" w14:textId="77777777" w:rsidR="00C532E7" w:rsidRDefault="00C532E7"/>
    <w:p w14:paraId="548286D7" w14:textId="77777777" w:rsidR="00C532E7" w:rsidRDefault="000D68F0">
      <w:r>
        <w:t>For the reasons set forth below, the Parents’</w:t>
      </w:r>
      <w:r>
        <w:rPr>
          <w:i/>
        </w:rPr>
        <w:t xml:space="preserve"> Motion </w:t>
      </w:r>
      <w:r>
        <w:t>is hereby DENIED.</w:t>
      </w:r>
    </w:p>
    <w:p w14:paraId="2E7BC6EA" w14:textId="77777777" w:rsidR="00C532E7" w:rsidRDefault="00C532E7"/>
    <w:p w14:paraId="5D8ACC8F" w14:textId="77777777" w:rsidR="00C532E7" w:rsidRDefault="000D68F0">
      <w:pPr>
        <w:rPr>
          <w:b/>
        </w:rPr>
      </w:pPr>
      <w:r>
        <w:rPr>
          <w:b/>
        </w:rPr>
        <w:t>RELEVANT PROCEDURAL HISTORY AND FACTUAL BACKGROUND:</w:t>
      </w:r>
    </w:p>
    <w:p w14:paraId="30D663B7" w14:textId="77777777" w:rsidR="00C532E7" w:rsidRDefault="00C532E7"/>
    <w:p w14:paraId="2BBC2E2F" w14:textId="77777777" w:rsidR="00C532E7" w:rsidRDefault="000D68F0">
      <w:pPr>
        <w:pBdr>
          <w:top w:val="nil"/>
          <w:left w:val="nil"/>
          <w:bottom w:val="nil"/>
          <w:right w:val="nil"/>
          <w:between w:val="nil"/>
        </w:pBdr>
        <w:rPr>
          <w:color w:val="000000"/>
        </w:rPr>
      </w:pPr>
      <w:r>
        <w:rPr>
          <w:color w:val="000000"/>
        </w:rPr>
        <w:t xml:space="preserve">On November 23, 2020, Parents filed a </w:t>
      </w:r>
      <w:r>
        <w:rPr>
          <w:i/>
          <w:color w:val="000000"/>
        </w:rPr>
        <w:t>Hearing Request</w:t>
      </w:r>
      <w:r>
        <w:rPr>
          <w:color w:val="000000"/>
        </w:rPr>
        <w:t xml:space="preserve"> alleging, in part, that Student’s current placement at William E. Norris Elementary School in Southampton, Massachusetts fails to provide him with a FAPE.  Parents’ </w:t>
      </w:r>
      <w:r>
        <w:rPr>
          <w:i/>
          <w:color w:val="000000"/>
        </w:rPr>
        <w:t>Hearing Request</w:t>
      </w:r>
      <w:r>
        <w:rPr>
          <w:color w:val="000000"/>
        </w:rPr>
        <w:t xml:space="preserve"> seeks placement for Student at White Oak School in Westfield, Massachusetts.  </w:t>
      </w:r>
    </w:p>
    <w:p w14:paraId="6D449E95" w14:textId="77777777" w:rsidR="00C532E7" w:rsidRDefault="00C532E7">
      <w:pPr>
        <w:pBdr>
          <w:top w:val="nil"/>
          <w:left w:val="nil"/>
          <w:bottom w:val="nil"/>
          <w:right w:val="nil"/>
          <w:between w:val="nil"/>
        </w:pBdr>
        <w:rPr>
          <w:color w:val="000000"/>
        </w:rPr>
      </w:pPr>
    </w:p>
    <w:p w14:paraId="7C84AE57" w14:textId="77777777" w:rsidR="00C532E7" w:rsidRDefault="000D68F0">
      <w:pPr>
        <w:pBdr>
          <w:top w:val="nil"/>
          <w:left w:val="nil"/>
          <w:bottom w:val="nil"/>
          <w:right w:val="nil"/>
          <w:between w:val="nil"/>
        </w:pBdr>
        <w:rPr>
          <w:color w:val="000000"/>
        </w:rPr>
      </w:pPr>
      <w:r>
        <w:rPr>
          <w:color w:val="000000"/>
        </w:rPr>
        <w:t xml:space="preserve">On December 2, 2020, Parents filed the instant </w:t>
      </w:r>
      <w:r>
        <w:rPr>
          <w:i/>
          <w:color w:val="000000"/>
        </w:rPr>
        <w:t xml:space="preserve">Motion to Enforce Stay-Put </w:t>
      </w:r>
      <w:r>
        <w:rPr>
          <w:color w:val="000000"/>
        </w:rPr>
        <w:t xml:space="preserve">in which they assert that Student’s “most recent IEP dated 02/05/20 to 02/04/20 was accepted by the Parents” and called for 40 minutes of specially designed instruction in Reading from a Special Education Teacher 2 times per day. However, in an IEP Amendment dated November 16, 2020, the service was reduced to 1 time per day without prior discussion at the November 12, 2020 Team meeting. Parents further allege that they “were not provided with Prior Written Notice of the reduction and [that] Parents [did] not </w:t>
      </w:r>
      <w:proofErr w:type="gramStart"/>
      <w:r>
        <w:rPr>
          <w:color w:val="000000"/>
        </w:rPr>
        <w:t>agree[</w:t>
      </w:r>
      <w:proofErr w:type="gramEnd"/>
      <w:r>
        <w:rPr>
          <w:color w:val="000000"/>
        </w:rPr>
        <w:t>] to the reduction.” Parents, hence, assert that they are “entitled to a restoration of the total amount of Reading services which were in the IEP prior to the IEP Amendment.”</w:t>
      </w:r>
    </w:p>
    <w:p w14:paraId="09213552" w14:textId="77777777" w:rsidR="00C532E7" w:rsidRDefault="00C532E7">
      <w:pPr>
        <w:pBdr>
          <w:top w:val="nil"/>
          <w:left w:val="nil"/>
          <w:bottom w:val="nil"/>
          <w:right w:val="nil"/>
          <w:between w:val="nil"/>
        </w:pBdr>
        <w:ind w:firstLine="720"/>
        <w:rPr>
          <w:color w:val="000000"/>
        </w:rPr>
      </w:pPr>
    </w:p>
    <w:p w14:paraId="5A074C0D" w14:textId="77777777" w:rsidR="00C532E7" w:rsidRDefault="000D68F0">
      <w:pPr>
        <w:pBdr>
          <w:top w:val="nil"/>
          <w:left w:val="nil"/>
          <w:bottom w:val="nil"/>
          <w:right w:val="nil"/>
          <w:between w:val="nil"/>
        </w:pBdr>
        <w:rPr>
          <w:color w:val="000000"/>
        </w:rPr>
      </w:pPr>
      <w:r>
        <w:rPr>
          <w:color w:val="000000"/>
        </w:rPr>
        <w:lastRenderedPageBreak/>
        <w:t xml:space="preserve">On December 4, 2020, the District filed its </w:t>
      </w:r>
      <w:r>
        <w:rPr>
          <w:i/>
          <w:color w:val="000000"/>
        </w:rPr>
        <w:t>Response to Parents’ Hearing Request/Opposition to Parents’ Motion to enforce Stay-Put</w:t>
      </w:r>
      <w:r>
        <w:rPr>
          <w:color w:val="000000"/>
        </w:rPr>
        <w:t>.</w:t>
      </w:r>
      <w:r>
        <w:rPr>
          <w:color w:val="000000"/>
          <w:vertAlign w:val="superscript"/>
        </w:rPr>
        <w:footnoteReference w:id="1"/>
      </w:r>
      <w:r>
        <w:rPr>
          <w:i/>
          <w:color w:val="000000"/>
        </w:rPr>
        <w:t xml:space="preserve"> </w:t>
      </w:r>
      <w:r>
        <w:rPr>
          <w:color w:val="000000"/>
        </w:rPr>
        <w:t>The District asserts that Student “never received 40 minutes twice per day of reading services” as this was “simply a typographical error.”  The District argues that “there can be no stay put to an amount of services that [Student] never received. He never received two 40 minutes sessions because that was never the intent of the Team.” The District explains that in September 2020 “reading and writing were separated out so that the full 40 minutes was devoted to reading and he then got an additional 30 minutes per day for just writing.” In addition, the District asserts that Parents accepted the Amendment “which includes the services as described (40 minutes for reading per daily and 30 minutes for writing daily).”</w:t>
      </w:r>
    </w:p>
    <w:p w14:paraId="64FD7094" w14:textId="77777777" w:rsidR="00C532E7" w:rsidRDefault="00C532E7">
      <w:pPr>
        <w:pBdr>
          <w:top w:val="nil"/>
          <w:left w:val="nil"/>
          <w:bottom w:val="nil"/>
          <w:right w:val="nil"/>
          <w:between w:val="nil"/>
        </w:pBdr>
        <w:rPr>
          <w:color w:val="000000"/>
        </w:rPr>
      </w:pPr>
    </w:p>
    <w:p w14:paraId="69D4C025" w14:textId="77777777" w:rsidR="00C532E7" w:rsidRDefault="000D68F0">
      <w:pPr>
        <w:pBdr>
          <w:top w:val="nil"/>
          <w:left w:val="nil"/>
          <w:bottom w:val="nil"/>
          <w:right w:val="nil"/>
          <w:between w:val="nil"/>
        </w:pBdr>
        <w:rPr>
          <w:b/>
          <w:color w:val="000000"/>
        </w:rPr>
      </w:pPr>
      <w:r>
        <w:rPr>
          <w:b/>
          <w:color w:val="000000"/>
        </w:rPr>
        <w:t>ISSUE:</w:t>
      </w:r>
    </w:p>
    <w:p w14:paraId="21DC383D" w14:textId="77777777" w:rsidR="00C532E7" w:rsidRDefault="00C532E7">
      <w:pPr>
        <w:pBdr>
          <w:top w:val="nil"/>
          <w:left w:val="nil"/>
          <w:bottom w:val="nil"/>
          <w:right w:val="nil"/>
          <w:between w:val="nil"/>
        </w:pBdr>
        <w:rPr>
          <w:b/>
          <w:color w:val="000000"/>
        </w:rPr>
      </w:pPr>
    </w:p>
    <w:p w14:paraId="18664C1D" w14:textId="77777777" w:rsidR="00C532E7" w:rsidRDefault="000D68F0">
      <w:pPr>
        <w:pBdr>
          <w:top w:val="nil"/>
          <w:left w:val="nil"/>
          <w:bottom w:val="nil"/>
          <w:right w:val="nil"/>
          <w:between w:val="nil"/>
        </w:pBdr>
        <w:rPr>
          <w:color w:val="000000"/>
        </w:rPr>
      </w:pPr>
      <w:r>
        <w:rPr>
          <w:color w:val="000000"/>
        </w:rPr>
        <w:t xml:space="preserve">At issue in this ruling is whether, during the pendency of the current Appeal, Student is entitled to </w:t>
      </w:r>
      <w:r>
        <w:rPr>
          <w:color w:val="000000"/>
          <w:u w:val="single"/>
        </w:rPr>
        <w:t>one</w:t>
      </w:r>
      <w:r>
        <w:rPr>
          <w:color w:val="000000"/>
        </w:rPr>
        <w:t xml:space="preserve"> 40-minute session per day per 5-day cycle of direct reading service pull-out or to </w:t>
      </w:r>
      <w:r>
        <w:rPr>
          <w:color w:val="000000"/>
          <w:u w:val="single"/>
        </w:rPr>
        <w:t>two</w:t>
      </w:r>
      <w:r>
        <w:rPr>
          <w:color w:val="000000"/>
        </w:rPr>
        <w:t xml:space="preserve"> such sessions per day per 5-day cycle.  After carefully considering all the evidence produced in support of the Parents' </w:t>
      </w:r>
      <w:r>
        <w:rPr>
          <w:i/>
          <w:color w:val="000000"/>
        </w:rPr>
        <w:t>Motion</w:t>
      </w:r>
      <w:r>
        <w:rPr>
          <w:color w:val="000000"/>
        </w:rPr>
        <w:t>, and the thoughtful arguments of counsel for both parties, I find that Student’s stay-put reading service is 1x40min/per day/5-day cycle.</w:t>
      </w:r>
    </w:p>
    <w:p w14:paraId="2782A0BF" w14:textId="77777777" w:rsidR="00C532E7" w:rsidRDefault="00C532E7">
      <w:pPr>
        <w:pBdr>
          <w:top w:val="nil"/>
          <w:left w:val="nil"/>
          <w:bottom w:val="nil"/>
          <w:right w:val="nil"/>
          <w:between w:val="nil"/>
        </w:pBdr>
        <w:rPr>
          <w:color w:val="000000"/>
        </w:rPr>
      </w:pPr>
    </w:p>
    <w:p w14:paraId="595D794E" w14:textId="77777777" w:rsidR="00C532E7" w:rsidRDefault="00C532E7">
      <w:pPr>
        <w:pBdr>
          <w:top w:val="nil"/>
          <w:left w:val="nil"/>
          <w:bottom w:val="nil"/>
          <w:right w:val="nil"/>
          <w:between w:val="nil"/>
        </w:pBdr>
        <w:rPr>
          <w:color w:val="000000"/>
        </w:rPr>
      </w:pPr>
    </w:p>
    <w:p w14:paraId="72038ED5" w14:textId="77777777" w:rsidR="00C532E7" w:rsidRDefault="000D68F0">
      <w:pPr>
        <w:pBdr>
          <w:top w:val="nil"/>
          <w:left w:val="nil"/>
          <w:bottom w:val="nil"/>
          <w:right w:val="nil"/>
          <w:between w:val="nil"/>
        </w:pBdr>
        <w:rPr>
          <w:b/>
          <w:color w:val="000000"/>
        </w:rPr>
      </w:pPr>
      <w:r>
        <w:rPr>
          <w:b/>
          <w:color w:val="000000"/>
        </w:rPr>
        <w:t>FACTUAL FINDINGS:</w:t>
      </w:r>
    </w:p>
    <w:p w14:paraId="0D8B77FE" w14:textId="77777777" w:rsidR="00C532E7" w:rsidRDefault="00C532E7"/>
    <w:p w14:paraId="3A87136E" w14:textId="77777777" w:rsidR="00C532E7" w:rsidRDefault="000D68F0">
      <w:r>
        <w:t xml:space="preserve">These findings are made for the purposes of this </w:t>
      </w:r>
      <w:r>
        <w:rPr>
          <w:i/>
        </w:rPr>
        <w:t>Ruling</w:t>
      </w:r>
      <w:r>
        <w:t xml:space="preserve"> only:</w:t>
      </w:r>
    </w:p>
    <w:p w14:paraId="6B0139BA" w14:textId="77777777" w:rsidR="00C532E7" w:rsidRDefault="00C532E7"/>
    <w:p w14:paraId="29107B73" w14:textId="77777777" w:rsidR="00C532E7" w:rsidRDefault="000D68F0">
      <w:pPr>
        <w:numPr>
          <w:ilvl w:val="0"/>
          <w:numId w:val="1"/>
        </w:numPr>
        <w:pBdr>
          <w:top w:val="nil"/>
          <w:left w:val="nil"/>
          <w:bottom w:val="nil"/>
          <w:right w:val="nil"/>
          <w:between w:val="nil"/>
        </w:pBdr>
        <w:spacing w:line="259" w:lineRule="auto"/>
        <w:rPr>
          <w:color w:val="000000"/>
        </w:rPr>
      </w:pPr>
      <w:r>
        <w:rPr>
          <w:color w:val="000000"/>
        </w:rPr>
        <w:t>Student is a third-grader attending the William E. Norris Elementary School in Southampton, Massachusetts. (Parents’ Exhibit 2, Testimony Parent)</w:t>
      </w:r>
    </w:p>
    <w:p w14:paraId="785CAD63" w14:textId="77777777" w:rsidR="00C532E7" w:rsidRDefault="000D68F0">
      <w:pPr>
        <w:numPr>
          <w:ilvl w:val="0"/>
          <w:numId w:val="1"/>
        </w:numPr>
        <w:pBdr>
          <w:top w:val="nil"/>
          <w:left w:val="nil"/>
          <w:bottom w:val="nil"/>
          <w:right w:val="nil"/>
          <w:between w:val="nil"/>
        </w:pBdr>
        <w:spacing w:line="259" w:lineRule="auto"/>
        <w:rPr>
          <w:color w:val="000000"/>
        </w:rPr>
      </w:pPr>
      <w:r>
        <w:rPr>
          <w:color w:val="000000"/>
        </w:rPr>
        <w:t>In February 2020, Student was found eligible for special education and related services under the specific learning disability (SLD) category. Following the Team meeting which Parent</w:t>
      </w:r>
      <w:r>
        <w:rPr>
          <w:color w:val="000000"/>
          <w:vertAlign w:val="superscript"/>
        </w:rPr>
        <w:footnoteReference w:id="2"/>
      </w:r>
      <w:r>
        <w:rPr>
          <w:color w:val="000000"/>
        </w:rPr>
        <w:t xml:space="preserve"> attended, the District proposed an IEP dated 2/5/20-2/4/21 (hereinafter, “2020-2021 IEP”) for Student. Said IEP provided Student with the following services:</w:t>
      </w:r>
    </w:p>
    <w:p w14:paraId="16749B2A" w14:textId="77777777" w:rsidR="00C532E7" w:rsidRDefault="00C532E7">
      <w:pPr>
        <w:pBdr>
          <w:top w:val="nil"/>
          <w:left w:val="nil"/>
          <w:bottom w:val="nil"/>
          <w:right w:val="nil"/>
          <w:between w:val="nil"/>
        </w:pBdr>
        <w:spacing w:after="160" w:line="259" w:lineRule="auto"/>
        <w:ind w:left="720"/>
        <w:rPr>
          <w:color w:val="000000"/>
        </w:rPr>
      </w:pPr>
    </w:p>
    <w:tbl>
      <w:tblPr>
        <w:tblStyle w:val="a"/>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6"/>
        <w:gridCol w:w="1568"/>
        <w:gridCol w:w="1522"/>
        <w:gridCol w:w="2776"/>
        <w:gridCol w:w="1418"/>
      </w:tblGrid>
      <w:tr w:rsidR="00C532E7" w14:paraId="123DAA36" w14:textId="77777777">
        <w:tc>
          <w:tcPr>
            <w:tcW w:w="1346" w:type="dxa"/>
            <w:shd w:val="clear" w:color="auto" w:fill="7F7F7F"/>
          </w:tcPr>
          <w:p w14:paraId="127158D3" w14:textId="77777777" w:rsidR="00C532E7" w:rsidRDefault="000D68F0">
            <w:pPr>
              <w:pBdr>
                <w:top w:val="nil"/>
                <w:left w:val="nil"/>
                <w:bottom w:val="nil"/>
                <w:right w:val="nil"/>
                <w:between w:val="nil"/>
              </w:pBdr>
              <w:spacing w:after="160"/>
              <w:rPr>
                <w:color w:val="000000"/>
              </w:rPr>
            </w:pPr>
            <w:r>
              <w:rPr>
                <w:color w:val="000000"/>
              </w:rPr>
              <w:t>Focus on Goal #</w:t>
            </w:r>
          </w:p>
        </w:tc>
        <w:tc>
          <w:tcPr>
            <w:tcW w:w="1568" w:type="dxa"/>
            <w:shd w:val="clear" w:color="auto" w:fill="7F7F7F"/>
          </w:tcPr>
          <w:p w14:paraId="216963D5" w14:textId="77777777" w:rsidR="00C532E7" w:rsidRDefault="000D68F0">
            <w:pPr>
              <w:pBdr>
                <w:top w:val="nil"/>
                <w:left w:val="nil"/>
                <w:bottom w:val="nil"/>
                <w:right w:val="nil"/>
                <w:between w:val="nil"/>
              </w:pBdr>
              <w:spacing w:after="160"/>
              <w:rPr>
                <w:color w:val="000000"/>
              </w:rPr>
            </w:pPr>
            <w:r>
              <w:rPr>
                <w:color w:val="000000"/>
              </w:rPr>
              <w:t>Type of Service</w:t>
            </w:r>
          </w:p>
        </w:tc>
        <w:tc>
          <w:tcPr>
            <w:tcW w:w="1522" w:type="dxa"/>
            <w:shd w:val="clear" w:color="auto" w:fill="7F7F7F"/>
          </w:tcPr>
          <w:p w14:paraId="6327994D" w14:textId="77777777" w:rsidR="00C532E7" w:rsidRDefault="000D68F0">
            <w:pPr>
              <w:pBdr>
                <w:top w:val="nil"/>
                <w:left w:val="nil"/>
                <w:bottom w:val="nil"/>
                <w:right w:val="nil"/>
                <w:between w:val="nil"/>
              </w:pBdr>
              <w:spacing w:after="160"/>
              <w:rPr>
                <w:color w:val="000000"/>
              </w:rPr>
            </w:pPr>
            <w:r>
              <w:rPr>
                <w:color w:val="000000"/>
              </w:rPr>
              <w:t>Type of Personnel</w:t>
            </w:r>
          </w:p>
        </w:tc>
        <w:tc>
          <w:tcPr>
            <w:tcW w:w="2776" w:type="dxa"/>
            <w:shd w:val="clear" w:color="auto" w:fill="7F7F7F"/>
          </w:tcPr>
          <w:p w14:paraId="0130FE49" w14:textId="77777777" w:rsidR="00C532E7" w:rsidRDefault="000D68F0">
            <w:pPr>
              <w:pBdr>
                <w:top w:val="nil"/>
                <w:left w:val="nil"/>
                <w:bottom w:val="nil"/>
                <w:right w:val="nil"/>
                <w:between w:val="nil"/>
              </w:pBdr>
              <w:spacing w:after="160"/>
              <w:rPr>
                <w:color w:val="000000"/>
              </w:rPr>
            </w:pPr>
            <w:r>
              <w:rPr>
                <w:color w:val="000000"/>
              </w:rPr>
              <w:t>Frequency/Duration/Cycle</w:t>
            </w:r>
          </w:p>
        </w:tc>
        <w:tc>
          <w:tcPr>
            <w:tcW w:w="1418" w:type="dxa"/>
            <w:shd w:val="clear" w:color="auto" w:fill="7F7F7F"/>
          </w:tcPr>
          <w:p w14:paraId="4F97EBCB" w14:textId="77777777" w:rsidR="00C532E7" w:rsidRDefault="000D68F0">
            <w:pPr>
              <w:pBdr>
                <w:top w:val="nil"/>
                <w:left w:val="nil"/>
                <w:bottom w:val="nil"/>
                <w:right w:val="nil"/>
                <w:between w:val="nil"/>
              </w:pBdr>
              <w:spacing w:after="160"/>
              <w:rPr>
                <w:color w:val="000000"/>
              </w:rPr>
            </w:pPr>
            <w:r>
              <w:rPr>
                <w:color w:val="000000"/>
              </w:rPr>
              <w:t>Start Date-End Date</w:t>
            </w:r>
          </w:p>
        </w:tc>
      </w:tr>
      <w:tr w:rsidR="00C532E7" w14:paraId="69096B02" w14:textId="77777777">
        <w:tc>
          <w:tcPr>
            <w:tcW w:w="1346" w:type="dxa"/>
            <w:shd w:val="clear" w:color="auto" w:fill="D0CECE"/>
          </w:tcPr>
          <w:p w14:paraId="62B781ED" w14:textId="77777777" w:rsidR="00C532E7" w:rsidRDefault="000D68F0">
            <w:pPr>
              <w:pBdr>
                <w:top w:val="nil"/>
                <w:left w:val="nil"/>
                <w:bottom w:val="nil"/>
                <w:right w:val="nil"/>
                <w:between w:val="nil"/>
              </w:pBdr>
              <w:spacing w:after="160"/>
              <w:rPr>
                <w:color w:val="000000"/>
              </w:rPr>
            </w:pPr>
            <w:r>
              <w:rPr>
                <w:color w:val="000000"/>
              </w:rPr>
              <w:t>GRID A</w:t>
            </w:r>
          </w:p>
        </w:tc>
        <w:tc>
          <w:tcPr>
            <w:tcW w:w="7284" w:type="dxa"/>
            <w:gridSpan w:val="4"/>
          </w:tcPr>
          <w:p w14:paraId="350056A9" w14:textId="77777777" w:rsidR="00C532E7" w:rsidRDefault="00C532E7">
            <w:pPr>
              <w:pBdr>
                <w:top w:val="nil"/>
                <w:left w:val="nil"/>
                <w:bottom w:val="nil"/>
                <w:right w:val="nil"/>
                <w:between w:val="nil"/>
              </w:pBdr>
              <w:spacing w:after="160"/>
              <w:rPr>
                <w:color w:val="000000"/>
              </w:rPr>
            </w:pPr>
          </w:p>
        </w:tc>
      </w:tr>
      <w:tr w:rsidR="00C532E7" w14:paraId="29CD00A5" w14:textId="77777777">
        <w:tc>
          <w:tcPr>
            <w:tcW w:w="1346" w:type="dxa"/>
          </w:tcPr>
          <w:p w14:paraId="295B0EDC" w14:textId="77777777" w:rsidR="00C532E7" w:rsidRDefault="000D68F0">
            <w:pPr>
              <w:pBdr>
                <w:top w:val="nil"/>
                <w:left w:val="nil"/>
                <w:bottom w:val="nil"/>
                <w:right w:val="nil"/>
                <w:between w:val="nil"/>
              </w:pBdr>
              <w:spacing w:after="160"/>
              <w:rPr>
                <w:color w:val="000000"/>
              </w:rPr>
            </w:pPr>
            <w:r>
              <w:rPr>
                <w:color w:val="000000"/>
              </w:rPr>
              <w:t>All</w:t>
            </w:r>
          </w:p>
        </w:tc>
        <w:tc>
          <w:tcPr>
            <w:tcW w:w="1568" w:type="dxa"/>
          </w:tcPr>
          <w:p w14:paraId="2555CD50" w14:textId="77777777" w:rsidR="00C532E7" w:rsidRDefault="000D68F0">
            <w:pPr>
              <w:pBdr>
                <w:top w:val="nil"/>
                <w:left w:val="nil"/>
                <w:bottom w:val="nil"/>
                <w:right w:val="nil"/>
                <w:between w:val="nil"/>
              </w:pBdr>
              <w:spacing w:after="160"/>
              <w:rPr>
                <w:color w:val="000000"/>
              </w:rPr>
            </w:pPr>
            <w:r>
              <w:rPr>
                <w:color w:val="000000"/>
              </w:rPr>
              <w:t>Team Consult</w:t>
            </w:r>
          </w:p>
        </w:tc>
        <w:tc>
          <w:tcPr>
            <w:tcW w:w="1522" w:type="dxa"/>
          </w:tcPr>
          <w:p w14:paraId="67B24329" w14:textId="77777777" w:rsidR="00C532E7" w:rsidRDefault="000D68F0">
            <w:pPr>
              <w:pBdr>
                <w:top w:val="nil"/>
                <w:left w:val="nil"/>
                <w:bottom w:val="nil"/>
                <w:right w:val="nil"/>
                <w:between w:val="nil"/>
              </w:pBdr>
              <w:spacing w:after="160"/>
              <w:rPr>
                <w:color w:val="000000"/>
              </w:rPr>
            </w:pPr>
            <w:r>
              <w:rPr>
                <w:color w:val="000000"/>
              </w:rPr>
              <w:t xml:space="preserve">General education teacher, special education teacher, OT, </w:t>
            </w:r>
            <w:r>
              <w:rPr>
                <w:color w:val="000000"/>
              </w:rPr>
              <w:lastRenderedPageBreak/>
              <w:t>SLP</w:t>
            </w:r>
          </w:p>
        </w:tc>
        <w:tc>
          <w:tcPr>
            <w:tcW w:w="2776" w:type="dxa"/>
          </w:tcPr>
          <w:p w14:paraId="3CC77893" w14:textId="77777777" w:rsidR="00C532E7" w:rsidRDefault="000D68F0">
            <w:pPr>
              <w:pBdr>
                <w:top w:val="nil"/>
                <w:left w:val="nil"/>
                <w:bottom w:val="nil"/>
                <w:right w:val="nil"/>
                <w:between w:val="nil"/>
              </w:pBdr>
              <w:spacing w:after="160"/>
              <w:rPr>
                <w:color w:val="000000"/>
              </w:rPr>
            </w:pPr>
            <w:r>
              <w:rPr>
                <w:color w:val="000000"/>
              </w:rPr>
              <w:lastRenderedPageBreak/>
              <w:t xml:space="preserve">Monthly </w:t>
            </w:r>
          </w:p>
        </w:tc>
        <w:tc>
          <w:tcPr>
            <w:tcW w:w="1418" w:type="dxa"/>
          </w:tcPr>
          <w:p w14:paraId="4B6982D5" w14:textId="77777777" w:rsidR="00C532E7" w:rsidRDefault="000D68F0">
            <w:pPr>
              <w:pBdr>
                <w:top w:val="nil"/>
                <w:left w:val="nil"/>
                <w:bottom w:val="nil"/>
                <w:right w:val="nil"/>
                <w:between w:val="nil"/>
              </w:pBdr>
              <w:spacing w:after="160"/>
              <w:rPr>
                <w:color w:val="000000"/>
              </w:rPr>
            </w:pPr>
            <w:r>
              <w:rPr>
                <w:color w:val="000000"/>
              </w:rPr>
              <w:t>2/5/20-2/4/21</w:t>
            </w:r>
          </w:p>
        </w:tc>
      </w:tr>
      <w:tr w:rsidR="00C532E7" w14:paraId="0863EB8D" w14:textId="77777777">
        <w:tc>
          <w:tcPr>
            <w:tcW w:w="1346" w:type="dxa"/>
            <w:shd w:val="clear" w:color="auto" w:fill="D0CECE"/>
          </w:tcPr>
          <w:p w14:paraId="389E768F" w14:textId="77777777" w:rsidR="00C532E7" w:rsidRDefault="000D68F0">
            <w:pPr>
              <w:pBdr>
                <w:top w:val="nil"/>
                <w:left w:val="nil"/>
                <w:bottom w:val="nil"/>
                <w:right w:val="nil"/>
                <w:between w:val="nil"/>
              </w:pBdr>
              <w:spacing w:after="160"/>
              <w:rPr>
                <w:color w:val="000000"/>
              </w:rPr>
            </w:pPr>
            <w:r>
              <w:rPr>
                <w:color w:val="000000"/>
              </w:rPr>
              <w:t>GRID B</w:t>
            </w:r>
          </w:p>
        </w:tc>
        <w:tc>
          <w:tcPr>
            <w:tcW w:w="7284" w:type="dxa"/>
            <w:gridSpan w:val="4"/>
          </w:tcPr>
          <w:p w14:paraId="323723C4" w14:textId="77777777" w:rsidR="00C532E7" w:rsidRDefault="000D68F0">
            <w:pPr>
              <w:pBdr>
                <w:top w:val="nil"/>
                <w:left w:val="nil"/>
                <w:bottom w:val="nil"/>
                <w:right w:val="nil"/>
                <w:between w:val="nil"/>
              </w:pBdr>
              <w:spacing w:after="160"/>
              <w:rPr>
                <w:color w:val="000000"/>
              </w:rPr>
            </w:pPr>
            <w:r>
              <w:rPr>
                <w:color w:val="000000"/>
              </w:rPr>
              <w:t>None.</w:t>
            </w:r>
          </w:p>
        </w:tc>
      </w:tr>
      <w:tr w:rsidR="00C532E7" w14:paraId="2AD7B7BA" w14:textId="77777777">
        <w:tc>
          <w:tcPr>
            <w:tcW w:w="1346" w:type="dxa"/>
            <w:shd w:val="clear" w:color="auto" w:fill="D0CECE"/>
          </w:tcPr>
          <w:p w14:paraId="7C502F6D" w14:textId="77777777" w:rsidR="00C532E7" w:rsidRDefault="000D68F0">
            <w:pPr>
              <w:pBdr>
                <w:top w:val="nil"/>
                <w:left w:val="nil"/>
                <w:bottom w:val="nil"/>
                <w:right w:val="nil"/>
                <w:between w:val="nil"/>
              </w:pBdr>
              <w:spacing w:after="160"/>
              <w:rPr>
                <w:color w:val="000000"/>
              </w:rPr>
            </w:pPr>
            <w:r>
              <w:rPr>
                <w:color w:val="000000"/>
              </w:rPr>
              <w:t>GRID C</w:t>
            </w:r>
          </w:p>
        </w:tc>
        <w:tc>
          <w:tcPr>
            <w:tcW w:w="7284" w:type="dxa"/>
            <w:gridSpan w:val="4"/>
          </w:tcPr>
          <w:p w14:paraId="2B385313" w14:textId="77777777" w:rsidR="00C532E7" w:rsidRDefault="00C532E7">
            <w:pPr>
              <w:pBdr>
                <w:top w:val="nil"/>
                <w:left w:val="nil"/>
                <w:bottom w:val="nil"/>
                <w:right w:val="nil"/>
                <w:between w:val="nil"/>
              </w:pBdr>
              <w:spacing w:after="160"/>
              <w:rPr>
                <w:color w:val="000000"/>
              </w:rPr>
            </w:pPr>
          </w:p>
        </w:tc>
      </w:tr>
      <w:tr w:rsidR="00C532E7" w14:paraId="5947B975" w14:textId="77777777">
        <w:tc>
          <w:tcPr>
            <w:tcW w:w="1346" w:type="dxa"/>
          </w:tcPr>
          <w:p w14:paraId="30B01A69" w14:textId="77777777" w:rsidR="00C532E7" w:rsidRDefault="000D68F0">
            <w:pPr>
              <w:pBdr>
                <w:top w:val="nil"/>
                <w:left w:val="nil"/>
                <w:bottom w:val="nil"/>
                <w:right w:val="nil"/>
                <w:between w:val="nil"/>
              </w:pBdr>
              <w:spacing w:after="160"/>
              <w:rPr>
                <w:color w:val="000000"/>
              </w:rPr>
            </w:pPr>
            <w:r>
              <w:rPr>
                <w:color w:val="000000"/>
              </w:rPr>
              <w:t>1, 2</w:t>
            </w:r>
          </w:p>
        </w:tc>
        <w:tc>
          <w:tcPr>
            <w:tcW w:w="1568" w:type="dxa"/>
          </w:tcPr>
          <w:p w14:paraId="6EF1FEB1" w14:textId="77777777" w:rsidR="00C532E7" w:rsidRDefault="000D68F0">
            <w:pPr>
              <w:pBdr>
                <w:top w:val="nil"/>
                <w:left w:val="nil"/>
                <w:bottom w:val="nil"/>
                <w:right w:val="nil"/>
                <w:between w:val="nil"/>
              </w:pBdr>
              <w:spacing w:after="160"/>
              <w:rPr>
                <w:color w:val="000000"/>
              </w:rPr>
            </w:pPr>
            <w:r>
              <w:rPr>
                <w:color w:val="000000"/>
              </w:rPr>
              <w:t>Specially Designed Instruction – Reading and Writing</w:t>
            </w:r>
          </w:p>
        </w:tc>
        <w:tc>
          <w:tcPr>
            <w:tcW w:w="1522" w:type="dxa"/>
          </w:tcPr>
          <w:p w14:paraId="54C4B041" w14:textId="77777777" w:rsidR="00C532E7" w:rsidRDefault="000D68F0">
            <w:pPr>
              <w:pBdr>
                <w:top w:val="nil"/>
                <w:left w:val="nil"/>
                <w:bottom w:val="nil"/>
                <w:right w:val="nil"/>
                <w:between w:val="nil"/>
              </w:pBdr>
              <w:spacing w:after="160"/>
              <w:rPr>
                <w:color w:val="000000"/>
              </w:rPr>
            </w:pPr>
            <w:r>
              <w:rPr>
                <w:color w:val="000000"/>
              </w:rPr>
              <w:t xml:space="preserve">Special education teacher </w:t>
            </w:r>
          </w:p>
        </w:tc>
        <w:tc>
          <w:tcPr>
            <w:tcW w:w="2776" w:type="dxa"/>
          </w:tcPr>
          <w:p w14:paraId="18AA9372" w14:textId="77777777" w:rsidR="00C532E7" w:rsidRDefault="000D68F0">
            <w:pPr>
              <w:pBdr>
                <w:top w:val="nil"/>
                <w:left w:val="nil"/>
                <w:bottom w:val="nil"/>
                <w:right w:val="nil"/>
                <w:between w:val="nil"/>
              </w:pBdr>
              <w:spacing w:after="160"/>
              <w:rPr>
                <w:color w:val="000000"/>
              </w:rPr>
            </w:pPr>
            <w:r>
              <w:rPr>
                <w:color w:val="000000"/>
              </w:rPr>
              <w:t>Daily, 40 min</w:t>
            </w:r>
          </w:p>
        </w:tc>
        <w:tc>
          <w:tcPr>
            <w:tcW w:w="1418" w:type="dxa"/>
          </w:tcPr>
          <w:p w14:paraId="62E72A1E" w14:textId="77777777" w:rsidR="00C532E7" w:rsidRDefault="000D68F0">
            <w:pPr>
              <w:pBdr>
                <w:top w:val="nil"/>
                <w:left w:val="nil"/>
                <w:bottom w:val="nil"/>
                <w:right w:val="nil"/>
                <w:between w:val="nil"/>
              </w:pBdr>
              <w:spacing w:after="160"/>
              <w:rPr>
                <w:color w:val="000000"/>
              </w:rPr>
            </w:pPr>
            <w:r>
              <w:rPr>
                <w:color w:val="000000"/>
              </w:rPr>
              <w:t>2/5/20-2/4/21</w:t>
            </w:r>
          </w:p>
        </w:tc>
      </w:tr>
      <w:tr w:rsidR="00C532E7" w14:paraId="30F77408" w14:textId="77777777">
        <w:tc>
          <w:tcPr>
            <w:tcW w:w="1346" w:type="dxa"/>
          </w:tcPr>
          <w:p w14:paraId="2FA2A14F" w14:textId="77777777" w:rsidR="00C532E7" w:rsidRDefault="000D68F0">
            <w:pPr>
              <w:pBdr>
                <w:top w:val="nil"/>
                <w:left w:val="nil"/>
                <w:bottom w:val="nil"/>
                <w:right w:val="nil"/>
                <w:between w:val="nil"/>
              </w:pBdr>
              <w:spacing w:after="160"/>
              <w:rPr>
                <w:color w:val="000000"/>
              </w:rPr>
            </w:pPr>
            <w:r>
              <w:rPr>
                <w:color w:val="000000"/>
              </w:rPr>
              <w:t>3</w:t>
            </w:r>
          </w:p>
        </w:tc>
        <w:tc>
          <w:tcPr>
            <w:tcW w:w="1568" w:type="dxa"/>
          </w:tcPr>
          <w:p w14:paraId="0D132B72" w14:textId="77777777" w:rsidR="00C532E7" w:rsidRDefault="000D68F0">
            <w:pPr>
              <w:pBdr>
                <w:top w:val="nil"/>
                <w:left w:val="nil"/>
                <w:bottom w:val="nil"/>
                <w:right w:val="nil"/>
                <w:between w:val="nil"/>
              </w:pBdr>
              <w:spacing w:after="160"/>
              <w:rPr>
                <w:color w:val="000000"/>
              </w:rPr>
            </w:pPr>
            <w:r>
              <w:rPr>
                <w:color w:val="000000"/>
              </w:rPr>
              <w:t>SLP</w:t>
            </w:r>
          </w:p>
        </w:tc>
        <w:tc>
          <w:tcPr>
            <w:tcW w:w="1522" w:type="dxa"/>
          </w:tcPr>
          <w:p w14:paraId="33765C6D" w14:textId="77777777" w:rsidR="00C532E7" w:rsidRDefault="000D68F0">
            <w:pPr>
              <w:pBdr>
                <w:top w:val="nil"/>
                <w:left w:val="nil"/>
                <w:bottom w:val="nil"/>
                <w:right w:val="nil"/>
                <w:between w:val="nil"/>
              </w:pBdr>
              <w:spacing w:after="160"/>
              <w:rPr>
                <w:color w:val="000000"/>
              </w:rPr>
            </w:pPr>
            <w:r>
              <w:rPr>
                <w:color w:val="000000"/>
              </w:rPr>
              <w:t>SLP</w:t>
            </w:r>
          </w:p>
        </w:tc>
        <w:tc>
          <w:tcPr>
            <w:tcW w:w="2776" w:type="dxa"/>
          </w:tcPr>
          <w:p w14:paraId="5EC49B49" w14:textId="77777777" w:rsidR="00C532E7" w:rsidRDefault="000D68F0">
            <w:pPr>
              <w:pBdr>
                <w:top w:val="nil"/>
                <w:left w:val="nil"/>
                <w:bottom w:val="nil"/>
                <w:right w:val="nil"/>
                <w:between w:val="nil"/>
              </w:pBdr>
              <w:spacing w:after="160"/>
              <w:rPr>
                <w:color w:val="000000"/>
              </w:rPr>
            </w:pPr>
            <w:r>
              <w:rPr>
                <w:color w:val="000000"/>
              </w:rPr>
              <w:t>3 times, 30 min</w:t>
            </w:r>
          </w:p>
        </w:tc>
        <w:tc>
          <w:tcPr>
            <w:tcW w:w="1418" w:type="dxa"/>
          </w:tcPr>
          <w:p w14:paraId="3786299E" w14:textId="77777777" w:rsidR="00C532E7" w:rsidRDefault="000D68F0">
            <w:pPr>
              <w:pBdr>
                <w:top w:val="nil"/>
                <w:left w:val="nil"/>
                <w:bottom w:val="nil"/>
                <w:right w:val="nil"/>
                <w:between w:val="nil"/>
              </w:pBdr>
              <w:spacing w:after="160"/>
              <w:rPr>
                <w:color w:val="000000"/>
              </w:rPr>
            </w:pPr>
            <w:r>
              <w:rPr>
                <w:color w:val="000000"/>
              </w:rPr>
              <w:t>2/5/20-2/4/21</w:t>
            </w:r>
          </w:p>
        </w:tc>
      </w:tr>
      <w:tr w:rsidR="00C532E7" w14:paraId="540D45BB" w14:textId="77777777">
        <w:tc>
          <w:tcPr>
            <w:tcW w:w="1346" w:type="dxa"/>
          </w:tcPr>
          <w:p w14:paraId="202B2462" w14:textId="77777777" w:rsidR="00C532E7" w:rsidRDefault="000D68F0">
            <w:pPr>
              <w:pBdr>
                <w:top w:val="nil"/>
                <w:left w:val="nil"/>
                <w:bottom w:val="nil"/>
                <w:right w:val="nil"/>
                <w:between w:val="nil"/>
              </w:pBdr>
              <w:spacing w:after="160"/>
              <w:rPr>
                <w:color w:val="000000"/>
              </w:rPr>
            </w:pPr>
            <w:r>
              <w:rPr>
                <w:color w:val="000000"/>
              </w:rPr>
              <w:t>4</w:t>
            </w:r>
          </w:p>
        </w:tc>
        <w:tc>
          <w:tcPr>
            <w:tcW w:w="1568" w:type="dxa"/>
          </w:tcPr>
          <w:p w14:paraId="321F9666" w14:textId="77777777" w:rsidR="00C532E7" w:rsidRDefault="000D68F0">
            <w:pPr>
              <w:pBdr>
                <w:top w:val="nil"/>
                <w:left w:val="nil"/>
                <w:bottom w:val="nil"/>
                <w:right w:val="nil"/>
                <w:between w:val="nil"/>
              </w:pBdr>
              <w:spacing w:after="160"/>
              <w:rPr>
                <w:color w:val="000000"/>
              </w:rPr>
            </w:pPr>
            <w:r>
              <w:rPr>
                <w:color w:val="000000"/>
              </w:rPr>
              <w:t>OT</w:t>
            </w:r>
          </w:p>
        </w:tc>
        <w:tc>
          <w:tcPr>
            <w:tcW w:w="1522" w:type="dxa"/>
          </w:tcPr>
          <w:p w14:paraId="00D995E2" w14:textId="77777777" w:rsidR="00C532E7" w:rsidRDefault="000D68F0">
            <w:pPr>
              <w:pBdr>
                <w:top w:val="nil"/>
                <w:left w:val="nil"/>
                <w:bottom w:val="nil"/>
                <w:right w:val="nil"/>
                <w:between w:val="nil"/>
              </w:pBdr>
              <w:spacing w:after="160"/>
              <w:rPr>
                <w:color w:val="000000"/>
              </w:rPr>
            </w:pPr>
            <w:r>
              <w:rPr>
                <w:color w:val="000000"/>
              </w:rPr>
              <w:t>OT</w:t>
            </w:r>
          </w:p>
        </w:tc>
        <w:tc>
          <w:tcPr>
            <w:tcW w:w="2776" w:type="dxa"/>
          </w:tcPr>
          <w:p w14:paraId="3657B5E0" w14:textId="77777777" w:rsidR="00C532E7" w:rsidRDefault="000D68F0">
            <w:pPr>
              <w:pBdr>
                <w:top w:val="nil"/>
                <w:left w:val="nil"/>
                <w:bottom w:val="nil"/>
                <w:right w:val="nil"/>
                <w:between w:val="nil"/>
              </w:pBdr>
              <w:spacing w:after="160"/>
              <w:rPr>
                <w:color w:val="000000"/>
              </w:rPr>
            </w:pPr>
            <w:r>
              <w:rPr>
                <w:color w:val="000000"/>
              </w:rPr>
              <w:t>Weekly, 30 min</w:t>
            </w:r>
          </w:p>
        </w:tc>
        <w:tc>
          <w:tcPr>
            <w:tcW w:w="1418" w:type="dxa"/>
          </w:tcPr>
          <w:p w14:paraId="5DE923BF" w14:textId="77777777" w:rsidR="00C532E7" w:rsidRDefault="000D68F0">
            <w:pPr>
              <w:pBdr>
                <w:top w:val="nil"/>
                <w:left w:val="nil"/>
                <w:bottom w:val="nil"/>
                <w:right w:val="nil"/>
                <w:between w:val="nil"/>
              </w:pBdr>
              <w:spacing w:after="160"/>
              <w:rPr>
                <w:color w:val="000000"/>
              </w:rPr>
            </w:pPr>
            <w:r>
              <w:rPr>
                <w:color w:val="000000"/>
              </w:rPr>
              <w:t>2/5/20-2/4/21</w:t>
            </w:r>
          </w:p>
        </w:tc>
      </w:tr>
      <w:tr w:rsidR="00C532E7" w14:paraId="5AB709FB" w14:textId="77777777">
        <w:tc>
          <w:tcPr>
            <w:tcW w:w="1346" w:type="dxa"/>
          </w:tcPr>
          <w:p w14:paraId="1C38EDA1" w14:textId="77777777" w:rsidR="00C532E7" w:rsidRDefault="000D68F0">
            <w:pPr>
              <w:pBdr>
                <w:top w:val="nil"/>
                <w:left w:val="nil"/>
                <w:bottom w:val="nil"/>
                <w:right w:val="nil"/>
                <w:between w:val="nil"/>
              </w:pBdr>
              <w:spacing w:after="160"/>
              <w:rPr>
                <w:color w:val="000000"/>
              </w:rPr>
            </w:pPr>
            <w:r>
              <w:rPr>
                <w:color w:val="000000"/>
              </w:rPr>
              <w:t>1, 2</w:t>
            </w:r>
          </w:p>
        </w:tc>
        <w:tc>
          <w:tcPr>
            <w:tcW w:w="1568" w:type="dxa"/>
          </w:tcPr>
          <w:p w14:paraId="4F00F308" w14:textId="77777777" w:rsidR="00C532E7" w:rsidRDefault="000D68F0">
            <w:pPr>
              <w:pBdr>
                <w:top w:val="nil"/>
                <w:left w:val="nil"/>
                <w:bottom w:val="nil"/>
                <w:right w:val="nil"/>
                <w:between w:val="nil"/>
              </w:pBdr>
              <w:spacing w:after="160"/>
              <w:rPr>
                <w:color w:val="000000"/>
              </w:rPr>
            </w:pPr>
            <w:r>
              <w:rPr>
                <w:color w:val="000000"/>
              </w:rPr>
              <w:t>Summer Tutoring – Reading and Writing</w:t>
            </w:r>
          </w:p>
        </w:tc>
        <w:tc>
          <w:tcPr>
            <w:tcW w:w="1522" w:type="dxa"/>
          </w:tcPr>
          <w:p w14:paraId="727866ED" w14:textId="77777777" w:rsidR="00C532E7" w:rsidRDefault="000D68F0">
            <w:pPr>
              <w:pBdr>
                <w:top w:val="nil"/>
                <w:left w:val="nil"/>
                <w:bottom w:val="nil"/>
                <w:right w:val="nil"/>
                <w:between w:val="nil"/>
              </w:pBdr>
              <w:spacing w:after="160"/>
              <w:rPr>
                <w:color w:val="000000"/>
              </w:rPr>
            </w:pPr>
            <w:r>
              <w:rPr>
                <w:color w:val="000000"/>
              </w:rPr>
              <w:t>Special education teacher</w:t>
            </w:r>
          </w:p>
        </w:tc>
        <w:tc>
          <w:tcPr>
            <w:tcW w:w="2776" w:type="dxa"/>
          </w:tcPr>
          <w:p w14:paraId="101176F4" w14:textId="77777777" w:rsidR="00C532E7" w:rsidRDefault="000D68F0">
            <w:pPr>
              <w:pBdr>
                <w:top w:val="nil"/>
                <w:left w:val="nil"/>
                <w:bottom w:val="nil"/>
                <w:right w:val="nil"/>
                <w:between w:val="nil"/>
              </w:pBdr>
              <w:spacing w:after="160"/>
              <w:rPr>
                <w:color w:val="000000"/>
              </w:rPr>
            </w:pPr>
            <w:r>
              <w:rPr>
                <w:color w:val="000000"/>
              </w:rPr>
              <w:t>Yearly, 12 hours</w:t>
            </w:r>
          </w:p>
        </w:tc>
        <w:tc>
          <w:tcPr>
            <w:tcW w:w="1418" w:type="dxa"/>
          </w:tcPr>
          <w:p w14:paraId="090D3501" w14:textId="77777777" w:rsidR="00C532E7" w:rsidRDefault="000D68F0">
            <w:pPr>
              <w:pBdr>
                <w:top w:val="nil"/>
                <w:left w:val="nil"/>
                <w:bottom w:val="nil"/>
                <w:right w:val="nil"/>
                <w:between w:val="nil"/>
              </w:pBdr>
              <w:spacing w:after="160"/>
              <w:rPr>
                <w:color w:val="000000"/>
              </w:rPr>
            </w:pPr>
            <w:r>
              <w:rPr>
                <w:color w:val="000000"/>
              </w:rPr>
              <w:t>7/6/20-7/24/20</w:t>
            </w:r>
          </w:p>
        </w:tc>
      </w:tr>
    </w:tbl>
    <w:p w14:paraId="3B06B8E0" w14:textId="77777777" w:rsidR="00C532E7" w:rsidRDefault="00C532E7">
      <w:pPr>
        <w:pBdr>
          <w:top w:val="nil"/>
          <w:left w:val="nil"/>
          <w:bottom w:val="nil"/>
          <w:right w:val="nil"/>
          <w:between w:val="nil"/>
        </w:pBdr>
        <w:spacing w:line="259" w:lineRule="auto"/>
        <w:ind w:left="720"/>
        <w:rPr>
          <w:color w:val="000000"/>
        </w:rPr>
      </w:pPr>
    </w:p>
    <w:p w14:paraId="0BEF4949" w14:textId="77777777" w:rsidR="00C532E7" w:rsidRDefault="000D68F0">
      <w:pPr>
        <w:pBdr>
          <w:top w:val="nil"/>
          <w:left w:val="nil"/>
          <w:bottom w:val="nil"/>
          <w:right w:val="nil"/>
          <w:between w:val="nil"/>
        </w:pBdr>
        <w:spacing w:line="259" w:lineRule="auto"/>
        <w:ind w:left="720"/>
        <w:rPr>
          <w:color w:val="000000"/>
        </w:rPr>
      </w:pPr>
      <w:r>
        <w:rPr>
          <w:color w:val="000000"/>
        </w:rPr>
        <w:t>Parents fully accepted the IEP and full inclusion placement at Norris Elementary School on February 26, 2020. (School’s Exhibit 1, Testimony Parent, Testimony White)</w:t>
      </w:r>
    </w:p>
    <w:p w14:paraId="75DB3C2D" w14:textId="77777777" w:rsidR="00C532E7" w:rsidRDefault="000D68F0">
      <w:pPr>
        <w:numPr>
          <w:ilvl w:val="0"/>
          <w:numId w:val="1"/>
        </w:numPr>
        <w:pBdr>
          <w:top w:val="nil"/>
          <w:left w:val="nil"/>
          <w:bottom w:val="nil"/>
          <w:right w:val="nil"/>
          <w:between w:val="nil"/>
        </w:pBdr>
        <w:spacing w:line="259" w:lineRule="auto"/>
        <w:rPr>
          <w:color w:val="000000"/>
        </w:rPr>
      </w:pPr>
      <w:r>
        <w:rPr>
          <w:color w:val="000000"/>
        </w:rPr>
        <w:t>On September 16, 2020, Parent attended a Team meeting during which she discussed her concerns and “brought up” placement at White Oak School. (Testimony Parent)</w:t>
      </w:r>
    </w:p>
    <w:p w14:paraId="76A06F33" w14:textId="77777777" w:rsidR="00C532E7" w:rsidRDefault="000D68F0">
      <w:pPr>
        <w:numPr>
          <w:ilvl w:val="0"/>
          <w:numId w:val="1"/>
        </w:numPr>
        <w:pBdr>
          <w:top w:val="nil"/>
          <w:left w:val="nil"/>
          <w:bottom w:val="nil"/>
          <w:right w:val="nil"/>
          <w:between w:val="nil"/>
        </w:pBdr>
        <w:spacing w:line="259" w:lineRule="auto"/>
        <w:rPr>
          <w:color w:val="000000"/>
        </w:rPr>
      </w:pPr>
      <w:r>
        <w:rPr>
          <w:color w:val="000000"/>
        </w:rPr>
        <w:t>As a result of the meeting on September 16, 2020, the District proposed an Amendment to the 2020-2021 IEP (hereinafter, the “September Amendment”). This Amendment added to the A Grid for the period 9/16/2020-2/4/2021 a weekly consult between the special education teacher and the paraprofessional for 10 minutes per week.  To the B Grid, the Amendment added academic daily academic support for 2 hours with a special education staff.  Furthermore, the C Grid reflected the following services:</w:t>
      </w:r>
    </w:p>
    <w:p w14:paraId="03D6E441" w14:textId="77777777" w:rsidR="00C532E7" w:rsidRDefault="00C532E7">
      <w:pPr>
        <w:pBdr>
          <w:top w:val="nil"/>
          <w:left w:val="nil"/>
          <w:bottom w:val="nil"/>
          <w:right w:val="nil"/>
          <w:between w:val="nil"/>
        </w:pBdr>
        <w:spacing w:after="160" w:line="259" w:lineRule="auto"/>
        <w:ind w:left="720"/>
        <w:rPr>
          <w:color w:val="000000"/>
        </w:rPr>
      </w:pPr>
    </w:p>
    <w:tbl>
      <w:tblPr>
        <w:tblStyle w:val="a0"/>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597"/>
        <w:gridCol w:w="176"/>
        <w:gridCol w:w="1025"/>
        <w:gridCol w:w="732"/>
        <w:gridCol w:w="1737"/>
        <w:gridCol w:w="307"/>
        <w:gridCol w:w="1418"/>
      </w:tblGrid>
      <w:tr w:rsidR="00C532E7" w14:paraId="34934442" w14:textId="77777777">
        <w:tc>
          <w:tcPr>
            <w:tcW w:w="1638" w:type="dxa"/>
            <w:shd w:val="clear" w:color="auto" w:fill="7F7F7F"/>
          </w:tcPr>
          <w:p w14:paraId="65FF344E" w14:textId="77777777" w:rsidR="00C532E7" w:rsidRDefault="000D68F0">
            <w:pPr>
              <w:pBdr>
                <w:top w:val="nil"/>
                <w:left w:val="nil"/>
                <w:bottom w:val="nil"/>
                <w:right w:val="nil"/>
                <w:between w:val="nil"/>
              </w:pBdr>
              <w:spacing w:after="160"/>
              <w:rPr>
                <w:color w:val="000000"/>
              </w:rPr>
            </w:pPr>
            <w:r>
              <w:rPr>
                <w:color w:val="000000"/>
              </w:rPr>
              <w:t>Focus on Goal #</w:t>
            </w:r>
          </w:p>
        </w:tc>
        <w:tc>
          <w:tcPr>
            <w:tcW w:w="1597" w:type="dxa"/>
            <w:shd w:val="clear" w:color="auto" w:fill="7F7F7F"/>
          </w:tcPr>
          <w:p w14:paraId="0A867200" w14:textId="77777777" w:rsidR="00C532E7" w:rsidRDefault="000D68F0">
            <w:pPr>
              <w:pBdr>
                <w:top w:val="nil"/>
                <w:left w:val="nil"/>
                <w:bottom w:val="nil"/>
                <w:right w:val="nil"/>
                <w:between w:val="nil"/>
              </w:pBdr>
              <w:spacing w:after="160"/>
              <w:rPr>
                <w:color w:val="000000"/>
              </w:rPr>
            </w:pPr>
            <w:r>
              <w:rPr>
                <w:color w:val="000000"/>
              </w:rPr>
              <w:t>Type of Service</w:t>
            </w:r>
          </w:p>
        </w:tc>
        <w:tc>
          <w:tcPr>
            <w:tcW w:w="1201" w:type="dxa"/>
            <w:gridSpan w:val="2"/>
            <w:shd w:val="clear" w:color="auto" w:fill="7F7F7F"/>
          </w:tcPr>
          <w:p w14:paraId="62D01F6C" w14:textId="77777777" w:rsidR="00C532E7" w:rsidRDefault="000D68F0">
            <w:pPr>
              <w:pBdr>
                <w:top w:val="nil"/>
                <w:left w:val="nil"/>
                <w:bottom w:val="nil"/>
                <w:right w:val="nil"/>
                <w:between w:val="nil"/>
              </w:pBdr>
              <w:spacing w:after="160"/>
              <w:rPr>
                <w:color w:val="000000"/>
              </w:rPr>
            </w:pPr>
            <w:r>
              <w:rPr>
                <w:color w:val="000000"/>
              </w:rPr>
              <w:t>Type of Personnel</w:t>
            </w:r>
          </w:p>
        </w:tc>
        <w:tc>
          <w:tcPr>
            <w:tcW w:w="2776" w:type="dxa"/>
            <w:gridSpan w:val="3"/>
            <w:shd w:val="clear" w:color="auto" w:fill="7F7F7F"/>
          </w:tcPr>
          <w:p w14:paraId="65525FA1" w14:textId="77777777" w:rsidR="00C532E7" w:rsidRDefault="000D68F0">
            <w:pPr>
              <w:pBdr>
                <w:top w:val="nil"/>
                <w:left w:val="nil"/>
                <w:bottom w:val="nil"/>
                <w:right w:val="nil"/>
                <w:between w:val="nil"/>
              </w:pBdr>
              <w:spacing w:after="160"/>
              <w:rPr>
                <w:color w:val="000000"/>
              </w:rPr>
            </w:pPr>
            <w:r>
              <w:rPr>
                <w:color w:val="000000"/>
              </w:rPr>
              <w:t>Frequency/Duration/Cycle</w:t>
            </w:r>
          </w:p>
        </w:tc>
        <w:tc>
          <w:tcPr>
            <w:tcW w:w="1418" w:type="dxa"/>
            <w:shd w:val="clear" w:color="auto" w:fill="7F7F7F"/>
          </w:tcPr>
          <w:p w14:paraId="242B84D2" w14:textId="77777777" w:rsidR="00C532E7" w:rsidRDefault="000D68F0">
            <w:pPr>
              <w:pBdr>
                <w:top w:val="nil"/>
                <w:left w:val="nil"/>
                <w:bottom w:val="nil"/>
                <w:right w:val="nil"/>
                <w:between w:val="nil"/>
              </w:pBdr>
              <w:spacing w:after="160"/>
              <w:rPr>
                <w:color w:val="000000"/>
              </w:rPr>
            </w:pPr>
            <w:r>
              <w:rPr>
                <w:color w:val="000000"/>
              </w:rPr>
              <w:t>Start Date-End Date</w:t>
            </w:r>
          </w:p>
        </w:tc>
      </w:tr>
      <w:tr w:rsidR="00C532E7" w14:paraId="72968D2C" w14:textId="77777777">
        <w:tc>
          <w:tcPr>
            <w:tcW w:w="1638" w:type="dxa"/>
            <w:shd w:val="clear" w:color="auto" w:fill="D0CECE"/>
          </w:tcPr>
          <w:p w14:paraId="10AE54E5" w14:textId="77777777" w:rsidR="00C532E7" w:rsidRDefault="000D68F0">
            <w:pPr>
              <w:pBdr>
                <w:top w:val="nil"/>
                <w:left w:val="nil"/>
                <w:bottom w:val="nil"/>
                <w:right w:val="nil"/>
                <w:between w:val="nil"/>
              </w:pBdr>
              <w:spacing w:after="160"/>
              <w:rPr>
                <w:color w:val="000000"/>
              </w:rPr>
            </w:pPr>
            <w:r>
              <w:rPr>
                <w:color w:val="000000"/>
              </w:rPr>
              <w:t>GRID C</w:t>
            </w:r>
          </w:p>
        </w:tc>
        <w:tc>
          <w:tcPr>
            <w:tcW w:w="6992" w:type="dxa"/>
            <w:gridSpan w:val="7"/>
          </w:tcPr>
          <w:p w14:paraId="0AFBA285" w14:textId="77777777" w:rsidR="00C532E7" w:rsidRDefault="00C532E7">
            <w:pPr>
              <w:pBdr>
                <w:top w:val="nil"/>
                <w:left w:val="nil"/>
                <w:bottom w:val="nil"/>
                <w:right w:val="nil"/>
                <w:between w:val="nil"/>
              </w:pBdr>
              <w:spacing w:after="160"/>
              <w:rPr>
                <w:color w:val="000000"/>
              </w:rPr>
            </w:pPr>
          </w:p>
        </w:tc>
      </w:tr>
      <w:tr w:rsidR="00C532E7" w14:paraId="4DA0E1A4" w14:textId="77777777">
        <w:tc>
          <w:tcPr>
            <w:tcW w:w="1638" w:type="dxa"/>
          </w:tcPr>
          <w:p w14:paraId="14B2CE6B" w14:textId="77777777" w:rsidR="00C532E7" w:rsidRDefault="000D68F0">
            <w:pPr>
              <w:pBdr>
                <w:top w:val="nil"/>
                <w:left w:val="nil"/>
                <w:bottom w:val="nil"/>
                <w:right w:val="nil"/>
                <w:between w:val="nil"/>
              </w:pBdr>
              <w:spacing w:after="160"/>
              <w:rPr>
                <w:b/>
                <w:color w:val="000000"/>
              </w:rPr>
            </w:pPr>
            <w:r>
              <w:rPr>
                <w:b/>
                <w:color w:val="000000"/>
              </w:rPr>
              <w:t>1, 2</w:t>
            </w:r>
          </w:p>
        </w:tc>
        <w:tc>
          <w:tcPr>
            <w:tcW w:w="1773" w:type="dxa"/>
            <w:gridSpan w:val="2"/>
          </w:tcPr>
          <w:p w14:paraId="2AA5950C" w14:textId="77777777" w:rsidR="00C532E7" w:rsidRDefault="000D68F0">
            <w:pPr>
              <w:pBdr>
                <w:top w:val="nil"/>
                <w:left w:val="nil"/>
                <w:bottom w:val="nil"/>
                <w:right w:val="nil"/>
                <w:between w:val="nil"/>
              </w:pBdr>
              <w:spacing w:after="160"/>
              <w:rPr>
                <w:b/>
                <w:color w:val="000000"/>
              </w:rPr>
            </w:pPr>
            <w:r>
              <w:rPr>
                <w:b/>
                <w:color w:val="000000"/>
              </w:rPr>
              <w:t>Specially Designed Instruction – Reading</w:t>
            </w:r>
            <w:r>
              <w:rPr>
                <w:b/>
                <w:color w:val="000000"/>
                <w:vertAlign w:val="superscript"/>
              </w:rPr>
              <w:footnoteReference w:id="3"/>
            </w:r>
          </w:p>
        </w:tc>
        <w:tc>
          <w:tcPr>
            <w:tcW w:w="1757" w:type="dxa"/>
            <w:gridSpan w:val="2"/>
          </w:tcPr>
          <w:p w14:paraId="2D53AD59" w14:textId="77777777" w:rsidR="00C532E7" w:rsidRDefault="000D68F0">
            <w:pPr>
              <w:pBdr>
                <w:top w:val="nil"/>
                <w:left w:val="nil"/>
                <w:bottom w:val="nil"/>
                <w:right w:val="nil"/>
                <w:between w:val="nil"/>
              </w:pBdr>
              <w:spacing w:after="160"/>
              <w:rPr>
                <w:b/>
                <w:color w:val="000000"/>
              </w:rPr>
            </w:pPr>
            <w:r>
              <w:rPr>
                <w:b/>
                <w:color w:val="000000"/>
              </w:rPr>
              <w:t xml:space="preserve">Special education teacher </w:t>
            </w:r>
          </w:p>
        </w:tc>
        <w:tc>
          <w:tcPr>
            <w:tcW w:w="1737" w:type="dxa"/>
          </w:tcPr>
          <w:p w14:paraId="7E2E0DD0" w14:textId="77777777" w:rsidR="00C532E7" w:rsidRDefault="000D68F0">
            <w:pPr>
              <w:pBdr>
                <w:top w:val="nil"/>
                <w:left w:val="nil"/>
                <w:bottom w:val="nil"/>
                <w:right w:val="nil"/>
                <w:between w:val="nil"/>
              </w:pBdr>
              <w:spacing w:after="160"/>
              <w:rPr>
                <w:b/>
                <w:color w:val="000000"/>
              </w:rPr>
            </w:pPr>
            <w:r>
              <w:rPr>
                <w:b/>
                <w:color w:val="000000"/>
              </w:rPr>
              <w:t>Daily, 40 min</w:t>
            </w:r>
          </w:p>
        </w:tc>
        <w:tc>
          <w:tcPr>
            <w:tcW w:w="1725" w:type="dxa"/>
            <w:gridSpan w:val="2"/>
          </w:tcPr>
          <w:p w14:paraId="47D4E6A3" w14:textId="77777777" w:rsidR="00C532E7" w:rsidRDefault="000D68F0">
            <w:pPr>
              <w:pBdr>
                <w:top w:val="nil"/>
                <w:left w:val="nil"/>
                <w:bottom w:val="nil"/>
                <w:right w:val="nil"/>
                <w:between w:val="nil"/>
              </w:pBdr>
              <w:spacing w:after="160"/>
              <w:rPr>
                <w:b/>
                <w:color w:val="000000"/>
              </w:rPr>
            </w:pPr>
            <w:r>
              <w:rPr>
                <w:b/>
                <w:color w:val="000000"/>
              </w:rPr>
              <w:t>2/5/20-2/4/21</w:t>
            </w:r>
          </w:p>
        </w:tc>
      </w:tr>
      <w:tr w:rsidR="00C532E7" w14:paraId="0B8A3070" w14:textId="77777777">
        <w:tc>
          <w:tcPr>
            <w:tcW w:w="1638" w:type="dxa"/>
          </w:tcPr>
          <w:p w14:paraId="2FFD3608" w14:textId="77777777" w:rsidR="00C532E7" w:rsidRDefault="000D68F0">
            <w:pPr>
              <w:pBdr>
                <w:top w:val="nil"/>
                <w:left w:val="nil"/>
                <w:bottom w:val="nil"/>
                <w:right w:val="nil"/>
                <w:between w:val="nil"/>
              </w:pBdr>
              <w:spacing w:after="160"/>
              <w:rPr>
                <w:b/>
                <w:color w:val="000000"/>
              </w:rPr>
            </w:pPr>
            <w:r>
              <w:rPr>
                <w:b/>
                <w:color w:val="000000"/>
              </w:rPr>
              <w:lastRenderedPageBreak/>
              <w:t>1</w:t>
            </w:r>
          </w:p>
        </w:tc>
        <w:tc>
          <w:tcPr>
            <w:tcW w:w="1773" w:type="dxa"/>
            <w:gridSpan w:val="2"/>
          </w:tcPr>
          <w:p w14:paraId="200EA880" w14:textId="77777777" w:rsidR="00C532E7" w:rsidRDefault="000D68F0">
            <w:pPr>
              <w:pBdr>
                <w:top w:val="nil"/>
                <w:left w:val="nil"/>
                <w:bottom w:val="nil"/>
                <w:right w:val="nil"/>
                <w:between w:val="nil"/>
              </w:pBdr>
              <w:spacing w:after="160"/>
              <w:rPr>
                <w:b/>
                <w:color w:val="000000"/>
              </w:rPr>
            </w:pPr>
            <w:r>
              <w:rPr>
                <w:b/>
                <w:color w:val="000000"/>
              </w:rPr>
              <w:t>Specially Designed Instruction – Reading</w:t>
            </w:r>
          </w:p>
        </w:tc>
        <w:tc>
          <w:tcPr>
            <w:tcW w:w="1757" w:type="dxa"/>
            <w:gridSpan w:val="2"/>
          </w:tcPr>
          <w:p w14:paraId="6D62F6F0" w14:textId="77777777" w:rsidR="00C532E7" w:rsidRDefault="000D68F0">
            <w:pPr>
              <w:pBdr>
                <w:top w:val="nil"/>
                <w:left w:val="nil"/>
                <w:bottom w:val="nil"/>
                <w:right w:val="nil"/>
                <w:between w:val="nil"/>
              </w:pBdr>
              <w:spacing w:after="160"/>
              <w:rPr>
                <w:b/>
                <w:color w:val="000000"/>
              </w:rPr>
            </w:pPr>
            <w:r>
              <w:rPr>
                <w:b/>
                <w:color w:val="000000"/>
              </w:rPr>
              <w:t>Special education teacher</w:t>
            </w:r>
          </w:p>
        </w:tc>
        <w:tc>
          <w:tcPr>
            <w:tcW w:w="1737" w:type="dxa"/>
          </w:tcPr>
          <w:p w14:paraId="08A8371F" w14:textId="77777777" w:rsidR="00C532E7" w:rsidRDefault="000D68F0">
            <w:pPr>
              <w:pBdr>
                <w:top w:val="nil"/>
                <w:left w:val="nil"/>
                <w:bottom w:val="nil"/>
                <w:right w:val="nil"/>
                <w:between w:val="nil"/>
              </w:pBdr>
              <w:spacing w:after="160"/>
              <w:rPr>
                <w:b/>
                <w:color w:val="000000"/>
              </w:rPr>
            </w:pPr>
            <w:r>
              <w:rPr>
                <w:b/>
                <w:color w:val="000000"/>
              </w:rPr>
              <w:t>Daily, 40 min</w:t>
            </w:r>
          </w:p>
        </w:tc>
        <w:tc>
          <w:tcPr>
            <w:tcW w:w="1725" w:type="dxa"/>
            <w:gridSpan w:val="2"/>
          </w:tcPr>
          <w:p w14:paraId="38576353" w14:textId="77777777" w:rsidR="00C532E7" w:rsidRDefault="000D68F0">
            <w:pPr>
              <w:pBdr>
                <w:top w:val="nil"/>
                <w:left w:val="nil"/>
                <w:bottom w:val="nil"/>
                <w:right w:val="nil"/>
                <w:between w:val="nil"/>
              </w:pBdr>
              <w:spacing w:after="160"/>
              <w:rPr>
                <w:b/>
                <w:color w:val="000000"/>
              </w:rPr>
            </w:pPr>
            <w:r>
              <w:rPr>
                <w:b/>
                <w:color w:val="000000"/>
              </w:rPr>
              <w:t>9/16/20-2/4/21</w:t>
            </w:r>
          </w:p>
        </w:tc>
      </w:tr>
      <w:tr w:rsidR="00C532E7" w14:paraId="0C2DDEEB" w14:textId="77777777">
        <w:tc>
          <w:tcPr>
            <w:tcW w:w="1638" w:type="dxa"/>
          </w:tcPr>
          <w:p w14:paraId="4F70DE87" w14:textId="77777777" w:rsidR="00C532E7" w:rsidRDefault="000D68F0">
            <w:pPr>
              <w:pBdr>
                <w:top w:val="nil"/>
                <w:left w:val="nil"/>
                <w:bottom w:val="nil"/>
                <w:right w:val="nil"/>
                <w:between w:val="nil"/>
              </w:pBdr>
              <w:spacing w:after="160"/>
              <w:rPr>
                <w:b/>
                <w:color w:val="000000"/>
              </w:rPr>
            </w:pPr>
            <w:r>
              <w:rPr>
                <w:b/>
                <w:color w:val="000000"/>
              </w:rPr>
              <w:t>2</w:t>
            </w:r>
          </w:p>
        </w:tc>
        <w:tc>
          <w:tcPr>
            <w:tcW w:w="1773" w:type="dxa"/>
            <w:gridSpan w:val="2"/>
          </w:tcPr>
          <w:p w14:paraId="3815B078" w14:textId="77777777" w:rsidR="00C532E7" w:rsidRDefault="000D68F0">
            <w:pPr>
              <w:pBdr>
                <w:top w:val="nil"/>
                <w:left w:val="nil"/>
                <w:bottom w:val="nil"/>
                <w:right w:val="nil"/>
                <w:between w:val="nil"/>
              </w:pBdr>
              <w:spacing w:after="160"/>
              <w:rPr>
                <w:b/>
                <w:color w:val="000000"/>
              </w:rPr>
            </w:pPr>
            <w:r>
              <w:rPr>
                <w:b/>
                <w:color w:val="000000"/>
              </w:rPr>
              <w:t>Specially Designed Instruction – Writing</w:t>
            </w:r>
          </w:p>
        </w:tc>
        <w:tc>
          <w:tcPr>
            <w:tcW w:w="1757" w:type="dxa"/>
            <w:gridSpan w:val="2"/>
          </w:tcPr>
          <w:p w14:paraId="331FB3C0" w14:textId="77777777" w:rsidR="00C532E7" w:rsidRDefault="000D68F0">
            <w:pPr>
              <w:pBdr>
                <w:top w:val="nil"/>
                <w:left w:val="nil"/>
                <w:bottom w:val="nil"/>
                <w:right w:val="nil"/>
                <w:between w:val="nil"/>
              </w:pBdr>
              <w:spacing w:after="160"/>
              <w:rPr>
                <w:b/>
                <w:color w:val="000000"/>
              </w:rPr>
            </w:pPr>
            <w:r>
              <w:rPr>
                <w:b/>
                <w:color w:val="000000"/>
              </w:rPr>
              <w:t>Special education teacher</w:t>
            </w:r>
          </w:p>
        </w:tc>
        <w:tc>
          <w:tcPr>
            <w:tcW w:w="1737" w:type="dxa"/>
          </w:tcPr>
          <w:p w14:paraId="623FA384" w14:textId="77777777" w:rsidR="00C532E7" w:rsidRDefault="000D68F0">
            <w:pPr>
              <w:pBdr>
                <w:top w:val="nil"/>
                <w:left w:val="nil"/>
                <w:bottom w:val="nil"/>
                <w:right w:val="nil"/>
                <w:between w:val="nil"/>
              </w:pBdr>
              <w:spacing w:after="160"/>
              <w:rPr>
                <w:b/>
                <w:color w:val="000000"/>
              </w:rPr>
            </w:pPr>
            <w:r>
              <w:rPr>
                <w:b/>
                <w:color w:val="000000"/>
              </w:rPr>
              <w:t>Daily, 30 min</w:t>
            </w:r>
          </w:p>
        </w:tc>
        <w:tc>
          <w:tcPr>
            <w:tcW w:w="1725" w:type="dxa"/>
            <w:gridSpan w:val="2"/>
          </w:tcPr>
          <w:p w14:paraId="3E70E5D5" w14:textId="77777777" w:rsidR="00C532E7" w:rsidRDefault="000D68F0">
            <w:pPr>
              <w:pBdr>
                <w:top w:val="nil"/>
                <w:left w:val="nil"/>
                <w:bottom w:val="nil"/>
                <w:right w:val="nil"/>
                <w:between w:val="nil"/>
              </w:pBdr>
              <w:spacing w:after="160"/>
              <w:rPr>
                <w:b/>
                <w:color w:val="000000"/>
              </w:rPr>
            </w:pPr>
            <w:r>
              <w:rPr>
                <w:b/>
                <w:color w:val="000000"/>
              </w:rPr>
              <w:t>9/16/20-2/4/21</w:t>
            </w:r>
          </w:p>
        </w:tc>
      </w:tr>
      <w:tr w:rsidR="00C532E7" w14:paraId="394023AE" w14:textId="77777777">
        <w:tc>
          <w:tcPr>
            <w:tcW w:w="1638" w:type="dxa"/>
          </w:tcPr>
          <w:p w14:paraId="56CD9C3C" w14:textId="77777777" w:rsidR="00C532E7" w:rsidRDefault="000D68F0">
            <w:pPr>
              <w:pBdr>
                <w:top w:val="nil"/>
                <w:left w:val="nil"/>
                <w:bottom w:val="nil"/>
                <w:right w:val="nil"/>
                <w:between w:val="nil"/>
              </w:pBdr>
              <w:spacing w:after="160"/>
              <w:rPr>
                <w:color w:val="000000"/>
              </w:rPr>
            </w:pPr>
            <w:r>
              <w:rPr>
                <w:color w:val="000000"/>
              </w:rPr>
              <w:t>3</w:t>
            </w:r>
          </w:p>
        </w:tc>
        <w:tc>
          <w:tcPr>
            <w:tcW w:w="1773" w:type="dxa"/>
            <w:gridSpan w:val="2"/>
          </w:tcPr>
          <w:p w14:paraId="28EF92D9" w14:textId="77777777" w:rsidR="00C532E7" w:rsidRDefault="000D68F0">
            <w:pPr>
              <w:pBdr>
                <w:top w:val="nil"/>
                <w:left w:val="nil"/>
                <w:bottom w:val="nil"/>
                <w:right w:val="nil"/>
                <w:between w:val="nil"/>
              </w:pBdr>
              <w:spacing w:after="160"/>
              <w:rPr>
                <w:color w:val="000000"/>
              </w:rPr>
            </w:pPr>
            <w:r>
              <w:rPr>
                <w:color w:val="000000"/>
              </w:rPr>
              <w:t>SLP</w:t>
            </w:r>
          </w:p>
        </w:tc>
        <w:tc>
          <w:tcPr>
            <w:tcW w:w="1757" w:type="dxa"/>
            <w:gridSpan w:val="2"/>
          </w:tcPr>
          <w:p w14:paraId="09E15BA3" w14:textId="77777777" w:rsidR="00C532E7" w:rsidRDefault="000D68F0">
            <w:pPr>
              <w:pBdr>
                <w:top w:val="nil"/>
                <w:left w:val="nil"/>
                <w:bottom w:val="nil"/>
                <w:right w:val="nil"/>
                <w:between w:val="nil"/>
              </w:pBdr>
              <w:spacing w:after="160"/>
              <w:rPr>
                <w:color w:val="000000"/>
              </w:rPr>
            </w:pPr>
            <w:r>
              <w:rPr>
                <w:color w:val="000000"/>
              </w:rPr>
              <w:t>SLP</w:t>
            </w:r>
          </w:p>
        </w:tc>
        <w:tc>
          <w:tcPr>
            <w:tcW w:w="1737" w:type="dxa"/>
          </w:tcPr>
          <w:p w14:paraId="258536A9" w14:textId="77777777" w:rsidR="00C532E7" w:rsidRDefault="000D68F0">
            <w:pPr>
              <w:pBdr>
                <w:top w:val="nil"/>
                <w:left w:val="nil"/>
                <w:bottom w:val="nil"/>
                <w:right w:val="nil"/>
                <w:between w:val="nil"/>
              </w:pBdr>
              <w:spacing w:after="160"/>
              <w:rPr>
                <w:color w:val="000000"/>
              </w:rPr>
            </w:pPr>
            <w:r>
              <w:rPr>
                <w:color w:val="000000"/>
              </w:rPr>
              <w:t>3 times, 30 min</w:t>
            </w:r>
          </w:p>
        </w:tc>
        <w:tc>
          <w:tcPr>
            <w:tcW w:w="1725" w:type="dxa"/>
            <w:gridSpan w:val="2"/>
          </w:tcPr>
          <w:p w14:paraId="028EBEF3" w14:textId="77777777" w:rsidR="00C532E7" w:rsidRDefault="000D68F0">
            <w:pPr>
              <w:pBdr>
                <w:top w:val="nil"/>
                <w:left w:val="nil"/>
                <w:bottom w:val="nil"/>
                <w:right w:val="nil"/>
                <w:between w:val="nil"/>
              </w:pBdr>
              <w:spacing w:after="160"/>
              <w:rPr>
                <w:color w:val="000000"/>
              </w:rPr>
            </w:pPr>
            <w:r>
              <w:rPr>
                <w:color w:val="000000"/>
              </w:rPr>
              <w:t>2/5/20-2/4/21</w:t>
            </w:r>
          </w:p>
        </w:tc>
      </w:tr>
      <w:tr w:rsidR="00C532E7" w14:paraId="3A822C6D" w14:textId="77777777">
        <w:tc>
          <w:tcPr>
            <w:tcW w:w="1638" w:type="dxa"/>
          </w:tcPr>
          <w:p w14:paraId="6CA594EA" w14:textId="77777777" w:rsidR="00C532E7" w:rsidRDefault="000D68F0">
            <w:pPr>
              <w:pBdr>
                <w:top w:val="nil"/>
                <w:left w:val="nil"/>
                <w:bottom w:val="nil"/>
                <w:right w:val="nil"/>
                <w:between w:val="nil"/>
              </w:pBdr>
              <w:spacing w:after="160"/>
              <w:rPr>
                <w:color w:val="000000"/>
              </w:rPr>
            </w:pPr>
            <w:r>
              <w:rPr>
                <w:color w:val="000000"/>
              </w:rPr>
              <w:t>4</w:t>
            </w:r>
          </w:p>
        </w:tc>
        <w:tc>
          <w:tcPr>
            <w:tcW w:w="1773" w:type="dxa"/>
            <w:gridSpan w:val="2"/>
          </w:tcPr>
          <w:p w14:paraId="274EC986" w14:textId="77777777" w:rsidR="00C532E7" w:rsidRDefault="000D68F0">
            <w:pPr>
              <w:pBdr>
                <w:top w:val="nil"/>
                <w:left w:val="nil"/>
                <w:bottom w:val="nil"/>
                <w:right w:val="nil"/>
                <w:between w:val="nil"/>
              </w:pBdr>
              <w:spacing w:after="160"/>
              <w:rPr>
                <w:color w:val="000000"/>
              </w:rPr>
            </w:pPr>
            <w:r>
              <w:rPr>
                <w:color w:val="000000"/>
              </w:rPr>
              <w:t>OT</w:t>
            </w:r>
          </w:p>
        </w:tc>
        <w:tc>
          <w:tcPr>
            <w:tcW w:w="1757" w:type="dxa"/>
            <w:gridSpan w:val="2"/>
          </w:tcPr>
          <w:p w14:paraId="1495DE8B" w14:textId="77777777" w:rsidR="00C532E7" w:rsidRDefault="000D68F0">
            <w:pPr>
              <w:pBdr>
                <w:top w:val="nil"/>
                <w:left w:val="nil"/>
                <w:bottom w:val="nil"/>
                <w:right w:val="nil"/>
                <w:between w:val="nil"/>
              </w:pBdr>
              <w:spacing w:after="160"/>
              <w:rPr>
                <w:color w:val="000000"/>
              </w:rPr>
            </w:pPr>
            <w:r>
              <w:rPr>
                <w:color w:val="000000"/>
              </w:rPr>
              <w:t>OT</w:t>
            </w:r>
          </w:p>
        </w:tc>
        <w:tc>
          <w:tcPr>
            <w:tcW w:w="1737" w:type="dxa"/>
          </w:tcPr>
          <w:p w14:paraId="54872B33" w14:textId="77777777" w:rsidR="00C532E7" w:rsidRDefault="000D68F0">
            <w:pPr>
              <w:pBdr>
                <w:top w:val="nil"/>
                <w:left w:val="nil"/>
                <w:bottom w:val="nil"/>
                <w:right w:val="nil"/>
                <w:between w:val="nil"/>
              </w:pBdr>
              <w:spacing w:after="160"/>
              <w:rPr>
                <w:color w:val="000000"/>
              </w:rPr>
            </w:pPr>
            <w:r>
              <w:rPr>
                <w:color w:val="000000"/>
              </w:rPr>
              <w:t>Weekly, 30 min</w:t>
            </w:r>
          </w:p>
        </w:tc>
        <w:tc>
          <w:tcPr>
            <w:tcW w:w="1725" w:type="dxa"/>
            <w:gridSpan w:val="2"/>
          </w:tcPr>
          <w:p w14:paraId="60911FEA" w14:textId="77777777" w:rsidR="00C532E7" w:rsidRDefault="000D68F0">
            <w:pPr>
              <w:pBdr>
                <w:top w:val="nil"/>
                <w:left w:val="nil"/>
                <w:bottom w:val="nil"/>
                <w:right w:val="nil"/>
                <w:between w:val="nil"/>
              </w:pBdr>
              <w:spacing w:after="160"/>
              <w:rPr>
                <w:color w:val="000000"/>
              </w:rPr>
            </w:pPr>
            <w:r>
              <w:rPr>
                <w:color w:val="000000"/>
              </w:rPr>
              <w:t>2/5/20-2/4/21</w:t>
            </w:r>
          </w:p>
        </w:tc>
      </w:tr>
      <w:tr w:rsidR="00C532E7" w14:paraId="42FC8F81" w14:textId="77777777">
        <w:tc>
          <w:tcPr>
            <w:tcW w:w="1638" w:type="dxa"/>
          </w:tcPr>
          <w:p w14:paraId="2EEF11F6" w14:textId="77777777" w:rsidR="00C532E7" w:rsidRDefault="000D68F0">
            <w:pPr>
              <w:pBdr>
                <w:top w:val="nil"/>
                <w:left w:val="nil"/>
                <w:bottom w:val="nil"/>
                <w:right w:val="nil"/>
                <w:between w:val="nil"/>
              </w:pBdr>
              <w:spacing w:after="160"/>
              <w:rPr>
                <w:color w:val="000000"/>
              </w:rPr>
            </w:pPr>
            <w:r>
              <w:rPr>
                <w:color w:val="000000"/>
              </w:rPr>
              <w:t>1, 2</w:t>
            </w:r>
          </w:p>
        </w:tc>
        <w:tc>
          <w:tcPr>
            <w:tcW w:w="1773" w:type="dxa"/>
            <w:gridSpan w:val="2"/>
          </w:tcPr>
          <w:p w14:paraId="2490E555" w14:textId="77777777" w:rsidR="00C532E7" w:rsidRDefault="000D68F0">
            <w:pPr>
              <w:pBdr>
                <w:top w:val="nil"/>
                <w:left w:val="nil"/>
                <w:bottom w:val="nil"/>
                <w:right w:val="nil"/>
                <w:between w:val="nil"/>
              </w:pBdr>
              <w:spacing w:after="160"/>
              <w:rPr>
                <w:color w:val="000000"/>
              </w:rPr>
            </w:pPr>
            <w:r>
              <w:rPr>
                <w:color w:val="000000"/>
              </w:rPr>
              <w:t>Summer Tutoring – Reading and Writing</w:t>
            </w:r>
          </w:p>
        </w:tc>
        <w:tc>
          <w:tcPr>
            <w:tcW w:w="1757" w:type="dxa"/>
            <w:gridSpan w:val="2"/>
          </w:tcPr>
          <w:p w14:paraId="65BAB4FC" w14:textId="77777777" w:rsidR="00C532E7" w:rsidRDefault="000D68F0">
            <w:pPr>
              <w:pBdr>
                <w:top w:val="nil"/>
                <w:left w:val="nil"/>
                <w:bottom w:val="nil"/>
                <w:right w:val="nil"/>
                <w:between w:val="nil"/>
              </w:pBdr>
              <w:spacing w:after="160"/>
              <w:rPr>
                <w:color w:val="000000"/>
              </w:rPr>
            </w:pPr>
            <w:r>
              <w:rPr>
                <w:color w:val="000000"/>
              </w:rPr>
              <w:t>Special education teacher</w:t>
            </w:r>
          </w:p>
        </w:tc>
        <w:tc>
          <w:tcPr>
            <w:tcW w:w="1737" w:type="dxa"/>
          </w:tcPr>
          <w:p w14:paraId="46BE0FD9" w14:textId="77777777" w:rsidR="00C532E7" w:rsidRDefault="000D68F0">
            <w:pPr>
              <w:pBdr>
                <w:top w:val="nil"/>
                <w:left w:val="nil"/>
                <w:bottom w:val="nil"/>
                <w:right w:val="nil"/>
                <w:between w:val="nil"/>
              </w:pBdr>
              <w:spacing w:after="160"/>
              <w:rPr>
                <w:color w:val="000000"/>
              </w:rPr>
            </w:pPr>
            <w:r>
              <w:rPr>
                <w:color w:val="000000"/>
              </w:rPr>
              <w:t>Yearly, 12 hours</w:t>
            </w:r>
          </w:p>
        </w:tc>
        <w:tc>
          <w:tcPr>
            <w:tcW w:w="1725" w:type="dxa"/>
            <w:gridSpan w:val="2"/>
          </w:tcPr>
          <w:p w14:paraId="0472CBAE" w14:textId="77777777" w:rsidR="00C532E7" w:rsidRDefault="000D68F0">
            <w:pPr>
              <w:pBdr>
                <w:top w:val="nil"/>
                <w:left w:val="nil"/>
                <w:bottom w:val="nil"/>
                <w:right w:val="nil"/>
                <w:between w:val="nil"/>
              </w:pBdr>
              <w:spacing w:after="160"/>
              <w:rPr>
                <w:color w:val="000000"/>
              </w:rPr>
            </w:pPr>
            <w:r>
              <w:rPr>
                <w:color w:val="000000"/>
              </w:rPr>
              <w:t>7/6/20-7/24/20</w:t>
            </w:r>
          </w:p>
        </w:tc>
      </w:tr>
    </w:tbl>
    <w:p w14:paraId="6E1A11AA" w14:textId="77777777" w:rsidR="00C532E7" w:rsidRDefault="00C532E7">
      <w:pPr>
        <w:pBdr>
          <w:top w:val="nil"/>
          <w:left w:val="nil"/>
          <w:bottom w:val="nil"/>
          <w:right w:val="nil"/>
          <w:between w:val="nil"/>
        </w:pBdr>
        <w:spacing w:line="259" w:lineRule="auto"/>
        <w:ind w:left="720"/>
        <w:rPr>
          <w:color w:val="000000"/>
        </w:rPr>
      </w:pPr>
    </w:p>
    <w:p w14:paraId="7924A3BC" w14:textId="77777777" w:rsidR="00C532E7" w:rsidRDefault="000D68F0">
      <w:pPr>
        <w:pBdr>
          <w:top w:val="nil"/>
          <w:left w:val="nil"/>
          <w:bottom w:val="nil"/>
          <w:right w:val="nil"/>
          <w:between w:val="nil"/>
        </w:pBdr>
        <w:spacing w:line="259" w:lineRule="auto"/>
        <w:ind w:left="720"/>
        <w:rPr>
          <w:color w:val="000000"/>
        </w:rPr>
      </w:pPr>
      <w:r>
        <w:rPr>
          <w:color w:val="000000"/>
        </w:rPr>
        <w:t xml:space="preserve">(bold emphasis added to those changes made to the 2020-2021 IEP by the September Amendment). Furthermore, the September Amendment Page explained the reasons for the changes to be: </w:t>
      </w:r>
    </w:p>
    <w:p w14:paraId="0DAA629A" w14:textId="77777777" w:rsidR="00C532E7" w:rsidRDefault="00C532E7">
      <w:pPr>
        <w:pBdr>
          <w:top w:val="nil"/>
          <w:left w:val="nil"/>
          <w:bottom w:val="nil"/>
          <w:right w:val="nil"/>
          <w:between w:val="nil"/>
        </w:pBdr>
        <w:spacing w:line="259" w:lineRule="auto"/>
        <w:ind w:left="720"/>
        <w:rPr>
          <w:color w:val="000000"/>
        </w:rPr>
      </w:pPr>
    </w:p>
    <w:p w14:paraId="5C9578CC" w14:textId="77777777" w:rsidR="00C532E7" w:rsidRDefault="000D68F0">
      <w:pPr>
        <w:pBdr>
          <w:top w:val="nil"/>
          <w:left w:val="nil"/>
          <w:bottom w:val="nil"/>
          <w:right w:val="nil"/>
          <w:between w:val="nil"/>
        </w:pBdr>
        <w:spacing w:line="259" w:lineRule="auto"/>
        <w:ind w:left="1440"/>
        <w:rPr>
          <w:color w:val="000000"/>
        </w:rPr>
      </w:pPr>
      <w:r>
        <w:rPr>
          <w:color w:val="000000"/>
        </w:rPr>
        <w:t xml:space="preserve">1. Additional time in the language-based classroom is recommended in order to provide additional small group instruction for writing. </w:t>
      </w:r>
    </w:p>
    <w:p w14:paraId="6D48158E" w14:textId="77777777" w:rsidR="00C532E7" w:rsidRDefault="000D68F0">
      <w:pPr>
        <w:pBdr>
          <w:top w:val="nil"/>
          <w:left w:val="nil"/>
          <w:bottom w:val="nil"/>
          <w:right w:val="nil"/>
          <w:between w:val="nil"/>
        </w:pBdr>
        <w:spacing w:line="259" w:lineRule="auto"/>
        <w:ind w:left="1440"/>
        <w:rPr>
          <w:color w:val="000000"/>
        </w:rPr>
      </w:pPr>
      <w:r>
        <w:rPr>
          <w:color w:val="000000"/>
        </w:rPr>
        <w:t xml:space="preserve">2. Paraprofessional support in the general education classroom is being added in order to implement accommodations and modifications as overseen by Student’s language based special education teacher. </w:t>
      </w:r>
    </w:p>
    <w:p w14:paraId="016FD490" w14:textId="77777777" w:rsidR="00C532E7" w:rsidRDefault="000D68F0">
      <w:pPr>
        <w:pBdr>
          <w:top w:val="nil"/>
          <w:left w:val="nil"/>
          <w:bottom w:val="nil"/>
          <w:right w:val="nil"/>
          <w:between w:val="nil"/>
        </w:pBdr>
        <w:spacing w:line="259" w:lineRule="auto"/>
        <w:ind w:left="1440"/>
        <w:rPr>
          <w:color w:val="000000"/>
        </w:rPr>
      </w:pPr>
      <w:r>
        <w:rPr>
          <w:color w:val="000000"/>
        </w:rPr>
        <w:t>3. Consult time is recommended between Student’s special education teacher and paraprofessional in order to oversee modifications made to assignments given in Student’s general education setting. (School’s Exhibit 1)</w:t>
      </w:r>
    </w:p>
    <w:p w14:paraId="3A3A420C" w14:textId="77777777" w:rsidR="00C532E7" w:rsidRDefault="00C532E7">
      <w:pPr>
        <w:pBdr>
          <w:top w:val="nil"/>
          <w:left w:val="nil"/>
          <w:bottom w:val="nil"/>
          <w:right w:val="nil"/>
          <w:between w:val="nil"/>
        </w:pBdr>
        <w:spacing w:line="259" w:lineRule="auto"/>
        <w:ind w:left="720"/>
        <w:rPr>
          <w:color w:val="000000"/>
        </w:rPr>
      </w:pPr>
    </w:p>
    <w:p w14:paraId="6804A6DE" w14:textId="77777777" w:rsidR="00C532E7" w:rsidRDefault="000D68F0">
      <w:pPr>
        <w:numPr>
          <w:ilvl w:val="0"/>
          <w:numId w:val="1"/>
        </w:numPr>
        <w:pBdr>
          <w:top w:val="nil"/>
          <w:left w:val="nil"/>
          <w:bottom w:val="nil"/>
          <w:right w:val="nil"/>
          <w:between w:val="nil"/>
        </w:pBdr>
        <w:spacing w:line="259" w:lineRule="auto"/>
        <w:rPr>
          <w:color w:val="000000"/>
        </w:rPr>
      </w:pPr>
      <w:r>
        <w:rPr>
          <w:color w:val="000000"/>
        </w:rPr>
        <w:t xml:space="preserve">On September 21, 2020, Parent fully accepted the services proposed by the September Amendment but indicated in writing on the </w:t>
      </w:r>
      <w:r>
        <w:t>R</w:t>
      </w:r>
      <w:r>
        <w:rPr>
          <w:color w:val="000000"/>
        </w:rPr>
        <w:t xml:space="preserve">esponse </w:t>
      </w:r>
      <w:r>
        <w:t>P</w:t>
      </w:r>
      <w:r>
        <w:rPr>
          <w:color w:val="000000"/>
        </w:rPr>
        <w:t>age that she had “asked for White Oak School”. (School’s Exhibit 2, Testimony Parent)</w:t>
      </w:r>
    </w:p>
    <w:p w14:paraId="15827628" w14:textId="55F5A592" w:rsidR="00C532E7" w:rsidRDefault="000D68F0">
      <w:pPr>
        <w:numPr>
          <w:ilvl w:val="0"/>
          <w:numId w:val="1"/>
        </w:numPr>
        <w:pBdr>
          <w:top w:val="nil"/>
          <w:left w:val="nil"/>
          <w:bottom w:val="nil"/>
          <w:right w:val="nil"/>
          <w:between w:val="nil"/>
        </w:pBdr>
        <w:spacing w:line="259" w:lineRule="auto"/>
        <w:rPr>
          <w:color w:val="000000"/>
        </w:rPr>
      </w:pPr>
      <w:r>
        <w:rPr>
          <w:color w:val="000000"/>
        </w:rPr>
        <w:t>Sarah White, who had chaired all of Student’s IEP Team meetings since February 2020, testified that during the September 16, 2020 IEP Team meeting, the Team had discussed separating</w:t>
      </w:r>
      <w:r>
        <w:t>,</w:t>
      </w:r>
      <w:r w:rsidR="00E06041">
        <w:t xml:space="preserve"> </w:t>
      </w:r>
      <w:r>
        <w:rPr>
          <w:color w:val="000000"/>
        </w:rPr>
        <w:t>or “splitting”</w:t>
      </w:r>
      <w:r>
        <w:t>,</w:t>
      </w:r>
      <w:r>
        <w:rPr>
          <w:color w:val="000000"/>
        </w:rPr>
        <w:t xml:space="preserve"> the reading and writing instruction and adding 30 minutes of direct writing instruction. She testified that there was no discussion at the September Team meeting of having Student participate in 80 minutes of reading instruction daily. (Testimony White).  This testimony was echoed by Special Education Teacher Maria </w:t>
      </w:r>
      <w:proofErr w:type="spellStart"/>
      <w:r>
        <w:rPr>
          <w:color w:val="000000"/>
        </w:rPr>
        <w:t>Pareira</w:t>
      </w:r>
      <w:proofErr w:type="spellEnd"/>
      <w:r>
        <w:rPr>
          <w:color w:val="000000"/>
        </w:rPr>
        <w:t xml:space="preserve">, the special education teacher who had provided Student with his direct reading </w:t>
      </w:r>
      <w:r>
        <w:rPr>
          <w:color w:val="000000"/>
        </w:rPr>
        <w:lastRenderedPageBreak/>
        <w:t>and writing services since the inception of his IEP in February 2020 and who was also present at said meeting. (Testimony Pereira)</w:t>
      </w:r>
    </w:p>
    <w:p w14:paraId="48FB9866" w14:textId="77777777" w:rsidR="00C532E7" w:rsidRDefault="000D68F0">
      <w:pPr>
        <w:numPr>
          <w:ilvl w:val="0"/>
          <w:numId w:val="1"/>
        </w:numPr>
        <w:pBdr>
          <w:top w:val="nil"/>
          <w:left w:val="nil"/>
          <w:bottom w:val="nil"/>
          <w:right w:val="nil"/>
          <w:between w:val="nil"/>
        </w:pBdr>
        <w:spacing w:line="259" w:lineRule="auto"/>
        <w:rPr>
          <w:color w:val="000000"/>
        </w:rPr>
      </w:pPr>
      <w:r>
        <w:rPr>
          <w:color w:val="000000"/>
        </w:rPr>
        <w:t>Ms. White further testified that she did not document an increase in 40 minutes of reading on the Amendment Page or on the Prior Written Notice (N1) for the September Amendment because the Team had not made any such decision at the preceding Team meeting. She also stated that the Specially Designed Instruction – Reading and Writing on the C grid should have indicated an end date of 9/15/2020 rather than 2/4/2021 and that she had left the wrong end date in error. (Testimony White)</w:t>
      </w:r>
    </w:p>
    <w:p w14:paraId="77125FE9" w14:textId="77777777" w:rsidR="00C532E7" w:rsidRDefault="000D68F0">
      <w:pPr>
        <w:numPr>
          <w:ilvl w:val="0"/>
          <w:numId w:val="1"/>
        </w:numPr>
        <w:pBdr>
          <w:top w:val="nil"/>
          <w:left w:val="nil"/>
          <w:bottom w:val="nil"/>
          <w:right w:val="nil"/>
          <w:between w:val="nil"/>
        </w:pBdr>
        <w:spacing w:line="259" w:lineRule="auto"/>
        <w:rPr>
          <w:color w:val="000000"/>
        </w:rPr>
      </w:pPr>
      <w:r>
        <w:rPr>
          <w:color w:val="000000"/>
        </w:rPr>
        <w:t xml:space="preserve">Parent testified that she believed that following her acceptance of the September Amendment, Student was receiving 80 minutes of reading support and 30 minutes of writing support daily. Parent further testified that she was not concerned about missed instruction during pull-outs although she also testified that Student was upset about missing specials.  She stated that she was under the impression that Student was receiving the services in accordance with his IEP, as amended by the September Amendment. (Testimony Parent) </w:t>
      </w:r>
    </w:p>
    <w:p w14:paraId="16F66C34" w14:textId="77777777" w:rsidR="00C532E7" w:rsidRDefault="000D68F0">
      <w:pPr>
        <w:numPr>
          <w:ilvl w:val="0"/>
          <w:numId w:val="1"/>
        </w:numPr>
        <w:pBdr>
          <w:top w:val="nil"/>
          <w:left w:val="nil"/>
          <w:bottom w:val="nil"/>
          <w:right w:val="nil"/>
          <w:between w:val="nil"/>
        </w:pBdr>
        <w:spacing w:line="259" w:lineRule="auto"/>
        <w:rPr>
          <w:color w:val="000000"/>
        </w:rPr>
      </w:pPr>
      <w:r>
        <w:rPr>
          <w:color w:val="000000"/>
        </w:rPr>
        <w:t xml:space="preserve">Parent testified that she had not observed Student engaging in 80 minutes of reading support during remote learning but had assumed that Student was receiving reduced services due to the remote setting. (Testimony Parent)   </w:t>
      </w:r>
    </w:p>
    <w:p w14:paraId="06A1B26E" w14:textId="77777777" w:rsidR="00C532E7" w:rsidRDefault="000D68F0">
      <w:pPr>
        <w:numPr>
          <w:ilvl w:val="0"/>
          <w:numId w:val="1"/>
        </w:numPr>
        <w:pBdr>
          <w:top w:val="nil"/>
          <w:left w:val="nil"/>
          <w:bottom w:val="nil"/>
          <w:right w:val="nil"/>
          <w:between w:val="nil"/>
        </w:pBdr>
        <w:spacing w:line="259" w:lineRule="auto"/>
        <w:rPr>
          <w:color w:val="000000"/>
        </w:rPr>
      </w:pPr>
      <w:r>
        <w:rPr>
          <w:color w:val="000000"/>
        </w:rPr>
        <w:t>On November 12, 2020, Parent again attended a Team meeting where she raised concerns regarding the numerous transitions in Student’s schedule, which were causing Student frustration. (Testimony Parent)</w:t>
      </w:r>
    </w:p>
    <w:p w14:paraId="0446C788" w14:textId="77777777" w:rsidR="00C532E7" w:rsidRDefault="000D68F0">
      <w:pPr>
        <w:numPr>
          <w:ilvl w:val="0"/>
          <w:numId w:val="1"/>
        </w:numPr>
        <w:pBdr>
          <w:top w:val="nil"/>
          <w:left w:val="nil"/>
          <w:bottom w:val="nil"/>
          <w:right w:val="nil"/>
          <w:between w:val="nil"/>
        </w:pBdr>
        <w:spacing w:line="259" w:lineRule="auto"/>
        <w:rPr>
          <w:color w:val="000000"/>
        </w:rPr>
      </w:pPr>
      <w:r>
        <w:rPr>
          <w:color w:val="000000"/>
        </w:rPr>
        <w:t xml:space="preserve">Following the November 12, 2020 Team meeting, the District proposed a further Amendment to the 2020-2021 IEP, as amended on September 16, 2020 (hereinafter, the “November Amendment”). The November Amendment indicated that the following changes were being made to the IEP: </w:t>
      </w:r>
    </w:p>
    <w:p w14:paraId="2A616E45" w14:textId="77777777" w:rsidR="00C532E7" w:rsidRDefault="00C532E7">
      <w:pPr>
        <w:pBdr>
          <w:top w:val="nil"/>
          <w:left w:val="nil"/>
          <w:bottom w:val="nil"/>
          <w:right w:val="nil"/>
          <w:between w:val="nil"/>
        </w:pBdr>
        <w:spacing w:after="160" w:line="259" w:lineRule="auto"/>
        <w:ind w:left="720"/>
        <w:rPr>
          <w:color w:val="000000"/>
        </w:rPr>
      </w:pPr>
    </w:p>
    <w:tbl>
      <w:tblPr>
        <w:tblStyle w:val="a1"/>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6"/>
        <w:gridCol w:w="2877"/>
        <w:gridCol w:w="2877"/>
      </w:tblGrid>
      <w:tr w:rsidR="00C532E7" w14:paraId="7D4BEAEC" w14:textId="77777777">
        <w:tc>
          <w:tcPr>
            <w:tcW w:w="2876" w:type="dxa"/>
            <w:shd w:val="clear" w:color="auto" w:fill="D0CECE"/>
          </w:tcPr>
          <w:p w14:paraId="76D019F1" w14:textId="77777777" w:rsidR="00C532E7" w:rsidRDefault="000D68F0">
            <w:pPr>
              <w:pBdr>
                <w:top w:val="nil"/>
                <w:left w:val="nil"/>
                <w:bottom w:val="nil"/>
                <w:right w:val="nil"/>
                <w:between w:val="nil"/>
              </w:pBdr>
              <w:spacing w:after="160"/>
              <w:rPr>
                <w:color w:val="000000"/>
              </w:rPr>
            </w:pPr>
            <w:r>
              <w:rPr>
                <w:color w:val="000000"/>
              </w:rPr>
              <w:t>Amendment Date</w:t>
            </w:r>
          </w:p>
        </w:tc>
        <w:tc>
          <w:tcPr>
            <w:tcW w:w="2877" w:type="dxa"/>
            <w:shd w:val="clear" w:color="auto" w:fill="D0CECE"/>
          </w:tcPr>
          <w:p w14:paraId="28801A54" w14:textId="77777777" w:rsidR="00C532E7" w:rsidRDefault="000D68F0">
            <w:pPr>
              <w:pBdr>
                <w:top w:val="nil"/>
                <w:left w:val="nil"/>
                <w:bottom w:val="nil"/>
                <w:right w:val="nil"/>
                <w:between w:val="nil"/>
              </w:pBdr>
              <w:spacing w:after="160"/>
              <w:rPr>
                <w:color w:val="000000"/>
              </w:rPr>
            </w:pPr>
            <w:r>
              <w:rPr>
                <w:color w:val="000000"/>
              </w:rPr>
              <w:t>What changes will be made to the existing IEP?</w:t>
            </w:r>
          </w:p>
        </w:tc>
        <w:tc>
          <w:tcPr>
            <w:tcW w:w="2877" w:type="dxa"/>
            <w:shd w:val="clear" w:color="auto" w:fill="D0CECE"/>
          </w:tcPr>
          <w:p w14:paraId="557ED205" w14:textId="77777777" w:rsidR="00C532E7" w:rsidRDefault="000D68F0">
            <w:pPr>
              <w:pBdr>
                <w:top w:val="nil"/>
                <w:left w:val="nil"/>
                <w:bottom w:val="nil"/>
                <w:right w:val="nil"/>
                <w:between w:val="nil"/>
              </w:pBdr>
              <w:spacing w:after="160"/>
              <w:rPr>
                <w:color w:val="000000"/>
              </w:rPr>
            </w:pPr>
            <w:r>
              <w:rPr>
                <w:color w:val="000000"/>
              </w:rPr>
              <w:t>Why?</w:t>
            </w:r>
          </w:p>
        </w:tc>
      </w:tr>
      <w:tr w:rsidR="00C532E7" w14:paraId="6E08C1A9" w14:textId="77777777">
        <w:tc>
          <w:tcPr>
            <w:tcW w:w="2876" w:type="dxa"/>
          </w:tcPr>
          <w:p w14:paraId="64804928" w14:textId="77777777" w:rsidR="00C532E7" w:rsidRDefault="000D68F0">
            <w:pPr>
              <w:pBdr>
                <w:top w:val="nil"/>
                <w:left w:val="nil"/>
                <w:bottom w:val="nil"/>
                <w:right w:val="nil"/>
                <w:between w:val="nil"/>
              </w:pBdr>
              <w:spacing w:after="160"/>
              <w:rPr>
                <w:color w:val="000000"/>
              </w:rPr>
            </w:pPr>
            <w:r>
              <w:rPr>
                <w:color w:val="000000"/>
              </w:rPr>
              <w:t>11/16/20</w:t>
            </w:r>
          </w:p>
        </w:tc>
        <w:tc>
          <w:tcPr>
            <w:tcW w:w="2877" w:type="dxa"/>
          </w:tcPr>
          <w:p w14:paraId="28837340" w14:textId="77777777" w:rsidR="00C532E7" w:rsidRDefault="000D68F0">
            <w:pPr>
              <w:numPr>
                <w:ilvl w:val="0"/>
                <w:numId w:val="2"/>
              </w:numPr>
              <w:pBdr>
                <w:top w:val="nil"/>
                <w:left w:val="nil"/>
                <w:bottom w:val="nil"/>
                <w:right w:val="nil"/>
                <w:between w:val="nil"/>
              </w:pBdr>
              <w:rPr>
                <w:color w:val="000000"/>
              </w:rPr>
            </w:pPr>
            <w:r>
              <w:rPr>
                <w:color w:val="000000"/>
              </w:rPr>
              <w:t>Add small group math instruction for 30 minutes per day, a math goal, and an additional hour of paraprofessional support during the general education math block to Student’s current IEP.</w:t>
            </w:r>
          </w:p>
          <w:p w14:paraId="55E9316B" w14:textId="77777777" w:rsidR="00C532E7" w:rsidRDefault="000D68F0">
            <w:pPr>
              <w:numPr>
                <w:ilvl w:val="0"/>
                <w:numId w:val="2"/>
              </w:numPr>
              <w:pBdr>
                <w:top w:val="nil"/>
                <w:left w:val="nil"/>
                <w:bottom w:val="nil"/>
                <w:right w:val="nil"/>
                <w:between w:val="nil"/>
              </w:pBdr>
              <w:spacing w:after="160"/>
              <w:rPr>
                <w:color w:val="000000"/>
              </w:rPr>
            </w:pPr>
            <w:r>
              <w:rPr>
                <w:color w:val="000000"/>
              </w:rPr>
              <w:t>Add accommodations to Student’s current IEP.</w:t>
            </w:r>
          </w:p>
        </w:tc>
        <w:tc>
          <w:tcPr>
            <w:tcW w:w="2877" w:type="dxa"/>
          </w:tcPr>
          <w:p w14:paraId="6E19C789" w14:textId="77777777" w:rsidR="00C532E7" w:rsidRDefault="000D68F0">
            <w:pPr>
              <w:pBdr>
                <w:top w:val="nil"/>
                <w:left w:val="nil"/>
                <w:bottom w:val="nil"/>
                <w:right w:val="nil"/>
                <w:between w:val="nil"/>
              </w:pBdr>
              <w:spacing w:after="160"/>
              <w:rPr>
                <w:color w:val="000000"/>
              </w:rPr>
            </w:pPr>
            <w:r>
              <w:rPr>
                <w:color w:val="000000"/>
              </w:rPr>
              <w:t>These changes are based on the recent team meeting held for the purpose of reviewing the independent evaluations done by Learning Solutions.</w:t>
            </w:r>
          </w:p>
        </w:tc>
      </w:tr>
    </w:tbl>
    <w:p w14:paraId="60FA6A00" w14:textId="77777777" w:rsidR="00C532E7" w:rsidRDefault="00C532E7">
      <w:pPr>
        <w:pBdr>
          <w:top w:val="nil"/>
          <w:left w:val="nil"/>
          <w:bottom w:val="nil"/>
          <w:right w:val="nil"/>
          <w:between w:val="nil"/>
        </w:pBdr>
        <w:spacing w:line="259" w:lineRule="auto"/>
        <w:ind w:left="720"/>
        <w:rPr>
          <w:color w:val="000000"/>
        </w:rPr>
      </w:pPr>
    </w:p>
    <w:p w14:paraId="01C17AB7" w14:textId="77777777" w:rsidR="00C532E7" w:rsidRDefault="000D68F0">
      <w:pPr>
        <w:pBdr>
          <w:top w:val="nil"/>
          <w:left w:val="nil"/>
          <w:bottom w:val="nil"/>
          <w:right w:val="nil"/>
          <w:between w:val="nil"/>
        </w:pBdr>
        <w:spacing w:line="259" w:lineRule="auto"/>
        <w:ind w:left="720"/>
        <w:rPr>
          <w:color w:val="000000"/>
        </w:rPr>
      </w:pPr>
      <w:r>
        <w:rPr>
          <w:color w:val="000000"/>
        </w:rPr>
        <w:t>The newly amended service delivery grid reflected the following services:</w:t>
      </w:r>
    </w:p>
    <w:p w14:paraId="768D637E" w14:textId="77777777" w:rsidR="00C532E7" w:rsidRDefault="00C532E7">
      <w:pPr>
        <w:pBdr>
          <w:top w:val="nil"/>
          <w:left w:val="nil"/>
          <w:bottom w:val="nil"/>
          <w:right w:val="nil"/>
          <w:between w:val="nil"/>
        </w:pBdr>
        <w:spacing w:after="160" w:line="259" w:lineRule="auto"/>
        <w:ind w:left="720"/>
        <w:rPr>
          <w:color w:val="000000"/>
        </w:rPr>
      </w:pPr>
    </w:p>
    <w:tbl>
      <w:tblPr>
        <w:tblStyle w:val="a2"/>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
        <w:gridCol w:w="1363"/>
        <w:gridCol w:w="2575"/>
        <w:gridCol w:w="2664"/>
        <w:gridCol w:w="1150"/>
      </w:tblGrid>
      <w:tr w:rsidR="00C532E7" w14:paraId="2D05FFA0" w14:textId="77777777">
        <w:tc>
          <w:tcPr>
            <w:tcW w:w="878" w:type="dxa"/>
            <w:shd w:val="clear" w:color="auto" w:fill="7F7F7F"/>
          </w:tcPr>
          <w:p w14:paraId="292ECEA4" w14:textId="77777777" w:rsidR="00C532E7" w:rsidRDefault="000D68F0">
            <w:pPr>
              <w:pBdr>
                <w:top w:val="nil"/>
                <w:left w:val="nil"/>
                <w:bottom w:val="nil"/>
                <w:right w:val="nil"/>
                <w:between w:val="nil"/>
              </w:pBdr>
              <w:spacing w:after="160"/>
              <w:rPr>
                <w:color w:val="000000"/>
              </w:rPr>
            </w:pPr>
            <w:r>
              <w:rPr>
                <w:color w:val="000000"/>
              </w:rPr>
              <w:t>Focus on Goal #</w:t>
            </w:r>
          </w:p>
        </w:tc>
        <w:tc>
          <w:tcPr>
            <w:tcW w:w="1363" w:type="dxa"/>
            <w:shd w:val="clear" w:color="auto" w:fill="7F7F7F"/>
          </w:tcPr>
          <w:p w14:paraId="03BA2959" w14:textId="77777777" w:rsidR="00C532E7" w:rsidRDefault="000D68F0">
            <w:pPr>
              <w:pBdr>
                <w:top w:val="nil"/>
                <w:left w:val="nil"/>
                <w:bottom w:val="nil"/>
                <w:right w:val="nil"/>
                <w:between w:val="nil"/>
              </w:pBdr>
              <w:spacing w:after="160"/>
              <w:rPr>
                <w:color w:val="000000"/>
              </w:rPr>
            </w:pPr>
            <w:r>
              <w:rPr>
                <w:color w:val="000000"/>
              </w:rPr>
              <w:t>Type of Service</w:t>
            </w:r>
          </w:p>
        </w:tc>
        <w:tc>
          <w:tcPr>
            <w:tcW w:w="2575" w:type="dxa"/>
            <w:shd w:val="clear" w:color="auto" w:fill="7F7F7F"/>
          </w:tcPr>
          <w:p w14:paraId="17D0DE8D" w14:textId="77777777" w:rsidR="00C532E7" w:rsidRDefault="000D68F0">
            <w:pPr>
              <w:pBdr>
                <w:top w:val="nil"/>
                <w:left w:val="nil"/>
                <w:bottom w:val="nil"/>
                <w:right w:val="nil"/>
                <w:between w:val="nil"/>
              </w:pBdr>
              <w:spacing w:after="160"/>
              <w:rPr>
                <w:color w:val="000000"/>
              </w:rPr>
            </w:pPr>
            <w:r>
              <w:rPr>
                <w:color w:val="000000"/>
              </w:rPr>
              <w:t>Type of Personnel</w:t>
            </w:r>
          </w:p>
        </w:tc>
        <w:tc>
          <w:tcPr>
            <w:tcW w:w="2664" w:type="dxa"/>
            <w:shd w:val="clear" w:color="auto" w:fill="7F7F7F"/>
          </w:tcPr>
          <w:p w14:paraId="42F688EF" w14:textId="77777777" w:rsidR="00C532E7" w:rsidRDefault="000D68F0">
            <w:pPr>
              <w:pBdr>
                <w:top w:val="nil"/>
                <w:left w:val="nil"/>
                <w:bottom w:val="nil"/>
                <w:right w:val="nil"/>
                <w:between w:val="nil"/>
              </w:pBdr>
              <w:rPr>
                <w:color w:val="000000"/>
              </w:rPr>
            </w:pPr>
            <w:r>
              <w:rPr>
                <w:color w:val="000000"/>
              </w:rPr>
              <w:t>Frequency/Duration/</w:t>
            </w:r>
          </w:p>
          <w:p w14:paraId="06F01E22" w14:textId="77777777" w:rsidR="00C532E7" w:rsidRDefault="000D68F0">
            <w:pPr>
              <w:pBdr>
                <w:top w:val="nil"/>
                <w:left w:val="nil"/>
                <w:bottom w:val="nil"/>
                <w:right w:val="nil"/>
                <w:between w:val="nil"/>
              </w:pBdr>
              <w:spacing w:after="160"/>
              <w:rPr>
                <w:color w:val="000000"/>
              </w:rPr>
            </w:pPr>
            <w:r>
              <w:rPr>
                <w:color w:val="000000"/>
              </w:rPr>
              <w:t>Cycle</w:t>
            </w:r>
          </w:p>
        </w:tc>
        <w:tc>
          <w:tcPr>
            <w:tcW w:w="1150" w:type="dxa"/>
            <w:shd w:val="clear" w:color="auto" w:fill="7F7F7F"/>
          </w:tcPr>
          <w:p w14:paraId="44C0A1A5" w14:textId="77777777" w:rsidR="00C532E7" w:rsidRDefault="000D68F0">
            <w:pPr>
              <w:pBdr>
                <w:top w:val="nil"/>
                <w:left w:val="nil"/>
                <w:bottom w:val="nil"/>
                <w:right w:val="nil"/>
                <w:between w:val="nil"/>
              </w:pBdr>
              <w:spacing w:after="160"/>
              <w:rPr>
                <w:color w:val="000000"/>
              </w:rPr>
            </w:pPr>
            <w:r>
              <w:rPr>
                <w:color w:val="000000"/>
              </w:rPr>
              <w:t>Start Date-End Date</w:t>
            </w:r>
          </w:p>
        </w:tc>
      </w:tr>
      <w:tr w:rsidR="00C532E7" w14:paraId="6BABB24B" w14:textId="77777777">
        <w:tc>
          <w:tcPr>
            <w:tcW w:w="878" w:type="dxa"/>
            <w:shd w:val="clear" w:color="auto" w:fill="D0CECE"/>
          </w:tcPr>
          <w:p w14:paraId="5A2C57F1" w14:textId="77777777" w:rsidR="00C532E7" w:rsidRDefault="000D68F0">
            <w:pPr>
              <w:pBdr>
                <w:top w:val="nil"/>
                <w:left w:val="nil"/>
                <w:bottom w:val="nil"/>
                <w:right w:val="nil"/>
                <w:between w:val="nil"/>
              </w:pBdr>
              <w:spacing w:after="160"/>
              <w:rPr>
                <w:color w:val="000000"/>
              </w:rPr>
            </w:pPr>
            <w:r>
              <w:rPr>
                <w:color w:val="000000"/>
              </w:rPr>
              <w:t>GRID A</w:t>
            </w:r>
          </w:p>
        </w:tc>
        <w:tc>
          <w:tcPr>
            <w:tcW w:w="1363" w:type="dxa"/>
          </w:tcPr>
          <w:p w14:paraId="7236A8F1" w14:textId="77777777" w:rsidR="00C532E7" w:rsidRDefault="00C532E7">
            <w:pPr>
              <w:pBdr>
                <w:top w:val="nil"/>
                <w:left w:val="nil"/>
                <w:bottom w:val="nil"/>
                <w:right w:val="nil"/>
                <w:between w:val="nil"/>
              </w:pBdr>
              <w:spacing w:after="160"/>
              <w:rPr>
                <w:color w:val="000000"/>
              </w:rPr>
            </w:pPr>
          </w:p>
        </w:tc>
        <w:tc>
          <w:tcPr>
            <w:tcW w:w="2575" w:type="dxa"/>
          </w:tcPr>
          <w:p w14:paraId="35FC1113" w14:textId="77777777" w:rsidR="00C532E7" w:rsidRDefault="00C532E7">
            <w:pPr>
              <w:pBdr>
                <w:top w:val="nil"/>
                <w:left w:val="nil"/>
                <w:bottom w:val="nil"/>
                <w:right w:val="nil"/>
                <w:between w:val="nil"/>
              </w:pBdr>
              <w:spacing w:after="160"/>
              <w:rPr>
                <w:color w:val="000000"/>
              </w:rPr>
            </w:pPr>
          </w:p>
        </w:tc>
        <w:tc>
          <w:tcPr>
            <w:tcW w:w="2664" w:type="dxa"/>
          </w:tcPr>
          <w:p w14:paraId="2227D28E" w14:textId="77777777" w:rsidR="00C532E7" w:rsidRDefault="00C532E7">
            <w:pPr>
              <w:pBdr>
                <w:top w:val="nil"/>
                <w:left w:val="nil"/>
                <w:bottom w:val="nil"/>
                <w:right w:val="nil"/>
                <w:between w:val="nil"/>
              </w:pBdr>
              <w:spacing w:after="160"/>
              <w:rPr>
                <w:color w:val="000000"/>
              </w:rPr>
            </w:pPr>
          </w:p>
        </w:tc>
        <w:tc>
          <w:tcPr>
            <w:tcW w:w="1150" w:type="dxa"/>
          </w:tcPr>
          <w:p w14:paraId="6CC56474" w14:textId="77777777" w:rsidR="00C532E7" w:rsidRDefault="00C532E7">
            <w:pPr>
              <w:pBdr>
                <w:top w:val="nil"/>
                <w:left w:val="nil"/>
                <w:bottom w:val="nil"/>
                <w:right w:val="nil"/>
                <w:between w:val="nil"/>
              </w:pBdr>
              <w:spacing w:after="160"/>
              <w:rPr>
                <w:color w:val="000000"/>
              </w:rPr>
            </w:pPr>
          </w:p>
        </w:tc>
      </w:tr>
      <w:tr w:rsidR="00C532E7" w14:paraId="681DE8C6" w14:textId="77777777">
        <w:tc>
          <w:tcPr>
            <w:tcW w:w="878" w:type="dxa"/>
          </w:tcPr>
          <w:p w14:paraId="34E3E6B3" w14:textId="77777777" w:rsidR="00C532E7" w:rsidRDefault="000D68F0">
            <w:pPr>
              <w:pBdr>
                <w:top w:val="nil"/>
                <w:left w:val="nil"/>
                <w:bottom w:val="nil"/>
                <w:right w:val="nil"/>
                <w:between w:val="nil"/>
              </w:pBdr>
              <w:spacing w:after="160"/>
              <w:rPr>
                <w:color w:val="000000"/>
              </w:rPr>
            </w:pPr>
            <w:r>
              <w:rPr>
                <w:color w:val="000000"/>
              </w:rPr>
              <w:t>All</w:t>
            </w:r>
          </w:p>
        </w:tc>
        <w:tc>
          <w:tcPr>
            <w:tcW w:w="1363" w:type="dxa"/>
          </w:tcPr>
          <w:p w14:paraId="261639D2" w14:textId="77777777" w:rsidR="00C532E7" w:rsidRDefault="000D68F0">
            <w:pPr>
              <w:pBdr>
                <w:top w:val="nil"/>
                <w:left w:val="nil"/>
                <w:bottom w:val="nil"/>
                <w:right w:val="nil"/>
                <w:between w:val="nil"/>
              </w:pBdr>
              <w:spacing w:after="160"/>
              <w:rPr>
                <w:color w:val="000000"/>
              </w:rPr>
            </w:pPr>
            <w:r>
              <w:rPr>
                <w:color w:val="000000"/>
              </w:rPr>
              <w:t>Team Consult</w:t>
            </w:r>
          </w:p>
        </w:tc>
        <w:tc>
          <w:tcPr>
            <w:tcW w:w="2575" w:type="dxa"/>
          </w:tcPr>
          <w:p w14:paraId="3DB4EA22" w14:textId="77777777" w:rsidR="00C532E7" w:rsidRDefault="000D68F0">
            <w:pPr>
              <w:pBdr>
                <w:top w:val="nil"/>
                <w:left w:val="nil"/>
                <w:bottom w:val="nil"/>
                <w:right w:val="nil"/>
                <w:between w:val="nil"/>
              </w:pBdr>
              <w:spacing w:after="160"/>
              <w:rPr>
                <w:color w:val="000000"/>
              </w:rPr>
            </w:pPr>
            <w:r>
              <w:rPr>
                <w:color w:val="000000"/>
              </w:rPr>
              <w:t>General education teacher, special education teacher, OT, SLP</w:t>
            </w:r>
          </w:p>
        </w:tc>
        <w:tc>
          <w:tcPr>
            <w:tcW w:w="2664" w:type="dxa"/>
          </w:tcPr>
          <w:p w14:paraId="6086E0B5" w14:textId="77777777" w:rsidR="00C532E7" w:rsidRDefault="000D68F0">
            <w:pPr>
              <w:pBdr>
                <w:top w:val="nil"/>
                <w:left w:val="nil"/>
                <w:bottom w:val="nil"/>
                <w:right w:val="nil"/>
                <w:between w:val="nil"/>
              </w:pBdr>
              <w:spacing w:after="160"/>
              <w:rPr>
                <w:color w:val="000000"/>
              </w:rPr>
            </w:pPr>
            <w:r>
              <w:rPr>
                <w:color w:val="000000"/>
              </w:rPr>
              <w:t xml:space="preserve">Monthly </w:t>
            </w:r>
          </w:p>
        </w:tc>
        <w:tc>
          <w:tcPr>
            <w:tcW w:w="1150" w:type="dxa"/>
          </w:tcPr>
          <w:p w14:paraId="31676F19" w14:textId="77777777" w:rsidR="00C532E7" w:rsidRDefault="000D68F0">
            <w:pPr>
              <w:pBdr>
                <w:top w:val="nil"/>
                <w:left w:val="nil"/>
                <w:bottom w:val="nil"/>
                <w:right w:val="nil"/>
                <w:between w:val="nil"/>
              </w:pBdr>
              <w:spacing w:after="160"/>
              <w:rPr>
                <w:color w:val="000000"/>
              </w:rPr>
            </w:pPr>
            <w:r>
              <w:rPr>
                <w:color w:val="000000"/>
              </w:rPr>
              <w:t>2/5/20-2/4/21</w:t>
            </w:r>
          </w:p>
        </w:tc>
      </w:tr>
      <w:tr w:rsidR="00C532E7" w14:paraId="16A34BCF" w14:textId="77777777">
        <w:tc>
          <w:tcPr>
            <w:tcW w:w="878" w:type="dxa"/>
          </w:tcPr>
          <w:p w14:paraId="5E77D3D6" w14:textId="77777777" w:rsidR="00C532E7" w:rsidRDefault="000D68F0">
            <w:pPr>
              <w:pBdr>
                <w:top w:val="nil"/>
                <w:left w:val="nil"/>
                <w:bottom w:val="nil"/>
                <w:right w:val="nil"/>
                <w:between w:val="nil"/>
              </w:pBdr>
              <w:spacing w:after="160"/>
              <w:rPr>
                <w:color w:val="000000"/>
              </w:rPr>
            </w:pPr>
            <w:r>
              <w:rPr>
                <w:color w:val="000000"/>
              </w:rPr>
              <w:t>1, 2</w:t>
            </w:r>
          </w:p>
        </w:tc>
        <w:tc>
          <w:tcPr>
            <w:tcW w:w="1363" w:type="dxa"/>
          </w:tcPr>
          <w:p w14:paraId="3606A5C4" w14:textId="77777777" w:rsidR="00C532E7" w:rsidRDefault="000D68F0">
            <w:pPr>
              <w:pBdr>
                <w:top w:val="nil"/>
                <w:left w:val="nil"/>
                <w:bottom w:val="nil"/>
                <w:right w:val="nil"/>
                <w:between w:val="nil"/>
              </w:pBdr>
              <w:spacing w:after="160"/>
              <w:rPr>
                <w:color w:val="000000"/>
              </w:rPr>
            </w:pPr>
            <w:r>
              <w:rPr>
                <w:color w:val="000000"/>
              </w:rPr>
              <w:t>Consult</w:t>
            </w:r>
          </w:p>
        </w:tc>
        <w:tc>
          <w:tcPr>
            <w:tcW w:w="2575" w:type="dxa"/>
          </w:tcPr>
          <w:p w14:paraId="38120EB2" w14:textId="77777777" w:rsidR="00C532E7" w:rsidRDefault="000D68F0">
            <w:pPr>
              <w:pBdr>
                <w:top w:val="nil"/>
                <w:left w:val="nil"/>
                <w:bottom w:val="nil"/>
                <w:right w:val="nil"/>
                <w:between w:val="nil"/>
              </w:pBdr>
              <w:spacing w:after="160"/>
              <w:rPr>
                <w:color w:val="000000"/>
              </w:rPr>
            </w:pPr>
            <w:r>
              <w:rPr>
                <w:color w:val="000000"/>
              </w:rPr>
              <w:t>Special education teacher/Paraprofessional</w:t>
            </w:r>
          </w:p>
        </w:tc>
        <w:tc>
          <w:tcPr>
            <w:tcW w:w="2664" w:type="dxa"/>
          </w:tcPr>
          <w:p w14:paraId="27CA88E0" w14:textId="77777777" w:rsidR="00C532E7" w:rsidRDefault="000D68F0">
            <w:pPr>
              <w:pBdr>
                <w:top w:val="nil"/>
                <w:left w:val="nil"/>
                <w:bottom w:val="nil"/>
                <w:right w:val="nil"/>
                <w:between w:val="nil"/>
              </w:pBdr>
              <w:spacing w:after="160"/>
              <w:rPr>
                <w:color w:val="000000"/>
              </w:rPr>
            </w:pPr>
            <w:r>
              <w:rPr>
                <w:color w:val="000000"/>
              </w:rPr>
              <w:t>Weekly</w:t>
            </w:r>
          </w:p>
        </w:tc>
        <w:tc>
          <w:tcPr>
            <w:tcW w:w="1150" w:type="dxa"/>
          </w:tcPr>
          <w:p w14:paraId="1FF1B46C" w14:textId="77777777" w:rsidR="00C532E7" w:rsidRDefault="000D68F0">
            <w:pPr>
              <w:pBdr>
                <w:top w:val="nil"/>
                <w:left w:val="nil"/>
                <w:bottom w:val="nil"/>
                <w:right w:val="nil"/>
                <w:between w:val="nil"/>
              </w:pBdr>
              <w:spacing w:after="160"/>
              <w:rPr>
                <w:color w:val="000000"/>
              </w:rPr>
            </w:pPr>
            <w:r>
              <w:rPr>
                <w:color w:val="000000"/>
              </w:rPr>
              <w:t>9/16/20-2/4/21</w:t>
            </w:r>
          </w:p>
        </w:tc>
      </w:tr>
      <w:tr w:rsidR="00C532E7" w14:paraId="0149DA87" w14:textId="77777777">
        <w:tc>
          <w:tcPr>
            <w:tcW w:w="878" w:type="dxa"/>
            <w:shd w:val="clear" w:color="auto" w:fill="D0CECE"/>
          </w:tcPr>
          <w:p w14:paraId="119FFCFF" w14:textId="77777777" w:rsidR="00C532E7" w:rsidRDefault="000D68F0">
            <w:pPr>
              <w:pBdr>
                <w:top w:val="nil"/>
                <w:left w:val="nil"/>
                <w:bottom w:val="nil"/>
                <w:right w:val="nil"/>
                <w:between w:val="nil"/>
              </w:pBdr>
              <w:spacing w:after="160"/>
              <w:rPr>
                <w:color w:val="000000"/>
              </w:rPr>
            </w:pPr>
            <w:r>
              <w:rPr>
                <w:color w:val="000000"/>
              </w:rPr>
              <w:t>GRID B</w:t>
            </w:r>
          </w:p>
        </w:tc>
        <w:tc>
          <w:tcPr>
            <w:tcW w:w="1363" w:type="dxa"/>
          </w:tcPr>
          <w:p w14:paraId="41B99056" w14:textId="77777777" w:rsidR="00C532E7" w:rsidRDefault="00C532E7">
            <w:pPr>
              <w:pBdr>
                <w:top w:val="nil"/>
                <w:left w:val="nil"/>
                <w:bottom w:val="nil"/>
                <w:right w:val="nil"/>
                <w:between w:val="nil"/>
              </w:pBdr>
              <w:spacing w:after="160"/>
              <w:rPr>
                <w:color w:val="000000"/>
              </w:rPr>
            </w:pPr>
          </w:p>
        </w:tc>
        <w:tc>
          <w:tcPr>
            <w:tcW w:w="2575" w:type="dxa"/>
          </w:tcPr>
          <w:p w14:paraId="06E31AF2" w14:textId="77777777" w:rsidR="00C532E7" w:rsidRDefault="00C532E7">
            <w:pPr>
              <w:pBdr>
                <w:top w:val="nil"/>
                <w:left w:val="nil"/>
                <w:bottom w:val="nil"/>
                <w:right w:val="nil"/>
                <w:between w:val="nil"/>
              </w:pBdr>
              <w:spacing w:after="160"/>
              <w:rPr>
                <w:color w:val="000000"/>
              </w:rPr>
            </w:pPr>
          </w:p>
        </w:tc>
        <w:tc>
          <w:tcPr>
            <w:tcW w:w="2664" w:type="dxa"/>
          </w:tcPr>
          <w:p w14:paraId="518D7860" w14:textId="77777777" w:rsidR="00C532E7" w:rsidRDefault="00C532E7">
            <w:pPr>
              <w:pBdr>
                <w:top w:val="nil"/>
                <w:left w:val="nil"/>
                <w:bottom w:val="nil"/>
                <w:right w:val="nil"/>
                <w:between w:val="nil"/>
              </w:pBdr>
              <w:spacing w:after="160"/>
              <w:rPr>
                <w:color w:val="000000"/>
              </w:rPr>
            </w:pPr>
          </w:p>
        </w:tc>
        <w:tc>
          <w:tcPr>
            <w:tcW w:w="1150" w:type="dxa"/>
          </w:tcPr>
          <w:p w14:paraId="3B4FD923" w14:textId="77777777" w:rsidR="00C532E7" w:rsidRDefault="00C532E7">
            <w:pPr>
              <w:pBdr>
                <w:top w:val="nil"/>
                <w:left w:val="nil"/>
                <w:bottom w:val="nil"/>
                <w:right w:val="nil"/>
                <w:between w:val="nil"/>
              </w:pBdr>
              <w:spacing w:after="160"/>
              <w:rPr>
                <w:color w:val="000000"/>
              </w:rPr>
            </w:pPr>
          </w:p>
        </w:tc>
      </w:tr>
      <w:tr w:rsidR="00C532E7" w14:paraId="0B817AF2" w14:textId="77777777">
        <w:tc>
          <w:tcPr>
            <w:tcW w:w="878" w:type="dxa"/>
          </w:tcPr>
          <w:p w14:paraId="0951131C" w14:textId="77777777" w:rsidR="00C532E7" w:rsidRDefault="000D68F0">
            <w:pPr>
              <w:pBdr>
                <w:top w:val="nil"/>
                <w:left w:val="nil"/>
                <w:bottom w:val="nil"/>
                <w:right w:val="nil"/>
                <w:between w:val="nil"/>
              </w:pBdr>
              <w:spacing w:after="160"/>
              <w:rPr>
                <w:color w:val="000000"/>
              </w:rPr>
            </w:pPr>
            <w:r>
              <w:rPr>
                <w:color w:val="000000"/>
              </w:rPr>
              <w:t xml:space="preserve"> 1, 2</w:t>
            </w:r>
          </w:p>
        </w:tc>
        <w:tc>
          <w:tcPr>
            <w:tcW w:w="1363" w:type="dxa"/>
          </w:tcPr>
          <w:p w14:paraId="0656D725" w14:textId="77777777" w:rsidR="00C532E7" w:rsidRDefault="000D68F0">
            <w:pPr>
              <w:pBdr>
                <w:top w:val="nil"/>
                <w:left w:val="nil"/>
                <w:bottom w:val="nil"/>
                <w:right w:val="nil"/>
                <w:between w:val="nil"/>
              </w:pBdr>
              <w:spacing w:after="160"/>
              <w:rPr>
                <w:color w:val="000000"/>
              </w:rPr>
            </w:pPr>
            <w:r>
              <w:rPr>
                <w:color w:val="000000"/>
              </w:rPr>
              <w:t>Academic Support</w:t>
            </w:r>
          </w:p>
        </w:tc>
        <w:tc>
          <w:tcPr>
            <w:tcW w:w="2575" w:type="dxa"/>
          </w:tcPr>
          <w:p w14:paraId="4C88475F" w14:textId="77777777" w:rsidR="00C532E7" w:rsidRDefault="000D68F0">
            <w:pPr>
              <w:pBdr>
                <w:top w:val="nil"/>
                <w:left w:val="nil"/>
                <w:bottom w:val="nil"/>
                <w:right w:val="nil"/>
                <w:between w:val="nil"/>
              </w:pBdr>
              <w:spacing w:after="160"/>
              <w:rPr>
                <w:color w:val="000000"/>
              </w:rPr>
            </w:pPr>
            <w:r>
              <w:rPr>
                <w:color w:val="000000"/>
              </w:rPr>
              <w:t>Special Education Staff</w:t>
            </w:r>
          </w:p>
        </w:tc>
        <w:tc>
          <w:tcPr>
            <w:tcW w:w="2664" w:type="dxa"/>
          </w:tcPr>
          <w:p w14:paraId="2326EE0E" w14:textId="77777777" w:rsidR="00C532E7" w:rsidRDefault="000D68F0">
            <w:pPr>
              <w:pBdr>
                <w:top w:val="nil"/>
                <w:left w:val="nil"/>
                <w:bottom w:val="nil"/>
                <w:right w:val="nil"/>
                <w:between w:val="nil"/>
              </w:pBdr>
              <w:spacing w:after="160"/>
              <w:rPr>
                <w:color w:val="000000"/>
              </w:rPr>
            </w:pPr>
            <w:r>
              <w:rPr>
                <w:color w:val="000000"/>
              </w:rPr>
              <w:t>Daily, 2 hours</w:t>
            </w:r>
          </w:p>
        </w:tc>
        <w:tc>
          <w:tcPr>
            <w:tcW w:w="1150" w:type="dxa"/>
          </w:tcPr>
          <w:p w14:paraId="2787457C" w14:textId="77777777" w:rsidR="00C532E7" w:rsidRDefault="000D68F0">
            <w:pPr>
              <w:pBdr>
                <w:top w:val="nil"/>
                <w:left w:val="nil"/>
                <w:bottom w:val="nil"/>
                <w:right w:val="nil"/>
                <w:between w:val="nil"/>
              </w:pBdr>
              <w:spacing w:after="160"/>
              <w:rPr>
                <w:color w:val="000000"/>
              </w:rPr>
            </w:pPr>
            <w:r>
              <w:rPr>
                <w:color w:val="000000"/>
              </w:rPr>
              <w:t>9/16/20-2/4/21</w:t>
            </w:r>
          </w:p>
        </w:tc>
      </w:tr>
      <w:tr w:rsidR="00C532E7" w14:paraId="0511743C" w14:textId="77777777">
        <w:tc>
          <w:tcPr>
            <w:tcW w:w="878" w:type="dxa"/>
          </w:tcPr>
          <w:p w14:paraId="015641AD" w14:textId="77777777" w:rsidR="00C532E7" w:rsidRDefault="000D68F0">
            <w:pPr>
              <w:pBdr>
                <w:top w:val="nil"/>
                <w:left w:val="nil"/>
                <w:bottom w:val="nil"/>
                <w:right w:val="nil"/>
                <w:between w:val="nil"/>
              </w:pBdr>
              <w:spacing w:after="160"/>
              <w:rPr>
                <w:b/>
                <w:color w:val="000000"/>
              </w:rPr>
            </w:pPr>
            <w:r>
              <w:rPr>
                <w:b/>
                <w:color w:val="000000"/>
              </w:rPr>
              <w:t>5</w:t>
            </w:r>
          </w:p>
        </w:tc>
        <w:tc>
          <w:tcPr>
            <w:tcW w:w="1363" w:type="dxa"/>
          </w:tcPr>
          <w:p w14:paraId="65224052" w14:textId="77777777" w:rsidR="00C532E7" w:rsidRDefault="000D68F0">
            <w:pPr>
              <w:pBdr>
                <w:top w:val="nil"/>
                <w:left w:val="nil"/>
                <w:bottom w:val="nil"/>
                <w:right w:val="nil"/>
                <w:between w:val="nil"/>
              </w:pBdr>
              <w:spacing w:after="160"/>
              <w:rPr>
                <w:b/>
                <w:color w:val="000000"/>
              </w:rPr>
            </w:pPr>
            <w:r>
              <w:rPr>
                <w:b/>
                <w:color w:val="000000"/>
              </w:rPr>
              <w:t>Academic Support- Math</w:t>
            </w:r>
          </w:p>
        </w:tc>
        <w:tc>
          <w:tcPr>
            <w:tcW w:w="2575" w:type="dxa"/>
          </w:tcPr>
          <w:p w14:paraId="6E0A65A6" w14:textId="77777777" w:rsidR="00C532E7" w:rsidRDefault="000D68F0">
            <w:pPr>
              <w:pBdr>
                <w:top w:val="nil"/>
                <w:left w:val="nil"/>
                <w:bottom w:val="nil"/>
                <w:right w:val="nil"/>
                <w:between w:val="nil"/>
              </w:pBdr>
              <w:spacing w:after="160"/>
              <w:rPr>
                <w:b/>
                <w:color w:val="000000"/>
              </w:rPr>
            </w:pPr>
            <w:r>
              <w:rPr>
                <w:b/>
                <w:color w:val="000000"/>
              </w:rPr>
              <w:t>Special Education Staff</w:t>
            </w:r>
          </w:p>
        </w:tc>
        <w:tc>
          <w:tcPr>
            <w:tcW w:w="2664" w:type="dxa"/>
          </w:tcPr>
          <w:p w14:paraId="1FEA9122" w14:textId="77777777" w:rsidR="00C532E7" w:rsidRDefault="000D68F0">
            <w:pPr>
              <w:pBdr>
                <w:top w:val="nil"/>
                <w:left w:val="nil"/>
                <w:bottom w:val="nil"/>
                <w:right w:val="nil"/>
                <w:between w:val="nil"/>
              </w:pBdr>
              <w:spacing w:after="160"/>
              <w:rPr>
                <w:b/>
                <w:color w:val="000000"/>
              </w:rPr>
            </w:pPr>
            <w:r>
              <w:rPr>
                <w:b/>
                <w:color w:val="000000"/>
              </w:rPr>
              <w:t>Daily, 1 hour</w:t>
            </w:r>
          </w:p>
        </w:tc>
        <w:tc>
          <w:tcPr>
            <w:tcW w:w="1150" w:type="dxa"/>
          </w:tcPr>
          <w:p w14:paraId="04CE9AB3" w14:textId="77777777" w:rsidR="00C532E7" w:rsidRDefault="000D68F0">
            <w:pPr>
              <w:pBdr>
                <w:top w:val="nil"/>
                <w:left w:val="nil"/>
                <w:bottom w:val="nil"/>
                <w:right w:val="nil"/>
                <w:between w:val="nil"/>
              </w:pBdr>
              <w:spacing w:after="160"/>
              <w:rPr>
                <w:b/>
                <w:color w:val="000000"/>
              </w:rPr>
            </w:pPr>
            <w:r>
              <w:rPr>
                <w:b/>
                <w:color w:val="000000"/>
              </w:rPr>
              <w:t>11/12/20-2/4/21</w:t>
            </w:r>
          </w:p>
        </w:tc>
      </w:tr>
      <w:tr w:rsidR="00C532E7" w14:paraId="5BD6D40A" w14:textId="77777777">
        <w:tc>
          <w:tcPr>
            <w:tcW w:w="878" w:type="dxa"/>
            <w:shd w:val="clear" w:color="auto" w:fill="D0CECE"/>
          </w:tcPr>
          <w:p w14:paraId="09A4E5E9" w14:textId="77777777" w:rsidR="00C532E7" w:rsidRDefault="000D68F0">
            <w:pPr>
              <w:pBdr>
                <w:top w:val="nil"/>
                <w:left w:val="nil"/>
                <w:bottom w:val="nil"/>
                <w:right w:val="nil"/>
                <w:between w:val="nil"/>
              </w:pBdr>
              <w:spacing w:after="160"/>
              <w:rPr>
                <w:color w:val="000000"/>
              </w:rPr>
            </w:pPr>
            <w:r>
              <w:rPr>
                <w:color w:val="000000"/>
              </w:rPr>
              <w:t>GRID C</w:t>
            </w:r>
          </w:p>
        </w:tc>
        <w:tc>
          <w:tcPr>
            <w:tcW w:w="1363" w:type="dxa"/>
          </w:tcPr>
          <w:p w14:paraId="1614D365" w14:textId="77777777" w:rsidR="00C532E7" w:rsidRDefault="00C532E7">
            <w:pPr>
              <w:pBdr>
                <w:top w:val="nil"/>
                <w:left w:val="nil"/>
                <w:bottom w:val="nil"/>
                <w:right w:val="nil"/>
                <w:between w:val="nil"/>
              </w:pBdr>
              <w:spacing w:after="160"/>
              <w:rPr>
                <w:color w:val="000000"/>
              </w:rPr>
            </w:pPr>
          </w:p>
        </w:tc>
        <w:tc>
          <w:tcPr>
            <w:tcW w:w="2575" w:type="dxa"/>
          </w:tcPr>
          <w:p w14:paraId="37FE8290" w14:textId="77777777" w:rsidR="00C532E7" w:rsidRDefault="00C532E7">
            <w:pPr>
              <w:pBdr>
                <w:top w:val="nil"/>
                <w:left w:val="nil"/>
                <w:bottom w:val="nil"/>
                <w:right w:val="nil"/>
                <w:between w:val="nil"/>
              </w:pBdr>
              <w:spacing w:after="160"/>
              <w:rPr>
                <w:color w:val="000000"/>
              </w:rPr>
            </w:pPr>
          </w:p>
        </w:tc>
        <w:tc>
          <w:tcPr>
            <w:tcW w:w="2664" w:type="dxa"/>
          </w:tcPr>
          <w:p w14:paraId="39E3A2FB" w14:textId="77777777" w:rsidR="00C532E7" w:rsidRDefault="00C532E7">
            <w:pPr>
              <w:pBdr>
                <w:top w:val="nil"/>
                <w:left w:val="nil"/>
                <w:bottom w:val="nil"/>
                <w:right w:val="nil"/>
                <w:between w:val="nil"/>
              </w:pBdr>
              <w:spacing w:after="160"/>
              <w:rPr>
                <w:color w:val="000000"/>
              </w:rPr>
            </w:pPr>
          </w:p>
        </w:tc>
        <w:tc>
          <w:tcPr>
            <w:tcW w:w="1150" w:type="dxa"/>
          </w:tcPr>
          <w:p w14:paraId="6CF05AC3" w14:textId="77777777" w:rsidR="00C532E7" w:rsidRDefault="00C532E7">
            <w:pPr>
              <w:pBdr>
                <w:top w:val="nil"/>
                <w:left w:val="nil"/>
                <w:bottom w:val="nil"/>
                <w:right w:val="nil"/>
                <w:between w:val="nil"/>
              </w:pBdr>
              <w:spacing w:after="160"/>
              <w:rPr>
                <w:color w:val="000000"/>
              </w:rPr>
            </w:pPr>
          </w:p>
        </w:tc>
      </w:tr>
      <w:tr w:rsidR="00C532E7" w14:paraId="77E3E6CA" w14:textId="77777777">
        <w:tc>
          <w:tcPr>
            <w:tcW w:w="878" w:type="dxa"/>
          </w:tcPr>
          <w:p w14:paraId="5B915E5F" w14:textId="77777777" w:rsidR="00C532E7" w:rsidRDefault="000D68F0">
            <w:pPr>
              <w:pBdr>
                <w:top w:val="nil"/>
                <w:left w:val="nil"/>
                <w:bottom w:val="nil"/>
                <w:right w:val="nil"/>
                <w:between w:val="nil"/>
              </w:pBdr>
              <w:spacing w:after="160"/>
              <w:rPr>
                <w:b/>
                <w:color w:val="000000"/>
              </w:rPr>
            </w:pPr>
            <w:r>
              <w:rPr>
                <w:b/>
                <w:color w:val="000000"/>
              </w:rPr>
              <w:t>1</w:t>
            </w:r>
          </w:p>
        </w:tc>
        <w:tc>
          <w:tcPr>
            <w:tcW w:w="1363" w:type="dxa"/>
          </w:tcPr>
          <w:p w14:paraId="72DE3B13" w14:textId="77777777" w:rsidR="00C532E7" w:rsidRDefault="000D68F0">
            <w:pPr>
              <w:pBdr>
                <w:top w:val="nil"/>
                <w:left w:val="nil"/>
                <w:bottom w:val="nil"/>
                <w:right w:val="nil"/>
                <w:between w:val="nil"/>
              </w:pBdr>
              <w:spacing w:after="160"/>
              <w:rPr>
                <w:b/>
                <w:color w:val="000000"/>
              </w:rPr>
            </w:pPr>
            <w:r>
              <w:rPr>
                <w:b/>
                <w:color w:val="000000"/>
              </w:rPr>
              <w:t>Specially Designed Instruction – Reading</w:t>
            </w:r>
          </w:p>
        </w:tc>
        <w:tc>
          <w:tcPr>
            <w:tcW w:w="2575" w:type="dxa"/>
          </w:tcPr>
          <w:p w14:paraId="528D3C91" w14:textId="77777777" w:rsidR="00C532E7" w:rsidRDefault="000D68F0">
            <w:pPr>
              <w:pBdr>
                <w:top w:val="nil"/>
                <w:left w:val="nil"/>
                <w:bottom w:val="nil"/>
                <w:right w:val="nil"/>
                <w:between w:val="nil"/>
              </w:pBdr>
              <w:spacing w:after="160"/>
              <w:rPr>
                <w:b/>
                <w:color w:val="000000"/>
              </w:rPr>
            </w:pPr>
            <w:r>
              <w:rPr>
                <w:b/>
                <w:color w:val="000000"/>
              </w:rPr>
              <w:t>Special education teacher</w:t>
            </w:r>
          </w:p>
        </w:tc>
        <w:tc>
          <w:tcPr>
            <w:tcW w:w="2664" w:type="dxa"/>
          </w:tcPr>
          <w:p w14:paraId="0F59597A" w14:textId="77777777" w:rsidR="00C532E7" w:rsidRDefault="000D68F0">
            <w:pPr>
              <w:pBdr>
                <w:top w:val="nil"/>
                <w:left w:val="nil"/>
                <w:bottom w:val="nil"/>
                <w:right w:val="nil"/>
                <w:between w:val="nil"/>
              </w:pBdr>
              <w:spacing w:after="160"/>
              <w:rPr>
                <w:b/>
                <w:color w:val="000000"/>
              </w:rPr>
            </w:pPr>
            <w:r>
              <w:rPr>
                <w:b/>
                <w:color w:val="000000"/>
              </w:rPr>
              <w:t>Daily, 40 min</w:t>
            </w:r>
          </w:p>
        </w:tc>
        <w:tc>
          <w:tcPr>
            <w:tcW w:w="1150" w:type="dxa"/>
          </w:tcPr>
          <w:p w14:paraId="71CA45C7" w14:textId="77777777" w:rsidR="00C532E7" w:rsidRDefault="000D68F0">
            <w:pPr>
              <w:pBdr>
                <w:top w:val="nil"/>
                <w:left w:val="nil"/>
                <w:bottom w:val="nil"/>
                <w:right w:val="nil"/>
                <w:between w:val="nil"/>
              </w:pBdr>
              <w:spacing w:after="160"/>
              <w:rPr>
                <w:b/>
                <w:color w:val="000000"/>
              </w:rPr>
            </w:pPr>
            <w:r>
              <w:rPr>
                <w:b/>
                <w:color w:val="000000"/>
              </w:rPr>
              <w:t>9/16/20-2/4/21</w:t>
            </w:r>
          </w:p>
        </w:tc>
      </w:tr>
      <w:tr w:rsidR="00C532E7" w14:paraId="68CAE0EC" w14:textId="77777777">
        <w:tc>
          <w:tcPr>
            <w:tcW w:w="878" w:type="dxa"/>
          </w:tcPr>
          <w:p w14:paraId="7D19CB31" w14:textId="77777777" w:rsidR="00C532E7" w:rsidRDefault="000D68F0">
            <w:pPr>
              <w:pBdr>
                <w:top w:val="nil"/>
                <w:left w:val="nil"/>
                <w:bottom w:val="nil"/>
                <w:right w:val="nil"/>
                <w:between w:val="nil"/>
              </w:pBdr>
              <w:spacing w:after="160"/>
              <w:rPr>
                <w:b/>
                <w:color w:val="000000"/>
              </w:rPr>
            </w:pPr>
            <w:r>
              <w:rPr>
                <w:b/>
                <w:color w:val="000000"/>
              </w:rPr>
              <w:t>2</w:t>
            </w:r>
          </w:p>
        </w:tc>
        <w:tc>
          <w:tcPr>
            <w:tcW w:w="1363" w:type="dxa"/>
          </w:tcPr>
          <w:p w14:paraId="619501B9" w14:textId="77777777" w:rsidR="00C532E7" w:rsidRDefault="000D68F0">
            <w:pPr>
              <w:pBdr>
                <w:top w:val="nil"/>
                <w:left w:val="nil"/>
                <w:bottom w:val="nil"/>
                <w:right w:val="nil"/>
                <w:between w:val="nil"/>
              </w:pBdr>
              <w:spacing w:after="160"/>
              <w:rPr>
                <w:b/>
                <w:color w:val="000000"/>
              </w:rPr>
            </w:pPr>
            <w:r>
              <w:rPr>
                <w:b/>
                <w:color w:val="000000"/>
              </w:rPr>
              <w:t>Specially Designed Instruction – Writing</w:t>
            </w:r>
          </w:p>
        </w:tc>
        <w:tc>
          <w:tcPr>
            <w:tcW w:w="2575" w:type="dxa"/>
          </w:tcPr>
          <w:p w14:paraId="2C6FF7D7" w14:textId="77777777" w:rsidR="00C532E7" w:rsidRDefault="000D68F0">
            <w:pPr>
              <w:pBdr>
                <w:top w:val="nil"/>
                <w:left w:val="nil"/>
                <w:bottom w:val="nil"/>
                <w:right w:val="nil"/>
                <w:between w:val="nil"/>
              </w:pBdr>
              <w:spacing w:after="160"/>
              <w:rPr>
                <w:b/>
                <w:color w:val="000000"/>
              </w:rPr>
            </w:pPr>
            <w:r>
              <w:rPr>
                <w:b/>
                <w:color w:val="000000"/>
              </w:rPr>
              <w:t>Special education teacher</w:t>
            </w:r>
          </w:p>
        </w:tc>
        <w:tc>
          <w:tcPr>
            <w:tcW w:w="2664" w:type="dxa"/>
          </w:tcPr>
          <w:p w14:paraId="5E83C094" w14:textId="77777777" w:rsidR="00C532E7" w:rsidRDefault="000D68F0">
            <w:pPr>
              <w:pBdr>
                <w:top w:val="nil"/>
                <w:left w:val="nil"/>
                <w:bottom w:val="nil"/>
                <w:right w:val="nil"/>
                <w:between w:val="nil"/>
              </w:pBdr>
              <w:spacing w:after="160"/>
              <w:rPr>
                <w:b/>
                <w:color w:val="000000"/>
              </w:rPr>
            </w:pPr>
            <w:r>
              <w:rPr>
                <w:b/>
                <w:color w:val="000000"/>
              </w:rPr>
              <w:t>Daily, 30 min</w:t>
            </w:r>
          </w:p>
        </w:tc>
        <w:tc>
          <w:tcPr>
            <w:tcW w:w="1150" w:type="dxa"/>
          </w:tcPr>
          <w:p w14:paraId="7F7FE6EC" w14:textId="77777777" w:rsidR="00C532E7" w:rsidRDefault="000D68F0">
            <w:pPr>
              <w:pBdr>
                <w:top w:val="nil"/>
                <w:left w:val="nil"/>
                <w:bottom w:val="nil"/>
                <w:right w:val="nil"/>
                <w:between w:val="nil"/>
              </w:pBdr>
              <w:spacing w:after="160"/>
              <w:rPr>
                <w:b/>
                <w:color w:val="000000"/>
              </w:rPr>
            </w:pPr>
            <w:r>
              <w:rPr>
                <w:b/>
                <w:color w:val="000000"/>
              </w:rPr>
              <w:t>9/16/20-2/4/21</w:t>
            </w:r>
          </w:p>
        </w:tc>
      </w:tr>
      <w:tr w:rsidR="00C532E7" w14:paraId="6E1CBC0D" w14:textId="77777777">
        <w:tc>
          <w:tcPr>
            <w:tcW w:w="878" w:type="dxa"/>
          </w:tcPr>
          <w:p w14:paraId="4A239ADF" w14:textId="77777777" w:rsidR="00C532E7" w:rsidRDefault="000D68F0">
            <w:pPr>
              <w:pBdr>
                <w:top w:val="nil"/>
                <w:left w:val="nil"/>
                <w:bottom w:val="nil"/>
                <w:right w:val="nil"/>
                <w:between w:val="nil"/>
              </w:pBdr>
              <w:spacing w:after="160"/>
              <w:rPr>
                <w:color w:val="000000"/>
              </w:rPr>
            </w:pPr>
            <w:r>
              <w:rPr>
                <w:color w:val="000000"/>
              </w:rPr>
              <w:t>3</w:t>
            </w:r>
          </w:p>
        </w:tc>
        <w:tc>
          <w:tcPr>
            <w:tcW w:w="1363" w:type="dxa"/>
          </w:tcPr>
          <w:p w14:paraId="52F92E62" w14:textId="77777777" w:rsidR="00C532E7" w:rsidRDefault="000D68F0">
            <w:pPr>
              <w:pBdr>
                <w:top w:val="nil"/>
                <w:left w:val="nil"/>
                <w:bottom w:val="nil"/>
                <w:right w:val="nil"/>
                <w:between w:val="nil"/>
              </w:pBdr>
              <w:spacing w:after="160"/>
              <w:rPr>
                <w:color w:val="000000"/>
              </w:rPr>
            </w:pPr>
            <w:r>
              <w:rPr>
                <w:color w:val="000000"/>
              </w:rPr>
              <w:t>SLP</w:t>
            </w:r>
          </w:p>
        </w:tc>
        <w:tc>
          <w:tcPr>
            <w:tcW w:w="2575" w:type="dxa"/>
          </w:tcPr>
          <w:p w14:paraId="3C75497B" w14:textId="77777777" w:rsidR="00C532E7" w:rsidRDefault="000D68F0">
            <w:pPr>
              <w:pBdr>
                <w:top w:val="nil"/>
                <w:left w:val="nil"/>
                <w:bottom w:val="nil"/>
                <w:right w:val="nil"/>
                <w:between w:val="nil"/>
              </w:pBdr>
              <w:spacing w:after="160"/>
              <w:rPr>
                <w:color w:val="000000"/>
              </w:rPr>
            </w:pPr>
            <w:r>
              <w:rPr>
                <w:color w:val="000000"/>
              </w:rPr>
              <w:t>SLP</w:t>
            </w:r>
          </w:p>
        </w:tc>
        <w:tc>
          <w:tcPr>
            <w:tcW w:w="2664" w:type="dxa"/>
          </w:tcPr>
          <w:p w14:paraId="7A90D264" w14:textId="77777777" w:rsidR="00C532E7" w:rsidRDefault="000D68F0">
            <w:pPr>
              <w:pBdr>
                <w:top w:val="nil"/>
                <w:left w:val="nil"/>
                <w:bottom w:val="nil"/>
                <w:right w:val="nil"/>
                <w:between w:val="nil"/>
              </w:pBdr>
              <w:spacing w:after="160"/>
              <w:rPr>
                <w:color w:val="000000"/>
              </w:rPr>
            </w:pPr>
            <w:r>
              <w:rPr>
                <w:color w:val="000000"/>
              </w:rPr>
              <w:t>3 times, 30 min</w:t>
            </w:r>
          </w:p>
        </w:tc>
        <w:tc>
          <w:tcPr>
            <w:tcW w:w="1150" w:type="dxa"/>
          </w:tcPr>
          <w:p w14:paraId="20E436F3" w14:textId="77777777" w:rsidR="00C532E7" w:rsidRDefault="000D68F0">
            <w:pPr>
              <w:pBdr>
                <w:top w:val="nil"/>
                <w:left w:val="nil"/>
                <w:bottom w:val="nil"/>
                <w:right w:val="nil"/>
                <w:between w:val="nil"/>
              </w:pBdr>
              <w:spacing w:after="160"/>
              <w:rPr>
                <w:color w:val="000000"/>
              </w:rPr>
            </w:pPr>
            <w:r>
              <w:rPr>
                <w:color w:val="000000"/>
              </w:rPr>
              <w:t>2/5/20-2/4/21</w:t>
            </w:r>
          </w:p>
        </w:tc>
      </w:tr>
      <w:tr w:rsidR="00C532E7" w14:paraId="1607DD74" w14:textId="77777777">
        <w:tc>
          <w:tcPr>
            <w:tcW w:w="878" w:type="dxa"/>
          </w:tcPr>
          <w:p w14:paraId="5F672C44" w14:textId="77777777" w:rsidR="00C532E7" w:rsidRDefault="000D68F0">
            <w:pPr>
              <w:pBdr>
                <w:top w:val="nil"/>
                <w:left w:val="nil"/>
                <w:bottom w:val="nil"/>
                <w:right w:val="nil"/>
                <w:between w:val="nil"/>
              </w:pBdr>
              <w:spacing w:after="160"/>
              <w:rPr>
                <w:color w:val="000000"/>
              </w:rPr>
            </w:pPr>
            <w:r>
              <w:rPr>
                <w:color w:val="000000"/>
              </w:rPr>
              <w:t>4</w:t>
            </w:r>
          </w:p>
        </w:tc>
        <w:tc>
          <w:tcPr>
            <w:tcW w:w="1363" w:type="dxa"/>
          </w:tcPr>
          <w:p w14:paraId="141A1C20" w14:textId="77777777" w:rsidR="00C532E7" w:rsidRDefault="000D68F0">
            <w:pPr>
              <w:pBdr>
                <w:top w:val="nil"/>
                <w:left w:val="nil"/>
                <w:bottom w:val="nil"/>
                <w:right w:val="nil"/>
                <w:between w:val="nil"/>
              </w:pBdr>
              <w:spacing w:after="160"/>
              <w:rPr>
                <w:color w:val="000000"/>
              </w:rPr>
            </w:pPr>
            <w:r>
              <w:rPr>
                <w:color w:val="000000"/>
              </w:rPr>
              <w:t>OT</w:t>
            </w:r>
          </w:p>
        </w:tc>
        <w:tc>
          <w:tcPr>
            <w:tcW w:w="2575" w:type="dxa"/>
          </w:tcPr>
          <w:p w14:paraId="48B5AEEC" w14:textId="77777777" w:rsidR="00C532E7" w:rsidRDefault="000D68F0">
            <w:pPr>
              <w:pBdr>
                <w:top w:val="nil"/>
                <w:left w:val="nil"/>
                <w:bottom w:val="nil"/>
                <w:right w:val="nil"/>
                <w:between w:val="nil"/>
              </w:pBdr>
              <w:spacing w:after="160"/>
              <w:rPr>
                <w:color w:val="000000"/>
              </w:rPr>
            </w:pPr>
            <w:r>
              <w:rPr>
                <w:color w:val="000000"/>
              </w:rPr>
              <w:t>OT</w:t>
            </w:r>
          </w:p>
        </w:tc>
        <w:tc>
          <w:tcPr>
            <w:tcW w:w="2664" w:type="dxa"/>
          </w:tcPr>
          <w:p w14:paraId="7D046F85" w14:textId="77777777" w:rsidR="00C532E7" w:rsidRDefault="000D68F0">
            <w:pPr>
              <w:pBdr>
                <w:top w:val="nil"/>
                <w:left w:val="nil"/>
                <w:bottom w:val="nil"/>
                <w:right w:val="nil"/>
                <w:between w:val="nil"/>
              </w:pBdr>
              <w:spacing w:after="160"/>
              <w:rPr>
                <w:color w:val="000000"/>
              </w:rPr>
            </w:pPr>
            <w:r>
              <w:rPr>
                <w:color w:val="000000"/>
              </w:rPr>
              <w:t>Weekly, 30 min</w:t>
            </w:r>
          </w:p>
        </w:tc>
        <w:tc>
          <w:tcPr>
            <w:tcW w:w="1150" w:type="dxa"/>
          </w:tcPr>
          <w:p w14:paraId="2E372EB7" w14:textId="77777777" w:rsidR="00C532E7" w:rsidRDefault="000D68F0">
            <w:pPr>
              <w:pBdr>
                <w:top w:val="nil"/>
                <w:left w:val="nil"/>
                <w:bottom w:val="nil"/>
                <w:right w:val="nil"/>
                <w:between w:val="nil"/>
              </w:pBdr>
              <w:spacing w:after="160"/>
              <w:rPr>
                <w:color w:val="000000"/>
              </w:rPr>
            </w:pPr>
            <w:r>
              <w:rPr>
                <w:color w:val="000000"/>
              </w:rPr>
              <w:t>2/5/20-2/4/21</w:t>
            </w:r>
          </w:p>
        </w:tc>
      </w:tr>
      <w:tr w:rsidR="00C532E7" w14:paraId="28D2239D" w14:textId="77777777">
        <w:tc>
          <w:tcPr>
            <w:tcW w:w="878" w:type="dxa"/>
          </w:tcPr>
          <w:p w14:paraId="46C75CBE" w14:textId="77777777" w:rsidR="00C532E7" w:rsidRDefault="000D68F0">
            <w:pPr>
              <w:pBdr>
                <w:top w:val="nil"/>
                <w:left w:val="nil"/>
                <w:bottom w:val="nil"/>
                <w:right w:val="nil"/>
                <w:between w:val="nil"/>
              </w:pBdr>
              <w:spacing w:after="160"/>
              <w:rPr>
                <w:b/>
                <w:color w:val="000000"/>
              </w:rPr>
            </w:pPr>
            <w:r>
              <w:rPr>
                <w:b/>
                <w:color w:val="000000"/>
              </w:rPr>
              <w:t>5</w:t>
            </w:r>
          </w:p>
        </w:tc>
        <w:tc>
          <w:tcPr>
            <w:tcW w:w="1363" w:type="dxa"/>
          </w:tcPr>
          <w:p w14:paraId="693DC84D" w14:textId="77777777" w:rsidR="00C532E7" w:rsidRDefault="000D68F0">
            <w:pPr>
              <w:pBdr>
                <w:top w:val="nil"/>
                <w:left w:val="nil"/>
                <w:bottom w:val="nil"/>
                <w:right w:val="nil"/>
                <w:between w:val="nil"/>
              </w:pBdr>
              <w:spacing w:after="160"/>
              <w:rPr>
                <w:b/>
                <w:color w:val="000000"/>
              </w:rPr>
            </w:pPr>
            <w:r>
              <w:rPr>
                <w:b/>
                <w:color w:val="000000"/>
              </w:rPr>
              <w:t>Math</w:t>
            </w:r>
          </w:p>
        </w:tc>
        <w:tc>
          <w:tcPr>
            <w:tcW w:w="2575" w:type="dxa"/>
          </w:tcPr>
          <w:p w14:paraId="023A25AB" w14:textId="77777777" w:rsidR="00C532E7" w:rsidRDefault="000D68F0">
            <w:pPr>
              <w:pBdr>
                <w:top w:val="nil"/>
                <w:left w:val="nil"/>
                <w:bottom w:val="nil"/>
                <w:right w:val="nil"/>
                <w:between w:val="nil"/>
              </w:pBdr>
              <w:spacing w:after="160"/>
              <w:rPr>
                <w:b/>
                <w:color w:val="000000"/>
              </w:rPr>
            </w:pPr>
            <w:r>
              <w:rPr>
                <w:b/>
                <w:color w:val="000000"/>
              </w:rPr>
              <w:t>Special education teacher</w:t>
            </w:r>
          </w:p>
        </w:tc>
        <w:tc>
          <w:tcPr>
            <w:tcW w:w="2664" w:type="dxa"/>
          </w:tcPr>
          <w:p w14:paraId="0BC3AF9F" w14:textId="77777777" w:rsidR="00C532E7" w:rsidRDefault="000D68F0">
            <w:pPr>
              <w:pBdr>
                <w:top w:val="nil"/>
                <w:left w:val="nil"/>
                <w:bottom w:val="nil"/>
                <w:right w:val="nil"/>
                <w:between w:val="nil"/>
              </w:pBdr>
              <w:spacing w:after="160"/>
              <w:rPr>
                <w:b/>
                <w:color w:val="000000"/>
              </w:rPr>
            </w:pPr>
            <w:r>
              <w:rPr>
                <w:b/>
                <w:color w:val="000000"/>
              </w:rPr>
              <w:t>Daily, 30 min</w:t>
            </w:r>
          </w:p>
        </w:tc>
        <w:tc>
          <w:tcPr>
            <w:tcW w:w="1150" w:type="dxa"/>
          </w:tcPr>
          <w:p w14:paraId="6D351777" w14:textId="77777777" w:rsidR="00C532E7" w:rsidRDefault="000D68F0">
            <w:pPr>
              <w:pBdr>
                <w:top w:val="nil"/>
                <w:left w:val="nil"/>
                <w:bottom w:val="nil"/>
                <w:right w:val="nil"/>
                <w:between w:val="nil"/>
              </w:pBdr>
              <w:spacing w:after="160"/>
              <w:rPr>
                <w:b/>
                <w:color w:val="000000"/>
              </w:rPr>
            </w:pPr>
            <w:r>
              <w:rPr>
                <w:b/>
                <w:color w:val="000000"/>
              </w:rPr>
              <w:t>11/12/20-2/4/21</w:t>
            </w:r>
          </w:p>
        </w:tc>
      </w:tr>
      <w:tr w:rsidR="00C532E7" w14:paraId="1CC62D74" w14:textId="77777777">
        <w:tc>
          <w:tcPr>
            <w:tcW w:w="878" w:type="dxa"/>
          </w:tcPr>
          <w:p w14:paraId="20ACFE40" w14:textId="77777777" w:rsidR="00C532E7" w:rsidRDefault="000D68F0">
            <w:pPr>
              <w:pBdr>
                <w:top w:val="nil"/>
                <w:left w:val="nil"/>
                <w:bottom w:val="nil"/>
                <w:right w:val="nil"/>
                <w:between w:val="nil"/>
              </w:pBdr>
              <w:spacing w:after="160"/>
              <w:rPr>
                <w:color w:val="000000"/>
              </w:rPr>
            </w:pPr>
            <w:r>
              <w:rPr>
                <w:color w:val="000000"/>
              </w:rPr>
              <w:lastRenderedPageBreak/>
              <w:t>1, 2</w:t>
            </w:r>
          </w:p>
        </w:tc>
        <w:tc>
          <w:tcPr>
            <w:tcW w:w="1363" w:type="dxa"/>
          </w:tcPr>
          <w:p w14:paraId="27A2AA47" w14:textId="77777777" w:rsidR="00C532E7" w:rsidRDefault="000D68F0">
            <w:pPr>
              <w:pBdr>
                <w:top w:val="nil"/>
                <w:left w:val="nil"/>
                <w:bottom w:val="nil"/>
                <w:right w:val="nil"/>
                <w:between w:val="nil"/>
              </w:pBdr>
              <w:spacing w:after="160"/>
              <w:rPr>
                <w:color w:val="000000"/>
              </w:rPr>
            </w:pPr>
            <w:r>
              <w:rPr>
                <w:color w:val="000000"/>
              </w:rPr>
              <w:t>Summer Tutoring – Reading and Writing</w:t>
            </w:r>
          </w:p>
        </w:tc>
        <w:tc>
          <w:tcPr>
            <w:tcW w:w="2575" w:type="dxa"/>
          </w:tcPr>
          <w:p w14:paraId="266B3525" w14:textId="77777777" w:rsidR="00C532E7" w:rsidRDefault="000D68F0">
            <w:pPr>
              <w:pBdr>
                <w:top w:val="nil"/>
                <w:left w:val="nil"/>
                <w:bottom w:val="nil"/>
                <w:right w:val="nil"/>
                <w:between w:val="nil"/>
              </w:pBdr>
              <w:spacing w:after="160"/>
              <w:rPr>
                <w:color w:val="000000"/>
              </w:rPr>
            </w:pPr>
            <w:r>
              <w:rPr>
                <w:color w:val="000000"/>
              </w:rPr>
              <w:t>Special education teacher</w:t>
            </w:r>
          </w:p>
        </w:tc>
        <w:tc>
          <w:tcPr>
            <w:tcW w:w="2664" w:type="dxa"/>
          </w:tcPr>
          <w:p w14:paraId="79E28DA0" w14:textId="77777777" w:rsidR="00C532E7" w:rsidRDefault="000D68F0">
            <w:pPr>
              <w:pBdr>
                <w:top w:val="nil"/>
                <w:left w:val="nil"/>
                <w:bottom w:val="nil"/>
                <w:right w:val="nil"/>
                <w:between w:val="nil"/>
              </w:pBdr>
              <w:spacing w:after="160"/>
              <w:rPr>
                <w:color w:val="000000"/>
              </w:rPr>
            </w:pPr>
            <w:r>
              <w:rPr>
                <w:color w:val="000000"/>
              </w:rPr>
              <w:t>Yearly, 12 hours</w:t>
            </w:r>
          </w:p>
        </w:tc>
        <w:tc>
          <w:tcPr>
            <w:tcW w:w="1150" w:type="dxa"/>
          </w:tcPr>
          <w:p w14:paraId="03603461" w14:textId="77777777" w:rsidR="00C532E7" w:rsidRDefault="000D68F0">
            <w:pPr>
              <w:pBdr>
                <w:top w:val="nil"/>
                <w:left w:val="nil"/>
                <w:bottom w:val="nil"/>
                <w:right w:val="nil"/>
                <w:between w:val="nil"/>
              </w:pBdr>
              <w:spacing w:after="160"/>
              <w:rPr>
                <w:color w:val="000000"/>
              </w:rPr>
            </w:pPr>
            <w:r>
              <w:rPr>
                <w:color w:val="000000"/>
              </w:rPr>
              <w:t>7/6/20-7/24/20</w:t>
            </w:r>
          </w:p>
        </w:tc>
      </w:tr>
    </w:tbl>
    <w:p w14:paraId="79CA882A" w14:textId="77777777" w:rsidR="00C532E7" w:rsidRDefault="000D68F0">
      <w:pPr>
        <w:pBdr>
          <w:top w:val="nil"/>
          <w:left w:val="nil"/>
          <w:bottom w:val="nil"/>
          <w:right w:val="nil"/>
          <w:between w:val="nil"/>
        </w:pBdr>
        <w:spacing w:line="259" w:lineRule="auto"/>
        <w:ind w:left="720"/>
        <w:rPr>
          <w:color w:val="000000"/>
        </w:rPr>
      </w:pPr>
      <w:r>
        <w:rPr>
          <w:color w:val="000000"/>
        </w:rPr>
        <w:t>(School’s Exhibit 1, Testimony Parent) (bold emphasis added to those changes made from the September service delivery grid to the November service delivery grid.)</w:t>
      </w:r>
    </w:p>
    <w:p w14:paraId="69D6A8F8" w14:textId="77777777" w:rsidR="00C532E7" w:rsidRDefault="00C532E7">
      <w:pPr>
        <w:pBdr>
          <w:top w:val="nil"/>
          <w:left w:val="nil"/>
          <w:bottom w:val="nil"/>
          <w:right w:val="nil"/>
          <w:between w:val="nil"/>
        </w:pBdr>
        <w:spacing w:line="259" w:lineRule="auto"/>
        <w:ind w:left="720"/>
        <w:rPr>
          <w:color w:val="000000"/>
        </w:rPr>
      </w:pPr>
    </w:p>
    <w:p w14:paraId="6B1D19B8" w14:textId="77777777" w:rsidR="00C532E7" w:rsidRDefault="000D68F0">
      <w:pPr>
        <w:numPr>
          <w:ilvl w:val="0"/>
          <w:numId w:val="1"/>
        </w:numPr>
        <w:pBdr>
          <w:top w:val="nil"/>
          <w:left w:val="nil"/>
          <w:bottom w:val="nil"/>
          <w:right w:val="nil"/>
          <w:between w:val="nil"/>
        </w:pBdr>
        <w:spacing w:line="259" w:lineRule="auto"/>
        <w:rPr>
          <w:color w:val="000000"/>
        </w:rPr>
      </w:pPr>
      <w:r>
        <w:rPr>
          <w:color w:val="000000"/>
        </w:rPr>
        <w:t>On November 24, 2020, Parent fully accepted the services proposed by the November 2020 Amendment. (School’s Exhibit 3)</w:t>
      </w:r>
    </w:p>
    <w:p w14:paraId="567089B3" w14:textId="77777777" w:rsidR="00C532E7" w:rsidRDefault="000D68F0">
      <w:pPr>
        <w:numPr>
          <w:ilvl w:val="0"/>
          <w:numId w:val="1"/>
        </w:numPr>
        <w:pBdr>
          <w:top w:val="nil"/>
          <w:left w:val="nil"/>
          <w:bottom w:val="nil"/>
          <w:right w:val="nil"/>
          <w:between w:val="nil"/>
        </w:pBdr>
        <w:spacing w:line="259" w:lineRule="auto"/>
        <w:rPr>
          <w:color w:val="000000"/>
        </w:rPr>
      </w:pPr>
      <w:r>
        <w:rPr>
          <w:color w:val="000000"/>
        </w:rPr>
        <w:t>Parent testified that she did not note her rejection of the reduced reading services because she had “only looked over what was discussed” at the Team meeting and they had not discussed a reduction in reading services.  Hence, she had overlooked the proposed change in services.  Parent shared that she had called the District when she noticed the change sometime later.  She testified that she had not intended to accept a reduction in services. (Testimony Parent)</w:t>
      </w:r>
    </w:p>
    <w:p w14:paraId="365F7A8F" w14:textId="77777777" w:rsidR="00C532E7" w:rsidRDefault="000D68F0">
      <w:pPr>
        <w:numPr>
          <w:ilvl w:val="0"/>
          <w:numId w:val="1"/>
        </w:numPr>
        <w:pBdr>
          <w:top w:val="nil"/>
          <w:left w:val="nil"/>
          <w:bottom w:val="nil"/>
          <w:right w:val="nil"/>
          <w:between w:val="nil"/>
        </w:pBdr>
        <w:spacing w:line="259" w:lineRule="auto"/>
        <w:rPr>
          <w:color w:val="000000"/>
        </w:rPr>
      </w:pPr>
      <w:r>
        <w:rPr>
          <w:color w:val="000000"/>
        </w:rPr>
        <w:t xml:space="preserve">Ms. White testified that when she drafted the November Amendment, she noticed the error on the C Grid with regards to reading and changed it. When questioned whether she had noted the change in the Prior Written Notice to Parents, she responded that she had not. (Testimony White) </w:t>
      </w:r>
    </w:p>
    <w:p w14:paraId="07ED9452" w14:textId="77777777" w:rsidR="00C532E7" w:rsidRDefault="000D68F0">
      <w:pPr>
        <w:numPr>
          <w:ilvl w:val="0"/>
          <w:numId w:val="1"/>
        </w:numPr>
        <w:pBdr>
          <w:top w:val="nil"/>
          <w:left w:val="nil"/>
          <w:bottom w:val="nil"/>
          <w:right w:val="nil"/>
          <w:between w:val="nil"/>
        </w:pBdr>
        <w:spacing w:after="160" w:line="259" w:lineRule="auto"/>
        <w:rPr>
          <w:color w:val="000000"/>
        </w:rPr>
      </w:pPr>
      <w:r>
        <w:rPr>
          <w:color w:val="000000"/>
        </w:rPr>
        <w:t xml:space="preserve">Ms. </w:t>
      </w:r>
      <w:proofErr w:type="spellStart"/>
      <w:r>
        <w:rPr>
          <w:color w:val="000000"/>
        </w:rPr>
        <w:t>Pareira</w:t>
      </w:r>
      <w:proofErr w:type="spellEnd"/>
      <w:r>
        <w:rPr>
          <w:color w:val="000000"/>
        </w:rPr>
        <w:t xml:space="preserve"> testified that she had not, at any time, provided Student with 80 minutes of reading pull-out service.  She further confirmed that there had been a reduction in services to Student during the COVID-19 pandemic when the District transitioned to all-remote learning in the spring of 2020.  She explained that, at that time, she had provided Parents with a schedule of Student’s services to reflect how services were being provided during the school shut-down.  Subsequently, following the September 2020 Team meeting, she provided Student with 70 minutes of total pull-out services daily. She indicated that “around October” she had sent Student’s schedule to Parents and that the schedule reflected a combined 70 minutes of reading and writing services. (Testimony Pereira)  </w:t>
      </w:r>
    </w:p>
    <w:p w14:paraId="405FD57F" w14:textId="77777777" w:rsidR="00C532E7" w:rsidRDefault="00C532E7">
      <w:pPr>
        <w:pBdr>
          <w:top w:val="nil"/>
          <w:left w:val="nil"/>
          <w:bottom w:val="nil"/>
          <w:right w:val="nil"/>
          <w:between w:val="nil"/>
        </w:pBdr>
        <w:rPr>
          <w:color w:val="000000"/>
        </w:rPr>
      </w:pPr>
    </w:p>
    <w:p w14:paraId="378E3C75" w14:textId="77777777" w:rsidR="00C532E7" w:rsidRDefault="000D68F0">
      <w:pPr>
        <w:pBdr>
          <w:top w:val="nil"/>
          <w:left w:val="nil"/>
          <w:bottom w:val="nil"/>
          <w:right w:val="nil"/>
          <w:between w:val="nil"/>
        </w:pBdr>
        <w:rPr>
          <w:b/>
          <w:color w:val="000000"/>
        </w:rPr>
      </w:pPr>
      <w:r>
        <w:rPr>
          <w:b/>
          <w:color w:val="000000"/>
        </w:rPr>
        <w:t>DISCUSSION:</w:t>
      </w:r>
    </w:p>
    <w:p w14:paraId="66B22DBE" w14:textId="77777777" w:rsidR="00C532E7" w:rsidRDefault="00C532E7">
      <w:pPr>
        <w:pBdr>
          <w:top w:val="nil"/>
          <w:left w:val="nil"/>
          <w:bottom w:val="nil"/>
          <w:right w:val="nil"/>
          <w:between w:val="nil"/>
        </w:pBdr>
        <w:rPr>
          <w:b/>
          <w:color w:val="000000"/>
        </w:rPr>
      </w:pPr>
    </w:p>
    <w:p w14:paraId="5C91B8AC" w14:textId="77777777" w:rsidR="00C532E7" w:rsidRDefault="000D68F0">
      <w:pPr>
        <w:numPr>
          <w:ilvl w:val="0"/>
          <w:numId w:val="3"/>
        </w:numPr>
        <w:pBdr>
          <w:top w:val="nil"/>
          <w:left w:val="nil"/>
          <w:bottom w:val="nil"/>
          <w:right w:val="nil"/>
          <w:between w:val="nil"/>
        </w:pBdr>
        <w:rPr>
          <w:b/>
          <w:color w:val="000000"/>
        </w:rPr>
      </w:pPr>
      <w:r>
        <w:rPr>
          <w:b/>
          <w:color w:val="000000"/>
        </w:rPr>
        <w:t>Legal Framework:</w:t>
      </w:r>
    </w:p>
    <w:p w14:paraId="5D6698D7" w14:textId="77777777" w:rsidR="00C532E7" w:rsidRDefault="00C532E7">
      <w:pPr>
        <w:pBdr>
          <w:top w:val="nil"/>
          <w:left w:val="nil"/>
          <w:bottom w:val="nil"/>
          <w:right w:val="nil"/>
          <w:between w:val="nil"/>
        </w:pBdr>
        <w:rPr>
          <w:color w:val="000000"/>
        </w:rPr>
      </w:pPr>
    </w:p>
    <w:p w14:paraId="440261B2" w14:textId="77777777" w:rsidR="00C532E7" w:rsidRDefault="000D68F0">
      <w:pPr>
        <w:numPr>
          <w:ilvl w:val="0"/>
          <w:numId w:val="4"/>
        </w:numPr>
        <w:pBdr>
          <w:top w:val="nil"/>
          <w:left w:val="nil"/>
          <w:bottom w:val="nil"/>
          <w:right w:val="nil"/>
          <w:between w:val="nil"/>
        </w:pBdr>
        <w:rPr>
          <w:i/>
          <w:color w:val="000000"/>
        </w:rPr>
      </w:pPr>
      <w:r>
        <w:rPr>
          <w:i/>
          <w:color w:val="000000"/>
        </w:rPr>
        <w:t>Stay-Put</w:t>
      </w:r>
    </w:p>
    <w:p w14:paraId="2A6AD197" w14:textId="77777777" w:rsidR="00C532E7" w:rsidRDefault="00C532E7">
      <w:pPr>
        <w:pBdr>
          <w:top w:val="nil"/>
          <w:left w:val="nil"/>
          <w:bottom w:val="nil"/>
          <w:right w:val="nil"/>
          <w:between w:val="nil"/>
        </w:pBdr>
        <w:ind w:left="720"/>
        <w:rPr>
          <w:color w:val="000000"/>
        </w:rPr>
      </w:pPr>
    </w:p>
    <w:p w14:paraId="5EF76538" w14:textId="77777777" w:rsidR="00C532E7" w:rsidRDefault="000D68F0">
      <w:r>
        <w:t xml:space="preserve">The IDEA’s “stay-put” provision requires that unless the State or local educational agency and the parents otherwise agree, during the time that a parent and school district are engaged in an IDEA dispute resolution process, “the child shall remain in the then-current educational </w:t>
      </w:r>
      <w:r>
        <w:lastRenderedPageBreak/>
        <w:t>placement of the child….”</w:t>
      </w:r>
      <w:r>
        <w:rPr>
          <w:vertAlign w:val="superscript"/>
        </w:rPr>
        <w:footnoteReference w:id="4"/>
      </w:r>
      <w:r>
        <w:t>  Preservation of the “status quo” assures that the student “stays-put” in the last placement the parents and the local education agency (LEA) agreed was appropriate for him.</w:t>
      </w:r>
      <w:r>
        <w:rPr>
          <w:vertAlign w:val="superscript"/>
        </w:rPr>
        <w:footnoteReference w:id="5"/>
      </w:r>
      <w:r>
        <w:t xml:space="preserve">  In addition, the stay-put provision reflects “the preference of Congress for maintaining the stability of a disabled child’s placement and minimizing disruption to the child while the parents and school are resolving disputes.”</w:t>
      </w:r>
      <w:r>
        <w:rPr>
          <w:vertAlign w:val="superscript"/>
        </w:rPr>
        <w:footnoteReference w:id="6"/>
      </w:r>
      <w:r>
        <w:t xml:space="preserve">   Generally, the last accepted IEP is the stay-put IEP.</w:t>
      </w:r>
      <w:r>
        <w:rPr>
          <w:vertAlign w:val="superscript"/>
        </w:rPr>
        <w:footnoteReference w:id="7"/>
      </w:r>
    </w:p>
    <w:p w14:paraId="53F30D9A" w14:textId="77777777" w:rsidR="00C532E7" w:rsidRDefault="00C532E7">
      <w:pPr>
        <w:pBdr>
          <w:top w:val="nil"/>
          <w:left w:val="nil"/>
          <w:bottom w:val="nil"/>
          <w:right w:val="nil"/>
          <w:between w:val="nil"/>
        </w:pBdr>
        <w:rPr>
          <w:color w:val="000000"/>
        </w:rPr>
      </w:pPr>
    </w:p>
    <w:p w14:paraId="2E5DBB3E" w14:textId="77777777" w:rsidR="00C532E7" w:rsidRDefault="000D68F0">
      <w:pPr>
        <w:pBdr>
          <w:top w:val="nil"/>
          <w:left w:val="nil"/>
          <w:bottom w:val="nil"/>
          <w:right w:val="nil"/>
          <w:between w:val="nil"/>
        </w:pBdr>
        <w:rPr>
          <w:color w:val="000000"/>
        </w:rPr>
      </w:pPr>
      <w:r>
        <w:rPr>
          <w:color w:val="000000"/>
        </w:rPr>
        <w:t>To determine a child’s “stay-put”, courts often look for the “operative placement,” or the IEP that is “actually functioning at the time the dispute first arises.”</w:t>
      </w:r>
      <w:r>
        <w:rPr>
          <w:color w:val="000000"/>
          <w:vertAlign w:val="superscript"/>
        </w:rPr>
        <w:footnoteReference w:id="8"/>
      </w:r>
      <w:r>
        <w:rPr>
          <w:color w:val="000000"/>
        </w:rPr>
        <w:t>  Some circuits have also examined the impact of the proposed change on the student.</w:t>
      </w:r>
      <w:r>
        <w:rPr>
          <w:color w:val="000000"/>
          <w:vertAlign w:val="superscript"/>
        </w:rPr>
        <w:footnoteReference w:id="9"/>
      </w:r>
      <w:r>
        <w:rPr>
          <w:i/>
          <w:color w:val="000000"/>
        </w:rPr>
        <w:t>  </w:t>
      </w:r>
      <w:r>
        <w:rPr>
          <w:color w:val="000000"/>
        </w:rPr>
        <w:t>Recent BSEA decisions and rulings have similarly applied these principles to identify the “operative placement” as well as to examine the impact on the student of the proposed change.</w:t>
      </w:r>
      <w:r>
        <w:rPr>
          <w:color w:val="000000"/>
          <w:vertAlign w:val="superscript"/>
        </w:rPr>
        <w:footnoteReference w:id="10"/>
      </w:r>
      <w:r>
        <w:rPr>
          <w:i/>
          <w:color w:val="000000"/>
        </w:rPr>
        <w:t xml:space="preserve">  </w:t>
      </w:r>
    </w:p>
    <w:p w14:paraId="5CE4FB62" w14:textId="77777777" w:rsidR="00C532E7" w:rsidRDefault="00C532E7">
      <w:pPr>
        <w:pBdr>
          <w:top w:val="nil"/>
          <w:left w:val="nil"/>
          <w:bottom w:val="nil"/>
          <w:right w:val="nil"/>
          <w:between w:val="nil"/>
        </w:pBdr>
        <w:rPr>
          <w:color w:val="000000"/>
        </w:rPr>
      </w:pPr>
    </w:p>
    <w:p w14:paraId="578CD1D7" w14:textId="77777777" w:rsidR="00C532E7" w:rsidRDefault="000D68F0">
      <w:pPr>
        <w:numPr>
          <w:ilvl w:val="0"/>
          <w:numId w:val="4"/>
        </w:numPr>
        <w:pBdr>
          <w:top w:val="nil"/>
          <w:left w:val="nil"/>
          <w:bottom w:val="nil"/>
          <w:right w:val="nil"/>
          <w:between w:val="nil"/>
        </w:pBdr>
        <w:rPr>
          <w:color w:val="000000"/>
        </w:rPr>
      </w:pPr>
      <w:r>
        <w:rPr>
          <w:i/>
          <w:color w:val="000000"/>
        </w:rPr>
        <w:t>Burden of Persuasion</w:t>
      </w:r>
    </w:p>
    <w:p w14:paraId="505B0CE1" w14:textId="77777777" w:rsidR="00C532E7" w:rsidRDefault="00C532E7">
      <w:pPr>
        <w:pBdr>
          <w:top w:val="nil"/>
          <w:left w:val="nil"/>
          <w:bottom w:val="nil"/>
          <w:right w:val="nil"/>
          <w:between w:val="nil"/>
        </w:pBdr>
        <w:ind w:left="720"/>
        <w:rPr>
          <w:color w:val="000000"/>
        </w:rPr>
      </w:pPr>
    </w:p>
    <w:p w14:paraId="500A0388" w14:textId="77777777" w:rsidR="00C532E7" w:rsidRDefault="000D68F0">
      <w:pPr>
        <w:pBdr>
          <w:top w:val="nil"/>
          <w:left w:val="nil"/>
          <w:bottom w:val="nil"/>
          <w:right w:val="nil"/>
          <w:between w:val="nil"/>
        </w:pBdr>
        <w:rPr>
          <w:color w:val="000000"/>
        </w:rPr>
      </w:pPr>
      <w:r>
        <w:rPr>
          <w:color w:val="000000"/>
        </w:rPr>
        <w:t xml:space="preserve">Since Parents are the moving party in this </w:t>
      </w:r>
      <w:r>
        <w:rPr>
          <w:i/>
          <w:color w:val="000000"/>
        </w:rPr>
        <w:t>Motion</w:t>
      </w:r>
      <w:r>
        <w:rPr>
          <w:color w:val="000000"/>
        </w:rPr>
        <w:t>, they bear the burden of persuasion</w:t>
      </w:r>
      <w:r>
        <w:rPr>
          <w:i/>
          <w:color w:val="000000"/>
        </w:rPr>
        <w:t>.</w:t>
      </w:r>
      <w:r>
        <w:rPr>
          <w:i/>
          <w:color w:val="000000"/>
          <w:vertAlign w:val="superscript"/>
        </w:rPr>
        <w:footnoteReference w:id="11"/>
      </w:r>
      <w:r>
        <w:rPr>
          <w:i/>
          <w:color w:val="000000"/>
        </w:rPr>
        <w:t xml:space="preserve"> </w:t>
      </w:r>
    </w:p>
    <w:p w14:paraId="2B36528C" w14:textId="77777777" w:rsidR="00C532E7" w:rsidRDefault="00C532E7">
      <w:pPr>
        <w:pBdr>
          <w:top w:val="nil"/>
          <w:left w:val="nil"/>
          <w:bottom w:val="nil"/>
          <w:right w:val="nil"/>
          <w:between w:val="nil"/>
        </w:pBdr>
        <w:rPr>
          <w:color w:val="000000"/>
        </w:rPr>
      </w:pPr>
    </w:p>
    <w:p w14:paraId="5E098C0A" w14:textId="77777777" w:rsidR="00C532E7" w:rsidRDefault="00C532E7">
      <w:pPr>
        <w:pBdr>
          <w:top w:val="nil"/>
          <w:left w:val="nil"/>
          <w:bottom w:val="nil"/>
          <w:right w:val="nil"/>
          <w:between w:val="nil"/>
        </w:pBdr>
        <w:rPr>
          <w:color w:val="000000"/>
        </w:rPr>
      </w:pPr>
    </w:p>
    <w:p w14:paraId="2F4E4AE7" w14:textId="77777777" w:rsidR="00C532E7" w:rsidRDefault="000D68F0">
      <w:pPr>
        <w:numPr>
          <w:ilvl w:val="0"/>
          <w:numId w:val="3"/>
        </w:numPr>
        <w:pBdr>
          <w:top w:val="nil"/>
          <w:left w:val="nil"/>
          <w:bottom w:val="nil"/>
          <w:right w:val="nil"/>
          <w:between w:val="nil"/>
        </w:pBdr>
        <w:rPr>
          <w:b/>
          <w:color w:val="000000"/>
        </w:rPr>
      </w:pPr>
      <w:r>
        <w:rPr>
          <w:b/>
          <w:color w:val="000000"/>
        </w:rPr>
        <w:t>Analysis:</w:t>
      </w:r>
    </w:p>
    <w:p w14:paraId="699C4FA4" w14:textId="77777777" w:rsidR="00C532E7" w:rsidRDefault="00C532E7">
      <w:pPr>
        <w:pBdr>
          <w:top w:val="nil"/>
          <w:left w:val="nil"/>
          <w:bottom w:val="nil"/>
          <w:right w:val="nil"/>
          <w:between w:val="nil"/>
        </w:pBdr>
        <w:rPr>
          <w:color w:val="000000"/>
        </w:rPr>
      </w:pPr>
    </w:p>
    <w:p w14:paraId="2CA82A9C" w14:textId="77777777" w:rsidR="00C532E7" w:rsidRDefault="000D68F0">
      <w:pPr>
        <w:pBdr>
          <w:top w:val="nil"/>
          <w:left w:val="nil"/>
          <w:bottom w:val="nil"/>
          <w:right w:val="nil"/>
          <w:between w:val="nil"/>
        </w:pBdr>
        <w:rPr>
          <w:color w:val="000000"/>
        </w:rPr>
      </w:pPr>
      <w:r>
        <w:rPr>
          <w:color w:val="000000"/>
        </w:rPr>
        <w:t>In the instant case, I am asked to identify whether Student’s “stay-put” reading services include two sessions of 40-minute reading instruction per day per 5-day cycle with a special education teacher, as argued by Parents, or whether Student’s “stay-put” reading services include only one session for 40 minutes per day per 5-day cycle, as asserted by the District.</w:t>
      </w:r>
      <w:r>
        <w:rPr>
          <w:color w:val="000000"/>
          <w:vertAlign w:val="superscript"/>
        </w:rPr>
        <w:footnoteReference w:id="12"/>
      </w:r>
      <w:r>
        <w:rPr>
          <w:color w:val="000000"/>
        </w:rPr>
        <w:t xml:space="preserve"> </w:t>
      </w:r>
    </w:p>
    <w:p w14:paraId="4A7768F4" w14:textId="77777777" w:rsidR="00C532E7" w:rsidRDefault="00C532E7"/>
    <w:p w14:paraId="62024104" w14:textId="77777777" w:rsidR="00C532E7" w:rsidRDefault="000D68F0">
      <w:r>
        <w:t xml:space="preserve">Inarguably, Parents fully accepted the 2020-2021 IEP, and, subsequently, both the </w:t>
      </w:r>
    </w:p>
    <w:p w14:paraId="0B851145" w14:textId="77777777" w:rsidR="00C532E7" w:rsidRDefault="000D68F0">
      <w:r>
        <w:lastRenderedPageBreak/>
        <w:t>September and the November Amendments.  (School’s Exhibits, 1, 2, and 3)  Nevertheless, in reference to the September Amendment, I credit both Ms. White and Ms. Pereira’s testimony that an increase in reading services was not discussed at the Team meeting on September 16, 2020, nor was it intended to be added to the service delivery grid. (Testimony White, Testimony Pereira) Ms. White compellingly testified that the September Amendment Page did not document an increase in 40 minutes of reading/per day/5-day cycle because that was not the intent of the Team and that the Specially Designed Instruction – Reading and Writing on the C grid should have indicated an end date of 9/15/2020 rather than 2/4/21, which was her “error.” (Testimony White) This error resulted in the duplication of reading services on the C Grid.  She testified that the increase was not reflected on the prior written notice (N1) because the Team had not concluded that Student required 2x40min/per day/5-day cycle to make effective progress. (Testimony White) Nevertheless, the fact remains that Parents accepted the September Amendment on September 21, 2020 with the increased reading services.</w:t>
      </w:r>
      <w:r>
        <w:rPr>
          <w:vertAlign w:val="superscript"/>
        </w:rPr>
        <w:footnoteReference w:id="13"/>
      </w:r>
      <w:r>
        <w:t xml:space="preserve">  (School’s Exhibit 2) It is also a fact that such an increase was never implemented. (Testimony Pereira)  </w:t>
      </w:r>
    </w:p>
    <w:p w14:paraId="0AF43D3E" w14:textId="77777777" w:rsidR="00C532E7" w:rsidRDefault="00C532E7"/>
    <w:p w14:paraId="56DE1757" w14:textId="77777777" w:rsidR="00C532E7" w:rsidRDefault="000D68F0">
      <w:r>
        <w:t xml:space="preserve">On November 12, 2020, Parents were presented with the November Amendment, which reflected the reading services as 1x40min/per day/5-day cycle.  (Testimony White) Parent accepted the November Amendment on November 24, 2020 but convincingly testified that she did so in “error.”  (School Exhibit 3, Testimony Parent)  Parent attested that she signed the November 2020 Amendment, having reviewed the Amendment Page only, which documented the areas of change that were discussed at the November 12, 2020 Team meeting. (Testimony of Parent) In fact, I found Parent credible when she testified that she would not have agreed to a reduction in reading services. (Testimony Parent) Nevertheless, she accepted the reduced services. </w:t>
      </w:r>
    </w:p>
    <w:p w14:paraId="213237B4" w14:textId="77777777" w:rsidR="00C532E7" w:rsidRDefault="00C532E7"/>
    <w:p w14:paraId="1E8FB8BA" w14:textId="77777777" w:rsidR="00C532E7" w:rsidRDefault="000D68F0">
      <w:r>
        <w:t>The District is correct that, generally, the last accepted IEP (in this case, the 2020-2021 IEP, as amended on November 12, 2020) is the stay-put IEP.</w:t>
      </w:r>
      <w:r>
        <w:rPr>
          <w:vertAlign w:val="superscript"/>
        </w:rPr>
        <w:footnoteReference w:id="14"/>
      </w:r>
      <w:r>
        <w:t xml:space="preserve">  The District’s argument that Parent’s full acceptance of the November 2020 IEP rendered the 1x40minutes/per day/5-day cycle reading services stay-put would be persuasive </w:t>
      </w:r>
      <w:r>
        <w:rPr>
          <w:u w:val="single"/>
        </w:rPr>
        <w:t>but for</w:t>
      </w:r>
      <w:r>
        <w:t xml:space="preserve"> the District’s failure to reflect said correction in the Prior Written Notice (N1) that accompanied the November 2020 Amendment. (Testimony White) The IDEA obligates school districts to provide parents prior written notice whenever it proposes to change or terminate the placement or services of an eligible child.</w:t>
      </w:r>
      <w:r>
        <w:rPr>
          <w:vertAlign w:val="superscript"/>
        </w:rPr>
        <w:footnoteReference w:id="15"/>
      </w:r>
      <w:r>
        <w:t xml:space="preserve">  The BSEA, too, has held that reduction of a service in a student's IEP constitutes such a change requiring prior written notice.</w:t>
      </w:r>
      <w:r>
        <w:rPr>
          <w:vertAlign w:val="superscript"/>
        </w:rPr>
        <w:footnoteReference w:id="16"/>
      </w:r>
      <w:r>
        <w:t xml:space="preserve">  In essence, the “purpose of 34 CFR § 300.503 is to ensure that a parent is aware </w:t>
      </w:r>
      <w:r>
        <w:lastRenderedPageBreak/>
        <w:t>when a district is proposing or denying to change a portion of a student’s educational program or … that the district has denied a specific” request.</w:t>
      </w:r>
      <w:r>
        <w:rPr>
          <w:vertAlign w:val="superscript"/>
        </w:rPr>
        <w:footnoteReference w:id="17"/>
      </w:r>
      <w:r>
        <w:t>  After all, the main purpose of the procedural safeguards, as interpreted by the Supreme Court, is to afford parents a meaningful role in the decision-making process regarding their disabled children's education.</w:t>
      </w:r>
      <w:r>
        <w:rPr>
          <w:vertAlign w:val="superscript"/>
        </w:rPr>
        <w:footnoteReference w:id="18"/>
      </w:r>
      <w:r>
        <w:t xml:space="preserve">  As the Supreme Court stated in </w:t>
      </w:r>
      <w:r>
        <w:rPr>
          <w:i/>
        </w:rPr>
        <w:t>Honig v. Doe</w:t>
      </w:r>
      <w:r>
        <w:t xml:space="preserve">: </w:t>
      </w:r>
    </w:p>
    <w:p w14:paraId="0AAE843A" w14:textId="77777777" w:rsidR="00C532E7" w:rsidRDefault="00C532E7">
      <w:pPr>
        <w:pBdr>
          <w:top w:val="nil"/>
          <w:left w:val="nil"/>
          <w:bottom w:val="nil"/>
          <w:right w:val="nil"/>
          <w:between w:val="nil"/>
        </w:pBdr>
        <w:rPr>
          <w:color w:val="000000"/>
        </w:rPr>
      </w:pPr>
    </w:p>
    <w:p w14:paraId="64135193" w14:textId="77777777" w:rsidR="00C532E7" w:rsidRDefault="000D68F0">
      <w:pPr>
        <w:pBdr>
          <w:top w:val="nil"/>
          <w:left w:val="nil"/>
          <w:bottom w:val="nil"/>
          <w:right w:val="nil"/>
          <w:between w:val="nil"/>
        </w:pBdr>
        <w:ind w:left="1440"/>
        <w:rPr>
          <w:color w:val="000000"/>
        </w:rPr>
      </w:pPr>
      <w:r>
        <w:rPr>
          <w:color w:val="000000"/>
        </w:rPr>
        <w:t xml:space="preserve">[A]ware that schools had all too often denied [disabled] children appropriate educations without in any way consulting their parents, Congress repeatedly emphasized throughout the Act the importance . . . of parental participation . . . and </w:t>
      </w:r>
      <w:proofErr w:type="spellStart"/>
      <w:r>
        <w:rPr>
          <w:color w:val="000000"/>
        </w:rPr>
        <w:t>establishe</w:t>
      </w:r>
      <w:proofErr w:type="spellEnd"/>
      <w:r>
        <w:rPr>
          <w:color w:val="000000"/>
        </w:rPr>
        <w:t>[d] various procedural safeguards that guarantee parents . . . meaningful input into all decisions affecting their child's education and the right to seek review of any decisions they think inappropriate.</w:t>
      </w:r>
      <w:r>
        <w:rPr>
          <w:color w:val="000000"/>
          <w:vertAlign w:val="superscript"/>
        </w:rPr>
        <w:footnoteReference w:id="19"/>
      </w:r>
      <w:r>
        <w:rPr>
          <w:color w:val="000000"/>
        </w:rPr>
        <w:t xml:space="preserve"> </w:t>
      </w:r>
    </w:p>
    <w:p w14:paraId="542D708F" w14:textId="77777777" w:rsidR="00C532E7" w:rsidRDefault="000D68F0">
      <w:pPr>
        <w:pBdr>
          <w:top w:val="nil"/>
          <w:left w:val="nil"/>
          <w:bottom w:val="nil"/>
          <w:right w:val="nil"/>
          <w:between w:val="nil"/>
        </w:pBdr>
        <w:rPr>
          <w:color w:val="000000"/>
        </w:rPr>
      </w:pPr>
      <w:r>
        <w:rPr>
          <w:color w:val="000000"/>
        </w:rPr>
        <w:t> </w:t>
      </w:r>
    </w:p>
    <w:p w14:paraId="6E43F6F6" w14:textId="77777777" w:rsidR="00C532E7" w:rsidRDefault="000D68F0">
      <w:pPr>
        <w:rPr>
          <w:highlight w:val="white"/>
        </w:rPr>
      </w:pPr>
      <w:r>
        <w:rPr>
          <w:highlight w:val="white"/>
        </w:rPr>
        <w:t>In 2017, the 9</w:t>
      </w:r>
      <w:r>
        <w:rPr>
          <w:highlight w:val="white"/>
          <w:vertAlign w:val="superscript"/>
        </w:rPr>
        <w:t>th</w:t>
      </w:r>
      <w:r>
        <w:rPr>
          <w:highlight w:val="white"/>
        </w:rPr>
        <w:t xml:space="preserve"> Circuit Court of Appeals further clarified that “[a]</w:t>
      </w:r>
      <w:proofErr w:type="spellStart"/>
      <w:r>
        <w:rPr>
          <w:highlight w:val="white"/>
        </w:rPr>
        <w:t>llowing</w:t>
      </w:r>
      <w:proofErr w:type="spellEnd"/>
      <w:r>
        <w:rPr>
          <w:highlight w:val="white"/>
        </w:rPr>
        <w:t xml:space="preserve"> the District to change the IEP unilaterally undermines its function of giving notice of the services the school district has agreed to provide and measuring the student’s progress toward the goals outlined in the IEP. Moreover, any such unilateral amendment is a per se procedural violation of the IDEA because it vitiates the parents' right to participate at every step of the IEP drafting process.”</w:t>
      </w:r>
      <w:r>
        <w:rPr>
          <w:highlight w:val="white"/>
          <w:vertAlign w:val="superscript"/>
        </w:rPr>
        <w:footnoteReference w:id="20"/>
      </w:r>
      <w:r>
        <w:rPr>
          <w:highlight w:val="white"/>
        </w:rPr>
        <w:t xml:space="preserve">  The 9</w:t>
      </w:r>
      <w:r>
        <w:rPr>
          <w:highlight w:val="white"/>
          <w:vertAlign w:val="superscript"/>
        </w:rPr>
        <w:t>th</w:t>
      </w:r>
      <w:r>
        <w:rPr>
          <w:highlight w:val="white"/>
        </w:rPr>
        <w:t xml:space="preserve"> Circuit Court of Appeals added that a school district cannot “merely correct[] [its] unintentional error … unilaterally.”</w:t>
      </w:r>
      <w:r>
        <w:rPr>
          <w:highlight w:val="white"/>
          <w:vertAlign w:val="superscript"/>
        </w:rPr>
        <w:footnoteReference w:id="21"/>
      </w:r>
      <w:r>
        <w:rPr>
          <w:highlight w:val="white"/>
        </w:rPr>
        <w:t xml:space="preserve"> Instead, the Court recommended, “If the District discovered that the IEP did not reflect its understanding of the parties' agreement, it was required to notify [Parent] and seek her consent for any amendment. Absent such consent, the District was bound by the IEP as written unless it sought to re-open the IEP process and proposed a different IEP.”</w:t>
      </w:r>
      <w:r>
        <w:rPr>
          <w:highlight w:val="white"/>
          <w:vertAlign w:val="superscript"/>
        </w:rPr>
        <w:footnoteReference w:id="22"/>
      </w:r>
    </w:p>
    <w:p w14:paraId="4066337A" w14:textId="77777777" w:rsidR="00C532E7" w:rsidRDefault="00C532E7">
      <w:pPr>
        <w:rPr>
          <w:highlight w:val="white"/>
        </w:rPr>
      </w:pPr>
    </w:p>
    <w:p w14:paraId="2BD1AFC1" w14:textId="77777777" w:rsidR="00C532E7" w:rsidRDefault="000D68F0">
      <w:r>
        <w:rPr>
          <w:highlight w:val="white"/>
        </w:rPr>
        <w:t>In the instant matter, although the District had “merely corrected” Ms. White’s “error” in the November Amendment, it could not – and should not</w:t>
      </w:r>
      <w:proofErr w:type="gramStart"/>
      <w:r>
        <w:rPr>
          <w:highlight w:val="white"/>
        </w:rPr>
        <w:t>-  have</w:t>
      </w:r>
      <w:proofErr w:type="gramEnd"/>
      <w:r>
        <w:rPr>
          <w:highlight w:val="white"/>
        </w:rPr>
        <w:t xml:space="preserve"> done so “unilaterally.”  Parents had a right to be fully informed before consenting to any change in reading services.</w:t>
      </w:r>
      <w:r>
        <w:rPr>
          <w:highlight w:val="white"/>
          <w:vertAlign w:val="superscript"/>
        </w:rPr>
        <w:footnoteReference w:id="23"/>
      </w:r>
      <w:r>
        <w:rPr>
          <w:highlight w:val="white"/>
        </w:rPr>
        <w:t xml:space="preserve"> </w:t>
      </w:r>
      <w:r>
        <w:t xml:space="preserve">To ensure that Parents had all the information they needed to accept (or reject) the corrected services, the </w:t>
      </w:r>
      <w:r>
        <w:lastRenderedPageBreak/>
        <w:t>District was obligated to provide Prior Written Notice, which, in the instant matter, it failed to do. (Testimony White) In essence, the District’s dereliction in its duty to provide Prior Written Notice as to the correction in reading services rendered the November Amendment legally flawed.  Furthermore, I credit Parent’s testimony that she would not have agreed to a reduction in services.  (Testimony of Parent)  Since the alteration of the September Amendment was never discussed at the Team meeting on November 12, 2020, there was no “meeting of the minds” as to the correction in reading services.</w:t>
      </w:r>
      <w:r>
        <w:rPr>
          <w:vertAlign w:val="superscript"/>
        </w:rPr>
        <w:footnoteReference w:id="24"/>
      </w:r>
      <w:r>
        <w:t xml:space="preserve">  For these reasons, I cannot find that the reading services delineated in the November Amendment are Student’s stay-put reading services. </w:t>
      </w:r>
    </w:p>
    <w:p w14:paraId="26505030" w14:textId="77777777" w:rsidR="00C532E7" w:rsidRDefault="00C532E7"/>
    <w:p w14:paraId="72210971" w14:textId="77777777" w:rsidR="00C532E7" w:rsidRDefault="000D68F0">
      <w:r>
        <w:t xml:space="preserve">Therefore, to determine, Student’s stay-put reading services I next turn to the September Amendment. </w:t>
      </w:r>
    </w:p>
    <w:p w14:paraId="7874233E" w14:textId="77777777" w:rsidR="00C532E7" w:rsidRDefault="00C532E7"/>
    <w:p w14:paraId="1A78F0A5" w14:textId="77777777" w:rsidR="00C532E7" w:rsidRDefault="000D68F0">
      <w:r>
        <w:t>To find that the September Amendment constitutes Student’s stay-put in terms of reading services would fly in the face of the objectives of the stay-put provision of IDEA. First, the purpose of the stay-put provision is to maintain Student in the last agreed-upon placement.</w:t>
      </w:r>
      <w:r>
        <w:rPr>
          <w:vertAlign w:val="superscript"/>
        </w:rPr>
        <w:footnoteReference w:id="25"/>
      </w:r>
      <w:r>
        <w:t xml:space="preserve">  In this case, both Ms. Pereira and Ms. White credibly testified that the Team did not discuss increasing reading services during the September 16, 2020 meeting; only “splitting” reading from writing services was discussed and agreed-upon.  (Testimony </w:t>
      </w:r>
      <w:proofErr w:type="spellStart"/>
      <w:r>
        <w:t>Pereia</w:t>
      </w:r>
      <w:proofErr w:type="spellEnd"/>
      <w:r>
        <w:t>, Testimony White) The Student’s IEP Team neither considered nor agreed to the appropriateness of 2x40min/per day/5-day cycle reading services for Student; as one court has stated, “We do not believe Congress intended to freeze an arguably inappropriate placement and program for the three to five years of review proceedings. To construe [the stay-put provision] in this manner would thwart the express central goal of the Act: provision of a free </w:t>
      </w:r>
      <w:r>
        <w:rPr>
          <w:i/>
        </w:rPr>
        <w:t>appropriate</w:t>
      </w:r>
      <w:r>
        <w:t> education to disabled children.”</w:t>
      </w:r>
      <w:r>
        <w:rPr>
          <w:vertAlign w:val="superscript"/>
        </w:rPr>
        <w:footnoteReference w:id="26"/>
      </w:r>
      <w:r>
        <w:t xml:space="preserve"> As of September 21, 2020 (the date of Parent’s acceptance of the September Amendment), the Team’s last “</w:t>
      </w:r>
      <w:r>
        <w:rPr>
          <w:highlight w:val="white"/>
        </w:rPr>
        <w:t>joint, informed decision”</w:t>
      </w:r>
      <w:r>
        <w:rPr>
          <w:vertAlign w:val="superscript"/>
        </w:rPr>
        <w:footnoteReference w:id="27"/>
      </w:r>
      <w:r>
        <w:rPr>
          <w:highlight w:val="white"/>
        </w:rPr>
        <w:t xml:space="preserve"> was that Student required </w:t>
      </w:r>
      <w:r>
        <w:t>1x40min/per day/5-day cycle</w:t>
      </w:r>
      <w:r>
        <w:rPr>
          <w:highlight w:val="white"/>
        </w:rPr>
        <w:t xml:space="preserve"> reading services to receive a FAPE, which Parent accepted on February 26, 2020 following the initial February Team meeting. (School’s Exhibit 1) As with my finding, </w:t>
      </w:r>
      <w:r>
        <w:rPr>
          <w:i/>
          <w:highlight w:val="white"/>
        </w:rPr>
        <w:t>supra</w:t>
      </w:r>
      <w:r>
        <w:rPr>
          <w:highlight w:val="white"/>
        </w:rPr>
        <w:t>, regarding the legal significance or lack thereof of the November Amendment, I find here that there was no subsequent “meeting of the minds” regarding reading services, rendering the 2020-2021 IEP the stay-put for the purpose of Student’s reading services.</w:t>
      </w:r>
      <w:r>
        <w:rPr>
          <w:highlight w:val="white"/>
          <w:vertAlign w:val="superscript"/>
        </w:rPr>
        <w:footnoteReference w:id="28"/>
      </w:r>
      <w:r>
        <w:rPr>
          <w:highlight w:val="white"/>
        </w:rPr>
        <w:t xml:space="preserve"> </w:t>
      </w:r>
    </w:p>
    <w:p w14:paraId="2CB4ABCE" w14:textId="77777777" w:rsidR="00C532E7" w:rsidRDefault="00C532E7"/>
    <w:p w14:paraId="2A2FCAB7" w14:textId="77777777" w:rsidR="00C532E7" w:rsidRDefault="000D68F0">
      <w:r>
        <w:t>Furthermore, I cannot find the September Amendment to be Student’s stay-put because to do so would result in a significant disruption to Student’s schedule in contravention of the purpose of the stay-put provision</w:t>
      </w:r>
      <w:r>
        <w:rPr>
          <w:color w:val="000000"/>
          <w:highlight w:val="white"/>
        </w:rPr>
        <w:t xml:space="preserve"> “to preserve the status quo so as not to disturb a student's placement unnecessarily where there is no meeting of the minds between the parties.”</w:t>
      </w:r>
      <w:r>
        <w:rPr>
          <w:color w:val="000000"/>
          <w:highlight w:val="white"/>
          <w:vertAlign w:val="superscript"/>
        </w:rPr>
        <w:footnoteReference w:id="29"/>
      </w:r>
      <w:r>
        <w:rPr>
          <w:color w:val="000000"/>
          <w:highlight w:val="white"/>
        </w:rPr>
        <w:t xml:space="preserve"> </w:t>
      </w:r>
      <w:r>
        <w:t xml:space="preserve">Beginning on </w:t>
      </w:r>
      <w:r>
        <w:lastRenderedPageBreak/>
        <w:t xml:space="preserve">February 26, 2020 and to date, the District had only provided 1x40min/per day/5-day cycle of reading services.  (Testimony </w:t>
      </w:r>
      <w:proofErr w:type="gramStart"/>
      <w:r>
        <w:t>Pereira)  An</w:t>
      </w:r>
      <w:proofErr w:type="gramEnd"/>
      <w:r>
        <w:t xml:space="preserve"> additional 40-minutes of pull-out services per day would result in Student’s increased removal from the general education environment, a consequential departure from and disruption to his current program.</w:t>
      </w:r>
    </w:p>
    <w:p w14:paraId="06808FE6" w14:textId="77777777" w:rsidR="00C532E7" w:rsidRDefault="00C532E7"/>
    <w:p w14:paraId="0D1D0DA0" w14:textId="77777777" w:rsidR="00C532E7" w:rsidRDefault="000D68F0">
      <w:r>
        <w:t xml:space="preserve">Finally, I find the District’s argument </w:t>
      </w:r>
      <w:r>
        <w:rPr>
          <w:color w:val="000000"/>
        </w:rPr>
        <w:t xml:space="preserve">that “no student” </w:t>
      </w:r>
      <w:r>
        <w:t>receives 80 minutes of reading instruction to be unpersuasive and irrelevant. (Testimony White, Testimony Pereira) School districts are charged with the responsibility to offer to each child with a disability an individualized education program (IEP) suitable to the child's special needs</w:t>
      </w:r>
      <w:r>
        <w:rPr>
          <w:color w:val="000000"/>
          <w:highlight w:val="white"/>
        </w:rPr>
        <w:t>.</w:t>
      </w:r>
      <w:r>
        <w:rPr>
          <w:color w:val="000000"/>
          <w:highlight w:val="white"/>
          <w:vertAlign w:val="superscript"/>
        </w:rPr>
        <w:footnoteReference w:id="30"/>
      </w:r>
      <w:r>
        <w:rPr>
          <w:color w:val="000000"/>
          <w:highlight w:val="white"/>
        </w:rPr>
        <w:t> </w:t>
      </w:r>
      <w:r>
        <w:t xml:space="preserve"> Other students’ programs are neither at issue nor are they apropos.</w:t>
      </w:r>
    </w:p>
    <w:p w14:paraId="2EA066E7" w14:textId="77777777" w:rsidR="00C532E7" w:rsidRDefault="00C532E7">
      <w:pPr>
        <w:pBdr>
          <w:top w:val="nil"/>
          <w:left w:val="nil"/>
          <w:bottom w:val="nil"/>
          <w:right w:val="nil"/>
          <w:between w:val="nil"/>
        </w:pBdr>
        <w:rPr>
          <w:color w:val="000000"/>
        </w:rPr>
      </w:pPr>
    </w:p>
    <w:p w14:paraId="5A987319" w14:textId="77777777" w:rsidR="00C532E7" w:rsidRDefault="000D68F0">
      <w:pPr>
        <w:pBdr>
          <w:top w:val="nil"/>
          <w:left w:val="nil"/>
          <w:bottom w:val="nil"/>
          <w:right w:val="nil"/>
          <w:between w:val="nil"/>
        </w:pBdr>
        <w:rPr>
          <w:color w:val="000000"/>
        </w:rPr>
      </w:pPr>
      <w:bookmarkStart w:id="0" w:name="_gjdgxs" w:colFirst="0" w:colLast="0"/>
      <w:bookmarkEnd w:id="0"/>
      <w:r>
        <w:rPr>
          <w:color w:val="000000"/>
        </w:rPr>
        <w:t xml:space="preserve">In conclusion, for the reasons articulated above, and for the purposes of this </w:t>
      </w:r>
      <w:r>
        <w:rPr>
          <w:i/>
          <w:color w:val="000000"/>
        </w:rPr>
        <w:t>Motion</w:t>
      </w:r>
      <w:r>
        <w:rPr>
          <w:color w:val="000000"/>
        </w:rPr>
        <w:t xml:space="preserve"> only, I find that Parents have not met their burden of persuasion.   Therefore, Student’s stay-put pull-out reading services shall be 1x40min/per day/5-cycle for the pendency of the above-referenced matter.</w:t>
      </w:r>
      <w:r>
        <w:rPr>
          <w:color w:val="000000"/>
          <w:vertAlign w:val="superscript"/>
        </w:rPr>
        <w:footnoteReference w:id="31"/>
      </w:r>
    </w:p>
    <w:p w14:paraId="2584755A" w14:textId="77777777" w:rsidR="00C532E7" w:rsidRDefault="00C532E7">
      <w:pPr>
        <w:pBdr>
          <w:top w:val="nil"/>
          <w:left w:val="nil"/>
          <w:bottom w:val="nil"/>
          <w:right w:val="nil"/>
          <w:between w:val="nil"/>
        </w:pBdr>
        <w:rPr>
          <w:color w:val="000000"/>
          <w:u w:val="single"/>
        </w:rPr>
      </w:pPr>
    </w:p>
    <w:p w14:paraId="6596CD6B" w14:textId="77777777" w:rsidR="00C532E7" w:rsidRDefault="000D68F0">
      <w:pPr>
        <w:pBdr>
          <w:top w:val="nil"/>
          <w:left w:val="nil"/>
          <w:bottom w:val="nil"/>
          <w:right w:val="nil"/>
          <w:between w:val="nil"/>
        </w:pBdr>
        <w:rPr>
          <w:color w:val="000000"/>
        </w:rPr>
      </w:pPr>
      <w:r>
        <w:rPr>
          <w:color w:val="000000"/>
          <w:u w:val="single"/>
        </w:rPr>
        <w:t>ORDER</w:t>
      </w:r>
    </w:p>
    <w:p w14:paraId="655365E6" w14:textId="77777777" w:rsidR="00C532E7" w:rsidRDefault="00C532E7">
      <w:pPr>
        <w:pBdr>
          <w:top w:val="nil"/>
          <w:left w:val="nil"/>
          <w:bottom w:val="nil"/>
          <w:right w:val="nil"/>
          <w:between w:val="nil"/>
        </w:pBdr>
        <w:rPr>
          <w:color w:val="000000"/>
        </w:rPr>
      </w:pPr>
    </w:p>
    <w:p w14:paraId="4B791533" w14:textId="77777777" w:rsidR="00C532E7" w:rsidRDefault="000D68F0">
      <w:pPr>
        <w:pBdr>
          <w:top w:val="nil"/>
          <w:left w:val="nil"/>
          <w:bottom w:val="nil"/>
          <w:right w:val="nil"/>
          <w:between w:val="nil"/>
        </w:pBdr>
        <w:rPr>
          <w:color w:val="000000"/>
        </w:rPr>
      </w:pPr>
      <w:r>
        <w:rPr>
          <w:color w:val="000000"/>
        </w:rPr>
        <w:t xml:space="preserve">Parents’ request </w:t>
      </w:r>
      <w:bookmarkStart w:id="1" w:name="30j0zll" w:colFirst="0" w:colLast="0"/>
      <w:bookmarkEnd w:id="1"/>
      <w:r>
        <w:rPr>
          <w:color w:val="000000"/>
        </w:rPr>
        <w:t>to enforce stay-put pull-out reading services at 2x40min/per day/5-day cycle for the duration of this Appeal is hereby DENIED.</w:t>
      </w:r>
    </w:p>
    <w:p w14:paraId="7F2F2DE6" w14:textId="77777777" w:rsidR="00C532E7" w:rsidRDefault="00C532E7"/>
    <w:p w14:paraId="5000D1BB" w14:textId="77777777" w:rsidR="00C532E7" w:rsidRDefault="000D68F0">
      <w:r>
        <w:t>By the Hearing Officer,</w:t>
      </w:r>
    </w:p>
    <w:p w14:paraId="4A7AD278" w14:textId="77777777" w:rsidR="00C532E7" w:rsidRDefault="00C532E7"/>
    <w:p w14:paraId="64E90FC5" w14:textId="77777777" w:rsidR="00C532E7" w:rsidRDefault="000D68F0">
      <w:r>
        <w:t>/s/Alina Kantor Nir</w:t>
      </w:r>
    </w:p>
    <w:p w14:paraId="5C0EF206" w14:textId="77777777" w:rsidR="00C532E7" w:rsidRDefault="000D68F0">
      <w:r>
        <w:t>________________ </w:t>
      </w:r>
    </w:p>
    <w:p w14:paraId="4467BAE1" w14:textId="4EE7516E" w:rsidR="00C532E7" w:rsidRDefault="000D68F0">
      <w:r>
        <w:t xml:space="preserve">Dated:  </w:t>
      </w:r>
      <w:r w:rsidR="00A27452">
        <w:t>January 19, 2020</w:t>
      </w:r>
    </w:p>
    <w:p w14:paraId="5A791663" w14:textId="77777777" w:rsidR="00C532E7" w:rsidRDefault="00C532E7"/>
    <w:p w14:paraId="725CCD32" w14:textId="77777777" w:rsidR="00C532E7" w:rsidRDefault="00C532E7"/>
    <w:sectPr w:rsidR="00C532E7">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08680" w14:textId="77777777" w:rsidR="00D84841" w:rsidRDefault="00D84841">
      <w:r>
        <w:separator/>
      </w:r>
    </w:p>
  </w:endnote>
  <w:endnote w:type="continuationSeparator" w:id="0">
    <w:p w14:paraId="10E3E47A" w14:textId="77777777" w:rsidR="00D84841" w:rsidRDefault="00D8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F058B" w14:textId="77777777" w:rsidR="00C532E7" w:rsidRDefault="000D68F0">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576FDE">
      <w:rPr>
        <w:rFonts w:ascii="Calibri" w:eastAsia="Calibri" w:hAnsi="Calibri" w:cs="Calibri"/>
        <w:noProof/>
        <w:color w:val="000000"/>
        <w:sz w:val="22"/>
        <w:szCs w:val="22"/>
      </w:rPr>
      <w:t>12</w:t>
    </w:r>
    <w:r>
      <w:rPr>
        <w:rFonts w:ascii="Calibri" w:eastAsia="Calibri" w:hAnsi="Calibri" w:cs="Calibri"/>
        <w:color w:val="000000"/>
        <w:sz w:val="22"/>
        <w:szCs w:val="22"/>
      </w:rPr>
      <w:fldChar w:fldCharType="end"/>
    </w:r>
  </w:p>
  <w:p w14:paraId="37A4858E" w14:textId="77777777" w:rsidR="00C532E7" w:rsidRDefault="00C532E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A141C" w14:textId="77777777" w:rsidR="00D84841" w:rsidRDefault="00D84841">
      <w:r>
        <w:separator/>
      </w:r>
    </w:p>
  </w:footnote>
  <w:footnote w:type="continuationSeparator" w:id="0">
    <w:p w14:paraId="17EC92F4" w14:textId="77777777" w:rsidR="00D84841" w:rsidRDefault="00D84841">
      <w:r>
        <w:continuationSeparator/>
      </w:r>
    </w:p>
  </w:footnote>
  <w:footnote w:id="1">
    <w:p w14:paraId="7D7EE91B" w14:textId="77777777" w:rsidR="00C532E7" w:rsidRDefault="000D68F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This </w:t>
      </w:r>
      <w:r>
        <w:rPr>
          <w:i/>
          <w:color w:val="000000"/>
          <w:sz w:val="20"/>
          <w:szCs w:val="20"/>
        </w:rPr>
        <w:t>Ruling</w:t>
      </w:r>
      <w:r>
        <w:rPr>
          <w:color w:val="000000"/>
          <w:sz w:val="20"/>
          <w:szCs w:val="20"/>
        </w:rPr>
        <w:t xml:space="preserve"> addresses Parent’s </w:t>
      </w:r>
      <w:r>
        <w:rPr>
          <w:i/>
          <w:color w:val="000000"/>
          <w:sz w:val="20"/>
          <w:szCs w:val="20"/>
        </w:rPr>
        <w:t>Motion to Enforce Stay-Put</w:t>
      </w:r>
      <w:r>
        <w:rPr>
          <w:color w:val="000000"/>
          <w:sz w:val="20"/>
          <w:szCs w:val="20"/>
        </w:rPr>
        <w:t xml:space="preserve"> and the District’s opposition thereto; it does not address Parents’ </w:t>
      </w:r>
      <w:r>
        <w:rPr>
          <w:i/>
          <w:color w:val="000000"/>
          <w:sz w:val="20"/>
          <w:szCs w:val="20"/>
        </w:rPr>
        <w:t>Hearing Request</w:t>
      </w:r>
      <w:r>
        <w:rPr>
          <w:color w:val="000000"/>
          <w:sz w:val="20"/>
          <w:szCs w:val="20"/>
        </w:rPr>
        <w:t xml:space="preserve"> and the District’s response thereto.</w:t>
      </w:r>
    </w:p>
  </w:footnote>
  <w:footnote w:id="2">
    <w:p w14:paraId="08C1B18A" w14:textId="77777777" w:rsidR="00C532E7" w:rsidRDefault="000D68F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In this </w:t>
      </w:r>
      <w:r>
        <w:rPr>
          <w:i/>
          <w:color w:val="000000"/>
          <w:sz w:val="20"/>
          <w:szCs w:val="20"/>
        </w:rPr>
        <w:t>Ruling</w:t>
      </w:r>
      <w:r>
        <w:rPr>
          <w:color w:val="000000"/>
          <w:sz w:val="20"/>
          <w:szCs w:val="20"/>
        </w:rPr>
        <w:t>, references to Parent refer to Student’s mother.</w:t>
      </w:r>
    </w:p>
  </w:footnote>
  <w:footnote w:id="3">
    <w:p w14:paraId="09C4B103" w14:textId="77777777" w:rsidR="00C532E7" w:rsidRDefault="000D68F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The Service Delivery Grid on the originally proposed and accepted February 2020 IEP indicated “Specially Designed Instruction – Reading and Writing” as opposed to “Specially Designed Instruction – Reading” on the September Amendment.  When questioned regarding the difference, Team Chair Sarah White could not explain the reason for the changed “Type of Service.” (Testimony White) </w:t>
      </w:r>
    </w:p>
  </w:footnote>
  <w:footnote w:id="4">
    <w:p w14:paraId="59C76434" w14:textId="77777777" w:rsidR="00C532E7" w:rsidRDefault="000D68F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20 U.S.C. §1415(j); 34 CFR §300.514; </w:t>
      </w:r>
      <w:r>
        <w:rPr>
          <w:i/>
          <w:color w:val="000000"/>
          <w:sz w:val="20"/>
          <w:szCs w:val="20"/>
        </w:rPr>
        <w:t>In Re: Framingham Public Schools and Quin</w:t>
      </w:r>
      <w:r>
        <w:rPr>
          <w:color w:val="000000"/>
          <w:sz w:val="20"/>
          <w:szCs w:val="20"/>
        </w:rPr>
        <w:t>, BSEA</w:t>
      </w:r>
      <w:r>
        <w:rPr>
          <w:b/>
          <w:color w:val="000000"/>
          <w:sz w:val="20"/>
          <w:szCs w:val="20"/>
        </w:rPr>
        <w:t> #</w:t>
      </w:r>
      <w:r>
        <w:rPr>
          <w:color w:val="000000"/>
          <w:sz w:val="20"/>
          <w:szCs w:val="20"/>
        </w:rPr>
        <w:t xml:space="preserve">1605247, 22 MSER 12 (Reichbach, 2016); </w:t>
      </w:r>
      <w:r>
        <w:rPr>
          <w:i/>
          <w:color w:val="000000"/>
          <w:sz w:val="20"/>
          <w:szCs w:val="20"/>
        </w:rPr>
        <w:t>In Re: Abington Public Schools</w:t>
      </w:r>
      <w:r>
        <w:rPr>
          <w:color w:val="000000"/>
          <w:sz w:val="20"/>
          <w:szCs w:val="20"/>
        </w:rPr>
        <w:t xml:space="preserve">, BSEA # 1407763, 20 MSER 198 (Figueroa, 2014); </w:t>
      </w:r>
      <w:r>
        <w:rPr>
          <w:i/>
          <w:color w:val="000000"/>
          <w:sz w:val="20"/>
          <w:szCs w:val="20"/>
        </w:rPr>
        <w:t>Honig v. Doe</w:t>
      </w:r>
      <w:r>
        <w:rPr>
          <w:color w:val="000000"/>
          <w:sz w:val="20"/>
          <w:szCs w:val="20"/>
        </w:rPr>
        <w:t>, 484 U.S. 305, 325 (1988); </w:t>
      </w:r>
      <w:r>
        <w:rPr>
          <w:i/>
          <w:color w:val="000000"/>
          <w:sz w:val="20"/>
          <w:szCs w:val="20"/>
        </w:rPr>
        <w:t>Verhoven v. Brunswick School Committee</w:t>
      </w:r>
      <w:r>
        <w:rPr>
          <w:color w:val="000000"/>
          <w:sz w:val="20"/>
          <w:szCs w:val="20"/>
        </w:rPr>
        <w:t>, 207 F.3d 1, 10 (1st Cir. 1999); </w:t>
      </w:r>
      <w:r>
        <w:rPr>
          <w:i/>
          <w:color w:val="000000"/>
          <w:sz w:val="20"/>
          <w:szCs w:val="20"/>
        </w:rPr>
        <w:t>M.R. and J.R. v. Ridley School District</w:t>
      </w:r>
      <w:r>
        <w:rPr>
          <w:color w:val="000000"/>
          <w:sz w:val="20"/>
          <w:szCs w:val="20"/>
        </w:rPr>
        <w:t>, 744 F.3d 112, 117 (3d Cir. 2014); M.G.L. c. 71B; 603 CMR 28.08(7).</w:t>
      </w:r>
    </w:p>
  </w:footnote>
  <w:footnote w:id="5">
    <w:p w14:paraId="515C0DDC" w14:textId="77777777" w:rsidR="00C532E7" w:rsidRDefault="000D68F0">
      <w:pPr>
        <w:rPr>
          <w:color w:val="000000"/>
          <w:sz w:val="20"/>
          <w:szCs w:val="20"/>
        </w:rPr>
      </w:pPr>
      <w:r>
        <w:rPr>
          <w:rStyle w:val="FootnoteReference"/>
        </w:rPr>
        <w:footnoteRef/>
      </w:r>
      <w:r>
        <w:rPr>
          <w:color w:val="000000"/>
          <w:sz w:val="20"/>
          <w:szCs w:val="20"/>
        </w:rPr>
        <w:t xml:space="preserve"> </w:t>
      </w:r>
      <w:r>
        <w:rPr>
          <w:i/>
          <w:color w:val="000000"/>
          <w:sz w:val="20"/>
          <w:szCs w:val="20"/>
        </w:rPr>
        <w:t xml:space="preserve">See Doe </w:t>
      </w:r>
      <w:r>
        <w:rPr>
          <w:color w:val="000000"/>
          <w:sz w:val="20"/>
          <w:szCs w:val="20"/>
        </w:rPr>
        <w:t>v.</w:t>
      </w:r>
      <w:r>
        <w:rPr>
          <w:i/>
          <w:color w:val="000000"/>
          <w:sz w:val="20"/>
          <w:szCs w:val="20"/>
        </w:rPr>
        <w:t xml:space="preserve"> Brookline School Committee</w:t>
      </w:r>
      <w:r>
        <w:rPr>
          <w:color w:val="000000"/>
          <w:sz w:val="20"/>
          <w:szCs w:val="20"/>
        </w:rPr>
        <w:t>, 722 F.2d 910, 918 (1st Cir. 1983) (“</w:t>
      </w:r>
      <w:r>
        <w:rPr>
          <w:color w:val="000000"/>
          <w:sz w:val="20"/>
          <w:szCs w:val="20"/>
          <w:highlight w:val="white"/>
        </w:rPr>
        <w:t>We therefore join the Seventh Circuit in its view that (e</w:t>
      </w:r>
      <w:r>
        <w:rPr>
          <w:color w:val="000000"/>
          <w:sz w:val="20"/>
          <w:szCs w:val="20"/>
          <w:highlight w:val="white"/>
        </w:rPr>
        <w:t>)(3) establishes a strong preference, but not a statutory duty, for maintenance of the status quo .</w:t>
      </w:r>
      <w:r>
        <w:rPr>
          <w:i/>
          <w:color w:val="000000"/>
          <w:sz w:val="20"/>
          <w:szCs w:val="20"/>
          <w:highlight w:val="white"/>
        </w:rPr>
        <w:t xml:space="preserve">… </w:t>
      </w:r>
      <w:r>
        <w:rPr>
          <w:color w:val="000000"/>
          <w:sz w:val="20"/>
          <w:szCs w:val="20"/>
          <w:highlight w:val="white"/>
        </w:rPr>
        <w:t>We do not believe Congress intended to freeze an arguably inappropriate placement and program for the three to five years of review proceedings. To construe (e)(3) in this manner would thwart the express central goal of the Act: provision of a free </w:t>
      </w:r>
      <w:r>
        <w:rPr>
          <w:i/>
          <w:color w:val="000000"/>
          <w:sz w:val="20"/>
          <w:szCs w:val="20"/>
          <w:highlight w:val="white"/>
        </w:rPr>
        <w:t>appropriate</w:t>
      </w:r>
      <w:r>
        <w:rPr>
          <w:color w:val="000000"/>
          <w:sz w:val="20"/>
          <w:szCs w:val="20"/>
          <w:highlight w:val="white"/>
        </w:rPr>
        <w:t xml:space="preserve"> education to disabled children”) (internal citations omitted); </w:t>
      </w:r>
      <w:r>
        <w:rPr>
          <w:i/>
          <w:color w:val="000000"/>
          <w:sz w:val="20"/>
          <w:szCs w:val="20"/>
          <w:highlight w:val="white"/>
        </w:rPr>
        <w:t xml:space="preserve">see also </w:t>
      </w:r>
      <w:r>
        <w:rPr>
          <w:i/>
          <w:color w:val="000000"/>
          <w:sz w:val="20"/>
          <w:szCs w:val="20"/>
        </w:rPr>
        <w:t>In Re: Nathan F.</w:t>
      </w:r>
      <w:r>
        <w:rPr>
          <w:color w:val="000000"/>
          <w:sz w:val="20"/>
          <w:szCs w:val="20"/>
        </w:rPr>
        <w:t xml:space="preserve">, BSEA # 96-1706, </w:t>
      </w:r>
      <w:r>
        <w:rPr>
          <w:color w:val="000000"/>
          <w:sz w:val="20"/>
          <w:szCs w:val="20"/>
          <w:highlight w:val="white"/>
        </w:rPr>
        <w:t>2 MSER 79 (Byrne, 1996) (finding that it there was no “meeting of the minds” on modified speech-language services for Student as a result of the Team meeting, and therefore the district had no obligation to provide services other than those set out in the last accepted IEP). </w:t>
      </w:r>
    </w:p>
  </w:footnote>
  <w:footnote w:id="6">
    <w:p w14:paraId="538C8B22" w14:textId="77777777" w:rsidR="00C532E7" w:rsidRDefault="000D68F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i/>
          <w:color w:val="000000"/>
          <w:sz w:val="20"/>
          <w:szCs w:val="20"/>
        </w:rPr>
        <w:t>Student &amp; Concord &amp; Natick Public Schools</w:t>
      </w:r>
      <w:r>
        <w:rPr>
          <w:color w:val="000000"/>
          <w:sz w:val="20"/>
          <w:szCs w:val="20"/>
        </w:rPr>
        <w:t>, BSEA # 18-00182, 23 MSER 210 (2017) (</w:t>
      </w:r>
      <w:r>
        <w:rPr>
          <w:i/>
          <w:color w:val="000000"/>
          <w:sz w:val="20"/>
          <w:szCs w:val="20"/>
        </w:rPr>
        <w:t>Corrected Ruling on Mother’s Request for “Stay Put” Order</w:t>
      </w:r>
      <w:r>
        <w:rPr>
          <w:color w:val="000000"/>
          <w:sz w:val="20"/>
          <w:szCs w:val="20"/>
        </w:rPr>
        <w:t>).</w:t>
      </w:r>
    </w:p>
  </w:footnote>
  <w:footnote w:id="7">
    <w:p w14:paraId="51C28BDD" w14:textId="77777777" w:rsidR="00C532E7" w:rsidRDefault="000D68F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i/>
          <w:color w:val="000000"/>
          <w:sz w:val="20"/>
          <w:szCs w:val="20"/>
        </w:rPr>
        <w:t xml:space="preserve">See </w:t>
      </w:r>
      <w:r>
        <w:rPr>
          <w:color w:val="000000"/>
          <w:sz w:val="20"/>
          <w:szCs w:val="20"/>
        </w:rPr>
        <w:t>20 U.S.C. §1415(j); 34 CFR §300.514.</w:t>
      </w:r>
    </w:p>
  </w:footnote>
  <w:footnote w:id="8">
    <w:p w14:paraId="2F7C886F" w14:textId="77777777" w:rsidR="00C532E7" w:rsidRDefault="000D68F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i/>
          <w:color w:val="000000"/>
          <w:sz w:val="20"/>
          <w:szCs w:val="20"/>
        </w:rPr>
        <w:t>Drinker v. Colonial School District</w:t>
      </w:r>
      <w:r>
        <w:rPr>
          <w:color w:val="000000"/>
          <w:sz w:val="20"/>
          <w:szCs w:val="20"/>
        </w:rPr>
        <w:t>, 73 F.3d 859, 867 (3rd Cir. 1996); </w:t>
      </w:r>
      <w:r>
        <w:rPr>
          <w:i/>
          <w:color w:val="000000"/>
          <w:sz w:val="20"/>
          <w:szCs w:val="20"/>
        </w:rPr>
        <w:t>Thomas v.</w:t>
      </w:r>
      <w:r>
        <w:rPr>
          <w:color w:val="000000"/>
          <w:sz w:val="20"/>
          <w:szCs w:val="20"/>
        </w:rPr>
        <w:t> </w:t>
      </w:r>
      <w:r>
        <w:rPr>
          <w:i/>
          <w:color w:val="000000"/>
          <w:sz w:val="20"/>
          <w:szCs w:val="20"/>
        </w:rPr>
        <w:t>Cincinnati Bd. of Education</w:t>
      </w:r>
      <w:r>
        <w:rPr>
          <w:color w:val="000000"/>
          <w:sz w:val="20"/>
          <w:szCs w:val="20"/>
        </w:rPr>
        <w:t>, 918 F. 2d 618. 626 (6</w:t>
      </w:r>
      <w:r>
        <w:rPr>
          <w:color w:val="000000"/>
          <w:sz w:val="20"/>
          <w:szCs w:val="20"/>
          <w:vertAlign w:val="superscript"/>
        </w:rPr>
        <w:t>th</w:t>
      </w:r>
      <w:r>
        <w:rPr>
          <w:color w:val="000000"/>
          <w:sz w:val="20"/>
          <w:szCs w:val="20"/>
        </w:rPr>
        <w:t> Cir., 1990). </w:t>
      </w:r>
    </w:p>
  </w:footnote>
  <w:footnote w:id="9">
    <w:p w14:paraId="578ADA6C" w14:textId="77777777" w:rsidR="00C532E7" w:rsidRDefault="000D68F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i/>
          <w:color w:val="000000"/>
          <w:sz w:val="20"/>
          <w:szCs w:val="20"/>
        </w:rPr>
        <w:t>See</w:t>
      </w:r>
      <w:r>
        <w:rPr>
          <w:color w:val="000000"/>
          <w:sz w:val="20"/>
          <w:szCs w:val="20"/>
        </w:rPr>
        <w:t> </w:t>
      </w:r>
      <w:r>
        <w:rPr>
          <w:i/>
          <w:color w:val="000000"/>
          <w:sz w:val="20"/>
          <w:szCs w:val="20"/>
        </w:rPr>
        <w:t xml:space="preserve">AW. </w:t>
      </w:r>
      <w:r>
        <w:rPr>
          <w:i/>
          <w:color w:val="000000"/>
          <w:sz w:val="20"/>
          <w:szCs w:val="20"/>
        </w:rPr>
        <w:t>v. Fairfax County School</w:t>
      </w:r>
      <w:r>
        <w:rPr>
          <w:color w:val="000000"/>
          <w:sz w:val="20"/>
          <w:szCs w:val="20"/>
        </w:rPr>
        <w:t> </w:t>
      </w:r>
      <w:r>
        <w:rPr>
          <w:i/>
          <w:color w:val="000000"/>
          <w:sz w:val="20"/>
          <w:szCs w:val="20"/>
        </w:rPr>
        <w:t>Board</w:t>
      </w:r>
      <w:r>
        <w:rPr>
          <w:color w:val="000000"/>
          <w:sz w:val="20"/>
          <w:szCs w:val="20"/>
        </w:rPr>
        <w:t>, 41 IDELR 119 (4</w:t>
      </w:r>
      <w:r>
        <w:rPr>
          <w:color w:val="000000"/>
          <w:sz w:val="20"/>
          <w:szCs w:val="20"/>
          <w:vertAlign w:val="superscript"/>
        </w:rPr>
        <w:t>th</w:t>
      </w:r>
      <w:r>
        <w:rPr>
          <w:color w:val="000000"/>
          <w:sz w:val="20"/>
          <w:szCs w:val="20"/>
        </w:rPr>
        <w:t xml:space="preserve"> Cir. 2004).</w:t>
      </w:r>
    </w:p>
  </w:footnote>
  <w:footnote w:id="10">
    <w:p w14:paraId="04EA41BF" w14:textId="77777777" w:rsidR="00C532E7" w:rsidRDefault="000D68F0">
      <w:pPr>
        <w:pBdr>
          <w:top w:val="nil"/>
          <w:left w:val="nil"/>
          <w:bottom w:val="nil"/>
          <w:right w:val="nil"/>
          <w:between w:val="nil"/>
        </w:pBdr>
        <w:rPr>
          <w:i/>
          <w:color w:val="000000"/>
          <w:sz w:val="20"/>
          <w:szCs w:val="20"/>
        </w:rPr>
      </w:pPr>
      <w:r>
        <w:rPr>
          <w:rStyle w:val="FootnoteReference"/>
        </w:rPr>
        <w:footnoteRef/>
      </w:r>
      <w:r>
        <w:rPr>
          <w:color w:val="000000"/>
          <w:sz w:val="20"/>
          <w:szCs w:val="20"/>
        </w:rPr>
        <w:t xml:space="preserve"> </w:t>
      </w:r>
      <w:r>
        <w:rPr>
          <w:i/>
          <w:color w:val="000000"/>
          <w:sz w:val="20"/>
          <w:szCs w:val="20"/>
        </w:rPr>
        <w:t xml:space="preserve">See In Re Agawam Public Schools and </w:t>
      </w:r>
      <w:r>
        <w:rPr>
          <w:i/>
          <w:color w:val="000000"/>
          <w:sz w:val="20"/>
          <w:szCs w:val="20"/>
        </w:rPr>
        <w:t xml:space="preserve">Melmark-New England, </w:t>
      </w:r>
      <w:r>
        <w:rPr>
          <w:color w:val="000000"/>
          <w:sz w:val="20"/>
          <w:szCs w:val="20"/>
        </w:rPr>
        <w:t>BSEA #1504488</w:t>
      </w:r>
      <w:r>
        <w:rPr>
          <w:i/>
          <w:color w:val="000000"/>
          <w:sz w:val="20"/>
          <w:szCs w:val="20"/>
        </w:rPr>
        <w:t xml:space="preserve">, </w:t>
      </w:r>
      <w:r>
        <w:rPr>
          <w:color w:val="000000"/>
          <w:sz w:val="20"/>
          <w:szCs w:val="20"/>
        </w:rPr>
        <w:t>21 MSER 81 (Berman, 2015).</w:t>
      </w:r>
      <w:r>
        <w:rPr>
          <w:i/>
          <w:color w:val="000000"/>
          <w:sz w:val="20"/>
          <w:szCs w:val="20"/>
        </w:rPr>
        <w:t> </w:t>
      </w:r>
    </w:p>
  </w:footnote>
  <w:footnote w:id="11">
    <w:p w14:paraId="29E8EE11" w14:textId="77777777" w:rsidR="00C532E7" w:rsidRDefault="000D68F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i/>
          <w:color w:val="000000"/>
          <w:sz w:val="20"/>
          <w:szCs w:val="20"/>
        </w:rPr>
        <w:t xml:space="preserve">See </w:t>
      </w:r>
      <w:r>
        <w:rPr>
          <w:i/>
          <w:color w:val="000000"/>
          <w:sz w:val="20"/>
          <w:szCs w:val="20"/>
        </w:rPr>
        <w:t>Weast v. Schaffer</w:t>
      </w:r>
      <w:r>
        <w:rPr>
          <w:color w:val="000000"/>
          <w:sz w:val="20"/>
          <w:szCs w:val="20"/>
        </w:rPr>
        <w:t>, 377 F. 3d 449, 455 (4th Cir. 2004).</w:t>
      </w:r>
    </w:p>
  </w:footnote>
  <w:footnote w:id="12">
    <w:p w14:paraId="6801C60F" w14:textId="77777777" w:rsidR="00C532E7" w:rsidRDefault="000D68F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This </w:t>
      </w:r>
      <w:r>
        <w:rPr>
          <w:i/>
          <w:color w:val="000000"/>
          <w:sz w:val="20"/>
          <w:szCs w:val="20"/>
        </w:rPr>
        <w:t>Ruling</w:t>
      </w:r>
      <w:r>
        <w:rPr>
          <w:color w:val="000000"/>
          <w:sz w:val="20"/>
          <w:szCs w:val="20"/>
        </w:rPr>
        <w:t xml:space="preserve"> does not address the appropriateness of 80 minutes of pull-out reading instruction as that is not the issue before the Hearing Officer in the instant </w:t>
      </w:r>
      <w:r>
        <w:rPr>
          <w:i/>
          <w:color w:val="000000"/>
          <w:sz w:val="20"/>
          <w:szCs w:val="20"/>
        </w:rPr>
        <w:t>Motion</w:t>
      </w:r>
      <w:r>
        <w:rPr>
          <w:color w:val="000000"/>
          <w:sz w:val="20"/>
          <w:szCs w:val="20"/>
        </w:rPr>
        <w:t>.</w:t>
      </w:r>
    </w:p>
  </w:footnote>
  <w:footnote w:id="13">
    <w:p w14:paraId="27181D05" w14:textId="77777777" w:rsidR="00C532E7" w:rsidRDefault="000D68F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Whether Parent truly believed that the District had intended to increase reading services to 2x40min/per day/5-day cycle and add 30 minutes of direct writing instruction is unclear, especially in light of the fact that the September Amendment Page highlights the addition of writing services to Student’s service delivery grid but fails to reference any increase in reading services. (School Exhibit 1) Parent may have simply overlooked the omission on the Amendment Page and focused instead on the services delivery grid; she testified that she believed that the increased reading services reflected on the grid were offered because she had raised concerns about Student’s performance and even raised the idea of outside placement at White Oak School. (Testimony Parent)</w:t>
      </w:r>
    </w:p>
  </w:footnote>
  <w:footnote w:id="14">
    <w:p w14:paraId="631E0E0C" w14:textId="77777777" w:rsidR="00C532E7" w:rsidRDefault="000D68F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i/>
          <w:color w:val="000000"/>
          <w:sz w:val="20"/>
          <w:szCs w:val="20"/>
        </w:rPr>
        <w:t xml:space="preserve">See </w:t>
      </w:r>
      <w:r>
        <w:rPr>
          <w:color w:val="000000"/>
          <w:sz w:val="20"/>
          <w:szCs w:val="20"/>
        </w:rPr>
        <w:t>20 U.S.C. §1415(j); 34 CFR §300.514.</w:t>
      </w:r>
    </w:p>
  </w:footnote>
  <w:footnote w:id="15">
    <w:p w14:paraId="130DDC45" w14:textId="77777777" w:rsidR="00C532E7" w:rsidRDefault="000D68F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i/>
          <w:color w:val="000000"/>
          <w:sz w:val="20"/>
          <w:szCs w:val="20"/>
        </w:rPr>
        <w:t xml:space="preserve">See </w:t>
      </w:r>
      <w:r>
        <w:rPr>
          <w:color w:val="000000"/>
          <w:sz w:val="20"/>
          <w:szCs w:val="20"/>
        </w:rPr>
        <w:t>20 USC Sec. 1415 (b</w:t>
      </w:r>
      <w:r>
        <w:rPr>
          <w:color w:val="000000"/>
          <w:sz w:val="20"/>
          <w:szCs w:val="20"/>
        </w:rPr>
        <w:t xml:space="preserve">)(3) and (c); 34 CFR 300.503. </w:t>
      </w:r>
      <w:r>
        <w:rPr>
          <w:color w:val="000000"/>
          <w:sz w:val="20"/>
          <w:szCs w:val="20"/>
          <w:highlight w:val="white"/>
        </w:rPr>
        <w:t>Massachusetts has adopted the notice provisions of the IDEA and implementing federal regulations.</w:t>
      </w:r>
    </w:p>
  </w:footnote>
  <w:footnote w:id="16">
    <w:p w14:paraId="15C80ADA" w14:textId="77777777" w:rsidR="00C532E7" w:rsidRDefault="000D68F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i/>
          <w:color w:val="000000"/>
          <w:sz w:val="20"/>
          <w:szCs w:val="20"/>
        </w:rPr>
        <w:t>See In Re: Medford Public Schools</w:t>
      </w:r>
      <w:r>
        <w:rPr>
          <w:color w:val="000000"/>
          <w:sz w:val="20"/>
          <w:szCs w:val="20"/>
        </w:rPr>
        <w:t xml:space="preserve">, #02-1855, 38 IDELR 24 (2002) (where the size of the instructional grouping is a fundamental part of the program, a change in the size of the grouping is a revision of the IEP, thus obligating the district to notify Parents </w:t>
      </w:r>
      <w:r>
        <w:rPr>
          <w:sz w:val="20"/>
          <w:szCs w:val="20"/>
        </w:rPr>
        <w:t xml:space="preserve">formally </w:t>
      </w:r>
      <w:r>
        <w:rPr>
          <w:color w:val="000000"/>
          <w:sz w:val="20"/>
          <w:szCs w:val="20"/>
        </w:rPr>
        <w:t>of its intent to provide small group instruction for the following year, and failure to give such advance notice prior to a change in the services violated the notice provisions of the IDEA and c. 7 IB, and the pertinent regulations).</w:t>
      </w:r>
    </w:p>
  </w:footnote>
  <w:footnote w:id="17">
    <w:p w14:paraId="3655011F" w14:textId="77777777" w:rsidR="00C532E7" w:rsidRDefault="000D68F0">
      <w:pPr>
        <w:rPr>
          <w:color w:val="000000"/>
          <w:sz w:val="20"/>
          <w:szCs w:val="20"/>
        </w:rPr>
      </w:pPr>
      <w:r>
        <w:rPr>
          <w:rStyle w:val="FootnoteReference"/>
        </w:rPr>
        <w:footnoteRef/>
      </w:r>
      <w:r>
        <w:rPr>
          <w:color w:val="000000"/>
          <w:sz w:val="20"/>
          <w:szCs w:val="20"/>
        </w:rPr>
        <w:t xml:space="preserve"> </w:t>
      </w:r>
      <w:r>
        <w:rPr>
          <w:i/>
          <w:color w:val="000000"/>
          <w:sz w:val="20"/>
          <w:szCs w:val="20"/>
        </w:rPr>
        <w:t>Student v. Triton Regional School District</w:t>
      </w:r>
      <w:r>
        <w:rPr>
          <w:color w:val="000000"/>
          <w:sz w:val="20"/>
          <w:szCs w:val="20"/>
        </w:rPr>
        <w:t>, BSEA #1302663, 19 MSER 80 (</w:t>
      </w:r>
      <w:r>
        <w:rPr>
          <w:color w:val="000000"/>
          <w:sz w:val="20"/>
          <w:szCs w:val="20"/>
          <w:highlight w:val="white"/>
        </w:rPr>
        <w:t xml:space="preserve">Putney-Yaceshyn, </w:t>
      </w:r>
      <w:r>
        <w:rPr>
          <w:color w:val="000000"/>
          <w:sz w:val="20"/>
          <w:szCs w:val="20"/>
        </w:rPr>
        <w:t>2013) (finding that there is no question that parent understood that the school district had refused her request to provide Student with a laptop and an FM system). </w:t>
      </w:r>
    </w:p>
  </w:footnote>
  <w:footnote w:id="18">
    <w:p w14:paraId="7618D761" w14:textId="77777777" w:rsidR="00C532E7" w:rsidRDefault="000D68F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i/>
          <w:color w:val="000000"/>
          <w:sz w:val="20"/>
          <w:szCs w:val="20"/>
        </w:rPr>
        <w:t xml:space="preserve">See Smith v. </w:t>
      </w:r>
      <w:r>
        <w:rPr>
          <w:i/>
          <w:color w:val="000000"/>
          <w:sz w:val="20"/>
          <w:szCs w:val="20"/>
        </w:rPr>
        <w:t>Squillacote</w:t>
      </w:r>
      <w:r>
        <w:rPr>
          <w:color w:val="000000"/>
          <w:sz w:val="20"/>
          <w:szCs w:val="20"/>
        </w:rPr>
        <w:t xml:space="preserve">, 800 F. Supp. 993, 989 (D.D.C. 1992) (The purpose of the notice requirement is to ensure that parents may reach an informed conclusion about whether the services </w:t>
      </w:r>
      <w:r>
        <w:rPr>
          <w:color w:val="000000"/>
          <w:sz w:val="20"/>
          <w:szCs w:val="20"/>
        </w:rPr>
        <w:t>and  placement proposed will provide an appropriate education).</w:t>
      </w:r>
    </w:p>
  </w:footnote>
  <w:footnote w:id="19">
    <w:p w14:paraId="320B8B44" w14:textId="77777777" w:rsidR="00C532E7" w:rsidRDefault="000D68F0">
      <w:pPr>
        <w:pBdr>
          <w:top w:val="nil"/>
          <w:left w:val="nil"/>
          <w:bottom w:val="nil"/>
          <w:right w:val="nil"/>
          <w:between w:val="nil"/>
        </w:pBdr>
        <w:rPr>
          <w:i/>
          <w:color w:val="000000"/>
          <w:sz w:val="20"/>
          <w:szCs w:val="20"/>
        </w:rPr>
      </w:pPr>
      <w:r>
        <w:rPr>
          <w:rStyle w:val="FootnoteReference"/>
        </w:rPr>
        <w:footnoteRef/>
      </w:r>
      <w:r>
        <w:rPr>
          <w:color w:val="000000"/>
          <w:sz w:val="20"/>
          <w:szCs w:val="20"/>
        </w:rPr>
        <w:t xml:space="preserve"> </w:t>
      </w:r>
      <w:r>
        <w:rPr>
          <w:i/>
          <w:color w:val="000000"/>
          <w:sz w:val="20"/>
          <w:szCs w:val="20"/>
        </w:rPr>
        <w:t xml:space="preserve">Honig, </w:t>
      </w:r>
      <w:r>
        <w:rPr>
          <w:color w:val="000000"/>
          <w:sz w:val="20"/>
          <w:szCs w:val="20"/>
        </w:rPr>
        <w:t xml:space="preserve">484 U.S. at 311-12 (citations omitted). See also </w:t>
      </w:r>
      <w:r>
        <w:rPr>
          <w:i/>
          <w:color w:val="000000"/>
          <w:sz w:val="20"/>
          <w:szCs w:val="20"/>
        </w:rPr>
        <w:t xml:space="preserve">School Comm. of Burlington v. Department of Educ., </w:t>
      </w:r>
      <w:r>
        <w:rPr>
          <w:color w:val="000000"/>
          <w:sz w:val="20"/>
          <w:szCs w:val="20"/>
        </w:rPr>
        <w:t xml:space="preserve">471 U.S. 359, 368 (1985) ("Congress incorporated an elaborate set of what it labeled 'procedural safeguards' to insure the full participation of the parents. . . . "); </w:t>
      </w:r>
      <w:r>
        <w:rPr>
          <w:i/>
          <w:color w:val="000000"/>
          <w:sz w:val="20"/>
          <w:szCs w:val="20"/>
        </w:rPr>
        <w:t>Board of Educ. v. Rowley</w:t>
      </w:r>
      <w:r>
        <w:rPr>
          <w:color w:val="000000"/>
          <w:sz w:val="20"/>
          <w:szCs w:val="20"/>
        </w:rPr>
        <w:t>, 458 U.S. 176 at 208 (1982) ("Congress sought to protect individual children by providing for parental involvement. . . . ").</w:t>
      </w:r>
    </w:p>
  </w:footnote>
  <w:footnote w:id="20">
    <w:p w14:paraId="7FEA803F" w14:textId="77777777" w:rsidR="00C532E7" w:rsidRDefault="000D68F0">
      <w:pPr>
        <w:shd w:val="clear" w:color="auto" w:fill="FFFFFF"/>
        <w:rPr>
          <w:color w:val="000000"/>
          <w:sz w:val="20"/>
          <w:szCs w:val="20"/>
        </w:rPr>
      </w:pPr>
      <w:r>
        <w:rPr>
          <w:rStyle w:val="FootnoteReference"/>
        </w:rPr>
        <w:footnoteRef/>
      </w:r>
      <w:r>
        <w:rPr>
          <w:color w:val="000000"/>
          <w:sz w:val="20"/>
          <w:szCs w:val="20"/>
        </w:rPr>
        <w:t xml:space="preserve"> </w:t>
      </w:r>
      <w:r>
        <w:rPr>
          <w:i/>
          <w:sz w:val="20"/>
          <w:szCs w:val="20"/>
        </w:rPr>
        <w:t>M.C ex rel. v. Antelope Valley Union High Sch. Dist.,</w:t>
      </w:r>
      <w:r>
        <w:rPr>
          <w:sz w:val="20"/>
          <w:szCs w:val="20"/>
        </w:rPr>
        <w:t xml:space="preserve"> 858 F.3d 1189, 1196–97 (9th Cir. 2017) (citations omitted).</w:t>
      </w:r>
    </w:p>
  </w:footnote>
  <w:footnote w:id="21">
    <w:p w14:paraId="6246FB34" w14:textId="77777777" w:rsidR="00C532E7" w:rsidRDefault="000D68F0">
      <w:pPr>
        <w:pBdr>
          <w:top w:val="nil"/>
          <w:left w:val="nil"/>
          <w:bottom w:val="nil"/>
          <w:right w:val="nil"/>
          <w:between w:val="nil"/>
        </w:pBdr>
        <w:rPr>
          <w:i/>
          <w:color w:val="000000"/>
          <w:sz w:val="20"/>
          <w:szCs w:val="20"/>
        </w:rPr>
      </w:pPr>
      <w:r>
        <w:rPr>
          <w:rStyle w:val="FootnoteReference"/>
        </w:rPr>
        <w:footnoteRef/>
      </w:r>
      <w:r>
        <w:rPr>
          <w:color w:val="000000"/>
          <w:sz w:val="20"/>
          <w:szCs w:val="20"/>
        </w:rPr>
        <w:t xml:space="preserve"> </w:t>
      </w:r>
      <w:r>
        <w:rPr>
          <w:i/>
          <w:color w:val="000000"/>
          <w:sz w:val="20"/>
          <w:szCs w:val="20"/>
        </w:rPr>
        <w:t>Id.</w:t>
      </w:r>
    </w:p>
  </w:footnote>
  <w:footnote w:id="22">
    <w:p w14:paraId="581FDFB8" w14:textId="77777777" w:rsidR="00C532E7" w:rsidRDefault="000D68F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i/>
          <w:color w:val="000000"/>
          <w:sz w:val="20"/>
          <w:szCs w:val="20"/>
        </w:rPr>
        <w:t>Id</w:t>
      </w:r>
      <w:r>
        <w:rPr>
          <w:color w:val="000000"/>
          <w:sz w:val="20"/>
          <w:szCs w:val="20"/>
        </w:rPr>
        <w:t xml:space="preserve">. (internal citations to </w:t>
      </w:r>
      <w:r>
        <w:rPr>
          <w:color w:val="000000"/>
          <w:sz w:val="20"/>
          <w:szCs w:val="20"/>
          <w:highlight w:val="white"/>
        </w:rPr>
        <w:t>20 U.S.C. § 1414(d</w:t>
      </w:r>
      <w:r>
        <w:rPr>
          <w:color w:val="000000"/>
          <w:sz w:val="20"/>
          <w:szCs w:val="20"/>
          <w:highlight w:val="white"/>
        </w:rPr>
        <w:t>)(3)(D), (F) omitted).</w:t>
      </w:r>
    </w:p>
  </w:footnote>
  <w:footnote w:id="23">
    <w:p w14:paraId="59D669E9" w14:textId="77777777" w:rsidR="00C532E7" w:rsidRDefault="000D68F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See </w:t>
      </w:r>
      <w:r>
        <w:rPr>
          <w:i/>
          <w:color w:val="000000"/>
          <w:sz w:val="20"/>
          <w:szCs w:val="20"/>
        </w:rPr>
        <w:t>Letter to Johnson</w:t>
      </w:r>
      <w:r>
        <w:rPr>
          <w:color w:val="000000"/>
          <w:sz w:val="20"/>
          <w:szCs w:val="20"/>
        </w:rPr>
        <w:t>, 56 IDELR 51 (OSEP 2010) (“The public agency is not asking the parent to signify that he or she understands the precise nature of all of the services or activities that would be included in an individualized education program (IEP) if the public agency were to develop an IEP for their child …. [A] parent must have a general understanding of the activity for which he is providing consent rather than have an in-depth understanding of all of the services a child's IEP might provide”). </w:t>
      </w:r>
    </w:p>
  </w:footnote>
  <w:footnote w:id="24">
    <w:p w14:paraId="11AA0835" w14:textId="77777777" w:rsidR="00C532E7" w:rsidRDefault="000D68F0">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Pr>
          <w:i/>
          <w:color w:val="000000"/>
          <w:sz w:val="20"/>
          <w:szCs w:val="20"/>
        </w:rPr>
        <w:t>See In Re: Nathan F.</w:t>
      </w:r>
      <w:r>
        <w:rPr>
          <w:color w:val="000000"/>
          <w:sz w:val="20"/>
          <w:szCs w:val="20"/>
        </w:rPr>
        <w:t xml:space="preserve">, </w:t>
      </w:r>
      <w:r>
        <w:rPr>
          <w:i/>
          <w:color w:val="000000"/>
          <w:sz w:val="20"/>
          <w:szCs w:val="20"/>
        </w:rPr>
        <w:t>supra</w:t>
      </w:r>
      <w:r>
        <w:rPr>
          <w:color w:val="000000"/>
          <w:sz w:val="20"/>
          <w:szCs w:val="20"/>
        </w:rPr>
        <w:t>.</w:t>
      </w:r>
      <w:r>
        <w:rPr>
          <w:rFonts w:ascii="Calibri" w:eastAsia="Calibri" w:hAnsi="Calibri" w:cs="Calibri"/>
          <w:color w:val="000000"/>
          <w:sz w:val="20"/>
          <w:szCs w:val="20"/>
        </w:rPr>
        <w:t> </w:t>
      </w:r>
    </w:p>
  </w:footnote>
  <w:footnote w:id="25">
    <w:p w14:paraId="430996B2" w14:textId="77777777" w:rsidR="00C532E7" w:rsidRDefault="000D68F0">
      <w:pPr>
        <w:rPr>
          <w:color w:val="000000"/>
          <w:sz w:val="20"/>
          <w:szCs w:val="20"/>
        </w:rPr>
      </w:pPr>
      <w:r>
        <w:rPr>
          <w:rStyle w:val="FootnoteReference"/>
        </w:rPr>
        <w:footnoteRef/>
      </w:r>
      <w:r>
        <w:rPr>
          <w:color w:val="000000"/>
          <w:sz w:val="20"/>
          <w:szCs w:val="20"/>
        </w:rPr>
        <w:t xml:space="preserve"> </w:t>
      </w:r>
      <w:r>
        <w:rPr>
          <w:i/>
          <w:color w:val="000000"/>
          <w:sz w:val="20"/>
          <w:szCs w:val="20"/>
        </w:rPr>
        <w:t xml:space="preserve">See </w:t>
      </w:r>
      <w:r>
        <w:rPr>
          <w:color w:val="000000"/>
          <w:sz w:val="20"/>
          <w:szCs w:val="20"/>
        </w:rPr>
        <w:t xml:space="preserve">34 CFR 300.518(a); </w:t>
      </w:r>
      <w:r>
        <w:rPr>
          <w:i/>
          <w:color w:val="000000"/>
          <w:sz w:val="20"/>
          <w:szCs w:val="20"/>
        </w:rPr>
        <w:t xml:space="preserve">see also Doe </w:t>
      </w:r>
      <w:r>
        <w:rPr>
          <w:color w:val="000000"/>
          <w:sz w:val="20"/>
          <w:szCs w:val="20"/>
        </w:rPr>
        <w:t>v, 722 F.2d at 918.</w:t>
      </w:r>
    </w:p>
  </w:footnote>
  <w:footnote w:id="26">
    <w:p w14:paraId="61E70267" w14:textId="77777777" w:rsidR="00C532E7" w:rsidRDefault="000D68F0">
      <w:pPr>
        <w:rPr>
          <w:color w:val="000000"/>
          <w:sz w:val="20"/>
          <w:szCs w:val="20"/>
        </w:rPr>
      </w:pPr>
      <w:r>
        <w:rPr>
          <w:rStyle w:val="FootnoteReference"/>
        </w:rPr>
        <w:footnoteRef/>
      </w:r>
      <w:r>
        <w:rPr>
          <w:color w:val="000000"/>
          <w:sz w:val="20"/>
          <w:szCs w:val="20"/>
        </w:rPr>
        <w:t xml:space="preserve"> </w:t>
      </w:r>
      <w:r>
        <w:rPr>
          <w:i/>
          <w:color w:val="000000"/>
          <w:sz w:val="20"/>
          <w:szCs w:val="20"/>
        </w:rPr>
        <w:t>Doe,</w:t>
      </w:r>
      <w:r>
        <w:rPr>
          <w:color w:val="000000"/>
          <w:sz w:val="20"/>
          <w:szCs w:val="20"/>
        </w:rPr>
        <w:t xml:space="preserve"> 722 F.2d at 918 (citing § 1412(1) of the IDEA with emphasis added).</w:t>
      </w:r>
    </w:p>
  </w:footnote>
  <w:footnote w:id="27">
    <w:p w14:paraId="76541E27" w14:textId="77777777" w:rsidR="00C532E7" w:rsidRDefault="000D68F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i/>
          <w:color w:val="000000"/>
          <w:sz w:val="20"/>
          <w:szCs w:val="20"/>
        </w:rPr>
        <w:t xml:space="preserve">Pollack v. </w:t>
      </w:r>
      <w:r>
        <w:rPr>
          <w:i/>
          <w:color w:val="000000"/>
          <w:sz w:val="20"/>
          <w:szCs w:val="20"/>
        </w:rPr>
        <w:t>Reg'l Sch. Unit 75</w:t>
      </w:r>
      <w:r>
        <w:rPr>
          <w:color w:val="000000"/>
          <w:sz w:val="20"/>
          <w:szCs w:val="20"/>
        </w:rPr>
        <w:t>, No. 2:13-CV-109-NT, 2015 WL 1947315, at *14 (D. Me. Apr. 29, 2015) (“</w:t>
      </w:r>
      <w:r>
        <w:rPr>
          <w:color w:val="000000"/>
          <w:sz w:val="20"/>
          <w:szCs w:val="20"/>
          <w:highlight w:val="white"/>
        </w:rPr>
        <w:t>The IEP meeting serves as a communication vehicle between parents and school personnel, and enables them, as equal participants, to make joint, informed decisions regarding [the child's special education]. Parents are considered equal partners with school personnel in making these decisions, and the IEP Team must consider the parents' concerns and the information that they provide regarding their child in ... developing, reviewing, and revising IEPs; and determining placement</w:t>
      </w:r>
      <w:r>
        <w:rPr>
          <w:color w:val="000000"/>
          <w:sz w:val="20"/>
          <w:szCs w:val="20"/>
        </w:rPr>
        <w:t xml:space="preserve">”).  </w:t>
      </w:r>
    </w:p>
  </w:footnote>
  <w:footnote w:id="28">
    <w:p w14:paraId="1415BE39" w14:textId="77777777" w:rsidR="00C532E7" w:rsidRDefault="000D68F0">
      <w:pPr>
        <w:rPr>
          <w:color w:val="000000"/>
          <w:sz w:val="20"/>
          <w:szCs w:val="20"/>
          <w:highlight w:val="white"/>
        </w:rPr>
      </w:pPr>
      <w:r>
        <w:rPr>
          <w:rStyle w:val="FootnoteReference"/>
        </w:rPr>
        <w:footnoteRef/>
      </w:r>
      <w:r>
        <w:t xml:space="preserve"> </w:t>
      </w:r>
      <w:r>
        <w:rPr>
          <w:i/>
          <w:color w:val="000000"/>
          <w:sz w:val="20"/>
          <w:szCs w:val="20"/>
          <w:highlight w:val="white"/>
        </w:rPr>
        <w:t xml:space="preserve">See </w:t>
      </w:r>
      <w:r>
        <w:rPr>
          <w:i/>
          <w:color w:val="000000"/>
          <w:sz w:val="20"/>
          <w:szCs w:val="20"/>
        </w:rPr>
        <w:t>In Re: Nathan F.</w:t>
      </w:r>
      <w:r>
        <w:rPr>
          <w:color w:val="000000"/>
          <w:sz w:val="20"/>
          <w:szCs w:val="20"/>
        </w:rPr>
        <w:t xml:space="preserve">, </w:t>
      </w:r>
      <w:r>
        <w:rPr>
          <w:i/>
          <w:color w:val="000000"/>
          <w:sz w:val="20"/>
          <w:szCs w:val="20"/>
        </w:rPr>
        <w:t>supra</w:t>
      </w:r>
      <w:r>
        <w:rPr>
          <w:color w:val="000000"/>
          <w:sz w:val="20"/>
          <w:szCs w:val="20"/>
          <w:highlight w:val="white"/>
        </w:rPr>
        <w:t>. </w:t>
      </w:r>
    </w:p>
  </w:footnote>
  <w:footnote w:id="29">
    <w:p w14:paraId="212F5485" w14:textId="77777777" w:rsidR="00C532E7" w:rsidRDefault="000D68F0">
      <w:pPr>
        <w:rPr>
          <w:sz w:val="20"/>
          <w:szCs w:val="20"/>
        </w:rPr>
      </w:pPr>
      <w:r>
        <w:rPr>
          <w:rStyle w:val="FootnoteReference"/>
        </w:rPr>
        <w:footnoteRef/>
      </w:r>
      <w:r>
        <w:rPr>
          <w:sz w:val="20"/>
          <w:szCs w:val="20"/>
        </w:rPr>
        <w:t xml:space="preserve"> </w:t>
      </w:r>
      <w:r>
        <w:rPr>
          <w:i/>
          <w:sz w:val="20"/>
          <w:szCs w:val="20"/>
        </w:rPr>
        <w:t>In re: Boston Public Schools</w:t>
      </w:r>
      <w:r>
        <w:rPr>
          <w:sz w:val="20"/>
          <w:szCs w:val="20"/>
        </w:rPr>
        <w:t xml:space="preserve">, </w:t>
      </w:r>
      <w:r>
        <w:rPr>
          <w:color w:val="000000"/>
          <w:sz w:val="20"/>
          <w:szCs w:val="20"/>
          <w:highlight w:val="white"/>
        </w:rPr>
        <w:t>BSEA # 1503083 and 1401653, 21 MSER 198 (Figueroa, 2015)</w:t>
      </w:r>
    </w:p>
  </w:footnote>
  <w:footnote w:id="30">
    <w:p w14:paraId="2FCA348E" w14:textId="77777777" w:rsidR="00C532E7" w:rsidRDefault="000D68F0">
      <w:pPr>
        <w:rPr>
          <w:color w:val="000000"/>
          <w:sz w:val="20"/>
          <w:szCs w:val="20"/>
        </w:rPr>
      </w:pPr>
      <w:r>
        <w:rPr>
          <w:rStyle w:val="FootnoteReference"/>
        </w:rPr>
        <w:footnoteRef/>
      </w:r>
      <w:r>
        <w:rPr>
          <w:color w:val="000000"/>
          <w:sz w:val="20"/>
          <w:szCs w:val="20"/>
        </w:rPr>
        <w:t xml:space="preserve"> </w:t>
      </w:r>
      <w:r>
        <w:rPr>
          <w:i/>
          <w:color w:val="000000"/>
          <w:sz w:val="20"/>
          <w:szCs w:val="20"/>
        </w:rPr>
        <w:t xml:space="preserve">See </w:t>
      </w:r>
      <w:r>
        <w:rPr>
          <w:color w:val="000000"/>
          <w:sz w:val="20"/>
          <w:szCs w:val="20"/>
        </w:rPr>
        <w:t>20 U.S.C. §§ 1400(d</w:t>
      </w:r>
      <w:r>
        <w:rPr>
          <w:color w:val="000000"/>
          <w:sz w:val="20"/>
          <w:szCs w:val="20"/>
        </w:rPr>
        <w:t>)(1), 1412(a)(4), 1414(d). </w:t>
      </w:r>
    </w:p>
  </w:footnote>
  <w:footnote w:id="31">
    <w:p w14:paraId="7B4EF4F0" w14:textId="28986FE8" w:rsidR="00C532E7" w:rsidRDefault="000D68F0">
      <w:r>
        <w:rPr>
          <w:rStyle w:val="FootnoteReference"/>
        </w:rPr>
        <w:footnoteRef/>
      </w:r>
      <w:r>
        <w:t xml:space="preserve"> </w:t>
      </w:r>
      <w:r>
        <w:rPr>
          <w:sz w:val="18"/>
          <w:szCs w:val="18"/>
        </w:rPr>
        <w:t xml:space="preserve">Nevertheless, Parents accepted the September Amendment. Generally, pursuant to federal and state regulations, "as soon as possible following the development of the IEP, special education and related services must be made available to the child in accordance with the child's IEP." This dictate applies to an “amended proposal” as well.  In this case, the District failed to implement an accepted service, raising the potential for a claim for compensatory education for the service for which Parent had a “reasonable </w:t>
      </w:r>
      <w:r>
        <w:rPr>
          <w:sz w:val="18"/>
          <w:szCs w:val="18"/>
        </w:rPr>
        <w:t xml:space="preserve">expectation[].” 34 CFR 300.323(c)(2); 603 CMR 28.05(7)(a)(1); </w:t>
      </w:r>
      <w:r w:rsidRPr="009E4E8C">
        <w:rPr>
          <w:i/>
          <w:sz w:val="18"/>
          <w:szCs w:val="18"/>
        </w:rPr>
        <w:t>see also Antelope Valley Union High Sch. Dist</w:t>
      </w:r>
      <w:r>
        <w:rPr>
          <w:sz w:val="18"/>
          <w:szCs w:val="18"/>
        </w:rPr>
        <w:t>., 858 F. 3d at 1195.</w:t>
      </w:r>
    </w:p>
    <w:p w14:paraId="1F1794B9" w14:textId="77777777" w:rsidR="00C532E7" w:rsidRDefault="00C532E7">
      <w:pPr>
        <w:rPr>
          <w:sz w:val="18"/>
          <w:szCs w:val="18"/>
        </w:rPr>
      </w:pPr>
    </w:p>
    <w:p w14:paraId="66B148A8" w14:textId="77777777" w:rsidR="00C532E7" w:rsidRDefault="00C532E7">
      <w:pPr>
        <w:pBdr>
          <w:top w:val="nil"/>
          <w:left w:val="nil"/>
          <w:bottom w:val="nil"/>
          <w:right w:val="nil"/>
          <w:between w:val="nil"/>
        </w:pBdr>
        <w:rPr>
          <w:rFonts w:ascii="Calibri" w:eastAsia="Calibri" w:hAnsi="Calibri" w:cs="Calibri"/>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4324E"/>
    <w:multiLevelType w:val="multilevel"/>
    <w:tmpl w:val="0DE69F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5F1F7C"/>
    <w:multiLevelType w:val="multilevel"/>
    <w:tmpl w:val="3DB25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6A0604"/>
    <w:multiLevelType w:val="multilevel"/>
    <w:tmpl w:val="D5E0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DE2770"/>
    <w:multiLevelType w:val="multilevel"/>
    <w:tmpl w:val="6EBA3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2E7"/>
    <w:rsid w:val="000D68F0"/>
    <w:rsid w:val="00576FDE"/>
    <w:rsid w:val="00745CC1"/>
    <w:rsid w:val="009E4E8C"/>
    <w:rsid w:val="00A27452"/>
    <w:rsid w:val="00B91CAB"/>
    <w:rsid w:val="00C532E7"/>
    <w:rsid w:val="00D84841"/>
    <w:rsid w:val="00E06041"/>
    <w:rsid w:val="00F7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27E7"/>
  <w15:docId w15:val="{427DDAEB-658F-4EB9-9C11-6C8DB9C2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F7"/>
  </w:style>
  <w:style w:type="paragraph" w:styleId="Heading1">
    <w:name w:val="heading 1"/>
    <w:basedOn w:val="Normal"/>
    <w:next w:val="Normal"/>
    <w:link w:val="Heading1Char"/>
    <w:uiPriority w:val="9"/>
    <w:qFormat/>
    <w:rsid w:val="007E2BD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D26EF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64EE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EC6CC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C6CCD"/>
    <w:rPr>
      <w:sz w:val="20"/>
      <w:szCs w:val="20"/>
    </w:rPr>
  </w:style>
  <w:style w:type="character" w:styleId="FootnoteReference">
    <w:name w:val="footnote reference"/>
    <w:basedOn w:val="DefaultParagraphFont"/>
    <w:uiPriority w:val="99"/>
    <w:semiHidden/>
    <w:unhideWhenUsed/>
    <w:rsid w:val="00EC6CCD"/>
    <w:rPr>
      <w:vertAlign w:val="superscript"/>
    </w:rPr>
  </w:style>
  <w:style w:type="paragraph" w:styleId="Footer">
    <w:name w:val="footer"/>
    <w:basedOn w:val="Normal"/>
    <w:link w:val="FooterChar"/>
    <w:uiPriority w:val="99"/>
    <w:unhideWhenUsed/>
    <w:rsid w:val="00EC6CC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C6CCD"/>
    <w:rPr>
      <w:sz w:val="22"/>
      <w:szCs w:val="22"/>
    </w:rPr>
  </w:style>
  <w:style w:type="paragraph" w:styleId="NoSpacing">
    <w:name w:val="No Spacing"/>
    <w:uiPriority w:val="1"/>
    <w:qFormat/>
    <w:rsid w:val="00EC6CCD"/>
    <w:rPr>
      <w:sz w:val="22"/>
      <w:szCs w:val="22"/>
    </w:rPr>
  </w:style>
  <w:style w:type="character" w:styleId="Hyperlink">
    <w:name w:val="Hyperlink"/>
    <w:basedOn w:val="DefaultParagraphFont"/>
    <w:uiPriority w:val="99"/>
    <w:unhideWhenUsed/>
    <w:rsid w:val="00EC6CCD"/>
    <w:rPr>
      <w:color w:val="0563C1" w:themeColor="hyperlink"/>
      <w:u w:val="single"/>
    </w:rPr>
  </w:style>
  <w:style w:type="character" w:customStyle="1" w:styleId="UnresolvedMention1">
    <w:name w:val="Unresolved Mention1"/>
    <w:basedOn w:val="DefaultParagraphFont"/>
    <w:uiPriority w:val="99"/>
    <w:semiHidden/>
    <w:unhideWhenUsed/>
    <w:rsid w:val="00EC6CCD"/>
    <w:rPr>
      <w:color w:val="605E5C"/>
      <w:shd w:val="clear" w:color="auto" w:fill="E1DFDD"/>
    </w:rPr>
  </w:style>
  <w:style w:type="paragraph" w:styleId="NormalWeb">
    <w:name w:val="Normal (Web)"/>
    <w:basedOn w:val="Normal"/>
    <w:uiPriority w:val="99"/>
    <w:unhideWhenUsed/>
    <w:rsid w:val="005E2C22"/>
    <w:pPr>
      <w:spacing w:after="160" w:line="259" w:lineRule="auto"/>
    </w:pPr>
    <w:rPr>
      <w:rFonts w:eastAsiaTheme="minorHAnsi"/>
    </w:rPr>
  </w:style>
  <w:style w:type="character" w:customStyle="1" w:styleId="apple-converted-space">
    <w:name w:val="apple-converted-space"/>
    <w:basedOn w:val="DefaultParagraphFont"/>
    <w:rsid w:val="00D26EF9"/>
  </w:style>
  <w:style w:type="character" w:customStyle="1" w:styleId="Heading3Char">
    <w:name w:val="Heading 3 Char"/>
    <w:basedOn w:val="DefaultParagraphFont"/>
    <w:link w:val="Heading3"/>
    <w:uiPriority w:val="9"/>
    <w:rsid w:val="00D26EF9"/>
    <w:rPr>
      <w:rFonts w:ascii="Times New Roman" w:eastAsia="Times New Roman" w:hAnsi="Times New Roman" w:cs="Times New Roman"/>
      <w:b/>
      <w:bCs/>
      <w:sz w:val="27"/>
      <w:szCs w:val="27"/>
    </w:rPr>
  </w:style>
  <w:style w:type="character" w:styleId="Emphasis">
    <w:name w:val="Emphasis"/>
    <w:basedOn w:val="DefaultParagraphFont"/>
    <w:uiPriority w:val="20"/>
    <w:qFormat/>
    <w:rsid w:val="00D26EF9"/>
    <w:rPr>
      <w:i/>
      <w:iCs/>
    </w:rPr>
  </w:style>
  <w:style w:type="character" w:customStyle="1" w:styleId="tooltipsall">
    <w:name w:val="tooltipsall"/>
    <w:basedOn w:val="DefaultParagraphFont"/>
    <w:rsid w:val="00D26EF9"/>
  </w:style>
  <w:style w:type="character" w:styleId="Strong">
    <w:name w:val="Strong"/>
    <w:basedOn w:val="DefaultParagraphFont"/>
    <w:uiPriority w:val="22"/>
    <w:qFormat/>
    <w:rsid w:val="00D26EF9"/>
    <w:rPr>
      <w:b/>
      <w:bCs/>
    </w:rPr>
  </w:style>
  <w:style w:type="paragraph" w:styleId="ListParagraph">
    <w:name w:val="List Paragraph"/>
    <w:basedOn w:val="Normal"/>
    <w:uiPriority w:val="34"/>
    <w:qFormat/>
    <w:rsid w:val="00BC2887"/>
    <w:pPr>
      <w:spacing w:after="160" w:line="259" w:lineRule="auto"/>
      <w:ind w:left="720"/>
      <w:contextualSpacing/>
    </w:pPr>
    <w:rPr>
      <w:rFonts w:asciiTheme="minorHAnsi" w:eastAsiaTheme="minorHAnsi" w:hAnsiTheme="minorHAnsi" w:cstheme="minorBidi"/>
      <w:sz w:val="22"/>
      <w:szCs w:val="22"/>
    </w:rPr>
  </w:style>
  <w:style w:type="paragraph" w:customStyle="1" w:styleId="casepara">
    <w:name w:val="casepara"/>
    <w:basedOn w:val="Normal"/>
    <w:rsid w:val="00AE62CF"/>
    <w:pPr>
      <w:spacing w:before="100" w:beforeAutospacing="1" w:after="100" w:afterAutospacing="1"/>
    </w:pPr>
  </w:style>
  <w:style w:type="paragraph" w:customStyle="1" w:styleId="blockquote">
    <w:name w:val="blockquote"/>
    <w:basedOn w:val="Normal"/>
    <w:rsid w:val="0024794A"/>
    <w:pPr>
      <w:spacing w:before="100" w:beforeAutospacing="1" w:after="100" w:afterAutospacing="1"/>
    </w:pPr>
  </w:style>
  <w:style w:type="character" w:customStyle="1" w:styleId="Heading1Char">
    <w:name w:val="Heading 1 Char"/>
    <w:basedOn w:val="DefaultParagraphFont"/>
    <w:link w:val="Heading1"/>
    <w:uiPriority w:val="9"/>
    <w:rsid w:val="007E2BD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42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C1436"/>
    <w:rPr>
      <w:color w:val="954F72" w:themeColor="followedHyperlink"/>
      <w:u w:val="single"/>
    </w:rPr>
  </w:style>
  <w:style w:type="character" w:customStyle="1" w:styleId="Heading4Char">
    <w:name w:val="Heading 4 Char"/>
    <w:basedOn w:val="DefaultParagraphFont"/>
    <w:link w:val="Heading4"/>
    <w:uiPriority w:val="9"/>
    <w:rsid w:val="00B64EEE"/>
    <w:rPr>
      <w:rFonts w:asciiTheme="majorHAnsi" w:eastAsiaTheme="majorEastAsia" w:hAnsiTheme="majorHAnsi" w:cstheme="majorBidi"/>
      <w:i/>
      <w:iCs/>
      <w:color w:val="2F5496" w:themeColor="accent1" w:themeShade="BF"/>
    </w:rPr>
  </w:style>
  <w:style w:type="paragraph" w:customStyle="1" w:styleId="statutory-body">
    <w:name w:val="statutory-body"/>
    <w:basedOn w:val="Normal"/>
    <w:rsid w:val="00B64EEE"/>
    <w:pPr>
      <w:spacing w:before="100" w:beforeAutospacing="1" w:after="100" w:afterAutospacing="1"/>
    </w:pPr>
  </w:style>
  <w:style w:type="paragraph" w:styleId="BalloonText">
    <w:name w:val="Balloon Text"/>
    <w:basedOn w:val="Normal"/>
    <w:link w:val="BalloonTextChar"/>
    <w:uiPriority w:val="99"/>
    <w:semiHidden/>
    <w:unhideWhenUsed/>
    <w:rsid w:val="004A4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F03"/>
    <w:rPr>
      <w:rFonts w:ascii="Segoe UI" w:eastAsia="Times New Roman" w:hAnsi="Segoe UI" w:cs="Segoe UI"/>
      <w:sz w:val="18"/>
      <w:szCs w:val="18"/>
    </w:rPr>
  </w:style>
  <w:style w:type="paragraph" w:styleId="Revision">
    <w:name w:val="Revision"/>
    <w:hidden/>
    <w:uiPriority w:val="99"/>
    <w:semiHidden/>
    <w:rsid w:val="00CA6217"/>
  </w:style>
  <w:style w:type="character" w:styleId="CommentReference">
    <w:name w:val="annotation reference"/>
    <w:basedOn w:val="DefaultParagraphFont"/>
    <w:uiPriority w:val="99"/>
    <w:semiHidden/>
    <w:unhideWhenUsed/>
    <w:rsid w:val="000B22AD"/>
    <w:rPr>
      <w:sz w:val="16"/>
      <w:szCs w:val="16"/>
    </w:rPr>
  </w:style>
  <w:style w:type="paragraph" w:styleId="CommentText">
    <w:name w:val="annotation text"/>
    <w:basedOn w:val="Normal"/>
    <w:link w:val="CommentTextChar"/>
    <w:uiPriority w:val="99"/>
    <w:semiHidden/>
    <w:unhideWhenUsed/>
    <w:rsid w:val="000B22AD"/>
    <w:rPr>
      <w:sz w:val="20"/>
      <w:szCs w:val="20"/>
    </w:rPr>
  </w:style>
  <w:style w:type="character" w:customStyle="1" w:styleId="CommentTextChar">
    <w:name w:val="Comment Text Char"/>
    <w:basedOn w:val="DefaultParagraphFont"/>
    <w:link w:val="CommentText"/>
    <w:uiPriority w:val="99"/>
    <w:semiHidden/>
    <w:rsid w:val="000B22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22AD"/>
    <w:rPr>
      <w:b/>
      <w:bCs/>
    </w:rPr>
  </w:style>
  <w:style w:type="character" w:customStyle="1" w:styleId="CommentSubjectChar">
    <w:name w:val="Comment Subject Char"/>
    <w:basedOn w:val="CommentTextChar"/>
    <w:link w:val="CommentSubject"/>
    <w:uiPriority w:val="99"/>
    <w:semiHidden/>
    <w:rsid w:val="000B22AD"/>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DB4257"/>
    <w:rPr>
      <w:sz w:val="20"/>
      <w:szCs w:val="20"/>
    </w:rPr>
  </w:style>
  <w:style w:type="character" w:customStyle="1" w:styleId="EndnoteTextChar">
    <w:name w:val="Endnote Text Char"/>
    <w:basedOn w:val="DefaultParagraphFont"/>
    <w:link w:val="EndnoteText"/>
    <w:uiPriority w:val="99"/>
    <w:semiHidden/>
    <w:rsid w:val="00DB425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B4257"/>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3534</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Kantor Nir</dc:creator>
  <cp:lastModifiedBy>Erlichman, Reece (ALA)</cp:lastModifiedBy>
  <cp:revision>2</cp:revision>
  <cp:lastPrinted>2021-01-19T16:40:00Z</cp:lastPrinted>
  <dcterms:created xsi:type="dcterms:W3CDTF">2021-01-20T15:18:00Z</dcterms:created>
  <dcterms:modified xsi:type="dcterms:W3CDTF">2021-01-20T15:18:00Z</dcterms:modified>
</cp:coreProperties>
</file>