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57BC"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COMMONWEALTH OF MASSACHUSETTS</w:t>
      </w:r>
    </w:p>
    <w:p w14:paraId="06EF997F"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DIVISION OF ADMINISTRATIVE LAW APPEALS</w:t>
      </w:r>
    </w:p>
    <w:p w14:paraId="30E05A94"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BUREAU OF SPECIAL EDUCATION APPEALS</w:t>
      </w:r>
    </w:p>
    <w:p w14:paraId="522FC49A" w14:textId="2BC44612" w:rsidR="00767D56" w:rsidRDefault="00767D56" w:rsidP="005B19AC">
      <w:pPr>
        <w:pStyle w:val="NoSpacing"/>
        <w:tabs>
          <w:tab w:val="left" w:pos="5446"/>
        </w:tabs>
        <w:rPr>
          <w:rFonts w:ascii="Times New Roman" w:hAnsi="Times New Roman" w:cs="Times New Roman"/>
          <w:sz w:val="25"/>
          <w:szCs w:val="25"/>
        </w:rPr>
      </w:pPr>
      <w:r w:rsidRPr="005C671F">
        <w:rPr>
          <w:rFonts w:ascii="Times New Roman" w:hAnsi="Times New Roman" w:cs="Times New Roman"/>
          <w:sz w:val="25"/>
          <w:szCs w:val="25"/>
        </w:rPr>
        <w:tab/>
      </w:r>
    </w:p>
    <w:p w14:paraId="23C0EA45" w14:textId="77777777" w:rsidR="005B19AC" w:rsidRPr="005B19AC" w:rsidRDefault="005B19AC" w:rsidP="005B19AC">
      <w:pPr>
        <w:pStyle w:val="NoSpacing"/>
        <w:tabs>
          <w:tab w:val="left" w:pos="5446"/>
        </w:tabs>
        <w:rPr>
          <w:rFonts w:ascii="Times New Roman" w:hAnsi="Times New Roman" w:cs="Times New Roman"/>
          <w:sz w:val="25"/>
          <w:szCs w:val="25"/>
        </w:rPr>
      </w:pPr>
    </w:p>
    <w:p w14:paraId="0BC564FC" w14:textId="77777777" w:rsidR="008A7D97" w:rsidRDefault="008A7D97" w:rsidP="00767D56">
      <w:pPr>
        <w:pStyle w:val="NoSpacing"/>
        <w:rPr>
          <w:rFonts w:ascii="Times New Roman" w:hAnsi="Times New Roman" w:cs="Times New Roman"/>
          <w:sz w:val="24"/>
          <w:szCs w:val="24"/>
        </w:rPr>
      </w:pPr>
    </w:p>
    <w:p w14:paraId="0D9621A3" w14:textId="252C6E3E" w:rsidR="00767D56" w:rsidRDefault="00767D56" w:rsidP="00767D56">
      <w:pPr>
        <w:pStyle w:val="NoSpacing"/>
        <w:rPr>
          <w:rFonts w:ascii="Times New Roman" w:hAnsi="Times New Roman" w:cs="Times New Roman"/>
          <w:sz w:val="24"/>
          <w:szCs w:val="24"/>
        </w:rPr>
      </w:pPr>
      <w:r w:rsidRPr="005C671F">
        <w:rPr>
          <w:rFonts w:ascii="Times New Roman" w:hAnsi="Times New Roman" w:cs="Times New Roman"/>
          <w:sz w:val="24"/>
          <w:szCs w:val="24"/>
        </w:rPr>
        <w:t>In re</w:t>
      </w:r>
      <w:r w:rsidR="006521FA">
        <w:rPr>
          <w:rFonts w:ascii="Times New Roman" w:hAnsi="Times New Roman" w:cs="Times New Roman"/>
          <w:sz w:val="24"/>
          <w:szCs w:val="24"/>
        </w:rPr>
        <w:t>:</w:t>
      </w:r>
      <w:r w:rsidR="006521FA">
        <w:rPr>
          <w:rFonts w:ascii="Times New Roman" w:hAnsi="Times New Roman" w:cs="Times New Roman"/>
          <w:sz w:val="24"/>
          <w:szCs w:val="24"/>
        </w:rPr>
        <w:tab/>
      </w:r>
      <w:r w:rsidR="008A7D97">
        <w:rPr>
          <w:rFonts w:ascii="Times New Roman" w:hAnsi="Times New Roman" w:cs="Times New Roman"/>
          <w:sz w:val="24"/>
          <w:szCs w:val="24"/>
        </w:rPr>
        <w:t xml:space="preserve"> </w:t>
      </w:r>
      <w:r w:rsidR="00B75623">
        <w:rPr>
          <w:rFonts w:ascii="Times New Roman" w:hAnsi="Times New Roman" w:cs="Times New Roman"/>
          <w:sz w:val="24"/>
          <w:szCs w:val="24"/>
        </w:rPr>
        <w:t>Trevor</w:t>
      </w:r>
      <w:r w:rsidRPr="005C671F">
        <w:rPr>
          <w:rStyle w:val="FootnoteReference"/>
          <w:rFonts w:ascii="Times New Roman" w:hAnsi="Times New Roman" w:cs="Times New Roman"/>
          <w:sz w:val="24"/>
          <w:szCs w:val="24"/>
        </w:rPr>
        <w:footnoteReference w:id="1"/>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t>BSEA</w:t>
      </w:r>
      <w:r w:rsidRPr="005C671F">
        <w:rPr>
          <w:rFonts w:ascii="Times New Roman" w:hAnsi="Times New Roman" w:cs="Times New Roman"/>
          <w:b/>
          <w:sz w:val="24"/>
          <w:szCs w:val="24"/>
        </w:rPr>
        <w:t xml:space="preserve"> #</w:t>
      </w:r>
      <w:r w:rsidRPr="005C671F">
        <w:rPr>
          <w:rFonts w:ascii="Times New Roman" w:hAnsi="Times New Roman" w:cs="Times New Roman"/>
          <w:sz w:val="24"/>
          <w:szCs w:val="24"/>
        </w:rPr>
        <w:t>2</w:t>
      </w:r>
      <w:r w:rsidR="005B19AC">
        <w:rPr>
          <w:rFonts w:ascii="Times New Roman" w:hAnsi="Times New Roman" w:cs="Times New Roman"/>
          <w:sz w:val="24"/>
          <w:szCs w:val="24"/>
        </w:rPr>
        <w:t>10</w:t>
      </w:r>
      <w:r w:rsidR="00B75623">
        <w:rPr>
          <w:rFonts w:ascii="Times New Roman" w:hAnsi="Times New Roman" w:cs="Times New Roman"/>
          <w:sz w:val="24"/>
          <w:szCs w:val="24"/>
        </w:rPr>
        <w:t>5891</w:t>
      </w:r>
    </w:p>
    <w:p w14:paraId="583379EA" w14:textId="4345273E" w:rsidR="001478F6" w:rsidRPr="005C671F" w:rsidRDefault="00F17809" w:rsidP="00F17809">
      <w:pPr>
        <w:tabs>
          <w:tab w:val="left" w:pos="2170"/>
        </w:tabs>
      </w:pPr>
      <w:r>
        <w:tab/>
      </w:r>
    </w:p>
    <w:p w14:paraId="1C9BD109" w14:textId="77777777" w:rsidR="008A7D97" w:rsidRDefault="008A7D97" w:rsidP="00767D56">
      <w:pPr>
        <w:jc w:val="center"/>
        <w:rPr>
          <w:b/>
          <w:bCs/>
          <w:u w:val="single"/>
        </w:rPr>
      </w:pPr>
    </w:p>
    <w:p w14:paraId="0050DFC1" w14:textId="4B80FF41" w:rsidR="0093058C" w:rsidRDefault="001D21AA" w:rsidP="00767D56">
      <w:pPr>
        <w:jc w:val="center"/>
        <w:rPr>
          <w:b/>
          <w:bCs/>
          <w:u w:val="single"/>
        </w:rPr>
      </w:pPr>
      <w:r>
        <w:rPr>
          <w:b/>
          <w:bCs/>
          <w:u w:val="single"/>
        </w:rPr>
        <w:t>RULING ON</w:t>
      </w:r>
      <w:r w:rsidR="004F6D14">
        <w:rPr>
          <w:b/>
          <w:bCs/>
          <w:u w:val="single"/>
        </w:rPr>
        <w:t xml:space="preserve"> </w:t>
      </w:r>
      <w:r w:rsidR="00B75623">
        <w:rPr>
          <w:b/>
          <w:bCs/>
          <w:u w:val="single"/>
        </w:rPr>
        <w:t>TRITON REGIONAL SCHOOL DISTRICT’S MOTION FOR SUMMARY JUDGMENT</w:t>
      </w:r>
    </w:p>
    <w:p w14:paraId="04B289D6" w14:textId="02443DF4" w:rsidR="001478F6" w:rsidRDefault="001478F6" w:rsidP="00767D56">
      <w:pPr>
        <w:rPr>
          <w:b/>
          <w:bCs/>
          <w:u w:val="single"/>
        </w:rPr>
      </w:pPr>
    </w:p>
    <w:p w14:paraId="0F096B2C" w14:textId="77777777" w:rsidR="0003599D" w:rsidRDefault="0003599D" w:rsidP="00767D56">
      <w:pPr>
        <w:rPr>
          <w:b/>
          <w:bCs/>
          <w:u w:val="single"/>
        </w:rPr>
      </w:pPr>
    </w:p>
    <w:p w14:paraId="60BEDCE0" w14:textId="4FF4E7A9" w:rsidR="00F17809" w:rsidRPr="00CF0788" w:rsidRDefault="00F17809" w:rsidP="00F17809">
      <w:pPr>
        <w:ind w:firstLine="720"/>
      </w:pPr>
      <w:r w:rsidRPr="00CF0788">
        <w:t xml:space="preserve">This matter comes before the Hearing Officer on the </w:t>
      </w:r>
      <w:r w:rsidRPr="00CF0788">
        <w:rPr>
          <w:i/>
        </w:rPr>
        <w:t>Motion for Summary Judgment</w:t>
      </w:r>
      <w:r w:rsidRPr="00CF0788">
        <w:t xml:space="preserve"> [hereinafter “</w:t>
      </w:r>
      <w:r w:rsidRPr="00CF0788">
        <w:rPr>
          <w:i/>
        </w:rPr>
        <w:t>Motion”</w:t>
      </w:r>
      <w:r w:rsidRPr="00CF0788">
        <w:t xml:space="preserve">] </w:t>
      </w:r>
      <w:r>
        <w:t xml:space="preserve">filed by </w:t>
      </w:r>
      <w:r w:rsidR="00B75623">
        <w:t>the Triton Regional School District (</w:t>
      </w:r>
      <w:r w:rsidR="00780D31">
        <w:t>Triton</w:t>
      </w:r>
      <w:r w:rsidR="00B75623">
        <w:t xml:space="preserve">, or the District) </w:t>
      </w:r>
    </w:p>
    <w:p w14:paraId="152C6288" w14:textId="51D02DBC" w:rsidR="00F17809" w:rsidRPr="00CF0788" w:rsidRDefault="00F17809" w:rsidP="00F17809">
      <w:r w:rsidRPr="00CF0788">
        <w:t xml:space="preserve">on </w:t>
      </w:r>
      <w:r w:rsidR="00B75623">
        <w:t>March 1</w:t>
      </w:r>
      <w:r>
        <w:t xml:space="preserve">5, 2021. </w:t>
      </w:r>
      <w:r w:rsidR="00B75623">
        <w:t xml:space="preserve">On February 19, 2021, following a Conference Call during which the parties discussed motion practice and agreed to deadlines, I issued an Order under which any motions for summary judgment were due by close of business on March 19, 2021, and any responses thereto were due by April 9, 2021. Parent declined to file a </w:t>
      </w:r>
      <w:r w:rsidR="00B75623">
        <w:rPr>
          <w:i/>
          <w:iCs/>
        </w:rPr>
        <w:t>Motion for Summary Judgment</w:t>
      </w:r>
      <w:r w:rsidR="00B75623">
        <w:t xml:space="preserve"> of her own, and she did not file a </w:t>
      </w:r>
      <w:r w:rsidR="00B75623">
        <w:rPr>
          <w:i/>
          <w:iCs/>
        </w:rPr>
        <w:t>Response</w:t>
      </w:r>
      <w:r w:rsidR="00B75623">
        <w:t xml:space="preserve"> to the School District’s </w:t>
      </w:r>
      <w:r w:rsidR="00B75623">
        <w:rPr>
          <w:i/>
          <w:iCs/>
        </w:rPr>
        <w:t>Motion</w:t>
      </w:r>
      <w:r w:rsidR="00B75623">
        <w:t>. N</w:t>
      </w:r>
      <w:r w:rsidRPr="00CF0788">
        <w:t>eithe</w:t>
      </w:r>
      <w:r>
        <w:t xml:space="preserve">r party has requested a hearing on the </w:t>
      </w:r>
      <w:r>
        <w:rPr>
          <w:i/>
          <w:iCs/>
        </w:rPr>
        <w:t>Motion</w:t>
      </w:r>
      <w:r w:rsidR="00954176">
        <w:t xml:space="preserve">. Because </w:t>
      </w:r>
      <w:r>
        <w:t xml:space="preserve">neither </w:t>
      </w:r>
      <w:r w:rsidRPr="00CF0788">
        <w:t xml:space="preserve">testimony </w:t>
      </w:r>
      <w:r>
        <w:t>n</w:t>
      </w:r>
      <w:r w:rsidRPr="00CF0788">
        <w:t>or oral argument would</w:t>
      </w:r>
      <w:r>
        <w:t xml:space="preserve"> </w:t>
      </w:r>
      <w:r w:rsidRPr="00CF0788">
        <w:t xml:space="preserve">advance the Hearing Officer’s understanding of the issues involved, this Ruling is being issued without a hearing pursuant to </w:t>
      </w:r>
      <w:r w:rsidRPr="00CF0788">
        <w:rPr>
          <w:i/>
        </w:rPr>
        <w:t xml:space="preserve">Bureau of Special Education Appeals Hearing Rule </w:t>
      </w:r>
      <w:r w:rsidRPr="00CF0788">
        <w:t xml:space="preserve">VII(D). </w:t>
      </w:r>
    </w:p>
    <w:p w14:paraId="62CCB71F" w14:textId="77777777" w:rsidR="00F17809" w:rsidRPr="00CF0788" w:rsidRDefault="00F17809" w:rsidP="00F17809"/>
    <w:p w14:paraId="629A178C" w14:textId="49C31A76" w:rsidR="00F17809" w:rsidRPr="00CF0788" w:rsidRDefault="00F17809" w:rsidP="00F17809">
      <w:pPr>
        <w:ind w:firstLine="720"/>
      </w:pPr>
      <w:r w:rsidRPr="00CF0788">
        <w:t xml:space="preserve">For the reasons set forth below, the District’s </w:t>
      </w:r>
      <w:r w:rsidRPr="00CF0788">
        <w:rPr>
          <w:i/>
        </w:rPr>
        <w:t xml:space="preserve">Motion </w:t>
      </w:r>
      <w:r w:rsidRPr="00CF0788">
        <w:t xml:space="preserve">is hereby </w:t>
      </w:r>
      <w:r w:rsidR="00B75623">
        <w:t>ALLOWED</w:t>
      </w:r>
      <w:r w:rsidRPr="00CF0788">
        <w:t>.</w:t>
      </w:r>
    </w:p>
    <w:p w14:paraId="469C6329" w14:textId="77777777" w:rsidR="001478F6" w:rsidRPr="001478F6" w:rsidRDefault="001478F6" w:rsidP="00F17809">
      <w:pPr>
        <w:rPr>
          <w:color w:val="000000" w:themeColor="text1"/>
        </w:rPr>
      </w:pPr>
    </w:p>
    <w:p w14:paraId="3D63811F" w14:textId="7E2CA434" w:rsidR="00E15541" w:rsidRPr="00E15541" w:rsidRDefault="006E6B6F" w:rsidP="00E15541">
      <w:pPr>
        <w:pStyle w:val="ListParagraph"/>
        <w:numPr>
          <w:ilvl w:val="0"/>
          <w:numId w:val="1"/>
        </w:numPr>
        <w:spacing w:before="100" w:beforeAutospacing="1" w:after="100" w:afterAutospacing="1"/>
        <w:rPr>
          <w:rFonts w:ascii="Times New Roman" w:eastAsia="Times New Roman" w:hAnsi="Times New Roman" w:cs="Times New Roman"/>
        </w:rPr>
      </w:pPr>
      <w:r w:rsidRPr="005C671F">
        <w:rPr>
          <w:rFonts w:ascii="Times New Roman" w:hAnsi="Times New Roman" w:cs="Times New Roman"/>
        </w:rPr>
        <w:t>FACTUAL BACKGROUND AND PROCEDURAL HISTORY</w:t>
      </w:r>
      <w:r w:rsidR="00BC609B">
        <w:rPr>
          <w:rStyle w:val="FootnoteReference"/>
          <w:rFonts w:ascii="Times New Roman" w:hAnsi="Times New Roman" w:cs="Times New Roman"/>
        </w:rPr>
        <w:footnoteReference w:id="2"/>
      </w:r>
      <w:r w:rsidRPr="005C671F">
        <w:rPr>
          <w:rFonts w:ascii="Times New Roman" w:eastAsia="Times New Roman" w:hAnsi="Times New Roman" w:cs="Times New Roman"/>
        </w:rPr>
        <w:t xml:space="preserve"> </w:t>
      </w:r>
      <w:r w:rsidR="00FC03C3">
        <w:rPr>
          <w:rFonts w:ascii="Times New Roman" w:eastAsia="Times New Roman" w:hAnsi="Times New Roman" w:cs="Times New Roman"/>
        </w:rPr>
        <w:t xml:space="preserve"> </w:t>
      </w:r>
    </w:p>
    <w:p w14:paraId="52E2D52D" w14:textId="68D83347" w:rsidR="00B75623" w:rsidRDefault="003D56C3" w:rsidP="001478F6">
      <w:pPr>
        <w:ind w:firstLine="720"/>
      </w:pPr>
      <w:r>
        <w:t xml:space="preserve">On </w:t>
      </w:r>
      <w:r w:rsidR="00B75623">
        <w:t xml:space="preserve">January 29, 2021, Parent filed a </w:t>
      </w:r>
      <w:r w:rsidR="00B75623">
        <w:rPr>
          <w:i/>
          <w:iCs/>
        </w:rPr>
        <w:t xml:space="preserve">Hearing Request </w:t>
      </w:r>
      <w:r w:rsidR="00B75623">
        <w:t xml:space="preserve">against </w:t>
      </w:r>
      <w:r w:rsidR="00780D31">
        <w:t>Triton</w:t>
      </w:r>
      <w:r w:rsidR="00B75623">
        <w:t xml:space="preserve"> requesting </w:t>
      </w:r>
      <w:r w:rsidR="006D208A">
        <w:t>enforcement of a settlement agreement the parties had reached in connection with a previous matter, BSEA #1900851</w:t>
      </w:r>
      <w:r w:rsidR="00F20C1F">
        <w:t>, that covered “the regular 2016-2017, 2017-2018, 2018-2019, and 2019-2020 school years.”</w:t>
      </w:r>
      <w:r w:rsidR="006D208A">
        <w:t xml:space="preserve"> Specifically, </w:t>
      </w:r>
      <w:r w:rsidR="00F20C1F">
        <w:t>Parent</w:t>
      </w:r>
      <w:r w:rsidR="006D208A">
        <w:t xml:space="preserve"> alleged that </w:t>
      </w:r>
      <w:r w:rsidR="00780D31">
        <w:t>Triton</w:t>
      </w:r>
      <w:r w:rsidR="006D208A">
        <w:t xml:space="preserve"> had failed to reimburse</w:t>
      </w:r>
      <w:r w:rsidR="00780D31">
        <w:t>,</w:t>
      </w:r>
      <w:r w:rsidR="006D208A">
        <w:t xml:space="preserve"> at the state rate</w:t>
      </w:r>
      <w:r w:rsidR="00780D31">
        <w:t>,</w:t>
      </w:r>
      <w:r w:rsidR="006D208A">
        <w:t xml:space="preserve"> transportation costs incurred by </w:t>
      </w:r>
      <w:r w:rsidR="00F20C1F">
        <w:t>parents</w:t>
      </w:r>
      <w:r w:rsidR="00954176">
        <w:rPr>
          <w:rStyle w:val="FootnoteReference"/>
        </w:rPr>
        <w:footnoteReference w:id="3"/>
      </w:r>
      <w:r w:rsidR="006D208A">
        <w:t xml:space="preserve"> between January 30, </w:t>
      </w:r>
      <w:r w:rsidR="00F20C1F">
        <w:t>201</w:t>
      </w:r>
      <w:r w:rsidR="006D208A">
        <w:t xml:space="preserve">9 and May 29, 2020. According to Parent, Clauses 1 and 2B of the settlement agreement require such reimbursement. </w:t>
      </w:r>
      <w:r w:rsidR="00F17502">
        <w:t>The Hearing was scheduled for March 3, 2021.</w:t>
      </w:r>
    </w:p>
    <w:p w14:paraId="43459707" w14:textId="5FBFCF04" w:rsidR="00F17502" w:rsidRDefault="00F17502" w:rsidP="001478F6">
      <w:pPr>
        <w:ind w:firstLine="720"/>
      </w:pPr>
    </w:p>
    <w:p w14:paraId="5C75C6BC" w14:textId="3B111015" w:rsidR="00F17502" w:rsidRDefault="00F17502" w:rsidP="00F20C1F">
      <w:pPr>
        <w:ind w:firstLine="720"/>
      </w:pPr>
      <w:r>
        <w:t xml:space="preserve">On February 2, 2021, </w:t>
      </w:r>
      <w:r w:rsidR="00780D31">
        <w:t>Triton</w:t>
      </w:r>
      <w:r>
        <w:t xml:space="preserve"> filed its </w:t>
      </w:r>
      <w:r>
        <w:rPr>
          <w:i/>
          <w:iCs/>
        </w:rPr>
        <w:t>Response</w:t>
      </w:r>
      <w:r>
        <w:t xml:space="preserve"> to Parent’s </w:t>
      </w:r>
      <w:r>
        <w:rPr>
          <w:i/>
          <w:iCs/>
        </w:rPr>
        <w:t>Hearing Request</w:t>
      </w:r>
      <w:r>
        <w:t xml:space="preserve">. According to the District, the parties entered into a settlement agreement on January 29, 2019 that provided, in relevant part, “Parents shall be reimbursed for all transportation they provided to [Trevor] to and from Landmark, at the state mileage reimbursement rate, upon receipt of written confirmation of </w:t>
      </w:r>
      <w:r>
        <w:lastRenderedPageBreak/>
        <w:t xml:space="preserve">transportation, provided by the parents . . .” </w:t>
      </w:r>
      <w:r w:rsidR="00F20C1F">
        <w:t>To the extent Parent claims that funding for transportation should have been provided beyond the date of the settlement agreement, this interpretation is incorrect, as “the language of the agreement makes clear that that the District’s obligation to reimburse Parents for transportation is for past transportation.” T</w:t>
      </w:r>
      <w:r w:rsidR="00780D31">
        <w:t xml:space="preserve">riton </w:t>
      </w:r>
      <w:r w:rsidR="00F20C1F">
        <w:t>has, in fact, provided this reimbursement, and Parent will be unable to prove otherwise.</w:t>
      </w:r>
    </w:p>
    <w:p w14:paraId="69DF487B" w14:textId="06AED724" w:rsidR="00A45B07" w:rsidRDefault="00A45B07" w:rsidP="00F20C1F">
      <w:pPr>
        <w:ind w:firstLine="720"/>
      </w:pPr>
    </w:p>
    <w:p w14:paraId="4ECA46A1" w14:textId="4F478F2D" w:rsidR="00A45B07" w:rsidRDefault="00A45B07" w:rsidP="00F20C1F">
      <w:pPr>
        <w:ind w:firstLine="720"/>
      </w:pPr>
      <w:r>
        <w:t>Following a Conference Call that took place on February 17, 2021, the parties jointly requested postponement of the Hearing to May 3, 2021 to permit them to attempt to narrow the issues for hearing through motion practice. I allowed this request on February 19, 2021 and set forth the schedule described above. On March 25, 2021, the District requested a further postponement of one month, as Counsel was no longer available on the date selected due to the scheduling of another matter by my sister Hearing Officer. Parent failed to respond and on April 5, 2021 I allowed T</w:t>
      </w:r>
      <w:r w:rsidR="00780D31">
        <w:t>riton</w:t>
      </w:r>
      <w:r>
        <w:t>’s request. The Hearing is scheduled for June 4, 2021.</w:t>
      </w:r>
    </w:p>
    <w:p w14:paraId="4E05D04B" w14:textId="77777777" w:rsidR="001478F6" w:rsidRPr="00720230" w:rsidRDefault="001478F6" w:rsidP="000962A6"/>
    <w:p w14:paraId="71F8E7C7" w14:textId="74E0B5C6" w:rsidR="00482D79" w:rsidRDefault="00482D79" w:rsidP="00482D79"/>
    <w:p w14:paraId="1ADA9390" w14:textId="52AD875F" w:rsidR="00C45518" w:rsidRDefault="00482D79" w:rsidP="00C45518">
      <w:pPr>
        <w:pStyle w:val="ListParagraph"/>
        <w:numPr>
          <w:ilvl w:val="0"/>
          <w:numId w:val="1"/>
        </w:numPr>
        <w:rPr>
          <w:rFonts w:ascii="Times New Roman" w:hAnsi="Times New Roman" w:cs="Times New Roman"/>
        </w:rPr>
      </w:pPr>
      <w:r>
        <w:rPr>
          <w:rFonts w:ascii="Times New Roman" w:hAnsi="Times New Roman" w:cs="Times New Roman"/>
        </w:rPr>
        <w:t xml:space="preserve">DISCUSSION </w:t>
      </w:r>
    </w:p>
    <w:p w14:paraId="662F2BEA" w14:textId="11A45CC6" w:rsidR="00E15541" w:rsidRDefault="00E15541" w:rsidP="00E15541">
      <w:pPr>
        <w:pStyle w:val="ListParagraph"/>
        <w:rPr>
          <w:rFonts w:ascii="Times New Roman" w:hAnsi="Times New Roman" w:cs="Times New Roman"/>
        </w:rPr>
      </w:pPr>
    </w:p>
    <w:p w14:paraId="47B4697B" w14:textId="09CF17FE" w:rsidR="0064259F" w:rsidRDefault="0064259F" w:rsidP="001C41FE">
      <w:pPr>
        <w:ind w:firstLine="720"/>
      </w:pPr>
      <w:r>
        <w:t xml:space="preserve">In its </w:t>
      </w:r>
      <w:r>
        <w:rPr>
          <w:i/>
          <w:iCs/>
        </w:rPr>
        <w:t>Motion for Summary Judgment</w:t>
      </w:r>
      <w:r>
        <w:t>, the District advanced two arguments: first, that interpretation and enforcement of a settlement agreement is beyond the scope of the jurisdiction of the Bureau of Special Education Appeals (BSEA), and second,</w:t>
      </w:r>
      <w:r w:rsidR="00954176">
        <w:t xml:space="preserve"> that</w:t>
      </w:r>
      <w:r>
        <w:t xml:space="preserve"> in the event I do look to the language of the settlement agreement, it</w:t>
      </w:r>
      <w:r w:rsidR="001C41FE">
        <w:t xml:space="preserve"> does not obligate T</w:t>
      </w:r>
      <w:r w:rsidR="00780D31">
        <w:t>riton</w:t>
      </w:r>
      <w:r w:rsidR="001C41FE">
        <w:t xml:space="preserve"> to reimburse Parents for transportation between January 30, 2019 and May 29, 2020.</w:t>
      </w:r>
      <w:r>
        <w:t xml:space="preserve"> </w:t>
      </w:r>
      <w:r w:rsidR="001C41FE">
        <w:t xml:space="preserve">In support of its </w:t>
      </w:r>
      <w:r w:rsidR="001C41FE" w:rsidRPr="0064259F">
        <w:rPr>
          <w:i/>
          <w:iCs/>
        </w:rPr>
        <w:t>Motion</w:t>
      </w:r>
      <w:r w:rsidR="001C41FE">
        <w:t>, the District submitted the settlement agreement itself.</w:t>
      </w:r>
      <w:r w:rsidR="00AC496D">
        <w:t xml:space="preserve"> In pertinent part, the language of the Settlement Agreement includes the following:</w:t>
      </w:r>
    </w:p>
    <w:p w14:paraId="5E22B0A1" w14:textId="73DEEC1F" w:rsidR="00AC496D" w:rsidRDefault="00AC496D" w:rsidP="001C41FE">
      <w:pPr>
        <w:ind w:firstLine="720"/>
      </w:pPr>
    </w:p>
    <w:p w14:paraId="6D248852" w14:textId="77777777" w:rsidR="00AC496D" w:rsidRDefault="00AC496D" w:rsidP="001C41FE">
      <w:pPr>
        <w:ind w:firstLine="720"/>
      </w:pPr>
      <w:r>
        <w:tab/>
      </w:r>
      <w:r>
        <w:tab/>
        <w:t xml:space="preserve">1.  This Agreement covers the regular 2016-2017, 2017-2018, 2018-2019, </w:t>
      </w:r>
    </w:p>
    <w:p w14:paraId="4A156715" w14:textId="2D8EA4F5" w:rsidR="00AC496D" w:rsidRDefault="00AC496D" w:rsidP="00AC496D">
      <w:pPr>
        <w:ind w:left="1440" w:firstLine="720"/>
      </w:pPr>
      <w:r>
        <w:t>and 2019-2020 school years.</w:t>
      </w:r>
    </w:p>
    <w:p w14:paraId="545B0586" w14:textId="42EFBA33" w:rsidR="00AC496D" w:rsidRDefault="00AC496D" w:rsidP="00AC496D">
      <w:pPr>
        <w:ind w:left="1440" w:firstLine="720"/>
      </w:pPr>
    </w:p>
    <w:p w14:paraId="01C70C2D" w14:textId="3914124C" w:rsidR="00AC496D" w:rsidRDefault="00AC496D" w:rsidP="00AC496D">
      <w:pPr>
        <w:ind w:left="2160"/>
      </w:pPr>
      <w:r>
        <w:t xml:space="preserve">2a.  Triton agrees to reimburse Parents a total sum of . . . in full settlement of </w:t>
      </w:r>
      <w:proofErr w:type="gramStart"/>
      <w:r>
        <w:t>any and all</w:t>
      </w:r>
      <w:proofErr w:type="gramEnd"/>
      <w:r>
        <w:t xml:space="preserve"> claims for educational services of any kind, including special education tuition owed . . . </w:t>
      </w:r>
    </w:p>
    <w:p w14:paraId="1C4E120D" w14:textId="7A172C99" w:rsidR="00AC496D" w:rsidRDefault="00AC496D" w:rsidP="00AC496D">
      <w:pPr>
        <w:ind w:left="2160"/>
      </w:pPr>
    </w:p>
    <w:p w14:paraId="63A20C8A" w14:textId="14501D04" w:rsidR="00AC496D" w:rsidRDefault="00AC496D" w:rsidP="00AC496D">
      <w:pPr>
        <w:ind w:left="2160"/>
      </w:pPr>
      <w:r>
        <w:t>2b.  The Parents shall be reimbursed for all transportation they provided to [Trevor] to and from Landmark, at the state mileage reimbursement rate, upon receipt of written confirmation of transportation, provided by the parents, and upon receipt of proof of attendance for each day reimbursement is sought, by Landmark.</w:t>
      </w:r>
    </w:p>
    <w:p w14:paraId="6075DAB9" w14:textId="2454D4DC" w:rsidR="00AC496D" w:rsidRDefault="00AC496D" w:rsidP="00AC496D">
      <w:pPr>
        <w:ind w:left="2160"/>
      </w:pPr>
    </w:p>
    <w:p w14:paraId="6576B3BE" w14:textId="013C9D8A" w:rsidR="00AC496D" w:rsidRDefault="00AC496D" w:rsidP="00AC496D">
      <w:pPr>
        <w:ind w:left="2160"/>
      </w:pPr>
      <w:r>
        <w:t>3.  For the 2019-2020 school year, Triton agrees to fund [Trevor]’s tuition at the approved day school rate, by issuing payments in the usual manner directly to Landmark School.</w:t>
      </w:r>
    </w:p>
    <w:p w14:paraId="6F3F6474" w14:textId="7DF9BC70" w:rsidR="0064259F" w:rsidRDefault="0064259F" w:rsidP="0064259F">
      <w:pPr>
        <w:ind w:firstLine="720"/>
      </w:pPr>
    </w:p>
    <w:p w14:paraId="1311AD53" w14:textId="77612CEF" w:rsidR="001C41FE" w:rsidRDefault="0064259F" w:rsidP="00AC496D">
      <w:pPr>
        <w:ind w:firstLine="720"/>
      </w:pPr>
      <w:r>
        <w:lastRenderedPageBreak/>
        <w:t xml:space="preserve"> As to </w:t>
      </w:r>
      <w:r w:rsidR="001C41FE">
        <w:t xml:space="preserve">its </w:t>
      </w:r>
      <w:r>
        <w:t>first argument, the District</w:t>
      </w:r>
      <w:r w:rsidR="001C41FE">
        <w:t xml:space="preserve"> cites several BSEA cases in which Hearing Officers held that the BSEA lacks the authority to enforce settlement agreements.</w:t>
      </w:r>
      <w:r w:rsidR="001C41FE">
        <w:rPr>
          <w:rStyle w:val="FootnoteReference"/>
        </w:rPr>
        <w:footnoteReference w:id="4"/>
      </w:r>
      <w:r w:rsidR="001C41FE">
        <w:t xml:space="preserve"> T</w:t>
      </w:r>
      <w:r w:rsidR="00780D31">
        <w:t>riton</w:t>
      </w:r>
      <w:r w:rsidR="001C41FE">
        <w:t xml:space="preserve"> contends that Parent must seek such enforcement in state or federal court.</w:t>
      </w:r>
    </w:p>
    <w:p w14:paraId="6605B546" w14:textId="77777777" w:rsidR="0003599D" w:rsidRDefault="0003599D" w:rsidP="00AC496D">
      <w:pPr>
        <w:ind w:firstLine="720"/>
      </w:pPr>
    </w:p>
    <w:p w14:paraId="39987F42" w14:textId="51E64DC0" w:rsidR="0064259F" w:rsidRDefault="001C41FE" w:rsidP="00AC496D">
      <w:pPr>
        <w:ind w:firstLine="720"/>
      </w:pPr>
      <w:r>
        <w:t>In support of its secon</w:t>
      </w:r>
      <w:r w:rsidR="00AC496D">
        <w:t>d point,</w:t>
      </w:r>
      <w:r>
        <w:t xml:space="preserve"> the District </w:t>
      </w:r>
      <w:r w:rsidR="00AC496D">
        <w:t>argues</w:t>
      </w:r>
      <w:r>
        <w:t xml:space="preserve"> that Paragraph 2 pertains to the 2016-2017, 2017-2018, and 2018-2019 school years. This paragraph references reimbursement for transportation that parents provided for Trevor to and from Landmark School. T</w:t>
      </w:r>
      <w:r w:rsidR="00780D31">
        <w:t xml:space="preserve">riton </w:t>
      </w:r>
      <w:r>
        <w:t>emphasizes the use of the past tense</w:t>
      </w:r>
      <w:r w:rsidR="00D92EC0">
        <w:t xml:space="preserve"> in the word “provided</w:t>
      </w:r>
      <w:r>
        <w:t>,</w:t>
      </w:r>
      <w:r w:rsidR="00D92EC0">
        <w:t>”</w:t>
      </w:r>
      <w:r>
        <w:t xml:space="preserve"> indicating an intent to cover transportation Parents had provided prior to executing the settlement agreement. Paragraph 3, on the other hand, which pertains to the 2019-2020 school year, omits a transportation provision. As such, the parties did not intend for the settlement agreement to cover transportation beyond the date of its execution.</w:t>
      </w:r>
    </w:p>
    <w:p w14:paraId="2879153B" w14:textId="77777777" w:rsidR="000962A6" w:rsidRPr="00CF0788" w:rsidRDefault="000962A6" w:rsidP="000962A6">
      <w:pPr>
        <w:pStyle w:val="NoSpacing"/>
        <w:rPr>
          <w:rFonts w:ascii="Times New Roman" w:hAnsi="Times New Roman" w:cs="Times New Roman"/>
          <w:sz w:val="24"/>
          <w:szCs w:val="24"/>
          <w:u w:val="single"/>
        </w:rPr>
      </w:pPr>
    </w:p>
    <w:p w14:paraId="48302DB5" w14:textId="77777777" w:rsidR="000962A6" w:rsidRPr="00AA0664" w:rsidRDefault="000962A6" w:rsidP="000962A6">
      <w:pPr>
        <w:pStyle w:val="NoSpacing"/>
        <w:numPr>
          <w:ilvl w:val="0"/>
          <w:numId w:val="10"/>
        </w:numPr>
        <w:rPr>
          <w:rFonts w:ascii="Times New Roman" w:hAnsi="Times New Roman" w:cs="Times New Roman"/>
          <w:sz w:val="24"/>
          <w:szCs w:val="24"/>
          <w:u w:val="single"/>
        </w:rPr>
      </w:pPr>
      <w:r w:rsidRPr="00AA0664">
        <w:rPr>
          <w:rFonts w:ascii="Times New Roman" w:hAnsi="Times New Roman" w:cs="Times New Roman"/>
          <w:sz w:val="24"/>
          <w:szCs w:val="24"/>
          <w:u w:val="single"/>
        </w:rPr>
        <w:t>Legal Standard for a Motion for Summary Judgment</w:t>
      </w:r>
    </w:p>
    <w:p w14:paraId="7B565836" w14:textId="77777777" w:rsidR="000962A6" w:rsidRDefault="000962A6" w:rsidP="000962A6">
      <w:pPr>
        <w:rPr>
          <w:i/>
        </w:rPr>
      </w:pPr>
    </w:p>
    <w:p w14:paraId="3A82F931" w14:textId="77777777" w:rsidR="000962A6" w:rsidRPr="00CF0788" w:rsidRDefault="000962A6" w:rsidP="000962A6">
      <w:pPr>
        <w:ind w:firstLine="720"/>
      </w:pPr>
      <w:r w:rsidRPr="00CF0788">
        <w:t>Pursuant to 801 CMR 1.01(7)(h), Summary Decision may be granted when there is “no genuine issue of fact relating to all or part of a claim or defense and [the moving party] is entitled to prevail as a matter of law.” This rule of administrative practice is modeled after Rule 56 – Summary Judgment – of both the Massachusetts and Federal Rules of Civil Procedure.</w:t>
      </w:r>
      <w:r w:rsidRPr="00CF0788">
        <w:rPr>
          <w:rStyle w:val="FootnoteReference"/>
        </w:rPr>
        <w:footnoteReference w:id="5"/>
      </w:r>
      <w:r w:rsidRPr="00CF0788">
        <w:t xml:space="preserve"> The party seeking summary judgment begins by demonstrating, with the support of its documents (pleadings, affidavits, and other evidence), that there is no genuine issue of fact relating to the claim or defense. The moving party bears the burden of proof, and all evidence and inferences must be viewed in the light most favorable to the party opposing summary judgment.</w:t>
      </w:r>
      <w:r w:rsidRPr="00CF0788">
        <w:rPr>
          <w:rStyle w:val="FootnoteReference"/>
        </w:rPr>
        <w:footnoteReference w:id="6"/>
      </w:r>
      <w:r w:rsidRPr="00CF0788">
        <w:t xml:space="preserve"> </w:t>
      </w:r>
    </w:p>
    <w:p w14:paraId="4D9EA417" w14:textId="77777777" w:rsidR="000962A6" w:rsidRPr="00CF0788" w:rsidRDefault="000962A6" w:rsidP="000962A6">
      <w:pPr>
        <w:pStyle w:val="ListParagraph"/>
        <w:ind w:left="1080"/>
        <w:rPr>
          <w:rFonts w:ascii="Times New Roman" w:hAnsi="Times New Roman" w:cs="Times New Roman"/>
        </w:rPr>
      </w:pPr>
      <w:r w:rsidRPr="00CF0788">
        <w:rPr>
          <w:rFonts w:ascii="Times New Roman" w:hAnsi="Times New Roman" w:cs="Times New Roman"/>
        </w:rPr>
        <w:tab/>
      </w:r>
    </w:p>
    <w:p w14:paraId="5A09F7A5" w14:textId="32EBF063" w:rsidR="000962A6" w:rsidRPr="00CF0788" w:rsidRDefault="000962A6" w:rsidP="000962A6">
      <w:pPr>
        <w:pStyle w:val="ListParagraph"/>
        <w:ind w:left="0"/>
        <w:rPr>
          <w:rFonts w:ascii="Times New Roman" w:hAnsi="Times New Roman" w:cs="Times New Roman"/>
        </w:rPr>
      </w:pPr>
      <w:r w:rsidRPr="00CF0788">
        <w:rPr>
          <w:rFonts w:ascii="Times New Roman" w:hAnsi="Times New Roman" w:cs="Times New Roman"/>
        </w:rPr>
        <w:tab/>
        <w:t>In response to a motion for summary judgment, the opposing party “must set forth specific facts showing that there is a genuine issue for trial.”</w:t>
      </w:r>
      <w:r w:rsidRPr="00CF0788">
        <w:rPr>
          <w:rStyle w:val="FootnoteReference"/>
          <w:rFonts w:ascii="Times New Roman" w:hAnsi="Times New Roman" w:cs="Times New Roman"/>
        </w:rPr>
        <w:footnoteReference w:id="7"/>
      </w:r>
      <w:r w:rsidRPr="00CF0788">
        <w:rPr>
          <w:rFonts w:ascii="Times New Roman" w:hAnsi="Times New Roman" w:cs="Times New Roman"/>
        </w:rPr>
        <w:t xml:space="preserve"> </w:t>
      </w:r>
      <w:r w:rsidRPr="00CF0788">
        <w:rPr>
          <w:rFonts w:ascii="Times New Roman" w:eastAsia="Times New Roman" w:hAnsi="Times New Roman" w:cs="Times New Roman"/>
          <w:shd w:val="clear" w:color="auto" w:fill="FFFFFF"/>
        </w:rPr>
        <w:t>An issue is genuine if it “may reasonably be resolved in favor of either party.”</w:t>
      </w:r>
      <w:r w:rsidRPr="00CF0788">
        <w:rPr>
          <w:rStyle w:val="FootnoteReference"/>
          <w:rFonts w:ascii="Times New Roman" w:eastAsia="Times New Roman" w:hAnsi="Times New Roman" w:cs="Times New Roman"/>
          <w:shd w:val="clear" w:color="auto" w:fill="FFFFFF"/>
        </w:rPr>
        <w:footnoteReference w:id="8"/>
      </w:r>
      <w:r w:rsidRPr="00CF0788">
        <w:rPr>
          <w:rFonts w:ascii="Times New Roman" w:eastAsia="Times New Roman" w:hAnsi="Times New Roman" w:cs="Times New Roman"/>
        </w:rPr>
        <w:t xml:space="preserve"> </w:t>
      </w:r>
      <w:r w:rsidRPr="00CF0788">
        <w:rPr>
          <w:rFonts w:ascii="Times New Roman" w:hAnsi="Times New Roman" w:cs="Times New Roman"/>
        </w:rPr>
        <w:t>To survive this motion and proceed to hearing, the adverse party must show that there is “sufficient evidence” in her favor that the fact finder could decide for her.</w:t>
      </w:r>
      <w:r w:rsidRPr="00CF0788">
        <w:rPr>
          <w:rStyle w:val="FootnoteReference"/>
          <w:rFonts w:ascii="Times New Roman" w:hAnsi="Times New Roman" w:cs="Times New Roman"/>
        </w:rPr>
        <w:footnoteReference w:id="9"/>
      </w:r>
      <w:r w:rsidRPr="00CF0788">
        <w:rPr>
          <w:rFonts w:ascii="Times New Roman" w:hAnsi="Times New Roman" w:cs="Times New Roman"/>
        </w:rPr>
        <w:t xml:space="preserve"> In other words, the evidence presented by the nonmoving party “must have substance in the sense that it [demonstrates] differing versions of the truth which a factfinder must resolve at an ensuing trial.”</w:t>
      </w:r>
      <w:r w:rsidRPr="00CF0788">
        <w:rPr>
          <w:rStyle w:val="FootnoteReference"/>
          <w:rFonts w:ascii="Times New Roman" w:hAnsi="Times New Roman" w:cs="Times New Roman"/>
        </w:rPr>
        <w:footnoteReference w:id="10"/>
      </w:r>
      <w:r w:rsidRPr="00CF0788">
        <w:rPr>
          <w:rFonts w:ascii="Times New Roman" w:hAnsi="Times New Roman" w:cs="Times New Roman"/>
        </w:rPr>
        <w:t xml:space="preserve"> The non-moving party’s evidence will not suffice if it </w:t>
      </w:r>
      <w:r w:rsidR="00780D31">
        <w:rPr>
          <w:rFonts w:ascii="Times New Roman" w:hAnsi="Times New Roman" w:cs="Times New Roman"/>
        </w:rPr>
        <w:t xml:space="preserve">is </w:t>
      </w:r>
      <w:r w:rsidRPr="00CF0788">
        <w:rPr>
          <w:rFonts w:ascii="Times New Roman" w:hAnsi="Times New Roman" w:cs="Times New Roman"/>
        </w:rPr>
        <w:t>comprised merely of “conclusory allegations, improbable inferences, and unsupported speculation.”</w:t>
      </w:r>
      <w:r w:rsidRPr="00CF0788">
        <w:rPr>
          <w:rStyle w:val="FootnoteReference"/>
          <w:rFonts w:ascii="Times New Roman" w:hAnsi="Times New Roman" w:cs="Times New Roman"/>
        </w:rPr>
        <w:footnoteReference w:id="11"/>
      </w:r>
      <w:r w:rsidRPr="00CF0788">
        <w:rPr>
          <w:rFonts w:ascii="Times New Roman" w:hAnsi="Times New Roman" w:cs="Times New Roman"/>
        </w:rPr>
        <w:t xml:space="preserve"> </w:t>
      </w:r>
    </w:p>
    <w:p w14:paraId="4B6E675B" w14:textId="77777777" w:rsidR="000962A6" w:rsidRPr="00CF0788" w:rsidRDefault="000962A6" w:rsidP="000962A6">
      <w:pPr>
        <w:pStyle w:val="ListParagraph"/>
        <w:ind w:left="0"/>
        <w:rPr>
          <w:rFonts w:ascii="Times New Roman" w:hAnsi="Times New Roman" w:cs="Times New Roman"/>
        </w:rPr>
      </w:pPr>
    </w:p>
    <w:p w14:paraId="657FF5E8" w14:textId="744A383D" w:rsidR="000962A6" w:rsidRPr="00CF0788" w:rsidRDefault="000962A6" w:rsidP="000962A6">
      <w:pPr>
        <w:pStyle w:val="ListParagraph"/>
        <w:ind w:left="0"/>
        <w:rPr>
          <w:rFonts w:ascii="Times New Roman" w:hAnsi="Times New Roman" w:cs="Times New Roman"/>
        </w:rPr>
      </w:pPr>
      <w:r w:rsidRPr="00CF0788">
        <w:rPr>
          <w:rFonts w:ascii="Times New Roman" w:hAnsi="Times New Roman" w:cs="Times New Roman"/>
        </w:rPr>
        <w:lastRenderedPageBreak/>
        <w:tab/>
        <w:t>As such, to analyze whether the party moving for summary judgment has met its initial burden such that the burden shifts to the opposing party, I must view all the evidence it has submitted in the light most favorable to the opposing party and determine that there is no genuine issue of material fact related to the claims</w:t>
      </w:r>
      <w:r w:rsidR="00780D31">
        <w:rPr>
          <w:rFonts w:ascii="Times New Roman" w:hAnsi="Times New Roman" w:cs="Times New Roman"/>
        </w:rPr>
        <w:t xml:space="preserve"> before me</w:t>
      </w:r>
      <w:r w:rsidRPr="00CF0788">
        <w:rPr>
          <w:rFonts w:ascii="Times New Roman" w:hAnsi="Times New Roman" w:cs="Times New Roman"/>
        </w:rPr>
        <w:t xml:space="preserve">. Only if the moving party is successful in this first step does the </w:t>
      </w:r>
      <w:proofErr w:type="gramStart"/>
      <w:r w:rsidRPr="00CF0788">
        <w:rPr>
          <w:rFonts w:ascii="Times New Roman" w:hAnsi="Times New Roman" w:cs="Times New Roman"/>
        </w:rPr>
        <w:t>burden</w:t>
      </w:r>
      <w:proofErr w:type="gramEnd"/>
      <w:r w:rsidRPr="00CF0788">
        <w:rPr>
          <w:rFonts w:ascii="Times New Roman" w:hAnsi="Times New Roman" w:cs="Times New Roman"/>
        </w:rPr>
        <w:t xml:space="preserve"> then shift to the opposing party. </w:t>
      </w:r>
    </w:p>
    <w:p w14:paraId="7909BC0A" w14:textId="77777777" w:rsidR="000962A6" w:rsidRPr="00CF0788" w:rsidRDefault="000962A6" w:rsidP="000962A6">
      <w:pPr>
        <w:pStyle w:val="ListParagraph"/>
        <w:ind w:left="0"/>
        <w:rPr>
          <w:rFonts w:ascii="Times New Roman" w:hAnsi="Times New Roman" w:cs="Times New Roman"/>
        </w:rPr>
      </w:pPr>
    </w:p>
    <w:p w14:paraId="057FC805" w14:textId="5285DBB2" w:rsidR="000962A6" w:rsidRPr="00CF0788" w:rsidRDefault="000962A6" w:rsidP="000962A6">
      <w:pPr>
        <w:pStyle w:val="ListParagraph"/>
        <w:ind w:left="0"/>
        <w:rPr>
          <w:rFonts w:ascii="Times New Roman" w:hAnsi="Times New Roman" w:cs="Times New Roman"/>
        </w:rPr>
      </w:pPr>
      <w:r w:rsidRPr="00CF0788">
        <w:rPr>
          <w:rFonts w:ascii="Times New Roman" w:hAnsi="Times New Roman" w:cs="Times New Roman"/>
        </w:rPr>
        <w:tab/>
        <w:t xml:space="preserve">To determine whether there </w:t>
      </w:r>
      <w:r w:rsidR="00EF6227">
        <w:rPr>
          <w:rFonts w:ascii="Times New Roman" w:hAnsi="Times New Roman" w:cs="Times New Roman"/>
        </w:rPr>
        <w:t>exists a</w:t>
      </w:r>
      <w:r w:rsidRPr="00CF0788">
        <w:rPr>
          <w:rFonts w:ascii="Times New Roman" w:hAnsi="Times New Roman" w:cs="Times New Roman"/>
        </w:rPr>
        <w:t xml:space="preserve"> genuine issue of </w:t>
      </w:r>
      <w:r w:rsidR="00EF6227">
        <w:rPr>
          <w:rFonts w:ascii="Times New Roman" w:hAnsi="Times New Roman" w:cs="Times New Roman"/>
        </w:rPr>
        <w:t xml:space="preserve">material </w:t>
      </w:r>
      <w:r w:rsidRPr="00CF0788">
        <w:rPr>
          <w:rFonts w:ascii="Times New Roman" w:hAnsi="Times New Roman" w:cs="Times New Roman"/>
        </w:rPr>
        <w:t xml:space="preserve">fact relating to </w:t>
      </w:r>
      <w:r w:rsidR="0086142E">
        <w:rPr>
          <w:rFonts w:ascii="Times New Roman" w:hAnsi="Times New Roman" w:cs="Times New Roman"/>
        </w:rPr>
        <w:t>Parent</w:t>
      </w:r>
      <w:r w:rsidR="001C41FE">
        <w:rPr>
          <w:rFonts w:ascii="Times New Roman" w:hAnsi="Times New Roman" w:cs="Times New Roman"/>
        </w:rPr>
        <w:t xml:space="preserve">’s </w:t>
      </w:r>
      <w:r w:rsidR="0086142E">
        <w:rPr>
          <w:rFonts w:ascii="Times New Roman" w:hAnsi="Times New Roman" w:cs="Times New Roman"/>
        </w:rPr>
        <w:t>claims regarding t</w:t>
      </w:r>
      <w:r w:rsidR="001C41FE">
        <w:rPr>
          <w:rFonts w:ascii="Times New Roman" w:hAnsi="Times New Roman" w:cs="Times New Roman"/>
        </w:rPr>
        <w:t>he District’s failure to reimburse her for transportation under the settlement agreement, I turn to legal standards regarding the</w:t>
      </w:r>
      <w:r w:rsidR="00780D31">
        <w:rPr>
          <w:rFonts w:ascii="Times New Roman" w:hAnsi="Times New Roman" w:cs="Times New Roman"/>
        </w:rPr>
        <w:t xml:space="preserve"> consideration,</w:t>
      </w:r>
      <w:r w:rsidR="001C41FE">
        <w:rPr>
          <w:rFonts w:ascii="Times New Roman" w:hAnsi="Times New Roman" w:cs="Times New Roman"/>
        </w:rPr>
        <w:t xml:space="preserve"> interpretation</w:t>
      </w:r>
      <w:r w:rsidR="00780D31">
        <w:rPr>
          <w:rFonts w:ascii="Times New Roman" w:hAnsi="Times New Roman" w:cs="Times New Roman"/>
        </w:rPr>
        <w:t>,</w:t>
      </w:r>
      <w:r w:rsidR="001C41FE">
        <w:rPr>
          <w:rFonts w:ascii="Times New Roman" w:hAnsi="Times New Roman" w:cs="Times New Roman"/>
        </w:rPr>
        <w:t xml:space="preserve"> and enforcement of settlement agreements by the BSEA.</w:t>
      </w:r>
    </w:p>
    <w:p w14:paraId="12290903" w14:textId="77777777" w:rsidR="000962A6" w:rsidRPr="00CF0788" w:rsidRDefault="000962A6" w:rsidP="000962A6">
      <w:pPr>
        <w:pStyle w:val="ListParagraph"/>
        <w:ind w:left="0"/>
        <w:rPr>
          <w:rFonts w:ascii="Times New Roman" w:hAnsi="Times New Roman" w:cs="Times New Roman"/>
        </w:rPr>
      </w:pPr>
    </w:p>
    <w:p w14:paraId="4B4B7D79" w14:textId="19CD8C30" w:rsidR="000962A6" w:rsidRDefault="0086142E" w:rsidP="000962A6">
      <w:pPr>
        <w:pStyle w:val="NoSpacing"/>
        <w:numPr>
          <w:ilvl w:val="0"/>
          <w:numId w:val="10"/>
        </w:numPr>
        <w:rPr>
          <w:rFonts w:ascii="Times New Roman" w:hAnsi="Times New Roman" w:cs="Times New Roman"/>
          <w:sz w:val="24"/>
          <w:szCs w:val="24"/>
          <w:u w:val="single"/>
        </w:rPr>
      </w:pPr>
      <w:r>
        <w:rPr>
          <w:rFonts w:ascii="Times New Roman" w:hAnsi="Times New Roman" w:cs="Times New Roman"/>
          <w:sz w:val="24"/>
          <w:szCs w:val="24"/>
          <w:u w:val="single"/>
        </w:rPr>
        <w:t xml:space="preserve">Relevant </w:t>
      </w:r>
      <w:r w:rsidR="000962A6" w:rsidRPr="00AA0664">
        <w:rPr>
          <w:rFonts w:ascii="Times New Roman" w:hAnsi="Times New Roman" w:cs="Times New Roman"/>
          <w:sz w:val="24"/>
          <w:szCs w:val="24"/>
          <w:u w:val="single"/>
        </w:rPr>
        <w:t xml:space="preserve">Substantive Standards </w:t>
      </w:r>
    </w:p>
    <w:p w14:paraId="7D87DD75" w14:textId="6047D168" w:rsidR="0086142E" w:rsidRDefault="0086142E" w:rsidP="0086142E">
      <w:pPr>
        <w:pStyle w:val="NoSpacing"/>
        <w:ind w:left="1080"/>
        <w:rPr>
          <w:rFonts w:ascii="Times New Roman" w:hAnsi="Times New Roman" w:cs="Times New Roman"/>
          <w:sz w:val="24"/>
          <w:szCs w:val="24"/>
          <w:u w:val="single"/>
        </w:rPr>
      </w:pPr>
    </w:p>
    <w:p w14:paraId="04A8171F" w14:textId="38B7D321" w:rsidR="0086142E" w:rsidRDefault="0086142E" w:rsidP="001C41FE">
      <w:pPr>
        <w:pStyle w:val="NoSpacing"/>
        <w:ind w:left="1080"/>
        <w:rPr>
          <w:rFonts w:ascii="Times New Roman" w:hAnsi="Times New Roman" w:cs="Times New Roman"/>
          <w:i/>
          <w:iCs/>
          <w:sz w:val="24"/>
          <w:szCs w:val="24"/>
        </w:rPr>
      </w:pPr>
      <w:r>
        <w:rPr>
          <w:rFonts w:ascii="Times New Roman" w:hAnsi="Times New Roman" w:cs="Times New Roman"/>
          <w:i/>
          <w:iCs/>
          <w:sz w:val="24"/>
          <w:szCs w:val="24"/>
        </w:rPr>
        <w:t>i.</w:t>
      </w:r>
      <w:r>
        <w:rPr>
          <w:rFonts w:ascii="Times New Roman" w:hAnsi="Times New Roman" w:cs="Times New Roman"/>
          <w:i/>
          <w:iCs/>
          <w:sz w:val="24"/>
          <w:szCs w:val="24"/>
        </w:rPr>
        <w:tab/>
      </w:r>
      <w:r w:rsidR="001C41FE">
        <w:rPr>
          <w:rFonts w:ascii="Times New Roman" w:hAnsi="Times New Roman" w:cs="Times New Roman"/>
          <w:i/>
          <w:iCs/>
          <w:sz w:val="24"/>
          <w:szCs w:val="24"/>
        </w:rPr>
        <w:t>BSEA Jurisdiction</w:t>
      </w:r>
    </w:p>
    <w:p w14:paraId="7F2B66FC" w14:textId="77777777" w:rsidR="001C41FE" w:rsidRDefault="001C41FE" w:rsidP="001C41FE">
      <w:pPr>
        <w:pStyle w:val="NoSpacing"/>
        <w:ind w:left="1080"/>
        <w:rPr>
          <w:rFonts w:ascii="Times New Roman" w:hAnsi="Times New Roman" w:cs="Times New Roman"/>
          <w:i/>
          <w:iCs/>
          <w:sz w:val="24"/>
          <w:szCs w:val="24"/>
        </w:rPr>
      </w:pPr>
    </w:p>
    <w:p w14:paraId="26E33E1F" w14:textId="5CBF9E26" w:rsidR="001C41FE" w:rsidRDefault="001C41FE" w:rsidP="001C41FE">
      <w:pPr>
        <w:ind w:firstLine="720"/>
        <w:rPr>
          <w:color w:val="000000" w:themeColor="text1"/>
        </w:rPr>
      </w:pPr>
      <w:r>
        <w:t xml:space="preserve">The BSEA is a body of limited jurisdiction. As I explained recently in my </w:t>
      </w:r>
      <w:r>
        <w:rPr>
          <w:i/>
          <w:iCs/>
        </w:rPr>
        <w:t>Ruling on Acton-Boxborough Regional School District’s Partial Motion to Dismiss and Parent’s Motion to Join the Town of Acton</w:t>
      </w:r>
      <w:r>
        <w:t xml:space="preserve">, </w:t>
      </w:r>
      <w:r>
        <w:rPr>
          <w:rStyle w:val="FootnoteReference"/>
        </w:rPr>
        <w:footnoteReference w:id="12"/>
      </w:r>
      <w:r>
        <w:t xml:space="preserve"> a </w:t>
      </w:r>
      <w:r w:rsidRPr="00C42532">
        <w:t xml:space="preserve">claim is properly before the BSEA if </w:t>
      </w:r>
      <w:r w:rsidR="00780D31">
        <w:t>(</w:t>
      </w:r>
      <w:r w:rsidRPr="00C42532">
        <w:t xml:space="preserve">a) the claim arises under </w:t>
      </w:r>
      <w:r w:rsidR="00FB378D">
        <w:t>t</w:t>
      </w:r>
      <w:r w:rsidRPr="00C42532">
        <w:t>he Massachusetts education statute</w:t>
      </w:r>
      <w:r w:rsidR="00FB378D">
        <w:t xml:space="preserve"> (M.G.L. C. 71B)</w:t>
      </w:r>
      <w:r w:rsidRPr="00C42532">
        <w:t xml:space="preserve">; </w:t>
      </w:r>
      <w:r w:rsidR="00FB378D">
        <w:t>the Individuals with Disabilities Education Act (IDEA) (</w:t>
      </w:r>
      <w:r w:rsidRPr="00C42532">
        <w:t xml:space="preserve">20 U.S.C. § 1400 </w:t>
      </w:r>
      <w:r w:rsidRPr="00FB378D">
        <w:rPr>
          <w:i/>
          <w:iCs/>
        </w:rPr>
        <w:t>et. seq</w:t>
      </w:r>
      <w:r w:rsidRPr="00C42532">
        <w:t>., Section 504 of the Rehabilitation Act of 1973</w:t>
      </w:r>
      <w:r w:rsidR="00FB378D">
        <w:t xml:space="preserve"> (</w:t>
      </w:r>
      <w:r w:rsidR="00FB378D" w:rsidRPr="00C42532">
        <w:t>29 U.S.C. § 794</w:t>
      </w:r>
      <w:r w:rsidR="00FB378D">
        <w:t>),</w:t>
      </w:r>
      <w:r w:rsidRPr="00C42532">
        <w:t xml:space="preserve"> and/or the regulations promulgated pursuant to these statutes; or </w:t>
      </w:r>
      <w:r w:rsidR="00780D31">
        <w:t>(</w:t>
      </w:r>
      <w:r w:rsidRPr="00C42532">
        <w:t>b) the claim arises under laws different from those enumerated but is “IDEA-based”</w:t>
      </w:r>
      <w:r w:rsidRPr="00CC2007">
        <w:rPr>
          <w:rStyle w:val="FootnoteReference"/>
        </w:rPr>
        <w:footnoteReference w:id="13"/>
      </w:r>
      <w:r w:rsidRPr="00CC2007">
        <w:t xml:space="preserve"> </w:t>
      </w:r>
      <w:r w:rsidRPr="001E3D6F">
        <w:t>and thus subject to the IDEA’s exhaustion requirement.</w:t>
      </w:r>
      <w:r w:rsidRPr="00CC2007">
        <w:rPr>
          <w:rStyle w:val="FootnoteReference"/>
        </w:rPr>
        <w:footnoteReference w:id="14"/>
      </w:r>
      <w:r>
        <w:t xml:space="preserve"> The BSEA has explicit jurisdiction over</w:t>
      </w:r>
      <w:r w:rsidRPr="0087564E">
        <w:t xml:space="preserve"> </w:t>
      </w:r>
      <w:r w:rsidRPr="0087564E">
        <w:rPr>
          <w:color w:val="000000" w:themeColor="text1"/>
        </w:rPr>
        <w:t>“any matter relating to the identification, evaluation, or edu</w:t>
      </w:r>
      <w:r w:rsidRPr="00C42532">
        <w:rPr>
          <w:color w:val="000000" w:themeColor="text1"/>
        </w:rPr>
        <w:t>cational placement of the child, or the provision of a free appropriate public education to such child.”</w:t>
      </w:r>
      <w:r w:rsidRPr="00CC2007">
        <w:rPr>
          <w:rStyle w:val="FootnoteReference"/>
          <w:color w:val="000000" w:themeColor="text1"/>
        </w:rPr>
        <w:footnoteReference w:id="15"/>
      </w:r>
      <w:r w:rsidRPr="00CC2007">
        <w:rPr>
          <w:color w:val="000000" w:themeColor="text1"/>
        </w:rPr>
        <w:t xml:space="preserve"> </w:t>
      </w:r>
      <w:r w:rsidRPr="001E3D6F">
        <w:rPr>
          <w:color w:val="000000" w:themeColor="text1"/>
        </w:rPr>
        <w:t>A party seeking relief under the above-mentioned federal and state special education laws must “exhaust</w:t>
      </w:r>
      <w:r w:rsidRPr="00A63200">
        <w:rPr>
          <w:color w:val="000000" w:themeColor="text1"/>
        </w:rPr>
        <w:t>,</w:t>
      </w:r>
      <w:r w:rsidRPr="000C458E">
        <w:rPr>
          <w:color w:val="000000" w:themeColor="text1"/>
        </w:rPr>
        <w:t xml:space="preserve">” or complete all </w:t>
      </w:r>
      <w:r w:rsidRPr="00DA13EC">
        <w:rPr>
          <w:color w:val="000000" w:themeColor="text1"/>
        </w:rPr>
        <w:t>of the IDEA’s</w:t>
      </w:r>
      <w:r w:rsidRPr="0087564E">
        <w:rPr>
          <w:color w:val="000000" w:themeColor="text1"/>
        </w:rPr>
        <w:t xml:space="preserve"> administrative due process procedures</w:t>
      </w:r>
      <w:r w:rsidRPr="00C42532">
        <w:rPr>
          <w:color w:val="000000" w:themeColor="text1"/>
        </w:rPr>
        <w:t>, before seeking relief in court.</w:t>
      </w:r>
      <w:r w:rsidRPr="00CC2007">
        <w:rPr>
          <w:rStyle w:val="FootnoteReference"/>
          <w:color w:val="000000" w:themeColor="text1"/>
        </w:rPr>
        <w:footnoteReference w:id="16"/>
      </w:r>
      <w:r w:rsidRPr="00CC2007">
        <w:rPr>
          <w:color w:val="000000" w:themeColor="text1"/>
        </w:rPr>
        <w:t xml:space="preserve"> </w:t>
      </w:r>
      <w:r>
        <w:rPr>
          <w:color w:val="000000" w:themeColor="text1"/>
        </w:rPr>
        <w:t>“IDEA-based” claims are those where "</w:t>
      </w:r>
      <w:r w:rsidRPr="00C42532">
        <w:rPr>
          <w:color w:val="000000" w:themeColor="text1"/>
        </w:rPr>
        <w:t>the gravamen of the plaintiff’s suit is . . . the denial of the IDEA’s core guarantee—what the Act calls a ‘free appropriate public education.’”</w:t>
      </w:r>
      <w:r w:rsidRPr="00CC2007">
        <w:rPr>
          <w:rStyle w:val="FootnoteReference"/>
          <w:color w:val="000000" w:themeColor="text1"/>
        </w:rPr>
        <w:footnoteReference w:id="17"/>
      </w:r>
      <w:r w:rsidRPr="00CC2007">
        <w:rPr>
          <w:color w:val="000000" w:themeColor="text1"/>
        </w:rPr>
        <w:t xml:space="preserve"> </w:t>
      </w:r>
      <w:r>
        <w:rPr>
          <w:color w:val="000000" w:themeColor="text1"/>
        </w:rPr>
        <w:t>These claims must also be</w:t>
      </w:r>
      <w:r w:rsidRPr="008F656E">
        <w:rPr>
          <w:color w:val="000000" w:themeColor="text1"/>
        </w:rPr>
        <w:t xml:space="preserve"> exhausted before proceeding to court to ensure </w:t>
      </w:r>
      <w:r w:rsidRPr="00A63200">
        <w:rPr>
          <w:color w:val="000000" w:themeColor="text1"/>
        </w:rPr>
        <w:t xml:space="preserve">that </w:t>
      </w:r>
      <w:r w:rsidRPr="000C458E">
        <w:rPr>
          <w:color w:val="000000" w:themeColor="text1"/>
        </w:rPr>
        <w:t>the BSEA is able to develop a factual record and apply its “specialized knowledge” in such ca</w:t>
      </w:r>
      <w:r w:rsidRPr="00C42532">
        <w:rPr>
          <w:color w:val="000000" w:themeColor="text1"/>
        </w:rPr>
        <w:t>ses.</w:t>
      </w:r>
      <w:r w:rsidRPr="00CC2007">
        <w:rPr>
          <w:rStyle w:val="FootnoteReference"/>
          <w:color w:val="000000" w:themeColor="text1"/>
        </w:rPr>
        <w:footnoteReference w:id="18"/>
      </w:r>
      <w:r w:rsidRPr="00CC2007">
        <w:rPr>
          <w:color w:val="000000" w:themeColor="text1"/>
        </w:rPr>
        <w:t xml:space="preserve"> </w:t>
      </w:r>
    </w:p>
    <w:p w14:paraId="6D220F57" w14:textId="77777777" w:rsidR="0086142E" w:rsidRDefault="0086142E" w:rsidP="0086142E">
      <w:pPr>
        <w:pStyle w:val="NoSpacing"/>
        <w:rPr>
          <w:rFonts w:ascii="Times New Roman" w:hAnsi="Times New Roman" w:cs="Times New Roman"/>
          <w:i/>
          <w:iCs/>
          <w:sz w:val="24"/>
          <w:szCs w:val="24"/>
        </w:rPr>
      </w:pPr>
    </w:p>
    <w:p w14:paraId="21154E48" w14:textId="203F6D96" w:rsidR="0086142E" w:rsidRDefault="0086142E" w:rsidP="0086142E">
      <w:pPr>
        <w:pStyle w:val="NoSpacing"/>
        <w:ind w:left="1080"/>
        <w:rPr>
          <w:rFonts w:ascii="Times New Roman" w:hAnsi="Times New Roman" w:cs="Times New Roman"/>
          <w:i/>
          <w:iCs/>
          <w:sz w:val="24"/>
          <w:szCs w:val="24"/>
        </w:rPr>
      </w:pPr>
      <w:r>
        <w:rPr>
          <w:rFonts w:ascii="Times New Roman" w:hAnsi="Times New Roman" w:cs="Times New Roman"/>
          <w:i/>
          <w:iCs/>
          <w:sz w:val="24"/>
          <w:szCs w:val="24"/>
        </w:rPr>
        <w:t>ii.</w:t>
      </w:r>
      <w:r>
        <w:rPr>
          <w:rFonts w:ascii="Times New Roman" w:hAnsi="Times New Roman" w:cs="Times New Roman"/>
          <w:i/>
          <w:iCs/>
          <w:sz w:val="24"/>
          <w:szCs w:val="24"/>
        </w:rPr>
        <w:tab/>
      </w:r>
      <w:r w:rsidR="001C41FE">
        <w:rPr>
          <w:rFonts w:ascii="Times New Roman" w:hAnsi="Times New Roman" w:cs="Times New Roman"/>
          <w:i/>
          <w:iCs/>
          <w:sz w:val="24"/>
          <w:szCs w:val="24"/>
        </w:rPr>
        <w:t>BSEA Jurisdiction Over Settlement Agreements</w:t>
      </w:r>
    </w:p>
    <w:p w14:paraId="27EB070F" w14:textId="77777777" w:rsidR="001C41FE" w:rsidRDefault="001C41FE" w:rsidP="001C41FE">
      <w:pPr>
        <w:pStyle w:val="NoSpacing"/>
        <w:rPr>
          <w:rFonts w:ascii="Times New Roman" w:hAnsi="Times New Roman" w:cs="Times New Roman"/>
          <w:i/>
          <w:iCs/>
          <w:sz w:val="24"/>
          <w:szCs w:val="24"/>
        </w:rPr>
      </w:pPr>
    </w:p>
    <w:p w14:paraId="02166920" w14:textId="668FBC77" w:rsidR="00711EA8" w:rsidRDefault="008544E3" w:rsidP="003C2CCA">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Under the IDEA, </w:t>
      </w:r>
      <w:r w:rsidR="00FB378D">
        <w:rPr>
          <w:rFonts w:ascii="Times New Roman" w:hAnsi="Times New Roman" w:cs="Times New Roman"/>
          <w:sz w:val="24"/>
          <w:szCs w:val="24"/>
        </w:rPr>
        <w:t xml:space="preserve">“parents </w:t>
      </w:r>
      <w:r>
        <w:rPr>
          <w:rFonts w:ascii="Times New Roman" w:hAnsi="Times New Roman" w:cs="Times New Roman"/>
          <w:sz w:val="24"/>
          <w:szCs w:val="24"/>
        </w:rPr>
        <w:t xml:space="preserve">may enter into enforceable settlement agreements with </w:t>
      </w:r>
      <w:r w:rsidR="00FB378D">
        <w:rPr>
          <w:rFonts w:ascii="Times New Roman" w:hAnsi="Times New Roman" w:cs="Times New Roman"/>
          <w:sz w:val="24"/>
          <w:szCs w:val="24"/>
        </w:rPr>
        <w:t>[</w:t>
      </w:r>
      <w:r>
        <w:rPr>
          <w:rFonts w:ascii="Times New Roman" w:hAnsi="Times New Roman" w:cs="Times New Roman"/>
          <w:sz w:val="24"/>
          <w:szCs w:val="24"/>
        </w:rPr>
        <w:t>school districts</w:t>
      </w:r>
      <w:r w:rsidR="00FB378D">
        <w:rPr>
          <w:rFonts w:ascii="Times New Roman" w:hAnsi="Times New Roman" w:cs="Times New Roman"/>
          <w:sz w:val="24"/>
          <w:szCs w:val="24"/>
        </w:rPr>
        <w:t>]</w:t>
      </w:r>
      <w:r>
        <w:rPr>
          <w:rFonts w:ascii="Times New Roman" w:hAnsi="Times New Roman" w:cs="Times New Roman"/>
          <w:sz w:val="24"/>
          <w:szCs w:val="24"/>
        </w:rPr>
        <w:t xml:space="preserve"> that provide them with more or less the same entitlements that the IDEA provides.</w:t>
      </w:r>
      <w:r w:rsidR="00FB378D">
        <w:rPr>
          <w:rFonts w:ascii="Times New Roman" w:hAnsi="Times New Roman" w:cs="Times New Roman"/>
          <w:sz w:val="24"/>
          <w:szCs w:val="24"/>
        </w:rPr>
        <w:t>”</w:t>
      </w:r>
      <w:r w:rsidR="00FB378D">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003C2CCA">
        <w:rPr>
          <w:rFonts w:ascii="Times New Roman" w:hAnsi="Times New Roman" w:cs="Times New Roman"/>
          <w:sz w:val="24"/>
          <w:szCs w:val="24"/>
        </w:rPr>
        <w:t xml:space="preserve"> Generally, such an agreement would be in the nature of a contract enforceable in state court only, but the IDEA specifies that agreements reached through the mediation process or at a resolution meeting are enforceable in any state court of competent jurisdiction or through the federal district courts.</w:t>
      </w:r>
      <w:r w:rsidR="003C2CCA">
        <w:rPr>
          <w:rStyle w:val="FootnoteReference"/>
          <w:rFonts w:ascii="Times New Roman" w:hAnsi="Times New Roman" w:cs="Times New Roman"/>
          <w:sz w:val="24"/>
          <w:szCs w:val="24"/>
        </w:rPr>
        <w:footnoteReference w:id="20"/>
      </w:r>
    </w:p>
    <w:p w14:paraId="0F8B8950" w14:textId="77777777" w:rsidR="00711EA8" w:rsidRDefault="00711EA8" w:rsidP="001C41FE">
      <w:pPr>
        <w:pStyle w:val="NoSpacing"/>
        <w:ind w:firstLine="720"/>
        <w:rPr>
          <w:rFonts w:ascii="Times New Roman" w:hAnsi="Times New Roman" w:cs="Times New Roman"/>
          <w:sz w:val="24"/>
          <w:szCs w:val="24"/>
        </w:rPr>
      </w:pPr>
    </w:p>
    <w:p w14:paraId="21743B24" w14:textId="77777777" w:rsidR="00F722EB" w:rsidRDefault="001C41FE" w:rsidP="00A1372C">
      <w:pPr>
        <w:pStyle w:val="NoSpacing"/>
        <w:tabs>
          <w:tab w:val="left" w:pos="2970"/>
        </w:tabs>
        <w:ind w:firstLine="720"/>
        <w:rPr>
          <w:rFonts w:ascii="Times New Roman" w:hAnsi="Times New Roman" w:cs="Times New Roman"/>
          <w:sz w:val="24"/>
          <w:szCs w:val="24"/>
        </w:rPr>
      </w:pPr>
      <w:r>
        <w:rPr>
          <w:rFonts w:ascii="Times New Roman" w:hAnsi="Times New Roman" w:cs="Times New Roman"/>
          <w:sz w:val="24"/>
          <w:szCs w:val="24"/>
        </w:rPr>
        <w:t xml:space="preserve">The extent to which </w:t>
      </w:r>
      <w:r w:rsidR="008B5267">
        <w:rPr>
          <w:rFonts w:ascii="Times New Roman" w:hAnsi="Times New Roman" w:cs="Times New Roman"/>
          <w:sz w:val="24"/>
          <w:szCs w:val="24"/>
        </w:rPr>
        <w:t>the BSEA may exercise jurisdiction over claims involving settlement agreements is unsettled</w:t>
      </w:r>
      <w:r w:rsidR="00A1372C">
        <w:rPr>
          <w:rFonts w:ascii="Times New Roman" w:hAnsi="Times New Roman" w:cs="Times New Roman"/>
          <w:sz w:val="24"/>
          <w:szCs w:val="24"/>
        </w:rPr>
        <w:t>. Hearing Officers are divided on the issue, though most have suggested that we may consider</w:t>
      </w:r>
      <w:r w:rsidR="0001665A">
        <w:rPr>
          <w:rFonts w:ascii="Times New Roman" w:hAnsi="Times New Roman" w:cs="Times New Roman"/>
          <w:sz w:val="24"/>
          <w:szCs w:val="24"/>
        </w:rPr>
        <w:t xml:space="preserve"> </w:t>
      </w:r>
      <w:r>
        <w:rPr>
          <w:rFonts w:ascii="Times New Roman" w:hAnsi="Times New Roman" w:cs="Times New Roman"/>
          <w:sz w:val="24"/>
          <w:szCs w:val="24"/>
        </w:rPr>
        <w:t>settlement agreements i</w:t>
      </w:r>
      <w:r w:rsidR="0001665A">
        <w:rPr>
          <w:rFonts w:ascii="Times New Roman" w:hAnsi="Times New Roman" w:cs="Times New Roman"/>
          <w:sz w:val="24"/>
          <w:szCs w:val="24"/>
        </w:rPr>
        <w:t>n performing our functions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sidR="002103CB">
        <w:rPr>
          <w:rFonts w:ascii="Times New Roman" w:hAnsi="Times New Roman" w:cs="Times New Roman"/>
          <w:sz w:val="24"/>
          <w:szCs w:val="24"/>
        </w:rPr>
        <w:t xml:space="preserve"> This position is well-supported by case law.</w:t>
      </w:r>
      <w:r w:rsidR="002103CB">
        <w:rPr>
          <w:rStyle w:val="FootnoteReference"/>
          <w:rFonts w:ascii="Times New Roman" w:hAnsi="Times New Roman" w:cs="Times New Roman"/>
          <w:sz w:val="24"/>
          <w:szCs w:val="24"/>
        </w:rPr>
        <w:footnoteReference w:id="22"/>
      </w:r>
      <w:r w:rsidR="002103CB">
        <w:rPr>
          <w:rFonts w:ascii="Times New Roman" w:hAnsi="Times New Roman" w:cs="Times New Roman"/>
          <w:sz w:val="24"/>
          <w:szCs w:val="24"/>
        </w:rPr>
        <w:t xml:space="preserve"> Hearing Officers</w:t>
      </w:r>
      <w:r>
        <w:rPr>
          <w:rFonts w:ascii="Times New Roman" w:hAnsi="Times New Roman" w:cs="Times New Roman"/>
          <w:sz w:val="24"/>
          <w:szCs w:val="24"/>
        </w:rPr>
        <w:t xml:space="preserve"> </w:t>
      </w:r>
      <w:r w:rsidR="00A1372C">
        <w:rPr>
          <w:rFonts w:ascii="Times New Roman" w:hAnsi="Times New Roman" w:cs="Times New Roman"/>
          <w:sz w:val="24"/>
          <w:szCs w:val="24"/>
        </w:rPr>
        <w:t xml:space="preserve">appear to be </w:t>
      </w:r>
      <w:r>
        <w:rPr>
          <w:rFonts w:ascii="Times New Roman" w:hAnsi="Times New Roman" w:cs="Times New Roman"/>
          <w:sz w:val="24"/>
          <w:szCs w:val="24"/>
        </w:rPr>
        <w:t>unite</w:t>
      </w:r>
      <w:r w:rsidR="0001665A">
        <w:rPr>
          <w:rFonts w:ascii="Times New Roman" w:hAnsi="Times New Roman" w:cs="Times New Roman"/>
          <w:sz w:val="24"/>
          <w:szCs w:val="24"/>
        </w:rPr>
        <w:t>d</w:t>
      </w:r>
      <w:r>
        <w:rPr>
          <w:rFonts w:ascii="Times New Roman" w:hAnsi="Times New Roman" w:cs="Times New Roman"/>
          <w:sz w:val="24"/>
          <w:szCs w:val="24"/>
        </w:rPr>
        <w:t xml:space="preserve">, however, as to our inability to enforce </w:t>
      </w:r>
      <w:r w:rsidR="0001665A">
        <w:rPr>
          <w:rFonts w:ascii="Times New Roman" w:hAnsi="Times New Roman" w:cs="Times New Roman"/>
          <w:sz w:val="24"/>
          <w:szCs w:val="24"/>
        </w:rPr>
        <w:t>a settlement agreement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r w:rsidR="006F2991">
        <w:rPr>
          <w:rFonts w:ascii="Times New Roman" w:hAnsi="Times New Roman" w:cs="Times New Roman"/>
          <w:sz w:val="24"/>
          <w:szCs w:val="24"/>
        </w:rPr>
        <w:t>This position is also well-supported; courts have uniformly suggested that an administrative agency lacks the authority to enforce a settlement agreement.</w:t>
      </w:r>
      <w:r w:rsidR="006F2991">
        <w:rPr>
          <w:rStyle w:val="FootnoteReference"/>
          <w:rFonts w:ascii="Times New Roman" w:hAnsi="Times New Roman" w:cs="Times New Roman"/>
          <w:sz w:val="24"/>
          <w:szCs w:val="24"/>
        </w:rPr>
        <w:footnoteReference w:id="24"/>
      </w:r>
      <w:r w:rsidR="00F722EB">
        <w:rPr>
          <w:rFonts w:ascii="Times New Roman" w:hAnsi="Times New Roman" w:cs="Times New Roman"/>
          <w:sz w:val="24"/>
          <w:szCs w:val="24"/>
        </w:rPr>
        <w:t xml:space="preserve"> As the United States District Court for the Eastern District of Pennsylvania explained:</w:t>
      </w:r>
    </w:p>
    <w:p w14:paraId="6048251F" w14:textId="77777777" w:rsidR="00F722EB" w:rsidRDefault="00F722EB" w:rsidP="00A1372C">
      <w:pPr>
        <w:pStyle w:val="NoSpacing"/>
        <w:tabs>
          <w:tab w:val="left" w:pos="2970"/>
        </w:tabs>
        <w:ind w:firstLine="720"/>
        <w:rPr>
          <w:rFonts w:ascii="Times New Roman" w:hAnsi="Times New Roman" w:cs="Times New Roman"/>
          <w:sz w:val="24"/>
          <w:szCs w:val="24"/>
        </w:rPr>
      </w:pPr>
      <w:r>
        <w:rPr>
          <w:rFonts w:ascii="Times New Roman" w:hAnsi="Times New Roman" w:cs="Times New Roman"/>
          <w:sz w:val="24"/>
          <w:szCs w:val="24"/>
        </w:rPr>
        <w:tab/>
      </w:r>
    </w:p>
    <w:p w14:paraId="1E488433" w14:textId="7BBBBBF4" w:rsidR="001C41FE" w:rsidRDefault="00F722EB" w:rsidP="00F722EB">
      <w:pPr>
        <w:pStyle w:val="NoSpacing"/>
        <w:tabs>
          <w:tab w:val="left" w:pos="2970"/>
        </w:tabs>
        <w:ind w:left="1440"/>
        <w:rPr>
          <w:rFonts w:ascii="Times New Roman" w:hAnsi="Times New Roman" w:cs="Times New Roman"/>
          <w:sz w:val="24"/>
          <w:szCs w:val="24"/>
        </w:rPr>
      </w:pPr>
      <w:r>
        <w:rPr>
          <w:rFonts w:ascii="Times New Roman" w:hAnsi="Times New Roman" w:cs="Times New Roman"/>
          <w:sz w:val="24"/>
          <w:szCs w:val="24"/>
        </w:rPr>
        <w:lastRenderedPageBreak/>
        <w:t>Congress has specifically identified the task that hearing officers should undertake under the IDEA . . . Enforcement of a settlement agreement may determine if parents have waived certain rights under the IDEA, or whether a [school district] has contracted to provide certain benefits above those that the IDEA requires, but it is not related to the fundamental question of whether a child received a free appropriate public education. Enforcing a settlement agreement thus appears to exceed the authority that the IDEA confers upon a hearing officer.</w:t>
      </w:r>
      <w:r>
        <w:rPr>
          <w:rStyle w:val="FootnoteReference"/>
          <w:rFonts w:ascii="Times New Roman" w:hAnsi="Times New Roman" w:cs="Times New Roman"/>
          <w:sz w:val="24"/>
          <w:szCs w:val="24"/>
        </w:rPr>
        <w:footnoteReference w:id="25"/>
      </w:r>
    </w:p>
    <w:p w14:paraId="467F4A85" w14:textId="77777777" w:rsidR="001C41FE" w:rsidRDefault="001C41FE" w:rsidP="001C41FE">
      <w:pPr>
        <w:pStyle w:val="NoSpacing"/>
        <w:ind w:firstLine="720"/>
        <w:rPr>
          <w:rFonts w:ascii="Times New Roman" w:hAnsi="Times New Roman" w:cs="Times New Roman"/>
          <w:sz w:val="24"/>
          <w:szCs w:val="24"/>
        </w:rPr>
      </w:pPr>
    </w:p>
    <w:p w14:paraId="277750BF" w14:textId="6423E740" w:rsidR="00FE6D9F" w:rsidRDefault="00F722EB" w:rsidP="00547263">
      <w:pPr>
        <w:pStyle w:val="NoSpacing"/>
        <w:ind w:firstLine="720"/>
        <w:rPr>
          <w:rFonts w:ascii="Times New Roman" w:hAnsi="Times New Roman" w:cs="Times New Roman"/>
          <w:sz w:val="24"/>
          <w:szCs w:val="24"/>
        </w:rPr>
      </w:pPr>
      <w:r>
        <w:rPr>
          <w:rFonts w:ascii="Times New Roman" w:hAnsi="Times New Roman" w:cs="Times New Roman"/>
          <w:sz w:val="24"/>
          <w:szCs w:val="24"/>
        </w:rPr>
        <w:t>Notwithstanding the issue of enforcement, w</w:t>
      </w:r>
      <w:r w:rsidR="001C41FE">
        <w:rPr>
          <w:rFonts w:ascii="Times New Roman" w:hAnsi="Times New Roman" w:cs="Times New Roman"/>
          <w:sz w:val="24"/>
          <w:szCs w:val="24"/>
        </w:rPr>
        <w:t>hether a Hearing Officer may</w:t>
      </w:r>
      <w:r w:rsidR="008B5267">
        <w:rPr>
          <w:rFonts w:ascii="Times New Roman" w:hAnsi="Times New Roman" w:cs="Times New Roman"/>
          <w:sz w:val="24"/>
          <w:szCs w:val="24"/>
        </w:rPr>
        <w:t xml:space="preserve"> go beyond considering a settlement agreement to</w:t>
      </w:r>
      <w:r w:rsidR="001C41FE">
        <w:rPr>
          <w:rFonts w:ascii="Times New Roman" w:hAnsi="Times New Roman" w:cs="Times New Roman"/>
          <w:sz w:val="24"/>
          <w:szCs w:val="24"/>
        </w:rPr>
        <w:t xml:space="preserve"> interpret </w:t>
      </w:r>
      <w:r w:rsidR="008B5267">
        <w:rPr>
          <w:rFonts w:ascii="Times New Roman" w:hAnsi="Times New Roman" w:cs="Times New Roman"/>
          <w:sz w:val="24"/>
          <w:szCs w:val="24"/>
        </w:rPr>
        <w:t>it</w:t>
      </w:r>
      <w:r w:rsidR="00A1372C">
        <w:rPr>
          <w:rFonts w:ascii="Times New Roman" w:hAnsi="Times New Roman" w:cs="Times New Roman"/>
          <w:sz w:val="24"/>
          <w:szCs w:val="24"/>
        </w:rPr>
        <w:t xml:space="preserve"> is, similarly, an open question.</w:t>
      </w:r>
      <w:r w:rsidR="001C41FE">
        <w:rPr>
          <w:rStyle w:val="FootnoteReference"/>
          <w:rFonts w:ascii="Times New Roman" w:hAnsi="Times New Roman" w:cs="Times New Roman"/>
          <w:sz w:val="24"/>
          <w:szCs w:val="24"/>
        </w:rPr>
        <w:footnoteReference w:id="26"/>
      </w:r>
      <w:r w:rsidR="001C41FE">
        <w:rPr>
          <w:rFonts w:ascii="Times New Roman" w:hAnsi="Times New Roman" w:cs="Times New Roman"/>
          <w:sz w:val="24"/>
          <w:szCs w:val="24"/>
        </w:rPr>
        <w:t xml:space="preserve"> </w:t>
      </w:r>
      <w:r w:rsidR="00A14AD5">
        <w:rPr>
          <w:rFonts w:ascii="Times New Roman" w:hAnsi="Times New Roman" w:cs="Times New Roman"/>
          <w:sz w:val="24"/>
          <w:szCs w:val="24"/>
        </w:rPr>
        <w:t xml:space="preserve"> </w:t>
      </w:r>
      <w:r w:rsidR="001C41FE">
        <w:rPr>
          <w:rFonts w:ascii="Times New Roman" w:hAnsi="Times New Roman" w:cs="Times New Roman"/>
          <w:sz w:val="24"/>
          <w:szCs w:val="24"/>
        </w:rPr>
        <w:t>The United States Court of Appeals for the First Circuit declined to address the issue whether, or to what extent, administrative hearing officers have jurisdiction over the interpretation of settlement agreements.</w:t>
      </w:r>
      <w:r w:rsidR="001C41FE">
        <w:rPr>
          <w:rStyle w:val="FootnoteReference"/>
          <w:rFonts w:ascii="Times New Roman" w:hAnsi="Times New Roman" w:cs="Times New Roman"/>
          <w:sz w:val="24"/>
          <w:szCs w:val="24"/>
        </w:rPr>
        <w:footnoteReference w:id="27"/>
      </w:r>
      <w:r w:rsidR="001C41FE">
        <w:rPr>
          <w:rFonts w:ascii="Times New Roman" w:hAnsi="Times New Roman" w:cs="Times New Roman"/>
          <w:sz w:val="24"/>
          <w:szCs w:val="24"/>
        </w:rPr>
        <w:t xml:space="preserve"> </w:t>
      </w:r>
      <w:r w:rsidR="00A1372C">
        <w:rPr>
          <w:rFonts w:ascii="Times New Roman" w:hAnsi="Times New Roman" w:cs="Times New Roman"/>
          <w:sz w:val="24"/>
          <w:szCs w:val="24"/>
        </w:rPr>
        <w:t xml:space="preserve">Other courts have, however, suggested that some degree of interpretation is appropriate, at least to determine whether a settlement agreement concerns issues within the jurisdiction of the administrative agency. </w:t>
      </w:r>
      <w:r w:rsidR="001C41FE">
        <w:rPr>
          <w:rFonts w:ascii="Times New Roman" w:hAnsi="Times New Roman" w:cs="Times New Roman"/>
          <w:sz w:val="24"/>
          <w:szCs w:val="24"/>
        </w:rPr>
        <w:t xml:space="preserve">According to the United States Courts of Appeals for the Ninth and Eleventh Circuits, a party must exhaust the administrative process before seeking judicial relief in a case involving alleged breach of a settlement agreement, at least where that contract claim </w:t>
      </w:r>
      <w:r w:rsidR="00192370">
        <w:rPr>
          <w:rFonts w:ascii="Times New Roman" w:hAnsi="Times New Roman" w:cs="Times New Roman"/>
          <w:sz w:val="24"/>
          <w:szCs w:val="24"/>
        </w:rPr>
        <w:t>i</w:t>
      </w:r>
      <w:r w:rsidR="001C41FE">
        <w:rPr>
          <w:rFonts w:ascii="Times New Roman" w:hAnsi="Times New Roman" w:cs="Times New Roman"/>
          <w:sz w:val="24"/>
          <w:szCs w:val="24"/>
        </w:rPr>
        <w:t>s related to educational services under the IDEA.</w:t>
      </w:r>
      <w:r w:rsidR="001C41FE">
        <w:rPr>
          <w:rStyle w:val="FootnoteReference"/>
          <w:rFonts w:ascii="Times New Roman" w:hAnsi="Times New Roman" w:cs="Times New Roman"/>
          <w:sz w:val="24"/>
          <w:szCs w:val="24"/>
        </w:rPr>
        <w:footnoteReference w:id="28"/>
      </w:r>
      <w:r w:rsidR="001C41FE">
        <w:rPr>
          <w:rFonts w:ascii="Times New Roman" w:hAnsi="Times New Roman" w:cs="Times New Roman"/>
          <w:sz w:val="24"/>
          <w:szCs w:val="24"/>
        </w:rPr>
        <w:t xml:space="preserve"> </w:t>
      </w:r>
      <w:r w:rsidR="00A1372C">
        <w:rPr>
          <w:rFonts w:ascii="Times New Roman" w:hAnsi="Times New Roman" w:cs="Times New Roman"/>
          <w:sz w:val="24"/>
          <w:szCs w:val="24"/>
        </w:rPr>
        <w:t>In requiring exhaustion, the Eleventh Circuit concluded that Parents’ claim involving breach of a settlement agreement related to the FAPE provided to their child pursuant to the IDEA and, as such, was subject to the IDEA’s exhaustion requirement.</w:t>
      </w:r>
      <w:r w:rsidR="00A1372C">
        <w:rPr>
          <w:rStyle w:val="FootnoteReference"/>
          <w:rFonts w:ascii="Times New Roman" w:hAnsi="Times New Roman" w:cs="Times New Roman"/>
          <w:sz w:val="24"/>
          <w:szCs w:val="24"/>
        </w:rPr>
        <w:footnoteReference w:id="29"/>
      </w:r>
      <w:r w:rsidR="00A1372C">
        <w:rPr>
          <w:rFonts w:ascii="Times New Roman" w:hAnsi="Times New Roman" w:cs="Times New Roman"/>
          <w:sz w:val="24"/>
          <w:szCs w:val="24"/>
        </w:rPr>
        <w:t xml:space="preserve"> </w:t>
      </w:r>
      <w:r w:rsidR="008B5267">
        <w:rPr>
          <w:rFonts w:ascii="Times New Roman" w:hAnsi="Times New Roman" w:cs="Times New Roman"/>
          <w:sz w:val="24"/>
          <w:szCs w:val="24"/>
        </w:rPr>
        <w:t xml:space="preserve">Such a determination </w:t>
      </w:r>
      <w:r w:rsidR="00A1372C">
        <w:rPr>
          <w:rFonts w:ascii="Times New Roman" w:hAnsi="Times New Roman" w:cs="Times New Roman"/>
          <w:sz w:val="24"/>
          <w:szCs w:val="24"/>
        </w:rPr>
        <w:t>necessarily requir</w:t>
      </w:r>
      <w:r w:rsidR="000F03B8">
        <w:rPr>
          <w:rFonts w:ascii="Times New Roman" w:hAnsi="Times New Roman" w:cs="Times New Roman"/>
          <w:sz w:val="24"/>
          <w:szCs w:val="24"/>
        </w:rPr>
        <w:t>es examining</w:t>
      </w:r>
      <w:r w:rsidR="00547263">
        <w:rPr>
          <w:rFonts w:ascii="Times New Roman" w:hAnsi="Times New Roman" w:cs="Times New Roman"/>
          <w:sz w:val="24"/>
          <w:szCs w:val="24"/>
        </w:rPr>
        <w:t xml:space="preserve"> closely the language of</w:t>
      </w:r>
      <w:r w:rsidR="000F03B8">
        <w:rPr>
          <w:rFonts w:ascii="Times New Roman" w:hAnsi="Times New Roman" w:cs="Times New Roman"/>
          <w:sz w:val="24"/>
          <w:szCs w:val="24"/>
        </w:rPr>
        <w:t xml:space="preserve"> a</w:t>
      </w:r>
      <w:r w:rsidR="00A1372C">
        <w:rPr>
          <w:rFonts w:ascii="Times New Roman" w:hAnsi="Times New Roman" w:cs="Times New Roman"/>
          <w:sz w:val="24"/>
          <w:szCs w:val="24"/>
        </w:rPr>
        <w:t xml:space="preserve"> settlement agreement. </w:t>
      </w:r>
      <w:r w:rsidR="001C41FE">
        <w:rPr>
          <w:rFonts w:ascii="Times New Roman" w:hAnsi="Times New Roman" w:cs="Times New Roman"/>
          <w:sz w:val="24"/>
          <w:szCs w:val="24"/>
        </w:rPr>
        <w:t>The United States Court of Appeals for the Second Circuit</w:t>
      </w:r>
      <w:r w:rsidR="00192370">
        <w:rPr>
          <w:rFonts w:ascii="Times New Roman" w:hAnsi="Times New Roman" w:cs="Times New Roman"/>
          <w:sz w:val="24"/>
          <w:szCs w:val="24"/>
        </w:rPr>
        <w:t xml:space="preserve"> implied, in a footnote, that a hearing officer’s failure to consider a settlement agreement “to the extent it might have been relevant to the issue before him” regarding whether a particular IEP provided a student with a FAPE, would constitute an error requiring remand.</w:t>
      </w:r>
      <w:r w:rsidR="001C41FE">
        <w:rPr>
          <w:rStyle w:val="FootnoteReference"/>
          <w:rFonts w:ascii="Times New Roman" w:hAnsi="Times New Roman" w:cs="Times New Roman"/>
          <w:sz w:val="24"/>
          <w:szCs w:val="24"/>
        </w:rPr>
        <w:footnoteReference w:id="30"/>
      </w:r>
      <w:r w:rsidR="001C41FE">
        <w:rPr>
          <w:rFonts w:ascii="Times New Roman" w:hAnsi="Times New Roman" w:cs="Times New Roman"/>
          <w:sz w:val="24"/>
          <w:szCs w:val="24"/>
        </w:rPr>
        <w:t xml:space="preserve"> </w:t>
      </w:r>
    </w:p>
    <w:p w14:paraId="5C2DF8FB" w14:textId="77777777" w:rsidR="00F722EB" w:rsidRDefault="00F722EB" w:rsidP="00547263">
      <w:pPr>
        <w:pStyle w:val="NoSpacing"/>
        <w:ind w:firstLine="720"/>
        <w:rPr>
          <w:rFonts w:ascii="Times New Roman" w:hAnsi="Times New Roman" w:cs="Times New Roman"/>
          <w:sz w:val="24"/>
          <w:szCs w:val="24"/>
        </w:rPr>
      </w:pPr>
    </w:p>
    <w:p w14:paraId="2A196C71" w14:textId="28EF87AB" w:rsidR="000962A6" w:rsidRDefault="00547263" w:rsidP="00A14AD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interpretation contemplated by these courts is broad: hearing officers are expected to consider and/or interpret a settlement agreement to the extent such consideration or interpretation </w:t>
      </w:r>
      <w:r w:rsidR="0003599D">
        <w:rPr>
          <w:rFonts w:ascii="Times New Roman" w:hAnsi="Times New Roman" w:cs="Times New Roman"/>
          <w:sz w:val="24"/>
          <w:szCs w:val="24"/>
        </w:rPr>
        <w:t>in</w:t>
      </w:r>
      <w:r>
        <w:rPr>
          <w:rFonts w:ascii="Times New Roman" w:hAnsi="Times New Roman" w:cs="Times New Roman"/>
          <w:sz w:val="24"/>
          <w:szCs w:val="24"/>
        </w:rPr>
        <w:t xml:space="preserve">forms our understanding as to whether the settlement agreement is relevant to the issues properly before us. A separate issue arises where the language of the settlement agreement is itself subject to </w:t>
      </w:r>
      <w:r w:rsidR="00B670B7">
        <w:rPr>
          <w:rFonts w:ascii="Times New Roman" w:hAnsi="Times New Roman" w:cs="Times New Roman"/>
          <w:sz w:val="24"/>
          <w:szCs w:val="24"/>
        </w:rPr>
        <w:t xml:space="preserve">multiple, potentially </w:t>
      </w:r>
      <w:r>
        <w:rPr>
          <w:rFonts w:ascii="Times New Roman" w:hAnsi="Times New Roman" w:cs="Times New Roman"/>
          <w:sz w:val="24"/>
          <w:szCs w:val="24"/>
        </w:rPr>
        <w:t>conflicting</w:t>
      </w:r>
      <w:r w:rsidR="00B670B7">
        <w:rPr>
          <w:rFonts w:ascii="Times New Roman" w:hAnsi="Times New Roman" w:cs="Times New Roman"/>
          <w:sz w:val="24"/>
          <w:szCs w:val="24"/>
        </w:rPr>
        <w:t>,</w:t>
      </w:r>
      <w:r>
        <w:rPr>
          <w:rFonts w:ascii="Times New Roman" w:hAnsi="Times New Roman" w:cs="Times New Roman"/>
          <w:sz w:val="24"/>
          <w:szCs w:val="24"/>
        </w:rPr>
        <w:t xml:space="preserve"> reasonable interpretations. Faced with this situation, </w:t>
      </w:r>
      <w:r w:rsidR="00FE6D9F">
        <w:rPr>
          <w:rFonts w:ascii="Times New Roman" w:hAnsi="Times New Roman" w:cs="Times New Roman"/>
          <w:sz w:val="24"/>
          <w:szCs w:val="24"/>
        </w:rPr>
        <w:t xml:space="preserve">Hearing Officer Sara Berman determined recently that where the language of a settlement agreement is ambiguous and such ambiguity “cannot be resolved by parsing the relevant </w:t>
      </w:r>
      <w:proofErr w:type="gramStart"/>
      <w:r w:rsidR="00FE6D9F">
        <w:rPr>
          <w:rFonts w:ascii="Times New Roman" w:hAnsi="Times New Roman" w:cs="Times New Roman"/>
          <w:sz w:val="24"/>
          <w:szCs w:val="24"/>
        </w:rPr>
        <w:t>language[</w:t>
      </w:r>
      <w:proofErr w:type="gramEnd"/>
      <w:r w:rsidR="00FE6D9F">
        <w:rPr>
          <w:rFonts w:ascii="Times New Roman" w:hAnsi="Times New Roman" w:cs="Times New Roman"/>
          <w:sz w:val="24"/>
          <w:szCs w:val="24"/>
        </w:rPr>
        <w:t xml:space="preserve">,] there must be an inquiry into circumstances surrounding the negotiation of the [settlement agreement] to determine whether or not there was a ‘meeting of the minds.’ Such </w:t>
      </w:r>
      <w:r w:rsidR="00FE6D9F">
        <w:rPr>
          <w:rFonts w:ascii="Times New Roman" w:hAnsi="Times New Roman" w:cs="Times New Roman"/>
          <w:sz w:val="24"/>
          <w:szCs w:val="24"/>
        </w:rPr>
        <w:lastRenderedPageBreak/>
        <w:t xml:space="preserve">inquiry is within the purview of a court with jurisdiction over contract </w:t>
      </w:r>
      <w:r w:rsidR="000C0AA1">
        <w:rPr>
          <w:rFonts w:ascii="Times New Roman" w:hAnsi="Times New Roman" w:cs="Times New Roman"/>
          <w:sz w:val="24"/>
          <w:szCs w:val="24"/>
        </w:rPr>
        <w:t>dispute</w:t>
      </w:r>
      <w:r w:rsidR="00FE6D9F">
        <w:rPr>
          <w:rFonts w:ascii="Times New Roman" w:hAnsi="Times New Roman" w:cs="Times New Roman"/>
          <w:sz w:val="24"/>
          <w:szCs w:val="24"/>
        </w:rPr>
        <w:t>s, and not the BSEA.”</w:t>
      </w:r>
      <w:r w:rsidR="00FE6D9F">
        <w:rPr>
          <w:rStyle w:val="FootnoteReference"/>
          <w:rFonts w:ascii="Times New Roman" w:hAnsi="Times New Roman" w:cs="Times New Roman"/>
          <w:sz w:val="24"/>
          <w:szCs w:val="24"/>
        </w:rPr>
        <w:footnoteReference w:id="31"/>
      </w:r>
    </w:p>
    <w:p w14:paraId="1FF729E1" w14:textId="183DD20E" w:rsidR="00A14AD5" w:rsidRPr="00CF0788" w:rsidRDefault="00A14AD5" w:rsidP="00F722EB">
      <w:pPr>
        <w:pStyle w:val="NoSpacing"/>
        <w:rPr>
          <w:rFonts w:ascii="Times New Roman" w:hAnsi="Times New Roman" w:cs="Times New Roman"/>
          <w:sz w:val="24"/>
          <w:szCs w:val="24"/>
        </w:rPr>
      </w:pPr>
    </w:p>
    <w:p w14:paraId="7A337CE1" w14:textId="6EC6588C" w:rsidR="000962A6" w:rsidRPr="00CF0788" w:rsidRDefault="000962A6" w:rsidP="000962A6"/>
    <w:p w14:paraId="244ABE66" w14:textId="0DE8EF37" w:rsidR="000962A6" w:rsidRPr="00AA0664" w:rsidRDefault="000962A6" w:rsidP="000962A6">
      <w:pPr>
        <w:pStyle w:val="ListParagraph"/>
        <w:numPr>
          <w:ilvl w:val="0"/>
          <w:numId w:val="10"/>
        </w:numPr>
        <w:rPr>
          <w:rFonts w:ascii="Times New Roman" w:hAnsi="Times New Roman" w:cs="Times New Roman"/>
          <w:u w:val="single"/>
        </w:rPr>
      </w:pPr>
      <w:r w:rsidRPr="00AA0664">
        <w:rPr>
          <w:rFonts w:ascii="Times New Roman" w:hAnsi="Times New Roman" w:cs="Times New Roman"/>
          <w:u w:val="single"/>
        </w:rPr>
        <w:t>Application of Legal Standard</w:t>
      </w:r>
      <w:r>
        <w:rPr>
          <w:rFonts w:ascii="Times New Roman" w:hAnsi="Times New Roman" w:cs="Times New Roman"/>
          <w:u w:val="single"/>
        </w:rPr>
        <w:t>s</w:t>
      </w:r>
    </w:p>
    <w:p w14:paraId="62770FDE" w14:textId="77777777" w:rsidR="000962A6" w:rsidRPr="00CF0788" w:rsidRDefault="000962A6" w:rsidP="000962A6"/>
    <w:p w14:paraId="7DC11299" w14:textId="52F87998" w:rsidR="00D4295B" w:rsidRDefault="000962A6" w:rsidP="001C41FE">
      <w:pPr>
        <w:ind w:firstLine="720"/>
      </w:pPr>
      <w:r>
        <w:t xml:space="preserve">In the instant matter, </w:t>
      </w:r>
      <w:r w:rsidR="001C41FE">
        <w:t xml:space="preserve">Parent is not asking me to consider the impact of a settlement agreement that relates to educational services under the IDEA. Instead, she seeks enforcement of </w:t>
      </w:r>
      <w:r w:rsidR="00F722EB">
        <w:t xml:space="preserve">a provision </w:t>
      </w:r>
      <w:r w:rsidR="00AC496D">
        <w:t xml:space="preserve">involving </w:t>
      </w:r>
      <w:r w:rsidR="00F722EB">
        <w:t>reimbursement for transportation</w:t>
      </w:r>
      <w:r w:rsidR="00D4295B">
        <w:t>. This</w:t>
      </w:r>
      <w:r w:rsidR="001C41FE">
        <w:t xml:space="preserve"> necessarily involves interpretation of </w:t>
      </w:r>
      <w:r w:rsidR="00D4295B">
        <w:t>that provision.</w:t>
      </w:r>
    </w:p>
    <w:p w14:paraId="215DA173" w14:textId="20077B77" w:rsidR="00AC496D" w:rsidRDefault="00AC496D" w:rsidP="001C41FE">
      <w:pPr>
        <w:ind w:firstLine="720"/>
      </w:pPr>
    </w:p>
    <w:p w14:paraId="6B21A054" w14:textId="5E743CFA" w:rsidR="00AC496D" w:rsidRPr="00906B60" w:rsidRDefault="00AC496D" w:rsidP="001C41FE">
      <w:pPr>
        <w:ind w:firstLine="720"/>
      </w:pPr>
      <w:r>
        <w:t>As Parent declined to submit a response to T</w:t>
      </w:r>
      <w:r w:rsidR="00780D31">
        <w:t>riton</w:t>
      </w:r>
      <w:r>
        <w:t xml:space="preserve">’s </w:t>
      </w:r>
      <w:r>
        <w:rPr>
          <w:i/>
          <w:iCs/>
        </w:rPr>
        <w:t>Motion</w:t>
      </w:r>
      <w:r>
        <w:t>, I consider the District’s position as to the language of the settlement agreement. According to T</w:t>
      </w:r>
      <w:r w:rsidR="00780D31">
        <w:t>riton</w:t>
      </w:r>
      <w:r>
        <w:t>, paragraph 2 of the agreement, which references transportation reimbursement</w:t>
      </w:r>
      <w:r w:rsidR="00906B60">
        <w:t>,</w:t>
      </w:r>
      <w:r>
        <w:t xml:space="preserve"> pertain</w:t>
      </w:r>
      <w:r w:rsidR="00B670B7">
        <w:t>s</w:t>
      </w:r>
      <w:r>
        <w:t xml:space="preserve"> only to previous school years</w:t>
      </w:r>
      <w:r w:rsidR="00906B60">
        <w:t>,</w:t>
      </w:r>
      <w:r>
        <w:t xml:space="preserve"> whereas paragraph 3, which explicitly addresses the 2019-2020 school year, excludes any reference to transportation costs.</w:t>
      </w:r>
      <w:r w:rsidR="00906B60">
        <w:t xml:space="preserve"> A reasonable reading of this language would be that no transportation would be covered during the 2019-2020 school year.</w:t>
      </w:r>
      <w:r w:rsidR="0003599D">
        <w:t xml:space="preserve"> Neither party has advanced that interpretation, as it </w:t>
      </w:r>
      <w:r w:rsidR="00906B60">
        <w:t>appears that transportation reimbursement was anticipated by both parties</w:t>
      </w:r>
      <w:r w:rsidR="00B670B7">
        <w:t xml:space="preserve"> during the 2019-2020 school year</w:t>
      </w:r>
      <w:r w:rsidR="00906B60">
        <w:t>, at least through the date of execution of the agreement</w:t>
      </w:r>
      <w:r w:rsidR="0003599D">
        <w:t>. This inference arises from</w:t>
      </w:r>
      <w:r w:rsidR="00906B60">
        <w:t xml:space="preserve"> </w:t>
      </w:r>
      <w:r w:rsidR="0003599D">
        <w:t>Parent’s r</w:t>
      </w:r>
      <w:r w:rsidR="00906B60">
        <w:t>equest</w:t>
      </w:r>
      <w:r w:rsidR="0003599D">
        <w:t xml:space="preserve"> for</w:t>
      </w:r>
      <w:r w:rsidR="00906B60">
        <w:t xml:space="preserve"> an order for reimbursement beginning January 30, 201</w:t>
      </w:r>
      <w:r w:rsidR="00B670B7">
        <w:t>9 rather</w:t>
      </w:r>
      <w:r w:rsidR="00906B60">
        <w:t xml:space="preserve"> than for the entire school year</w:t>
      </w:r>
      <w:r w:rsidR="005F1C8A">
        <w:t xml:space="preserve">, which – read together with the District’s interpretation – implies that reimbursement was provided by Triton from the beginning of the 2019-2020 school year through </w:t>
      </w:r>
      <w:r w:rsidR="00627E69">
        <w:t>January 29, 2019, the date the settlement agreement was executed</w:t>
      </w:r>
      <w:r w:rsidR="00906B60">
        <w:t xml:space="preserve">. Parent asks that I interpret the settlement agreement to require </w:t>
      </w:r>
      <w:r w:rsidR="00780D31">
        <w:t>Triton</w:t>
      </w:r>
      <w:r w:rsidR="00906B60">
        <w:t xml:space="preserve"> to cover transportation for the duration of the settlement agreement – that is, through the end of the 2019-2020 school year, and that I subsequently enforce the agreement by requiring the District to reimburse her for transportation she provided for Trevor between</w:t>
      </w:r>
      <w:r w:rsidR="00B670B7">
        <w:t xml:space="preserve"> January 30, 2019</w:t>
      </w:r>
      <w:r w:rsidR="00906B60">
        <w:t xml:space="preserve"> and </w:t>
      </w:r>
      <w:r w:rsidR="00B670B7">
        <w:t>May 29, 2020</w:t>
      </w:r>
      <w:r w:rsidR="00906B60">
        <w:t xml:space="preserve">. The District, on the other hand, asserts that the structure of the settlement agreement, in addition to the </w:t>
      </w:r>
      <w:r w:rsidR="0003599D">
        <w:t xml:space="preserve">use of the </w:t>
      </w:r>
      <w:r w:rsidR="00906B60">
        <w:t xml:space="preserve">past tense of the word “provided” in paragraph 2, suggests that reimbursement would be </w:t>
      </w:r>
      <w:r w:rsidR="00906B60" w:rsidRPr="00906B60">
        <w:t xml:space="preserve">provided for previous years (those it contends are covered by paragraph 2) and the 2019-2020 school year through </w:t>
      </w:r>
      <w:r w:rsidR="00B670B7">
        <w:t>January 29, 2019</w:t>
      </w:r>
      <w:r w:rsidR="00906B60" w:rsidRPr="00906B60">
        <w:t>, the date of execution of the settlement agreement.</w:t>
      </w:r>
    </w:p>
    <w:p w14:paraId="2E8BE2B0" w14:textId="478451D4" w:rsidR="00906B60" w:rsidRPr="00906B60" w:rsidRDefault="00906B60" w:rsidP="001C41FE">
      <w:pPr>
        <w:ind w:firstLine="720"/>
      </w:pPr>
    </w:p>
    <w:p w14:paraId="12A05404" w14:textId="77777777" w:rsidR="000C0AA1" w:rsidRDefault="00906B60" w:rsidP="00906B60">
      <w:pPr>
        <w:pStyle w:val="NoSpacing"/>
        <w:ind w:firstLine="720"/>
        <w:rPr>
          <w:rFonts w:ascii="Times New Roman" w:hAnsi="Times New Roman" w:cs="Times New Roman"/>
          <w:sz w:val="24"/>
          <w:szCs w:val="24"/>
        </w:rPr>
      </w:pPr>
      <w:r w:rsidRPr="00906B60">
        <w:rPr>
          <w:rFonts w:ascii="Times New Roman" w:hAnsi="Times New Roman" w:cs="Times New Roman"/>
          <w:sz w:val="24"/>
          <w:szCs w:val="24"/>
        </w:rPr>
        <w:t>As in Hearing Officer Berman’s case above, I find that</w:t>
      </w:r>
      <w:r>
        <w:rPr>
          <w:rFonts w:ascii="Times New Roman" w:hAnsi="Times New Roman" w:cs="Times New Roman"/>
          <w:sz w:val="24"/>
          <w:szCs w:val="24"/>
        </w:rPr>
        <w:t xml:space="preserve"> this </w:t>
      </w:r>
      <w:proofErr w:type="gramStart"/>
      <w:r>
        <w:rPr>
          <w:rFonts w:ascii="Times New Roman" w:hAnsi="Times New Roman" w:cs="Times New Roman"/>
          <w:sz w:val="24"/>
          <w:szCs w:val="24"/>
        </w:rPr>
        <w:t>particular language</w:t>
      </w:r>
      <w:proofErr w:type="gramEnd"/>
      <w:r>
        <w:rPr>
          <w:rFonts w:ascii="Times New Roman" w:hAnsi="Times New Roman" w:cs="Times New Roman"/>
          <w:sz w:val="24"/>
          <w:szCs w:val="24"/>
        </w:rPr>
        <w:t xml:space="preserve"> in the settlement agreement is ambiguous, and that the ambiguity</w:t>
      </w:r>
      <w:r w:rsidRPr="00906B60">
        <w:rPr>
          <w:rFonts w:ascii="Times New Roman" w:hAnsi="Times New Roman" w:cs="Times New Roman"/>
          <w:sz w:val="24"/>
          <w:szCs w:val="24"/>
        </w:rPr>
        <w:t xml:space="preserve"> “cannot be resolved by parsing the relevant language</w:t>
      </w:r>
      <w:r w:rsidR="000C0AA1">
        <w:rPr>
          <w:rFonts w:ascii="Times New Roman" w:hAnsi="Times New Roman" w:cs="Times New Roman"/>
          <w:sz w:val="24"/>
          <w:szCs w:val="24"/>
        </w:rPr>
        <w:t>.</w:t>
      </w:r>
      <w:r w:rsidR="000C0AA1">
        <w:rPr>
          <w:rStyle w:val="FootnoteReference"/>
          <w:rFonts w:ascii="Times New Roman" w:hAnsi="Times New Roman" w:cs="Times New Roman"/>
          <w:sz w:val="24"/>
          <w:szCs w:val="24"/>
        </w:rPr>
        <w:footnoteReference w:id="32"/>
      </w:r>
      <w:r w:rsidR="000C0AA1">
        <w:rPr>
          <w:rFonts w:ascii="Times New Roman" w:hAnsi="Times New Roman" w:cs="Times New Roman"/>
          <w:sz w:val="24"/>
          <w:szCs w:val="24"/>
        </w:rPr>
        <w:t xml:space="preserve"> As such, “t</w:t>
      </w:r>
      <w:r w:rsidRPr="00906B60">
        <w:rPr>
          <w:rFonts w:ascii="Times New Roman" w:hAnsi="Times New Roman" w:cs="Times New Roman"/>
          <w:sz w:val="24"/>
          <w:szCs w:val="24"/>
        </w:rPr>
        <w:t xml:space="preserve">here must be an inquiry into circumstances surrounding the negotiation of the [settlement agreement] to determine whether or not there was a ‘meeting of the minds.’ Such inquiry is within the purview of a court with jurisdiction over contract </w:t>
      </w:r>
      <w:r w:rsidR="000C0AA1">
        <w:rPr>
          <w:rFonts w:ascii="Times New Roman" w:hAnsi="Times New Roman" w:cs="Times New Roman"/>
          <w:sz w:val="24"/>
          <w:szCs w:val="24"/>
        </w:rPr>
        <w:t>disputes</w:t>
      </w:r>
      <w:r w:rsidRPr="00906B60">
        <w:rPr>
          <w:rFonts w:ascii="Times New Roman" w:hAnsi="Times New Roman" w:cs="Times New Roman"/>
          <w:sz w:val="24"/>
          <w:szCs w:val="24"/>
        </w:rPr>
        <w:t>, and not the BSEA.”</w:t>
      </w:r>
      <w:r w:rsidRPr="00906B60">
        <w:rPr>
          <w:rStyle w:val="FootnoteReference"/>
          <w:rFonts w:ascii="Times New Roman" w:hAnsi="Times New Roman" w:cs="Times New Roman"/>
          <w:sz w:val="24"/>
          <w:szCs w:val="24"/>
        </w:rPr>
        <w:footnoteReference w:id="33"/>
      </w:r>
      <w:r w:rsidR="000C0AA1">
        <w:rPr>
          <w:rFonts w:ascii="Times New Roman" w:hAnsi="Times New Roman" w:cs="Times New Roman"/>
          <w:sz w:val="24"/>
          <w:szCs w:val="24"/>
        </w:rPr>
        <w:t xml:space="preserve"> </w:t>
      </w:r>
    </w:p>
    <w:p w14:paraId="11081996" w14:textId="77777777" w:rsidR="000C0AA1" w:rsidRDefault="000C0AA1" w:rsidP="00906B60">
      <w:pPr>
        <w:pStyle w:val="NoSpacing"/>
        <w:ind w:firstLine="720"/>
        <w:rPr>
          <w:rFonts w:ascii="Times New Roman" w:hAnsi="Times New Roman" w:cs="Times New Roman"/>
          <w:sz w:val="24"/>
          <w:szCs w:val="24"/>
        </w:rPr>
      </w:pPr>
    </w:p>
    <w:p w14:paraId="42D4FF6E" w14:textId="5BC57B9D" w:rsidR="00906B60" w:rsidRDefault="000C0AA1" w:rsidP="00906B60">
      <w:pPr>
        <w:pStyle w:val="NoSpacing"/>
        <w:ind w:firstLine="720"/>
        <w:rPr>
          <w:rFonts w:ascii="Times New Roman" w:hAnsi="Times New Roman" w:cs="Times New Roman"/>
          <w:sz w:val="24"/>
          <w:szCs w:val="24"/>
        </w:rPr>
      </w:pPr>
      <w:r>
        <w:rPr>
          <w:rFonts w:ascii="Times New Roman" w:hAnsi="Times New Roman" w:cs="Times New Roman"/>
          <w:sz w:val="24"/>
          <w:szCs w:val="24"/>
        </w:rPr>
        <w:t>Moreover, even if I were to interpret the language of the settlement agreement as Parent suggests, I have no authority to enforce it.</w:t>
      </w:r>
      <w:r>
        <w:rPr>
          <w:rStyle w:val="FootnoteReference"/>
          <w:rFonts w:ascii="Times New Roman" w:hAnsi="Times New Roman" w:cs="Times New Roman"/>
          <w:sz w:val="24"/>
          <w:szCs w:val="24"/>
        </w:rPr>
        <w:footnoteReference w:id="34"/>
      </w:r>
    </w:p>
    <w:p w14:paraId="5BDE0E88" w14:textId="70E05B82" w:rsidR="000C0AA1" w:rsidRPr="000C0AA1" w:rsidRDefault="000C0AA1" w:rsidP="00906B60">
      <w:pPr>
        <w:pStyle w:val="NoSpacing"/>
        <w:ind w:firstLine="720"/>
        <w:rPr>
          <w:rFonts w:ascii="Times New Roman" w:hAnsi="Times New Roman" w:cs="Times New Roman"/>
          <w:sz w:val="24"/>
          <w:szCs w:val="24"/>
        </w:rPr>
      </w:pPr>
    </w:p>
    <w:p w14:paraId="5BEC9BB8" w14:textId="1E16F987" w:rsidR="00D4295B" w:rsidRPr="000C0AA1" w:rsidRDefault="000C0AA1" w:rsidP="000C0AA1">
      <w:pPr>
        <w:pStyle w:val="NoSpacing"/>
        <w:ind w:firstLine="720"/>
        <w:rPr>
          <w:rFonts w:ascii="Times New Roman" w:hAnsi="Times New Roman" w:cs="Times New Roman"/>
          <w:sz w:val="24"/>
          <w:szCs w:val="24"/>
        </w:rPr>
      </w:pPr>
      <w:r w:rsidRPr="000C0AA1">
        <w:rPr>
          <w:rFonts w:ascii="Times New Roman" w:hAnsi="Times New Roman" w:cs="Times New Roman"/>
          <w:sz w:val="24"/>
          <w:szCs w:val="24"/>
        </w:rPr>
        <w:t>Finally, this is not an “IDEA-based” case.</w:t>
      </w:r>
      <w:r w:rsidRPr="000C0AA1">
        <w:rPr>
          <w:rStyle w:val="FootnoteReference"/>
          <w:rFonts w:ascii="Times New Roman" w:hAnsi="Times New Roman" w:cs="Times New Roman"/>
          <w:sz w:val="24"/>
          <w:szCs w:val="24"/>
        </w:rPr>
        <w:footnoteReference w:id="35"/>
      </w:r>
      <w:r w:rsidRPr="000C0AA1">
        <w:rPr>
          <w:rFonts w:ascii="Times New Roman" w:hAnsi="Times New Roman" w:cs="Times New Roman"/>
          <w:sz w:val="24"/>
          <w:szCs w:val="24"/>
        </w:rPr>
        <w:t xml:space="preserve"> As </w:t>
      </w:r>
      <w:r w:rsidR="00D4295B" w:rsidRPr="000C0AA1">
        <w:rPr>
          <w:rFonts w:ascii="Times New Roman" w:hAnsi="Times New Roman" w:cs="Times New Roman"/>
          <w:sz w:val="24"/>
          <w:szCs w:val="24"/>
        </w:rPr>
        <w:t xml:space="preserve">in </w:t>
      </w:r>
      <w:r w:rsidR="00D4295B" w:rsidRPr="000C0AA1">
        <w:rPr>
          <w:rFonts w:ascii="Times New Roman" w:hAnsi="Times New Roman" w:cs="Times New Roman"/>
          <w:i/>
          <w:iCs/>
          <w:sz w:val="24"/>
          <w:szCs w:val="24"/>
        </w:rPr>
        <w:t>H.C. v. Colton-</w:t>
      </w:r>
      <w:proofErr w:type="spellStart"/>
      <w:r w:rsidR="00D4295B" w:rsidRPr="000C0AA1">
        <w:rPr>
          <w:rFonts w:ascii="Times New Roman" w:hAnsi="Times New Roman" w:cs="Times New Roman"/>
          <w:i/>
          <w:iCs/>
          <w:sz w:val="24"/>
          <w:szCs w:val="24"/>
        </w:rPr>
        <w:t>Pierrepont</w:t>
      </w:r>
      <w:proofErr w:type="spellEnd"/>
      <w:r w:rsidR="00D4295B" w:rsidRPr="000C0AA1">
        <w:rPr>
          <w:rFonts w:ascii="Times New Roman" w:hAnsi="Times New Roman" w:cs="Times New Roman"/>
          <w:i/>
          <w:iCs/>
          <w:sz w:val="24"/>
          <w:szCs w:val="24"/>
        </w:rPr>
        <w:t xml:space="preserve"> Central School District</w:t>
      </w:r>
      <w:r w:rsidR="00D4295B" w:rsidRPr="000C0AA1">
        <w:rPr>
          <w:rFonts w:ascii="Times New Roman" w:hAnsi="Times New Roman" w:cs="Times New Roman"/>
          <w:sz w:val="24"/>
          <w:szCs w:val="24"/>
        </w:rPr>
        <w:t xml:space="preserve">, where parents sought to enforce provisions of a settlement agreement requiring a school district to supply a table, chair, computer, software, and certain computer accessories within a certain </w:t>
      </w:r>
      <w:proofErr w:type="gramStart"/>
      <w:r w:rsidR="00D4295B" w:rsidRPr="000C0AA1">
        <w:rPr>
          <w:rFonts w:ascii="Times New Roman" w:hAnsi="Times New Roman" w:cs="Times New Roman"/>
          <w:sz w:val="24"/>
          <w:szCs w:val="24"/>
        </w:rPr>
        <w:t>time period</w:t>
      </w:r>
      <w:proofErr w:type="gramEnd"/>
      <w:r w:rsidR="00D4295B" w:rsidRPr="000C0AA1">
        <w:rPr>
          <w:rFonts w:ascii="Times New Roman" w:hAnsi="Times New Roman" w:cs="Times New Roman"/>
          <w:sz w:val="24"/>
          <w:szCs w:val="24"/>
        </w:rPr>
        <w:t>:</w:t>
      </w:r>
    </w:p>
    <w:p w14:paraId="7BD905C3" w14:textId="77777777" w:rsidR="00D4295B" w:rsidRPr="000C0AA1" w:rsidRDefault="00D4295B" w:rsidP="001C41FE">
      <w:pPr>
        <w:ind w:firstLine="720"/>
      </w:pPr>
    </w:p>
    <w:p w14:paraId="390A881A" w14:textId="114DA534" w:rsidR="00D4295B" w:rsidRPr="00D4295B" w:rsidRDefault="00D4295B" w:rsidP="00F722EB">
      <w:pPr>
        <w:ind w:left="1440"/>
      </w:pPr>
      <w:r w:rsidRPr="000C0AA1">
        <w:t>[t]his enforcement dispute is purely a matter of determining defendant’s</w:t>
      </w:r>
      <w:r>
        <w:t xml:space="preserve"> obligation sunder the settlement agreement. It does not concern the identification, evaluation, or educational placement of the child, or the provision of a free appropriate public education to such child. As such, resolution of the dispute will not benefit from the discretion and educational expertise [of] state and local agencies, [or the] full exploration of technical issues related to the administration of the IDEA.</w:t>
      </w:r>
      <w:r w:rsidR="00192370">
        <w:rPr>
          <w:rStyle w:val="FootnoteReference"/>
        </w:rPr>
        <w:footnoteReference w:id="36"/>
      </w:r>
    </w:p>
    <w:p w14:paraId="7EE2E762" w14:textId="77777777" w:rsidR="00D4295B" w:rsidRDefault="00D4295B" w:rsidP="001C41FE">
      <w:pPr>
        <w:ind w:firstLine="720"/>
      </w:pPr>
    </w:p>
    <w:p w14:paraId="14F713A8" w14:textId="590BCC20" w:rsidR="001C41FE" w:rsidRDefault="00B670B7" w:rsidP="001C41FE">
      <w:pPr>
        <w:ind w:firstLine="720"/>
      </w:pPr>
      <w:r>
        <w:t>For these reasons, t</w:t>
      </w:r>
      <w:r w:rsidR="001C41FE">
        <w:t xml:space="preserve">he District has met its initial burden of demonstrating, with the support of its documents (here, the settlement agreement) that there is no genuine issue of material fact relating to Parent’s claims. Even viewing all evidence and inferences in the light most favorable to Parent, it appears that the BSEA does not have jurisdiction to enforce, or even interpret, the parties’ settlement agreement. This is a matter of law for a court of competent jurisdiction. </w:t>
      </w:r>
    </w:p>
    <w:p w14:paraId="12AC3036" w14:textId="72C230E6" w:rsidR="001C41FE" w:rsidRDefault="001C41FE" w:rsidP="000962A6">
      <w:pPr>
        <w:ind w:firstLine="720"/>
      </w:pPr>
    </w:p>
    <w:p w14:paraId="1EDAEAFB" w14:textId="07A5C876" w:rsidR="001C41FE" w:rsidRDefault="001C41FE" w:rsidP="000962A6">
      <w:pPr>
        <w:ind w:firstLine="720"/>
      </w:pPr>
      <w:r>
        <w:t xml:space="preserve">Analytically, because </w:t>
      </w:r>
      <w:r w:rsidR="00780D31">
        <w:t>Triton</w:t>
      </w:r>
      <w:r>
        <w:t xml:space="preserve"> has met its initial burden, the burden now shifts to Parent to </w:t>
      </w:r>
    </w:p>
    <w:p w14:paraId="00984DEE" w14:textId="0EA91B97" w:rsidR="00690251" w:rsidRDefault="00316C87" w:rsidP="001C41FE">
      <w:r>
        <w:t>to set forth specific facts showing that there exists a genuine issue for hearing</w:t>
      </w:r>
      <w:r w:rsidR="00690251">
        <w:t xml:space="preserve">, which precludes entry of summary judgment against </w:t>
      </w:r>
      <w:r w:rsidR="001C41FE">
        <w:t>her</w:t>
      </w:r>
      <w:r>
        <w:t>.</w:t>
      </w:r>
      <w:r w:rsidR="00690251">
        <w:rPr>
          <w:rStyle w:val="FootnoteReference"/>
        </w:rPr>
        <w:footnoteReference w:id="37"/>
      </w:r>
      <w:r w:rsidR="00690251">
        <w:t xml:space="preserve"> </w:t>
      </w:r>
      <w:r w:rsidR="001C41FE">
        <w:t>Parent has failed to make such a showing.</w:t>
      </w:r>
    </w:p>
    <w:p w14:paraId="3A919232" w14:textId="77777777" w:rsidR="000962A6" w:rsidRPr="00CF0788" w:rsidRDefault="000962A6" w:rsidP="000962A6"/>
    <w:p w14:paraId="7DA24C58" w14:textId="77777777" w:rsidR="000962A6" w:rsidRPr="00CF0788" w:rsidRDefault="000962A6" w:rsidP="000962A6">
      <w:pPr>
        <w:rPr>
          <w:u w:val="single"/>
          <w:shd w:val="clear" w:color="auto" w:fill="FFFFFF"/>
        </w:rPr>
      </w:pPr>
      <w:r w:rsidRPr="00CF0788">
        <w:rPr>
          <w:u w:val="single"/>
          <w:shd w:val="clear" w:color="auto" w:fill="FFFFFF"/>
        </w:rPr>
        <w:t xml:space="preserve">CONCLUSION </w:t>
      </w:r>
    </w:p>
    <w:p w14:paraId="5657D769" w14:textId="77777777" w:rsidR="000962A6" w:rsidRPr="00CF0788" w:rsidRDefault="000962A6" w:rsidP="000962A6"/>
    <w:p w14:paraId="02EFB256" w14:textId="17C59450" w:rsidR="000962A6" w:rsidRDefault="000962A6" w:rsidP="000962A6">
      <w:r w:rsidRPr="00CF0788">
        <w:tab/>
        <w:t xml:space="preserve">Upon consideration of the District’s </w:t>
      </w:r>
      <w:r w:rsidRPr="00CF0788">
        <w:rPr>
          <w:i/>
        </w:rPr>
        <w:t>Motion for Summary Judgment</w:t>
      </w:r>
      <w:r w:rsidR="00CC42EE">
        <w:rPr>
          <w:iCs/>
        </w:rPr>
        <w:t>, memorandum of law, and supporting</w:t>
      </w:r>
      <w:r w:rsidRPr="00CF0788">
        <w:t xml:space="preserve"> documents</w:t>
      </w:r>
      <w:r w:rsidR="00CC42EE">
        <w:t>, I find</w:t>
      </w:r>
      <w:r>
        <w:t xml:space="preserve"> that </w:t>
      </w:r>
      <w:r w:rsidR="001C41FE">
        <w:t>Triton Regional School District</w:t>
      </w:r>
      <w:r w:rsidR="00CC42EE">
        <w:t xml:space="preserve"> has met its burden to establish</w:t>
      </w:r>
      <w:r w:rsidRPr="00CF0788">
        <w:t xml:space="preserve"> that there is no genuine issue of material fact </w:t>
      </w:r>
      <w:r>
        <w:t xml:space="preserve">relating to </w:t>
      </w:r>
      <w:r w:rsidR="00CC42EE">
        <w:t>Parent’</w:t>
      </w:r>
      <w:r w:rsidR="001C41FE">
        <w:t>s</w:t>
      </w:r>
      <w:r>
        <w:t xml:space="preserve"> claim</w:t>
      </w:r>
      <w:r w:rsidR="00CC42EE">
        <w:t xml:space="preserve"> regarding the </w:t>
      </w:r>
      <w:r w:rsidR="001C41FE">
        <w:t xml:space="preserve">enforcement of a settlement agreement </w:t>
      </w:r>
      <w:proofErr w:type="gramStart"/>
      <w:r w:rsidR="001C41FE">
        <w:t>entered into</w:t>
      </w:r>
      <w:proofErr w:type="gramEnd"/>
      <w:r w:rsidR="001C41FE">
        <w:t xml:space="preserve"> by the parties on </w:t>
      </w:r>
      <w:r w:rsidR="00B670B7">
        <w:t>January 29, 2019</w:t>
      </w:r>
      <w:r w:rsidR="00690251">
        <w:t>. As such, the District is</w:t>
      </w:r>
      <w:r w:rsidR="001C41FE">
        <w:t xml:space="preserve"> </w:t>
      </w:r>
      <w:r w:rsidRPr="00CF0788">
        <w:t>entitled to judgment as a matter of law</w:t>
      </w:r>
      <w:r w:rsidR="001C41FE">
        <w:t>.</w:t>
      </w:r>
      <w:r w:rsidRPr="00CF0788">
        <w:t xml:space="preserve"> </w:t>
      </w:r>
    </w:p>
    <w:p w14:paraId="15878ED0" w14:textId="77777777" w:rsidR="00A91EFE" w:rsidRDefault="00A91EFE" w:rsidP="000962A6"/>
    <w:p w14:paraId="409942E4" w14:textId="77777777" w:rsidR="000962A6" w:rsidRPr="00CF0788" w:rsidRDefault="000962A6" w:rsidP="000962A6"/>
    <w:p w14:paraId="52A800C4" w14:textId="77777777" w:rsidR="000962A6" w:rsidRDefault="000962A6" w:rsidP="000962A6">
      <w:r w:rsidRPr="00CF0788">
        <w:rPr>
          <w:b/>
        </w:rPr>
        <w:t>ORDER</w:t>
      </w:r>
      <w:r w:rsidRPr="00CF0788">
        <w:t xml:space="preserve"> </w:t>
      </w:r>
    </w:p>
    <w:p w14:paraId="12324B2E" w14:textId="77777777" w:rsidR="000962A6" w:rsidRPr="00CF0788" w:rsidRDefault="000962A6" w:rsidP="000962A6">
      <w:pPr>
        <w:rPr>
          <w:b/>
        </w:rPr>
      </w:pPr>
    </w:p>
    <w:p w14:paraId="2E7ACD5F" w14:textId="15BEF91B" w:rsidR="000962A6" w:rsidRDefault="001C41FE" w:rsidP="000962A6">
      <w:pPr>
        <w:ind w:firstLine="720"/>
      </w:pPr>
      <w:r>
        <w:t>As summary judgment has been granted in favor of the District, the Hearing scheduled for June 4, 2021 is hereby CANCELLED.</w:t>
      </w:r>
    </w:p>
    <w:p w14:paraId="38258F0D" w14:textId="77777777" w:rsidR="000962A6" w:rsidRPr="00CF0788" w:rsidRDefault="000962A6" w:rsidP="000962A6"/>
    <w:p w14:paraId="4AE2F288" w14:textId="72B723A1" w:rsidR="008A7D97" w:rsidRDefault="000962A6" w:rsidP="00B03E60">
      <w:r w:rsidRPr="00CF0788">
        <w:t>By the Hearing Officer:</w:t>
      </w:r>
    </w:p>
    <w:p w14:paraId="76DEDD88" w14:textId="77777777" w:rsidR="00CC42EE" w:rsidRPr="004D5EAD" w:rsidRDefault="00CC42EE" w:rsidP="00B03E60"/>
    <w:p w14:paraId="36CB8121" w14:textId="5D49AEEE" w:rsidR="00B03E60" w:rsidRPr="00284FCC" w:rsidRDefault="00B03E60" w:rsidP="00B03E60">
      <w:pPr>
        <w:rPr>
          <w:u w:val="single"/>
        </w:rPr>
      </w:pPr>
      <w:r w:rsidRPr="00284FCC">
        <w:rPr>
          <w:u w:val="single"/>
        </w:rPr>
        <w:t xml:space="preserve">       /s</w:t>
      </w:r>
      <w:proofErr w:type="gramStart"/>
      <w:r w:rsidRPr="00284FCC">
        <w:rPr>
          <w:u w:val="single"/>
        </w:rPr>
        <w:t>/</w:t>
      </w:r>
      <w:r w:rsidR="00284FCC" w:rsidRPr="00284FCC">
        <w:rPr>
          <w:u w:val="single"/>
        </w:rPr>
        <w:t xml:space="preserve">  </w:t>
      </w:r>
      <w:r w:rsidRPr="00284FCC">
        <w:rPr>
          <w:rFonts w:ascii="Freestyle Script" w:hAnsi="Freestyle Script"/>
          <w:sz w:val="32"/>
          <w:szCs w:val="32"/>
          <w:u w:val="single"/>
        </w:rPr>
        <w:t>Amy</w:t>
      </w:r>
      <w:proofErr w:type="gramEnd"/>
      <w:r w:rsidRPr="00284FCC">
        <w:rPr>
          <w:rFonts w:ascii="Freestyle Script" w:hAnsi="Freestyle Script"/>
          <w:sz w:val="32"/>
          <w:szCs w:val="32"/>
          <w:u w:val="single"/>
        </w:rPr>
        <w:t xml:space="preserve"> Reichbach</w:t>
      </w:r>
    </w:p>
    <w:p w14:paraId="23896D75" w14:textId="2C5127C6" w:rsidR="00B03E60" w:rsidRPr="004D5EAD" w:rsidRDefault="00CC42EE" w:rsidP="00CB0B2A">
      <w:r>
        <w:t>Date:</w:t>
      </w:r>
      <w:r>
        <w:tab/>
      </w:r>
      <w:r w:rsidR="00B670B7">
        <w:t>May 6</w:t>
      </w:r>
      <w:r>
        <w:t>, 2021</w:t>
      </w:r>
    </w:p>
    <w:sectPr w:rsidR="00B03E60" w:rsidRPr="004D5EAD" w:rsidSect="00BF12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C259" w14:textId="77777777" w:rsidR="00AC00F6" w:rsidRDefault="00AC00F6" w:rsidP="00767D56">
      <w:r>
        <w:separator/>
      </w:r>
    </w:p>
  </w:endnote>
  <w:endnote w:type="continuationSeparator" w:id="0">
    <w:p w14:paraId="424B3F6D" w14:textId="77777777" w:rsidR="00AC00F6" w:rsidRDefault="00AC00F6" w:rsidP="0076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955627"/>
      <w:docPartObj>
        <w:docPartGallery w:val="Page Numbers (Bottom of Page)"/>
        <w:docPartUnique/>
      </w:docPartObj>
    </w:sdtPr>
    <w:sdtEndPr>
      <w:rPr>
        <w:noProof/>
      </w:rPr>
    </w:sdtEndPr>
    <w:sdtContent>
      <w:p w14:paraId="1BD708F8" w14:textId="7B68DA11" w:rsidR="001C41FE" w:rsidRDefault="001C41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873B0" w14:textId="77777777" w:rsidR="001C41FE" w:rsidRDefault="001C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71E68" w14:textId="77777777" w:rsidR="00AC00F6" w:rsidRDefault="00AC00F6" w:rsidP="00767D56">
      <w:r>
        <w:separator/>
      </w:r>
    </w:p>
  </w:footnote>
  <w:footnote w:type="continuationSeparator" w:id="0">
    <w:p w14:paraId="57BB74BC" w14:textId="77777777" w:rsidR="00AC00F6" w:rsidRDefault="00AC00F6" w:rsidP="00767D56">
      <w:r>
        <w:continuationSeparator/>
      </w:r>
    </w:p>
  </w:footnote>
  <w:footnote w:id="1">
    <w:p w14:paraId="1D10A4E9" w14:textId="50A8D9E8" w:rsidR="001C41FE" w:rsidRPr="006521FA" w:rsidRDefault="001C41FE" w:rsidP="00767D56">
      <w:pPr>
        <w:pStyle w:val="FootnoteText"/>
        <w:rPr>
          <w:rFonts w:ascii="Times New Roman" w:hAnsi="Times New Roman" w:cs="Times New Roman"/>
        </w:rPr>
      </w:pPr>
      <w:r w:rsidRPr="006521FA">
        <w:rPr>
          <w:rStyle w:val="FootnoteReference"/>
          <w:rFonts w:ascii="Times New Roman" w:hAnsi="Times New Roman" w:cs="Times New Roman"/>
        </w:rPr>
        <w:footnoteRef/>
      </w:r>
      <w:r w:rsidRPr="006521FA">
        <w:rPr>
          <w:rFonts w:ascii="Times New Roman" w:hAnsi="Times New Roman" w:cs="Times New Roman"/>
        </w:rPr>
        <w:t xml:space="preserve"> “</w:t>
      </w:r>
      <w:r>
        <w:rPr>
          <w:rFonts w:ascii="Times New Roman" w:hAnsi="Times New Roman" w:cs="Times New Roman"/>
        </w:rPr>
        <w:t>Trevor</w:t>
      </w:r>
      <w:r w:rsidRPr="006521FA">
        <w:rPr>
          <w:rFonts w:ascii="Times New Roman" w:hAnsi="Times New Roman" w:cs="Times New Roman"/>
        </w:rPr>
        <w:t>” is a pseudonym chosen by the Hearing Officer to protect the privacy of the Student in documents available to the public.</w:t>
      </w:r>
    </w:p>
  </w:footnote>
  <w:footnote w:id="2">
    <w:p w14:paraId="0AEC4F3E" w14:textId="4D38DAEF" w:rsidR="001C41FE" w:rsidRPr="00954176" w:rsidRDefault="001C41FE">
      <w:pPr>
        <w:pStyle w:val="FootnoteText"/>
        <w:rPr>
          <w:rFonts w:ascii="Times New Roman" w:hAnsi="Times New Roman" w:cs="Times New Roman"/>
        </w:rPr>
      </w:pPr>
      <w:r w:rsidRPr="006521FA">
        <w:rPr>
          <w:rStyle w:val="FootnoteReference"/>
          <w:rFonts w:ascii="Times New Roman" w:hAnsi="Times New Roman" w:cs="Times New Roman"/>
        </w:rPr>
        <w:footnoteRef/>
      </w:r>
      <w:r w:rsidRPr="006521FA">
        <w:rPr>
          <w:rFonts w:ascii="Times New Roman" w:hAnsi="Times New Roman" w:cs="Times New Roman"/>
        </w:rPr>
        <w:t xml:space="preserve"> The information in this section is drawn from the parties’ pleadings and is subject to revision in further proceedings.</w:t>
      </w:r>
    </w:p>
  </w:footnote>
  <w:footnote w:id="3">
    <w:p w14:paraId="493419FC" w14:textId="60B0BBC1" w:rsidR="00954176" w:rsidRPr="00954176" w:rsidRDefault="00954176">
      <w:pPr>
        <w:pStyle w:val="FootnoteText"/>
      </w:pPr>
      <w:r w:rsidRPr="00954176">
        <w:rPr>
          <w:rStyle w:val="FootnoteReference"/>
          <w:rFonts w:ascii="Times New Roman" w:hAnsi="Times New Roman" w:cs="Times New Roman"/>
        </w:rPr>
        <w:footnoteRef/>
      </w:r>
      <w:r w:rsidRPr="00954176">
        <w:rPr>
          <w:rFonts w:ascii="Times New Roman" w:hAnsi="Times New Roman" w:cs="Times New Roman"/>
        </w:rPr>
        <w:t xml:space="preserve"> Although the settlement agreement references parents, the instant </w:t>
      </w:r>
      <w:r w:rsidRPr="00954176">
        <w:rPr>
          <w:rFonts w:ascii="Times New Roman" w:hAnsi="Times New Roman" w:cs="Times New Roman"/>
          <w:i/>
          <w:iCs/>
        </w:rPr>
        <w:t>Hearing Request</w:t>
      </w:r>
      <w:r w:rsidRPr="00954176">
        <w:rPr>
          <w:rFonts w:ascii="Times New Roman" w:hAnsi="Times New Roman" w:cs="Times New Roman"/>
        </w:rPr>
        <w:t xml:space="preserve"> was filed by mother only.</w:t>
      </w:r>
    </w:p>
  </w:footnote>
  <w:footnote w:id="4">
    <w:p w14:paraId="0D85BDD2" w14:textId="3F673833" w:rsidR="001C41FE" w:rsidRPr="001C41FE" w:rsidRDefault="001C41FE">
      <w:pPr>
        <w:pStyle w:val="FootnoteText"/>
        <w:rPr>
          <w:rFonts w:ascii="Times New Roman" w:hAnsi="Times New Roman" w:cs="Times New Roman"/>
          <w:i/>
          <w:iCs/>
        </w:rPr>
      </w:pPr>
      <w:r w:rsidRPr="001C41FE">
        <w:rPr>
          <w:rStyle w:val="FootnoteReference"/>
          <w:rFonts w:ascii="Times New Roman" w:hAnsi="Times New Roman" w:cs="Times New Roman"/>
        </w:rPr>
        <w:footnoteRef/>
      </w:r>
      <w:r w:rsidRPr="001C41FE">
        <w:rPr>
          <w:rStyle w:val="FootnoteReference"/>
          <w:rFonts w:ascii="Times New Roman" w:hAnsi="Times New Roman" w:cs="Times New Roman"/>
        </w:rPr>
        <w:t xml:space="preserve"> </w:t>
      </w:r>
      <w:r w:rsidRPr="001C41FE">
        <w:rPr>
          <w:rFonts w:ascii="Times New Roman" w:hAnsi="Times New Roman" w:cs="Times New Roman"/>
        </w:rPr>
        <w:t xml:space="preserve">See, e.g., </w:t>
      </w:r>
      <w:r w:rsidRPr="001C41FE">
        <w:rPr>
          <w:rFonts w:ascii="Times New Roman" w:hAnsi="Times New Roman" w:cs="Times New Roman"/>
          <w:i/>
          <w:iCs/>
        </w:rPr>
        <w:t xml:space="preserve">In Re Rafael </w:t>
      </w:r>
      <w:r w:rsidR="00780D31">
        <w:rPr>
          <w:rFonts w:ascii="Times New Roman" w:hAnsi="Times New Roman" w:cs="Times New Roman"/>
          <w:i/>
          <w:iCs/>
        </w:rPr>
        <w:t>and</w:t>
      </w:r>
      <w:r w:rsidRPr="001C41FE">
        <w:rPr>
          <w:rFonts w:ascii="Times New Roman" w:hAnsi="Times New Roman" w:cs="Times New Roman"/>
          <w:i/>
          <w:iCs/>
        </w:rPr>
        <w:t xml:space="preserve"> Norton Public Sch.</w:t>
      </w:r>
      <w:r w:rsidRPr="001C41FE">
        <w:rPr>
          <w:rFonts w:ascii="Times New Roman" w:hAnsi="Times New Roman" w:cs="Times New Roman"/>
        </w:rPr>
        <w:t>, BSEA # 1609348 (Byrne 2016);</w:t>
      </w:r>
      <w:r w:rsidRPr="001C41FE">
        <w:rPr>
          <w:rFonts w:ascii="Times New Roman" w:hAnsi="Times New Roman" w:cs="Times New Roman"/>
          <w:i/>
          <w:iCs/>
        </w:rPr>
        <w:t xml:space="preserve"> In Re Student </w:t>
      </w:r>
      <w:r w:rsidR="00780D31">
        <w:rPr>
          <w:rFonts w:ascii="Times New Roman" w:hAnsi="Times New Roman" w:cs="Times New Roman"/>
          <w:i/>
          <w:iCs/>
        </w:rPr>
        <w:t>and</w:t>
      </w:r>
      <w:r w:rsidRPr="001C41FE">
        <w:rPr>
          <w:rFonts w:ascii="Times New Roman" w:hAnsi="Times New Roman" w:cs="Times New Roman"/>
          <w:i/>
          <w:iCs/>
        </w:rPr>
        <w:t xml:space="preserve"> Milford Public Sch., </w:t>
      </w:r>
      <w:r w:rsidRPr="001C41FE">
        <w:rPr>
          <w:rFonts w:ascii="Times New Roman" w:hAnsi="Times New Roman" w:cs="Times New Roman"/>
        </w:rPr>
        <w:t>BSEA #1601412 (Berman, 2015);</w:t>
      </w:r>
      <w:r w:rsidRPr="001C41FE">
        <w:rPr>
          <w:rFonts w:ascii="Times New Roman" w:hAnsi="Times New Roman" w:cs="Times New Roman"/>
          <w:i/>
          <w:iCs/>
        </w:rPr>
        <w:t xml:space="preserve"> In Re Student R. </w:t>
      </w:r>
      <w:r w:rsidR="00780D31">
        <w:rPr>
          <w:rFonts w:ascii="Times New Roman" w:hAnsi="Times New Roman" w:cs="Times New Roman"/>
          <w:i/>
          <w:iCs/>
        </w:rPr>
        <w:t>and</w:t>
      </w:r>
      <w:r w:rsidRPr="001C41FE">
        <w:rPr>
          <w:rFonts w:ascii="Times New Roman" w:hAnsi="Times New Roman" w:cs="Times New Roman"/>
          <w:i/>
          <w:iCs/>
        </w:rPr>
        <w:t xml:space="preserve"> Lincoln-Sudbury Public Sch. </w:t>
      </w:r>
      <w:r w:rsidRPr="001C41FE">
        <w:rPr>
          <w:rFonts w:ascii="Times New Roman" w:hAnsi="Times New Roman" w:cs="Times New Roman"/>
        </w:rPr>
        <w:t>BSEA</w:t>
      </w:r>
      <w:r w:rsidRPr="001C41FE">
        <w:rPr>
          <w:rFonts w:ascii="Times New Roman" w:hAnsi="Times New Roman" w:cs="Times New Roman"/>
          <w:i/>
          <w:iCs/>
        </w:rPr>
        <w:t xml:space="preserve"> </w:t>
      </w:r>
      <w:r w:rsidRPr="001C41FE">
        <w:rPr>
          <w:rFonts w:ascii="Times New Roman" w:hAnsi="Times New Roman" w:cs="Times New Roman"/>
        </w:rPr>
        <w:t>#</w:t>
      </w:r>
      <w:r w:rsidR="006073B2">
        <w:rPr>
          <w:rFonts w:ascii="Times New Roman" w:hAnsi="Times New Roman" w:cs="Times New Roman"/>
        </w:rPr>
        <w:t>112546</w:t>
      </w:r>
      <w:r w:rsidRPr="001C41FE">
        <w:rPr>
          <w:rFonts w:ascii="Times New Roman" w:hAnsi="Times New Roman" w:cs="Times New Roman"/>
        </w:rPr>
        <w:t xml:space="preserve"> (</w:t>
      </w:r>
      <w:r w:rsidR="006073B2">
        <w:rPr>
          <w:rFonts w:ascii="Times New Roman" w:hAnsi="Times New Roman" w:cs="Times New Roman"/>
        </w:rPr>
        <w:t>Figueroa</w:t>
      </w:r>
      <w:r w:rsidRPr="001C41FE">
        <w:rPr>
          <w:rFonts w:ascii="Times New Roman" w:hAnsi="Times New Roman" w:cs="Times New Roman"/>
        </w:rPr>
        <w:t>, 2010</w:t>
      </w:r>
      <w:r w:rsidR="006073B2">
        <w:rPr>
          <w:rFonts w:ascii="Times New Roman" w:hAnsi="Times New Roman" w:cs="Times New Roman"/>
        </w:rPr>
        <w:t>).</w:t>
      </w:r>
      <w:r w:rsidRPr="001C41FE">
        <w:rPr>
          <w:rFonts w:ascii="Times New Roman" w:hAnsi="Times New Roman" w:cs="Times New Roman"/>
          <w:i/>
          <w:iCs/>
        </w:rPr>
        <w:t xml:space="preserve"> </w:t>
      </w:r>
    </w:p>
  </w:footnote>
  <w:footnote w:id="5">
    <w:p w14:paraId="2BBB7FF3" w14:textId="77777777" w:rsidR="001C41FE" w:rsidRPr="006521FA" w:rsidRDefault="001C41FE" w:rsidP="000962A6">
      <w:pPr>
        <w:pStyle w:val="FootnoteText"/>
        <w:rPr>
          <w:rFonts w:ascii="Times New Roman" w:hAnsi="Times New Roman" w:cs="Times New Roman"/>
        </w:rPr>
      </w:pPr>
      <w:r w:rsidRPr="006521FA">
        <w:rPr>
          <w:rStyle w:val="FootnoteReference"/>
          <w:rFonts w:ascii="Times New Roman" w:hAnsi="Times New Roman" w:cs="Times New Roman"/>
        </w:rPr>
        <w:footnoteRef/>
      </w:r>
      <w:r w:rsidRPr="006521FA">
        <w:rPr>
          <w:rFonts w:ascii="Times New Roman" w:hAnsi="Times New Roman" w:cs="Times New Roman"/>
        </w:rPr>
        <w:t xml:space="preserve"> Federal Rule of Civil Procedure 56 authorizes the entry of summary judgment whenever it appears “from the pleadings, depositions, answers to interrogatories, and responses to requests for admission on file, together with the affidavits, if any… that there is no genuine issue as to any material fact and that the movant is entitled to judgment as a matter of law.” </w:t>
      </w:r>
    </w:p>
  </w:footnote>
  <w:footnote w:id="6">
    <w:p w14:paraId="53284CAA" w14:textId="77777777" w:rsidR="001C41FE" w:rsidRPr="006521FA" w:rsidRDefault="001C41FE" w:rsidP="000962A6">
      <w:pPr>
        <w:pStyle w:val="FootnoteText"/>
        <w:rPr>
          <w:rFonts w:ascii="Times New Roman" w:hAnsi="Times New Roman" w:cs="Times New Roman"/>
        </w:rPr>
      </w:pPr>
      <w:r w:rsidRPr="006521FA">
        <w:rPr>
          <w:rStyle w:val="FootnoteReference"/>
          <w:rFonts w:ascii="Times New Roman" w:hAnsi="Times New Roman" w:cs="Times New Roman"/>
        </w:rPr>
        <w:footnoteRef/>
      </w:r>
      <w:r w:rsidRPr="006521FA">
        <w:rPr>
          <w:rFonts w:ascii="Times New Roman" w:hAnsi="Times New Roman" w:cs="Times New Roman"/>
        </w:rPr>
        <w:t xml:space="preserve"> </w:t>
      </w:r>
      <w:r w:rsidRPr="006521FA">
        <w:rPr>
          <w:rFonts w:ascii="Times New Roman" w:hAnsi="Times New Roman" w:cs="Times New Roman"/>
          <w:i/>
        </w:rPr>
        <w:t>Anderson v. Liberty Lobby, Inc.</w:t>
      </w:r>
      <w:r w:rsidRPr="006521FA">
        <w:rPr>
          <w:rFonts w:ascii="Times New Roman" w:hAnsi="Times New Roman" w:cs="Times New Roman"/>
        </w:rPr>
        <w:t xml:space="preserve"> 477 U.S. 242, 252 (1986).</w:t>
      </w:r>
    </w:p>
  </w:footnote>
  <w:footnote w:id="7">
    <w:p w14:paraId="4C120939" w14:textId="0266DCD4" w:rsidR="001C41FE" w:rsidRPr="00CC64C2" w:rsidRDefault="001C41FE" w:rsidP="000962A6">
      <w:pPr>
        <w:pStyle w:val="FootnoteText"/>
        <w:rPr>
          <w:rFonts w:cs="Times New Roman"/>
        </w:rPr>
      </w:pPr>
      <w:r w:rsidRPr="006521FA">
        <w:rPr>
          <w:rStyle w:val="FootnoteReference"/>
          <w:rFonts w:ascii="Times New Roman" w:hAnsi="Times New Roman" w:cs="Times New Roman"/>
        </w:rPr>
        <w:footnoteRef/>
      </w:r>
      <w:r w:rsidRPr="006521FA">
        <w:rPr>
          <w:rFonts w:ascii="Times New Roman" w:hAnsi="Times New Roman" w:cs="Times New Roman"/>
        </w:rPr>
        <w:t xml:space="preserve"> </w:t>
      </w:r>
      <w:r w:rsidRPr="006521FA">
        <w:rPr>
          <w:rFonts w:ascii="Times New Roman" w:hAnsi="Times New Roman" w:cs="Times New Roman"/>
          <w:i/>
        </w:rPr>
        <w:t>Id</w:t>
      </w:r>
      <w:r w:rsidR="00192370">
        <w:rPr>
          <w:rFonts w:ascii="Times New Roman" w:hAnsi="Times New Roman" w:cs="Times New Roman"/>
          <w:i/>
        </w:rPr>
        <w:t xml:space="preserve">. </w:t>
      </w:r>
      <w:r w:rsidRPr="006521FA">
        <w:rPr>
          <w:rFonts w:ascii="Times New Roman" w:hAnsi="Times New Roman" w:cs="Times New Roman"/>
        </w:rPr>
        <w:t>at 250.</w:t>
      </w:r>
    </w:p>
  </w:footnote>
  <w:footnote w:id="8">
    <w:p w14:paraId="6AF8A606" w14:textId="77777777" w:rsidR="001C41FE" w:rsidRPr="00C02CB8" w:rsidRDefault="001C41FE" w:rsidP="000962A6">
      <w:pPr>
        <w:rPr>
          <w:sz w:val="20"/>
          <w:szCs w:val="20"/>
        </w:rPr>
      </w:pPr>
      <w:r w:rsidRPr="00C02CB8">
        <w:rPr>
          <w:rStyle w:val="FootnoteReference"/>
          <w:sz w:val="20"/>
          <w:szCs w:val="20"/>
        </w:rPr>
        <w:footnoteRef/>
      </w:r>
      <w:r w:rsidRPr="00C02CB8">
        <w:rPr>
          <w:sz w:val="20"/>
          <w:szCs w:val="20"/>
        </w:rPr>
        <w:t xml:space="preserve"> </w:t>
      </w:r>
      <w:proofErr w:type="spellStart"/>
      <w:r w:rsidRPr="00C02CB8">
        <w:rPr>
          <w:i/>
          <w:color w:val="000000"/>
          <w:sz w:val="20"/>
          <w:szCs w:val="20"/>
          <w:bdr w:val="none" w:sz="0" w:space="0" w:color="auto" w:frame="1"/>
        </w:rPr>
        <w:t>Maldanado</w:t>
      </w:r>
      <w:proofErr w:type="spellEnd"/>
      <w:r w:rsidRPr="00C02CB8">
        <w:rPr>
          <w:i/>
          <w:color w:val="000000"/>
          <w:sz w:val="20"/>
          <w:szCs w:val="20"/>
          <w:bdr w:val="none" w:sz="0" w:space="0" w:color="auto" w:frame="1"/>
        </w:rPr>
        <w:t>-Denis v. Castillo-Rodriguez,</w:t>
      </w:r>
      <w:r w:rsidRPr="00C02CB8">
        <w:rPr>
          <w:color w:val="000000"/>
          <w:sz w:val="20"/>
          <w:szCs w:val="20"/>
          <w:bdr w:val="none" w:sz="0" w:space="0" w:color="auto" w:frame="1"/>
        </w:rPr>
        <w:t xml:space="preserve"> 23 F.3d 576, 581 (1</w:t>
      </w:r>
      <w:proofErr w:type="gramStart"/>
      <w:r w:rsidRPr="00C02CB8">
        <w:rPr>
          <w:color w:val="000000"/>
          <w:sz w:val="20"/>
          <w:szCs w:val="20"/>
          <w:bdr w:val="none" w:sz="0" w:space="0" w:color="auto" w:frame="1"/>
        </w:rPr>
        <w:t>st  Cir.</w:t>
      </w:r>
      <w:proofErr w:type="gramEnd"/>
      <w:r w:rsidRPr="00C02CB8">
        <w:rPr>
          <w:color w:val="000000"/>
          <w:sz w:val="20"/>
          <w:szCs w:val="20"/>
          <w:bdr w:val="none" w:sz="0" w:space="0" w:color="auto" w:frame="1"/>
        </w:rPr>
        <w:t xml:space="preserve"> 1994). </w:t>
      </w:r>
    </w:p>
  </w:footnote>
  <w:footnote w:id="9">
    <w:p w14:paraId="6006179C" w14:textId="0839A030" w:rsidR="001C41FE" w:rsidRPr="00C02CB8" w:rsidRDefault="001C41FE" w:rsidP="000962A6">
      <w:pPr>
        <w:pStyle w:val="FootnoteText"/>
        <w:rPr>
          <w:rFonts w:ascii="Times New Roman" w:hAnsi="Times New Roman" w:cs="Times New Roman"/>
        </w:rPr>
      </w:pPr>
      <w:r w:rsidRPr="00C02CB8">
        <w:rPr>
          <w:rStyle w:val="FootnoteReference"/>
          <w:rFonts w:ascii="Times New Roman" w:hAnsi="Times New Roman" w:cs="Times New Roman"/>
        </w:rPr>
        <w:footnoteRef/>
      </w:r>
      <w:r w:rsidRPr="00C02CB8">
        <w:rPr>
          <w:rFonts w:ascii="Times New Roman" w:hAnsi="Times New Roman" w:cs="Times New Roman"/>
        </w:rPr>
        <w:t xml:space="preserve"> </w:t>
      </w:r>
      <w:r w:rsidR="00780D31">
        <w:rPr>
          <w:rFonts w:ascii="Times New Roman" w:hAnsi="Times New Roman" w:cs="Times New Roman"/>
          <w:i/>
        </w:rPr>
        <w:t>Anderson</w:t>
      </w:r>
      <w:r w:rsidR="00780D31">
        <w:rPr>
          <w:rFonts w:ascii="Times New Roman" w:hAnsi="Times New Roman" w:cs="Times New Roman"/>
          <w:iCs/>
        </w:rPr>
        <w:t>, 477 U.S.</w:t>
      </w:r>
      <w:r w:rsidRPr="00C02CB8">
        <w:rPr>
          <w:rFonts w:ascii="Times New Roman" w:hAnsi="Times New Roman" w:cs="Times New Roman"/>
        </w:rPr>
        <w:t xml:space="preserve"> at 249.</w:t>
      </w:r>
    </w:p>
  </w:footnote>
  <w:footnote w:id="10">
    <w:p w14:paraId="64C49702" w14:textId="77777777" w:rsidR="001C41FE" w:rsidRPr="00C02CB8" w:rsidRDefault="001C41FE" w:rsidP="000962A6">
      <w:pPr>
        <w:pStyle w:val="FootnoteText"/>
        <w:rPr>
          <w:rFonts w:ascii="Times New Roman" w:hAnsi="Times New Roman" w:cs="Times New Roman"/>
        </w:rPr>
      </w:pPr>
      <w:r w:rsidRPr="00C02CB8">
        <w:rPr>
          <w:rStyle w:val="FootnoteReference"/>
          <w:rFonts w:ascii="Times New Roman" w:hAnsi="Times New Roman" w:cs="Times New Roman"/>
        </w:rPr>
        <w:footnoteRef/>
      </w:r>
      <w:r w:rsidRPr="00C02CB8">
        <w:rPr>
          <w:rFonts w:ascii="Times New Roman" w:hAnsi="Times New Roman" w:cs="Times New Roman"/>
        </w:rPr>
        <w:t xml:space="preserve"> </w:t>
      </w:r>
      <w:r w:rsidRPr="00C02CB8">
        <w:rPr>
          <w:rFonts w:ascii="Times New Roman" w:hAnsi="Times New Roman" w:cs="Times New Roman"/>
          <w:i/>
        </w:rPr>
        <w:t xml:space="preserve">Mack v. Great Atl. &amp; Pac. Tea Co., </w:t>
      </w:r>
      <w:r w:rsidRPr="00C02CB8">
        <w:rPr>
          <w:rFonts w:ascii="Times New Roman" w:hAnsi="Times New Roman" w:cs="Times New Roman"/>
        </w:rPr>
        <w:t xml:space="preserve">871 F.2d 179, 181 (1st Cir. 1989). </w:t>
      </w:r>
    </w:p>
  </w:footnote>
  <w:footnote w:id="11">
    <w:p w14:paraId="64E211AC" w14:textId="77777777" w:rsidR="001C41FE" w:rsidRPr="00C02CB8" w:rsidRDefault="001C41FE" w:rsidP="000962A6">
      <w:pPr>
        <w:pStyle w:val="FootnoteText"/>
        <w:rPr>
          <w:rFonts w:ascii="Times New Roman" w:hAnsi="Times New Roman" w:cs="Times New Roman"/>
        </w:rPr>
      </w:pPr>
      <w:r w:rsidRPr="00C02CB8">
        <w:rPr>
          <w:rStyle w:val="FootnoteReference"/>
          <w:rFonts w:ascii="Times New Roman" w:hAnsi="Times New Roman" w:cs="Times New Roman"/>
        </w:rPr>
        <w:footnoteRef/>
      </w:r>
      <w:r w:rsidRPr="00C02CB8">
        <w:rPr>
          <w:rFonts w:ascii="Times New Roman" w:hAnsi="Times New Roman" w:cs="Times New Roman"/>
        </w:rPr>
        <w:t xml:space="preserve"> </w:t>
      </w:r>
      <w:r w:rsidRPr="00C02CB8">
        <w:rPr>
          <w:rFonts w:ascii="Times New Roman" w:hAnsi="Times New Roman" w:cs="Times New Roman"/>
          <w:i/>
        </w:rPr>
        <w:t xml:space="preserve">Medina-Munoz v. R.J. Reynolds Tobacco Co., </w:t>
      </w:r>
      <w:r w:rsidRPr="00C02CB8">
        <w:rPr>
          <w:rFonts w:ascii="Times New Roman" w:hAnsi="Times New Roman" w:cs="Times New Roman"/>
        </w:rPr>
        <w:t>896 F.2d 5, 8 (1st Cir. 1990).</w:t>
      </w:r>
    </w:p>
  </w:footnote>
  <w:footnote w:id="12">
    <w:p w14:paraId="33533731" w14:textId="30D95B47" w:rsidR="001C41FE" w:rsidRPr="001C41FE" w:rsidRDefault="001C41FE">
      <w:pPr>
        <w:pStyle w:val="FootnoteText"/>
        <w:rPr>
          <w:rFonts w:ascii="Times New Roman" w:hAnsi="Times New Roman" w:cs="Times New Roman"/>
        </w:rPr>
      </w:pPr>
      <w:r w:rsidRPr="001C41FE">
        <w:rPr>
          <w:rStyle w:val="FootnoteReference"/>
          <w:rFonts w:ascii="Times New Roman" w:hAnsi="Times New Roman" w:cs="Times New Roman"/>
        </w:rPr>
        <w:footnoteRef/>
      </w:r>
      <w:r w:rsidRPr="001C41FE">
        <w:rPr>
          <w:rFonts w:ascii="Times New Roman" w:hAnsi="Times New Roman" w:cs="Times New Roman"/>
        </w:rPr>
        <w:t xml:space="preserve"> BSEA #2101061 (Reichbach 2021).</w:t>
      </w:r>
    </w:p>
  </w:footnote>
  <w:footnote w:id="13">
    <w:p w14:paraId="7868FA8D" w14:textId="45B04FE3" w:rsidR="001C41FE" w:rsidRPr="00387D03" w:rsidRDefault="001C41FE" w:rsidP="001C41FE">
      <w:pPr>
        <w:pStyle w:val="NoSpacing"/>
        <w:rPr>
          <w:rFonts w:ascii="Times New Roman" w:hAnsi="Times New Roman" w:cs="Times New Roman"/>
          <w:sz w:val="20"/>
          <w:szCs w:val="20"/>
        </w:rPr>
      </w:pPr>
      <w:r w:rsidRPr="00387D03">
        <w:rPr>
          <w:rStyle w:val="FootnoteReference"/>
          <w:rFonts w:ascii="Times New Roman" w:hAnsi="Times New Roman" w:cs="Times New Roman"/>
          <w:sz w:val="20"/>
          <w:szCs w:val="20"/>
        </w:rPr>
        <w:footnoteRef/>
      </w:r>
      <w:r w:rsidRPr="00387D03">
        <w:rPr>
          <w:rFonts w:ascii="Times New Roman" w:hAnsi="Times New Roman" w:cs="Times New Roman"/>
          <w:sz w:val="20"/>
          <w:szCs w:val="20"/>
        </w:rPr>
        <w:t xml:space="preserve"> </w:t>
      </w:r>
      <w:r w:rsidRPr="00387D03">
        <w:rPr>
          <w:rFonts w:ascii="Times New Roman" w:hAnsi="Times New Roman" w:cs="Times New Roman"/>
          <w:i/>
          <w:iCs/>
          <w:sz w:val="20"/>
          <w:szCs w:val="20"/>
        </w:rPr>
        <w:t xml:space="preserve">Frazier v. Fairhaven Sch. Comm., </w:t>
      </w:r>
      <w:r w:rsidRPr="00387D03">
        <w:rPr>
          <w:rFonts w:ascii="Times New Roman" w:hAnsi="Times New Roman" w:cs="Times New Roman"/>
          <w:sz w:val="20"/>
          <w:szCs w:val="20"/>
        </w:rPr>
        <w:t>276 F.3d 52, 63 (1st Cir. 2002).</w:t>
      </w:r>
    </w:p>
  </w:footnote>
  <w:footnote w:id="14">
    <w:p w14:paraId="6E60FE23" w14:textId="5E614772" w:rsidR="001C41FE" w:rsidRPr="00387D03" w:rsidRDefault="001C41FE" w:rsidP="001C41FE">
      <w:pPr>
        <w:pStyle w:val="NoSpacing"/>
        <w:rPr>
          <w:rFonts w:ascii="Times New Roman" w:hAnsi="Times New Roman" w:cs="Times New Roman"/>
          <w:sz w:val="20"/>
          <w:szCs w:val="20"/>
        </w:rPr>
      </w:pPr>
      <w:r w:rsidRPr="00387D03">
        <w:rPr>
          <w:rStyle w:val="FootnoteReference"/>
          <w:rFonts w:ascii="Times New Roman" w:hAnsi="Times New Roman" w:cs="Times New Roman"/>
          <w:sz w:val="20"/>
          <w:szCs w:val="20"/>
        </w:rPr>
        <w:footnoteRef/>
      </w:r>
      <w:r w:rsidRPr="00387D03">
        <w:rPr>
          <w:rFonts w:ascii="Times New Roman" w:hAnsi="Times New Roman" w:cs="Times New Roman"/>
          <w:sz w:val="20"/>
          <w:szCs w:val="20"/>
        </w:rPr>
        <w:t xml:space="preserve"> 20 U.S.C. 1415 (</w:t>
      </w:r>
      <w:r w:rsidRPr="00387D03">
        <w:rPr>
          <w:rFonts w:ascii="Times New Roman" w:hAnsi="Times New Roman" w:cs="Times New Roman"/>
          <w:i/>
          <w:iCs/>
          <w:sz w:val="20"/>
          <w:szCs w:val="20"/>
        </w:rPr>
        <w:t>l</w:t>
      </w:r>
      <w:r w:rsidRPr="00387D03">
        <w:rPr>
          <w:rFonts w:ascii="Times New Roman" w:hAnsi="Times New Roman" w:cs="Times New Roman"/>
          <w:sz w:val="20"/>
          <w:szCs w:val="20"/>
        </w:rPr>
        <w:t xml:space="preserve">); 34 CFR 300.516(e). </w:t>
      </w:r>
      <w:r w:rsidR="00780D31">
        <w:rPr>
          <w:rFonts w:ascii="Times New Roman" w:hAnsi="Times New Roman" w:cs="Times New Roman"/>
          <w:sz w:val="20"/>
          <w:szCs w:val="20"/>
        </w:rPr>
        <w:t>Some exceptions exist, but they are not relevant here. See</w:t>
      </w:r>
      <w:r w:rsidRPr="00387D03">
        <w:rPr>
          <w:rFonts w:ascii="Times New Roman" w:hAnsi="Times New Roman" w:cs="Times New Roman"/>
          <w:sz w:val="20"/>
          <w:szCs w:val="20"/>
        </w:rPr>
        <w:t xml:space="preserve"> </w:t>
      </w:r>
      <w:r w:rsidRPr="00387D03">
        <w:rPr>
          <w:rFonts w:ascii="Times New Roman" w:hAnsi="Times New Roman" w:cs="Times New Roman"/>
          <w:i/>
          <w:iCs/>
          <w:sz w:val="20"/>
          <w:szCs w:val="20"/>
        </w:rPr>
        <w:t>Honig v. Doe</w:t>
      </w:r>
      <w:r w:rsidRPr="00387D03">
        <w:rPr>
          <w:rFonts w:ascii="Times New Roman" w:hAnsi="Times New Roman" w:cs="Times New Roman"/>
          <w:sz w:val="20"/>
          <w:szCs w:val="20"/>
        </w:rPr>
        <w:t>, 484 U.S. 205, 327 (1988)</w:t>
      </w:r>
      <w:r w:rsidR="00780D31">
        <w:rPr>
          <w:rFonts w:ascii="Times New Roman" w:hAnsi="Times New Roman" w:cs="Times New Roman"/>
          <w:sz w:val="20"/>
          <w:szCs w:val="20"/>
        </w:rPr>
        <w:t xml:space="preserve">; </w:t>
      </w:r>
      <w:r w:rsidRPr="00387D03">
        <w:rPr>
          <w:rFonts w:ascii="Times New Roman" w:hAnsi="Times New Roman" w:cs="Times New Roman"/>
          <w:i/>
          <w:iCs/>
          <w:sz w:val="20"/>
          <w:szCs w:val="20"/>
        </w:rPr>
        <w:t>Frazier</w:t>
      </w:r>
      <w:r w:rsidRPr="00387D03">
        <w:rPr>
          <w:rFonts w:ascii="Times New Roman" w:hAnsi="Times New Roman" w:cs="Times New Roman"/>
          <w:sz w:val="20"/>
          <w:szCs w:val="20"/>
        </w:rPr>
        <w:t xml:space="preserve">, 276 F.3d at 59. </w:t>
      </w:r>
    </w:p>
  </w:footnote>
  <w:footnote w:id="15">
    <w:p w14:paraId="6C590CA2" w14:textId="77777777" w:rsidR="001C41FE" w:rsidRPr="00387D03" w:rsidRDefault="001C41FE" w:rsidP="001C41FE">
      <w:pPr>
        <w:pStyle w:val="NoSpacing"/>
        <w:rPr>
          <w:rFonts w:ascii="Times New Roman" w:hAnsi="Times New Roman" w:cs="Times New Roman"/>
          <w:sz w:val="20"/>
          <w:szCs w:val="20"/>
        </w:rPr>
      </w:pPr>
      <w:r w:rsidRPr="00387D03">
        <w:rPr>
          <w:rStyle w:val="FootnoteReference"/>
          <w:rFonts w:ascii="Times New Roman" w:hAnsi="Times New Roman" w:cs="Times New Roman"/>
          <w:sz w:val="20"/>
          <w:szCs w:val="20"/>
        </w:rPr>
        <w:footnoteRef/>
      </w:r>
      <w:r w:rsidRPr="00387D03">
        <w:rPr>
          <w:rFonts w:ascii="Times New Roman" w:hAnsi="Times New Roman" w:cs="Times New Roman"/>
          <w:sz w:val="20"/>
          <w:szCs w:val="20"/>
        </w:rPr>
        <w:t xml:space="preserve"> 20 U.S.C. § 1415(b)(6)(A); 603 CMR 28.08.</w:t>
      </w:r>
    </w:p>
  </w:footnote>
  <w:footnote w:id="16">
    <w:p w14:paraId="2F46A561" w14:textId="77777777" w:rsidR="001C41FE" w:rsidRPr="00387D03" w:rsidRDefault="001C41FE" w:rsidP="001C41FE">
      <w:pPr>
        <w:pStyle w:val="NoSpacing"/>
        <w:rPr>
          <w:rFonts w:ascii="Times New Roman" w:hAnsi="Times New Roman" w:cs="Times New Roman"/>
          <w:sz w:val="20"/>
          <w:szCs w:val="20"/>
        </w:rPr>
      </w:pPr>
      <w:r w:rsidRPr="00387D03">
        <w:rPr>
          <w:rStyle w:val="FootnoteReference"/>
          <w:rFonts w:ascii="Times New Roman" w:hAnsi="Times New Roman" w:cs="Times New Roman"/>
          <w:sz w:val="20"/>
          <w:szCs w:val="20"/>
        </w:rPr>
        <w:footnoteRef/>
      </w:r>
      <w:r w:rsidRPr="00387D03">
        <w:rPr>
          <w:rFonts w:ascii="Times New Roman" w:hAnsi="Times New Roman" w:cs="Times New Roman"/>
          <w:sz w:val="20"/>
          <w:szCs w:val="20"/>
        </w:rPr>
        <w:t xml:space="preserve"> See 20 U.S.C. § 1415 (</w:t>
      </w:r>
      <w:r w:rsidRPr="00387D03">
        <w:rPr>
          <w:rFonts w:ascii="Times New Roman" w:hAnsi="Times New Roman" w:cs="Times New Roman"/>
          <w:i/>
          <w:iCs/>
          <w:sz w:val="20"/>
          <w:szCs w:val="20"/>
        </w:rPr>
        <w:t>l</w:t>
      </w:r>
      <w:r w:rsidRPr="00387D03">
        <w:rPr>
          <w:rFonts w:ascii="Times New Roman" w:hAnsi="Times New Roman" w:cs="Times New Roman"/>
          <w:sz w:val="20"/>
          <w:szCs w:val="20"/>
        </w:rPr>
        <w:t>); 34 CFR 300.516(e).</w:t>
      </w:r>
    </w:p>
  </w:footnote>
  <w:footnote w:id="17">
    <w:p w14:paraId="4145E4F1" w14:textId="7677BABA" w:rsidR="001C41FE" w:rsidRPr="00387D03" w:rsidRDefault="001C41FE" w:rsidP="001C41FE">
      <w:pPr>
        <w:pStyle w:val="NoSpacing"/>
        <w:rPr>
          <w:rFonts w:ascii="Times New Roman" w:hAnsi="Times New Roman" w:cs="Times New Roman"/>
          <w:sz w:val="20"/>
          <w:szCs w:val="20"/>
        </w:rPr>
      </w:pPr>
      <w:r w:rsidRPr="00387D03">
        <w:rPr>
          <w:rStyle w:val="FootnoteReference"/>
          <w:rFonts w:ascii="Times New Roman" w:hAnsi="Times New Roman" w:cs="Times New Roman"/>
          <w:sz w:val="20"/>
          <w:szCs w:val="20"/>
        </w:rPr>
        <w:footnoteRef/>
      </w:r>
      <w:r w:rsidRPr="00387D03">
        <w:rPr>
          <w:rFonts w:ascii="Times New Roman" w:hAnsi="Times New Roman" w:cs="Times New Roman"/>
          <w:sz w:val="20"/>
          <w:szCs w:val="20"/>
        </w:rPr>
        <w:t xml:space="preserve"> </w:t>
      </w:r>
      <w:r w:rsidRPr="00387D03">
        <w:rPr>
          <w:rFonts w:ascii="Times New Roman" w:hAnsi="Times New Roman" w:cs="Times New Roman"/>
          <w:i/>
          <w:iCs/>
          <w:color w:val="000000" w:themeColor="text1"/>
          <w:sz w:val="20"/>
          <w:szCs w:val="20"/>
        </w:rPr>
        <w:t>Fry v. Napoleon Community Schools</w:t>
      </w:r>
      <w:r w:rsidRPr="00387D03">
        <w:rPr>
          <w:rFonts w:ascii="Times New Roman" w:hAnsi="Times New Roman" w:cs="Times New Roman"/>
          <w:sz w:val="20"/>
          <w:szCs w:val="20"/>
        </w:rPr>
        <w:t>, 137 S. Ct. 743, 748 (2017)</w:t>
      </w:r>
      <w:r w:rsidR="00780D31">
        <w:rPr>
          <w:rFonts w:ascii="Times New Roman" w:hAnsi="Times New Roman" w:cs="Times New Roman"/>
          <w:sz w:val="20"/>
          <w:szCs w:val="20"/>
        </w:rPr>
        <w:t>.</w:t>
      </w:r>
    </w:p>
  </w:footnote>
  <w:footnote w:id="18">
    <w:p w14:paraId="04CA1F38" w14:textId="77777777" w:rsidR="001C41FE" w:rsidRPr="003C2CCA" w:rsidRDefault="001C41FE" w:rsidP="001C41FE">
      <w:pPr>
        <w:pStyle w:val="NoSpacing"/>
        <w:rPr>
          <w:rFonts w:ascii="Times New Roman" w:hAnsi="Times New Roman" w:cs="Times New Roman"/>
        </w:rPr>
      </w:pPr>
      <w:r w:rsidRPr="00387D03">
        <w:rPr>
          <w:rStyle w:val="FootnoteReference"/>
          <w:rFonts w:ascii="Times New Roman" w:hAnsi="Times New Roman" w:cs="Times New Roman"/>
          <w:sz w:val="20"/>
          <w:szCs w:val="20"/>
        </w:rPr>
        <w:footnoteRef/>
      </w:r>
      <w:r w:rsidRPr="00387D03">
        <w:rPr>
          <w:rFonts w:ascii="Times New Roman" w:hAnsi="Times New Roman" w:cs="Times New Roman"/>
          <w:i/>
          <w:iCs/>
          <w:sz w:val="20"/>
          <w:szCs w:val="20"/>
        </w:rPr>
        <w:t xml:space="preserve"> Frazier</w:t>
      </w:r>
      <w:r w:rsidRPr="00387D03">
        <w:rPr>
          <w:rFonts w:ascii="Times New Roman" w:hAnsi="Times New Roman" w:cs="Times New Roman"/>
          <w:sz w:val="20"/>
          <w:szCs w:val="20"/>
        </w:rPr>
        <w:t xml:space="preserve">, 276 F.3d at 60; see </w:t>
      </w:r>
      <w:r w:rsidRPr="00387D03">
        <w:rPr>
          <w:rFonts w:ascii="Times New Roman" w:hAnsi="Times New Roman" w:cs="Times New Roman"/>
          <w:i/>
          <w:iCs/>
          <w:sz w:val="20"/>
          <w:szCs w:val="20"/>
        </w:rPr>
        <w:t>Fry</w:t>
      </w:r>
      <w:r w:rsidRPr="00387D03">
        <w:rPr>
          <w:rFonts w:ascii="Times New Roman" w:hAnsi="Times New Roman" w:cs="Times New Roman"/>
          <w:sz w:val="20"/>
          <w:szCs w:val="20"/>
        </w:rPr>
        <w:t xml:space="preserve">, 137 S. Ct. at 754 (noting that IDEA hearing officers have expertise in addressing FAPE-related claims); </w:t>
      </w:r>
      <w:r w:rsidRPr="00387D03">
        <w:rPr>
          <w:rFonts w:ascii="Times New Roman" w:hAnsi="Times New Roman" w:cs="Times New Roman"/>
          <w:i/>
          <w:iCs/>
          <w:sz w:val="20"/>
          <w:szCs w:val="20"/>
        </w:rPr>
        <w:t>In Re: Georgetown Pub. Sch.</w:t>
      </w:r>
      <w:r w:rsidRPr="00387D03">
        <w:rPr>
          <w:rFonts w:ascii="Times New Roman" w:hAnsi="Times New Roman" w:cs="Times New Roman"/>
          <w:sz w:val="20"/>
          <w:szCs w:val="20"/>
        </w:rPr>
        <w:t xml:space="preserve">, BSEA #1405352, 20 MSER 200 (Berman 2014) (recognizing that FAPE-related claims asserted under non-IDEA laws may be subject </w:t>
      </w:r>
      <w:r w:rsidRPr="003C2CCA">
        <w:rPr>
          <w:rFonts w:ascii="Times New Roman" w:hAnsi="Times New Roman" w:cs="Times New Roman"/>
          <w:sz w:val="20"/>
          <w:szCs w:val="20"/>
        </w:rPr>
        <w:t>to the IDEA’s exhaustion requirement if the BSEA can “provide some meaningful relief or a superior record on which the court could make its determination”).</w:t>
      </w:r>
      <w:r w:rsidRPr="003C2CCA">
        <w:rPr>
          <w:rFonts w:ascii="Times New Roman" w:hAnsi="Times New Roman" w:cs="Times New Roman"/>
        </w:rPr>
        <w:t xml:space="preserve"> </w:t>
      </w:r>
    </w:p>
  </w:footnote>
  <w:footnote w:id="19">
    <w:p w14:paraId="7E67BCB2" w14:textId="017E455D" w:rsidR="00FB378D" w:rsidRPr="003C2CCA" w:rsidRDefault="00FB378D">
      <w:pPr>
        <w:pStyle w:val="FootnoteText"/>
        <w:rPr>
          <w:rFonts w:ascii="Times New Roman" w:hAnsi="Times New Roman" w:cs="Times New Roman"/>
        </w:rPr>
      </w:pPr>
      <w:r w:rsidRPr="003C2CCA">
        <w:rPr>
          <w:rStyle w:val="FootnoteReference"/>
          <w:rFonts w:ascii="Times New Roman" w:hAnsi="Times New Roman" w:cs="Times New Roman"/>
        </w:rPr>
        <w:footnoteRef/>
      </w:r>
      <w:r w:rsidRPr="003C2CCA">
        <w:rPr>
          <w:rFonts w:ascii="Times New Roman" w:hAnsi="Times New Roman" w:cs="Times New Roman"/>
        </w:rPr>
        <w:t xml:space="preserve"> </w:t>
      </w:r>
      <w:r w:rsidRPr="003C2CCA">
        <w:rPr>
          <w:rFonts w:ascii="Times New Roman" w:hAnsi="Times New Roman" w:cs="Times New Roman"/>
          <w:i/>
          <w:iCs/>
        </w:rPr>
        <w:t>J.K. v. Council Rock Sch. Dist.</w:t>
      </w:r>
      <w:r w:rsidRPr="003C2CCA">
        <w:rPr>
          <w:rFonts w:ascii="Times New Roman" w:hAnsi="Times New Roman" w:cs="Times New Roman"/>
        </w:rPr>
        <w:t>, 833 F. Supp. 2d 436, 447 (E.D. Pa 2011)</w:t>
      </w:r>
      <w:r w:rsidR="0001665A">
        <w:rPr>
          <w:rFonts w:ascii="Times New Roman" w:hAnsi="Times New Roman" w:cs="Times New Roman"/>
        </w:rPr>
        <w:t>.</w:t>
      </w:r>
    </w:p>
  </w:footnote>
  <w:footnote w:id="20">
    <w:p w14:paraId="4CD0BE46" w14:textId="6198584B" w:rsidR="003C2CCA" w:rsidRPr="003C2CCA" w:rsidRDefault="003C2CCA">
      <w:pPr>
        <w:pStyle w:val="FootnoteText"/>
        <w:rPr>
          <w:rFonts w:ascii="Times New Roman" w:hAnsi="Times New Roman" w:cs="Times New Roman"/>
        </w:rPr>
      </w:pPr>
      <w:r w:rsidRPr="003C2CCA">
        <w:rPr>
          <w:rStyle w:val="FootnoteReference"/>
          <w:rFonts w:ascii="Times New Roman" w:hAnsi="Times New Roman" w:cs="Times New Roman"/>
        </w:rPr>
        <w:footnoteRef/>
      </w:r>
      <w:r w:rsidRPr="003C2CCA">
        <w:rPr>
          <w:rFonts w:ascii="Times New Roman" w:hAnsi="Times New Roman" w:cs="Times New Roman"/>
        </w:rPr>
        <w:t xml:space="preserve"> See 20 U.S.C. § 1415(e)(2)(F)(ii) and (iii) (mediation); 20 U.S.C. § 1415(f)(1)(B) (resolution meeting). See also 34 CFR § 300.506(b)(6)(ii) and (7) (mediation); 24 CFR </w:t>
      </w:r>
      <w:r w:rsidR="00A167D6" w:rsidRPr="003C2CCA">
        <w:rPr>
          <w:rFonts w:ascii="Times New Roman" w:hAnsi="Times New Roman" w:cs="Times New Roman"/>
        </w:rPr>
        <w:t>§</w:t>
      </w:r>
      <w:r w:rsidR="00A167D6">
        <w:rPr>
          <w:rFonts w:ascii="Times New Roman" w:hAnsi="Times New Roman" w:cs="Times New Roman"/>
        </w:rPr>
        <w:t xml:space="preserve"> </w:t>
      </w:r>
      <w:r w:rsidRPr="003C2CCA">
        <w:rPr>
          <w:rFonts w:ascii="Times New Roman" w:hAnsi="Times New Roman" w:cs="Times New Roman"/>
        </w:rPr>
        <w:t>300.510(a) and (d) (resolution meeting).</w:t>
      </w:r>
      <w:r w:rsidR="00A167D6">
        <w:rPr>
          <w:rFonts w:ascii="Times New Roman" w:hAnsi="Times New Roman" w:cs="Times New Roman"/>
        </w:rPr>
        <w:t xml:space="preserve"> </w:t>
      </w:r>
      <w:r w:rsidR="00D4295B">
        <w:rPr>
          <w:rFonts w:ascii="Times New Roman" w:hAnsi="Times New Roman" w:cs="Times New Roman"/>
        </w:rPr>
        <w:t xml:space="preserve">BSEA rulings and decisions consistently reference these provisions as applying to settlement conferences as well. </w:t>
      </w:r>
      <w:r w:rsidR="00A167D6">
        <w:rPr>
          <w:rFonts w:ascii="Times New Roman" w:hAnsi="Times New Roman" w:cs="Times New Roman"/>
        </w:rPr>
        <w:t xml:space="preserve">The IDEA’s implementing regulations also </w:t>
      </w:r>
      <w:r w:rsidR="00D4295B">
        <w:rPr>
          <w:rFonts w:ascii="Times New Roman" w:hAnsi="Times New Roman" w:cs="Times New Roman"/>
        </w:rPr>
        <w:t>permit</w:t>
      </w:r>
      <w:r w:rsidR="00A167D6">
        <w:rPr>
          <w:rFonts w:ascii="Times New Roman" w:hAnsi="Times New Roman" w:cs="Times New Roman"/>
        </w:rPr>
        <w:t xml:space="preserve"> enforcement of settlement agreements </w:t>
      </w:r>
      <w:r w:rsidR="00D4295B">
        <w:rPr>
          <w:rFonts w:ascii="Times New Roman" w:hAnsi="Times New Roman" w:cs="Times New Roman"/>
        </w:rPr>
        <w:t>by</w:t>
      </w:r>
      <w:r w:rsidR="00A167D6">
        <w:rPr>
          <w:rFonts w:ascii="Times New Roman" w:hAnsi="Times New Roman" w:cs="Times New Roman"/>
        </w:rPr>
        <w:t xml:space="preserve"> a state educational agency if a state has established other mechanisms</w:t>
      </w:r>
      <w:r w:rsidR="00D4295B">
        <w:rPr>
          <w:rFonts w:ascii="Times New Roman" w:hAnsi="Times New Roman" w:cs="Times New Roman"/>
        </w:rPr>
        <w:t xml:space="preserve"> that permit parties to seek enforcement of resolution agreements, 34 CFR </w:t>
      </w:r>
      <w:r w:rsidR="00D4295B" w:rsidRPr="003C2CCA">
        <w:rPr>
          <w:rFonts w:ascii="Times New Roman" w:hAnsi="Times New Roman" w:cs="Times New Roman"/>
        </w:rPr>
        <w:t>§</w:t>
      </w:r>
      <w:r w:rsidR="00D4295B">
        <w:rPr>
          <w:rFonts w:ascii="Times New Roman" w:hAnsi="Times New Roman" w:cs="Times New Roman"/>
        </w:rPr>
        <w:t xml:space="preserve"> 300.510(d)(2), but Massachusetts has not done so.</w:t>
      </w:r>
    </w:p>
  </w:footnote>
  <w:footnote w:id="21">
    <w:p w14:paraId="725C7321" w14:textId="5E2C6DB9" w:rsidR="001C41FE" w:rsidRPr="00547263" w:rsidRDefault="001C41FE" w:rsidP="001C41FE">
      <w:pPr>
        <w:pStyle w:val="FootnoteText"/>
        <w:rPr>
          <w:rFonts w:ascii="Times New Roman" w:hAnsi="Times New Roman" w:cs="Times New Roman"/>
        </w:rPr>
      </w:pPr>
      <w:r w:rsidRPr="00387D03">
        <w:rPr>
          <w:rStyle w:val="FootnoteReference"/>
          <w:rFonts w:ascii="Times New Roman" w:hAnsi="Times New Roman" w:cs="Times New Roman"/>
        </w:rPr>
        <w:footnoteRef/>
      </w:r>
      <w:r w:rsidRPr="00387D03">
        <w:rPr>
          <w:rFonts w:ascii="Times New Roman" w:hAnsi="Times New Roman" w:cs="Times New Roman"/>
        </w:rPr>
        <w:t xml:space="preserve"> See, e.g.,</w:t>
      </w:r>
      <w:r w:rsidRPr="00387D03">
        <w:rPr>
          <w:rFonts w:ascii="Times New Roman" w:hAnsi="Times New Roman" w:cs="Times New Roman"/>
          <w:i/>
          <w:iCs/>
        </w:rPr>
        <w:t xml:space="preserve"> </w:t>
      </w:r>
      <w:r w:rsidR="00D92EC0" w:rsidRPr="00387D03">
        <w:rPr>
          <w:rFonts w:ascii="Times New Roman" w:hAnsi="Times New Roman" w:cs="Times New Roman"/>
          <w:i/>
          <w:iCs/>
        </w:rPr>
        <w:t>In Re Student and Andover Public Schools</w:t>
      </w:r>
      <w:r w:rsidR="00D92EC0" w:rsidRPr="00387D03">
        <w:rPr>
          <w:rFonts w:ascii="Times New Roman" w:hAnsi="Times New Roman" w:cs="Times New Roman"/>
        </w:rPr>
        <w:t>, BSEA #2007733</w:t>
      </w:r>
      <w:r w:rsidR="00387D03">
        <w:rPr>
          <w:rFonts w:ascii="Times New Roman" w:hAnsi="Times New Roman" w:cs="Times New Roman"/>
        </w:rPr>
        <w:t xml:space="preserve"> (Berman 2020)</w:t>
      </w:r>
      <w:r w:rsidR="00D92EC0" w:rsidRPr="00387D03">
        <w:rPr>
          <w:rFonts w:ascii="Times New Roman" w:hAnsi="Times New Roman" w:cs="Times New Roman"/>
        </w:rPr>
        <w:t xml:space="preserve"> (concluding that in situations where ambiguity exists in the language of a settlement agreement and cannot be parsed, inquiry into whether there was a “meeting of the minds” is within the purview of a court of competent jurisdiction, rather than the BSEA);</w:t>
      </w:r>
      <w:r w:rsidR="00D92EC0" w:rsidRPr="00387D03">
        <w:rPr>
          <w:rFonts w:ascii="Times New Roman" w:hAnsi="Times New Roman" w:cs="Times New Roman"/>
          <w:i/>
          <w:iCs/>
        </w:rPr>
        <w:t xml:space="preserve"> Student v</w:t>
      </w:r>
      <w:r w:rsidR="00780D31">
        <w:rPr>
          <w:rFonts w:ascii="Times New Roman" w:hAnsi="Times New Roman" w:cs="Times New Roman"/>
          <w:i/>
          <w:iCs/>
        </w:rPr>
        <w:t>.</w:t>
      </w:r>
      <w:r w:rsidR="00D92EC0" w:rsidRPr="00387D03">
        <w:rPr>
          <w:rFonts w:ascii="Times New Roman" w:hAnsi="Times New Roman" w:cs="Times New Roman"/>
          <w:i/>
          <w:iCs/>
        </w:rPr>
        <w:t xml:space="preserve"> Worcester Public Schools</w:t>
      </w:r>
      <w:r w:rsidR="00D92EC0" w:rsidRPr="00387D03">
        <w:rPr>
          <w:rFonts w:ascii="Times New Roman" w:hAnsi="Times New Roman" w:cs="Times New Roman"/>
        </w:rPr>
        <w:t>, BSEA #1302473 (Putney-Yace</w:t>
      </w:r>
      <w:r w:rsidR="00780D31">
        <w:rPr>
          <w:rFonts w:ascii="Times New Roman" w:hAnsi="Times New Roman" w:cs="Times New Roman"/>
        </w:rPr>
        <w:t>s</w:t>
      </w:r>
      <w:r w:rsidR="00D92EC0" w:rsidRPr="00387D03">
        <w:rPr>
          <w:rFonts w:ascii="Times New Roman" w:hAnsi="Times New Roman" w:cs="Times New Roman"/>
        </w:rPr>
        <w:t xml:space="preserve">hyn 2013) (finding “that the BSEA does not have authority to interpret or enforce the terms of private settlement agreements” and, at the same time, </w:t>
      </w:r>
      <w:r w:rsidR="00387D03" w:rsidRPr="00387D03">
        <w:rPr>
          <w:rFonts w:ascii="Times New Roman" w:hAnsi="Times New Roman" w:cs="Times New Roman"/>
        </w:rPr>
        <w:t>relying on the existence of a settlement agreement and its terms barring the re-opening of the matter to dismiss a case);</w:t>
      </w:r>
      <w:r w:rsidR="00D92EC0" w:rsidRPr="00387D03">
        <w:rPr>
          <w:rFonts w:ascii="Times New Roman" w:hAnsi="Times New Roman" w:cs="Times New Roman"/>
        </w:rPr>
        <w:t xml:space="preserve"> </w:t>
      </w:r>
      <w:r w:rsidR="00D92EC0" w:rsidRPr="00387D03">
        <w:rPr>
          <w:rFonts w:ascii="Times New Roman" w:hAnsi="Times New Roman" w:cs="Times New Roman"/>
          <w:i/>
          <w:iCs/>
        </w:rPr>
        <w:t xml:space="preserve">In Re Student and </w:t>
      </w:r>
      <w:proofErr w:type="spellStart"/>
      <w:r w:rsidR="00D92EC0" w:rsidRPr="00387D03">
        <w:rPr>
          <w:rFonts w:ascii="Times New Roman" w:hAnsi="Times New Roman" w:cs="Times New Roman"/>
          <w:i/>
          <w:iCs/>
        </w:rPr>
        <w:t>Pentucket</w:t>
      </w:r>
      <w:proofErr w:type="spellEnd"/>
      <w:r w:rsidR="00D92EC0" w:rsidRPr="00387D03">
        <w:rPr>
          <w:rFonts w:ascii="Times New Roman" w:hAnsi="Times New Roman" w:cs="Times New Roman"/>
          <w:i/>
          <w:iCs/>
        </w:rPr>
        <w:t xml:space="preserve"> Regional High School,</w:t>
      </w:r>
      <w:r w:rsidR="00D92EC0" w:rsidRPr="00387D03">
        <w:rPr>
          <w:rFonts w:ascii="Times New Roman" w:hAnsi="Times New Roman" w:cs="Times New Roman"/>
        </w:rPr>
        <w:t xml:space="preserve"> BSEA # 128636 (Figueroa 2013) (relying on “clear and une</w:t>
      </w:r>
      <w:r w:rsidR="00387D03" w:rsidRPr="00387D03">
        <w:rPr>
          <w:rFonts w:ascii="Times New Roman" w:hAnsi="Times New Roman" w:cs="Times New Roman"/>
        </w:rPr>
        <w:t>quivoca</w:t>
      </w:r>
      <w:r w:rsidR="00D92EC0" w:rsidRPr="00387D03">
        <w:rPr>
          <w:rFonts w:ascii="Times New Roman" w:hAnsi="Times New Roman" w:cs="Times New Roman"/>
        </w:rPr>
        <w:t xml:space="preserve">l language of a settlement </w:t>
      </w:r>
      <w:r w:rsidR="00D92EC0" w:rsidRPr="00547263">
        <w:rPr>
          <w:rFonts w:ascii="Times New Roman" w:hAnsi="Times New Roman" w:cs="Times New Roman"/>
        </w:rPr>
        <w:t xml:space="preserve">agreement” to dismiss a claim); </w:t>
      </w:r>
      <w:r w:rsidRPr="00547263">
        <w:rPr>
          <w:rFonts w:ascii="Times New Roman" w:hAnsi="Times New Roman" w:cs="Times New Roman"/>
          <w:i/>
          <w:iCs/>
        </w:rPr>
        <w:t>In Re Israel and Monson Pub</w:t>
      </w:r>
      <w:r w:rsidR="00387D03" w:rsidRPr="00547263">
        <w:rPr>
          <w:rFonts w:ascii="Times New Roman" w:hAnsi="Times New Roman" w:cs="Times New Roman"/>
          <w:i/>
          <w:iCs/>
        </w:rPr>
        <w:t>lic Schools</w:t>
      </w:r>
      <w:r w:rsidRPr="00547263">
        <w:rPr>
          <w:rFonts w:ascii="Times New Roman" w:hAnsi="Times New Roman" w:cs="Times New Roman"/>
        </w:rPr>
        <w:t>, BSEA #105064 (Byrne 2010) (</w:t>
      </w:r>
      <w:r w:rsidR="00933F6A" w:rsidRPr="00547263">
        <w:rPr>
          <w:rFonts w:ascii="Times New Roman" w:hAnsi="Times New Roman" w:cs="Times New Roman"/>
        </w:rPr>
        <w:t>declining “to assert subject matter jurisdiction of a dispute that relates solely to the interpretation of a privately negotiated settlement agreement not incorporated into an IEP or BSEA order,” because, among other things, hearing officers</w:t>
      </w:r>
      <w:r w:rsidR="00D92EC0" w:rsidRPr="00547263">
        <w:rPr>
          <w:rFonts w:ascii="Times New Roman" w:hAnsi="Times New Roman" w:cs="Times New Roman"/>
        </w:rPr>
        <w:t xml:space="preserve"> </w:t>
      </w:r>
      <w:r w:rsidR="00933F6A" w:rsidRPr="00547263">
        <w:rPr>
          <w:rFonts w:ascii="Times New Roman" w:hAnsi="Times New Roman" w:cs="Times New Roman"/>
        </w:rPr>
        <w:t xml:space="preserve">lack experience and expertise in interpreting contract language and </w:t>
      </w:r>
      <w:r w:rsidR="00D92EC0" w:rsidRPr="00547263">
        <w:rPr>
          <w:rFonts w:ascii="Times New Roman" w:hAnsi="Times New Roman" w:cs="Times New Roman"/>
        </w:rPr>
        <w:t>due to the</w:t>
      </w:r>
      <w:r w:rsidR="00933F6A" w:rsidRPr="00547263">
        <w:rPr>
          <w:rFonts w:ascii="Times New Roman" w:hAnsi="Times New Roman" w:cs="Times New Roman"/>
        </w:rPr>
        <w:t xml:space="preserve"> very real possibility that the BSEA’s obligation to “enforce the public duties set out in the IDEA” would be inconsistent with enforcing, or otherwise endorsing, the terms of a privately negotiated settlement agreement</w:t>
      </w:r>
      <w:r w:rsidRPr="00547263">
        <w:rPr>
          <w:rFonts w:ascii="Times New Roman" w:hAnsi="Times New Roman" w:cs="Times New Roman"/>
        </w:rPr>
        <w:t xml:space="preserve">); </w:t>
      </w:r>
      <w:r w:rsidRPr="00547263">
        <w:rPr>
          <w:rFonts w:ascii="Times New Roman" w:hAnsi="Times New Roman" w:cs="Times New Roman"/>
          <w:i/>
          <w:iCs/>
        </w:rPr>
        <w:t>In Re Peabody Pub</w:t>
      </w:r>
      <w:r w:rsidR="00387D03" w:rsidRPr="00547263">
        <w:rPr>
          <w:rFonts w:ascii="Times New Roman" w:hAnsi="Times New Roman" w:cs="Times New Roman"/>
          <w:i/>
          <w:iCs/>
        </w:rPr>
        <w:t>lic Schools</w:t>
      </w:r>
      <w:r w:rsidRPr="00547263">
        <w:rPr>
          <w:rFonts w:ascii="Times New Roman" w:hAnsi="Times New Roman" w:cs="Times New Roman"/>
        </w:rPr>
        <w:t xml:space="preserve">, BSEA </w:t>
      </w:r>
      <w:r w:rsidR="00933F6A" w:rsidRPr="00547263">
        <w:rPr>
          <w:rFonts w:ascii="Times New Roman" w:hAnsi="Times New Roman" w:cs="Times New Roman"/>
        </w:rPr>
        <w:t xml:space="preserve"># </w:t>
      </w:r>
      <w:r w:rsidRPr="00547263">
        <w:rPr>
          <w:rFonts w:ascii="Times New Roman" w:hAnsi="Times New Roman" w:cs="Times New Roman"/>
        </w:rPr>
        <w:t xml:space="preserve">96506 (Crane 2009) </w:t>
      </w:r>
      <w:r w:rsidR="00933F6A" w:rsidRPr="00547263">
        <w:rPr>
          <w:rFonts w:ascii="Times New Roman" w:hAnsi="Times New Roman" w:cs="Times New Roman"/>
        </w:rPr>
        <w:t>(concluding that it is within the BSEA’s jurisdiction to review a settlement agreement reached through a settlement conference and consider its implications for Parent’s right to proceed to a hearing and determining, on the basis of the settlement agreement’s “clear and unambiguous language</w:t>
      </w:r>
      <w:r w:rsidR="00780D31">
        <w:rPr>
          <w:rFonts w:ascii="Times New Roman" w:hAnsi="Times New Roman" w:cs="Times New Roman"/>
        </w:rPr>
        <w:t>,</w:t>
      </w:r>
      <w:r w:rsidR="00933F6A" w:rsidRPr="00547263">
        <w:rPr>
          <w:rFonts w:ascii="Times New Roman" w:hAnsi="Times New Roman" w:cs="Times New Roman"/>
        </w:rPr>
        <w:t>” that the District had fulfilled its obligation)</w:t>
      </w:r>
      <w:r w:rsidR="00D92EC0" w:rsidRPr="00547263">
        <w:rPr>
          <w:rFonts w:ascii="Times New Roman" w:hAnsi="Times New Roman" w:cs="Times New Roman"/>
        </w:rPr>
        <w:t>.</w:t>
      </w:r>
    </w:p>
  </w:footnote>
  <w:footnote w:id="22">
    <w:p w14:paraId="047AE890" w14:textId="1BAEBDE2" w:rsidR="002103CB" w:rsidRPr="006F2991" w:rsidRDefault="002103CB" w:rsidP="000F03B8">
      <w:pPr>
        <w:pStyle w:val="FootnoteText"/>
        <w:rPr>
          <w:rFonts w:ascii="Times New Roman" w:hAnsi="Times New Roman" w:cs="Times New Roman"/>
        </w:rPr>
      </w:pPr>
      <w:r w:rsidRPr="00547263">
        <w:rPr>
          <w:rStyle w:val="FootnoteReference"/>
          <w:rFonts w:ascii="Times New Roman" w:hAnsi="Times New Roman" w:cs="Times New Roman"/>
        </w:rPr>
        <w:footnoteRef/>
      </w:r>
      <w:r w:rsidRPr="00547263">
        <w:rPr>
          <w:rFonts w:ascii="Times New Roman" w:hAnsi="Times New Roman" w:cs="Times New Roman"/>
        </w:rPr>
        <w:t xml:space="preserve"> See</w:t>
      </w:r>
      <w:r w:rsidR="000F03B8" w:rsidRPr="00547263">
        <w:rPr>
          <w:rFonts w:ascii="Times New Roman" w:hAnsi="Times New Roman" w:cs="Times New Roman"/>
        </w:rPr>
        <w:t xml:space="preserve">, e.g., </w:t>
      </w:r>
      <w:r w:rsidR="000F03B8" w:rsidRPr="00547263">
        <w:rPr>
          <w:rFonts w:ascii="Times New Roman" w:hAnsi="Times New Roman" w:cs="Times New Roman"/>
          <w:i/>
          <w:iCs/>
        </w:rPr>
        <w:t>H.C. v. Colton-</w:t>
      </w:r>
      <w:proofErr w:type="spellStart"/>
      <w:r w:rsidR="000F03B8" w:rsidRPr="00547263">
        <w:rPr>
          <w:rFonts w:ascii="Times New Roman" w:hAnsi="Times New Roman" w:cs="Times New Roman"/>
          <w:i/>
          <w:iCs/>
        </w:rPr>
        <w:t>Pierrepont</w:t>
      </w:r>
      <w:proofErr w:type="spellEnd"/>
      <w:r w:rsidR="000F03B8" w:rsidRPr="00547263">
        <w:rPr>
          <w:rFonts w:ascii="Times New Roman" w:hAnsi="Times New Roman" w:cs="Times New Roman"/>
          <w:i/>
          <w:iCs/>
        </w:rPr>
        <w:t xml:space="preserve"> Cent. Sch. Dist.</w:t>
      </w:r>
      <w:r w:rsidR="000F03B8" w:rsidRPr="00547263">
        <w:rPr>
          <w:rFonts w:ascii="Times New Roman" w:hAnsi="Times New Roman" w:cs="Times New Roman"/>
        </w:rPr>
        <w:t>, 341 Fed. Appx. 687, 690 n.3 (2nd Cir. 2009) (unpublished) (implying that hearing officer has responsibility to consider</w:t>
      </w:r>
      <w:r w:rsidR="0003599D">
        <w:rPr>
          <w:rFonts w:ascii="Times New Roman" w:hAnsi="Times New Roman" w:cs="Times New Roman"/>
        </w:rPr>
        <w:t xml:space="preserve"> a</w:t>
      </w:r>
      <w:r w:rsidR="000F03B8" w:rsidRPr="00547263">
        <w:rPr>
          <w:rFonts w:ascii="Times New Roman" w:hAnsi="Times New Roman" w:cs="Times New Roman"/>
        </w:rPr>
        <w:t xml:space="preserve"> settlement agreement to extent it may have been relevant to FAPE issue before him); </w:t>
      </w:r>
      <w:r w:rsidR="000F03B8" w:rsidRPr="00547263">
        <w:rPr>
          <w:rFonts w:ascii="Times New Roman" w:hAnsi="Times New Roman" w:cs="Times New Roman"/>
          <w:i/>
          <w:iCs/>
        </w:rPr>
        <w:t>School Bd. of Lee County v. M.M.</w:t>
      </w:r>
      <w:r w:rsidR="000F03B8" w:rsidRPr="00547263">
        <w:rPr>
          <w:rFonts w:ascii="Times New Roman" w:hAnsi="Times New Roman" w:cs="Times New Roman"/>
        </w:rPr>
        <w:t xml:space="preserve">, 348 Fed. Appx. 504, 512 (11th Cir. 2009) (unpublished) (requiring exhaustion of claims involving settlement agreement); </w:t>
      </w:r>
      <w:r w:rsidR="000F03B8" w:rsidRPr="00547263">
        <w:rPr>
          <w:rFonts w:ascii="Times New Roman" w:hAnsi="Times New Roman" w:cs="Times New Roman"/>
          <w:i/>
          <w:iCs/>
        </w:rPr>
        <w:t>T.L. ex rel. G.L. v. Palm Springs Unified Sch. Dist</w:t>
      </w:r>
      <w:r w:rsidR="000F03B8" w:rsidRPr="00547263">
        <w:rPr>
          <w:rFonts w:ascii="Times New Roman" w:hAnsi="Times New Roman" w:cs="Times New Roman"/>
        </w:rPr>
        <w:t>., 304 Fed. Appx. 548, 549 (9th Cir. 2008) (unpublished) (same)</w:t>
      </w:r>
      <w:r w:rsidR="006F2991">
        <w:rPr>
          <w:rFonts w:ascii="Times New Roman" w:hAnsi="Times New Roman" w:cs="Times New Roman"/>
        </w:rPr>
        <w:t xml:space="preserve">; </w:t>
      </w:r>
      <w:r w:rsidR="006F2991">
        <w:rPr>
          <w:rFonts w:ascii="Times New Roman" w:hAnsi="Times New Roman" w:cs="Times New Roman"/>
          <w:i/>
          <w:iCs/>
        </w:rPr>
        <w:t xml:space="preserve">Justin R. v. </w:t>
      </w:r>
      <w:proofErr w:type="spellStart"/>
      <w:r w:rsidR="006F2991">
        <w:rPr>
          <w:rFonts w:ascii="Times New Roman" w:hAnsi="Times New Roman" w:cs="Times New Roman"/>
          <w:i/>
          <w:iCs/>
        </w:rPr>
        <w:t>Matayoshi</w:t>
      </w:r>
      <w:proofErr w:type="spellEnd"/>
      <w:r w:rsidR="006F2991">
        <w:rPr>
          <w:rFonts w:ascii="Times New Roman" w:hAnsi="Times New Roman" w:cs="Times New Roman"/>
        </w:rPr>
        <w:t>, 2011 WL 24706, at *13 (unpublished) (hearing officer may consider terms of settlement agreement in relation to other issues, such as determining whether a student has received a free appropriate public education (FAPE)</w:t>
      </w:r>
      <w:r w:rsidR="00B670B7">
        <w:rPr>
          <w:rFonts w:ascii="Times New Roman" w:hAnsi="Times New Roman" w:cs="Times New Roman"/>
        </w:rPr>
        <w:t>).</w:t>
      </w:r>
    </w:p>
  </w:footnote>
  <w:footnote w:id="23">
    <w:p w14:paraId="37523483" w14:textId="72E09319" w:rsidR="001C41FE" w:rsidRPr="00547263" w:rsidRDefault="001C41FE">
      <w:pPr>
        <w:pStyle w:val="FootnoteText"/>
        <w:rPr>
          <w:rFonts w:ascii="Times New Roman" w:hAnsi="Times New Roman" w:cs="Times New Roman"/>
        </w:rPr>
      </w:pPr>
      <w:r w:rsidRPr="00547263">
        <w:rPr>
          <w:rStyle w:val="FootnoteReference"/>
          <w:rFonts w:ascii="Times New Roman" w:hAnsi="Times New Roman" w:cs="Times New Roman"/>
        </w:rPr>
        <w:footnoteRef/>
      </w:r>
      <w:r w:rsidRPr="00547263">
        <w:rPr>
          <w:rFonts w:ascii="Times New Roman" w:hAnsi="Times New Roman" w:cs="Times New Roman"/>
        </w:rPr>
        <w:t xml:space="preserve"> </w:t>
      </w:r>
      <w:r w:rsidR="00387D03" w:rsidRPr="00547263">
        <w:rPr>
          <w:rFonts w:ascii="Times New Roman" w:hAnsi="Times New Roman" w:cs="Times New Roman"/>
        </w:rPr>
        <w:t>See, e.g.,</w:t>
      </w:r>
      <w:r w:rsidR="00387D03" w:rsidRPr="00547263">
        <w:rPr>
          <w:rFonts w:ascii="Times New Roman" w:hAnsi="Times New Roman" w:cs="Times New Roman"/>
          <w:i/>
          <w:iCs/>
        </w:rPr>
        <w:t xml:space="preserve"> Andover Public Schools</w:t>
      </w:r>
      <w:r w:rsidR="00387D03" w:rsidRPr="00547263">
        <w:rPr>
          <w:rFonts w:ascii="Times New Roman" w:hAnsi="Times New Roman" w:cs="Times New Roman"/>
        </w:rPr>
        <w:t xml:space="preserve">, </w:t>
      </w:r>
      <w:r w:rsidR="00387D03" w:rsidRPr="00547263">
        <w:rPr>
          <w:rFonts w:ascii="Times New Roman" w:hAnsi="Times New Roman" w:cs="Times New Roman"/>
          <w:i/>
          <w:iCs/>
        </w:rPr>
        <w:t>supra</w:t>
      </w:r>
      <w:r w:rsidR="00387D03" w:rsidRPr="00547263">
        <w:rPr>
          <w:rFonts w:ascii="Times New Roman" w:hAnsi="Times New Roman" w:cs="Times New Roman"/>
        </w:rPr>
        <w:t xml:space="preserve">, </w:t>
      </w:r>
      <w:r w:rsidR="00387D03" w:rsidRPr="00547263">
        <w:rPr>
          <w:rFonts w:ascii="Times New Roman" w:hAnsi="Times New Roman" w:cs="Times New Roman"/>
          <w:i/>
          <w:iCs/>
        </w:rPr>
        <w:t>Monson Public Schools, supra, Peabody Public Schools, supra</w:t>
      </w:r>
      <w:r w:rsidR="00387D03" w:rsidRPr="00547263">
        <w:rPr>
          <w:rFonts w:ascii="Times New Roman" w:hAnsi="Times New Roman" w:cs="Times New Roman"/>
        </w:rPr>
        <w:t>.</w:t>
      </w:r>
    </w:p>
  </w:footnote>
  <w:footnote w:id="24">
    <w:p w14:paraId="62705D95" w14:textId="3E0852C7" w:rsidR="006F2991" w:rsidRPr="006F2991" w:rsidRDefault="006F2991" w:rsidP="006F2991">
      <w:pPr>
        <w:pStyle w:val="FootnoteText"/>
        <w:rPr>
          <w:rFonts w:ascii="Times New Roman" w:hAnsi="Times New Roman" w:cs="Times New Roman"/>
        </w:rPr>
      </w:pPr>
      <w:r w:rsidRPr="00547263">
        <w:rPr>
          <w:rStyle w:val="FootnoteReference"/>
          <w:rFonts w:ascii="Times New Roman" w:hAnsi="Times New Roman" w:cs="Times New Roman"/>
        </w:rPr>
        <w:footnoteRef/>
      </w:r>
      <w:r w:rsidRPr="00547263">
        <w:rPr>
          <w:rFonts w:ascii="Times New Roman" w:hAnsi="Times New Roman" w:cs="Times New Roman"/>
        </w:rPr>
        <w:t xml:space="preserve"> </w:t>
      </w:r>
      <w:r>
        <w:rPr>
          <w:rFonts w:ascii="Times New Roman" w:hAnsi="Times New Roman" w:cs="Times New Roman"/>
        </w:rPr>
        <w:t xml:space="preserve">See, </w:t>
      </w:r>
      <w:r w:rsidRPr="006F2991">
        <w:rPr>
          <w:rFonts w:ascii="Times New Roman" w:hAnsi="Times New Roman" w:cs="Times New Roman"/>
        </w:rPr>
        <w:t>e.g.,</w:t>
      </w:r>
      <w:r w:rsidRPr="00547263">
        <w:rPr>
          <w:rFonts w:ascii="Times New Roman" w:hAnsi="Times New Roman" w:cs="Times New Roman"/>
        </w:rPr>
        <w:t xml:space="preserve"> </w:t>
      </w:r>
      <w:r w:rsidRPr="003C2CCA">
        <w:rPr>
          <w:rFonts w:ascii="Times New Roman" w:hAnsi="Times New Roman" w:cs="Times New Roman"/>
          <w:i/>
          <w:iCs/>
        </w:rPr>
        <w:t>Council Rock Sch. Dist.</w:t>
      </w:r>
      <w:r w:rsidRPr="003C2CCA">
        <w:rPr>
          <w:rFonts w:ascii="Times New Roman" w:hAnsi="Times New Roman" w:cs="Times New Roman"/>
        </w:rPr>
        <w:t xml:space="preserve">, 833 F. Supp. 2d </w:t>
      </w:r>
      <w:r>
        <w:rPr>
          <w:rFonts w:ascii="Times New Roman" w:hAnsi="Times New Roman" w:cs="Times New Roman"/>
        </w:rPr>
        <w:t>at 448-49 (</w:t>
      </w:r>
      <w:r w:rsidR="00F722EB">
        <w:rPr>
          <w:rFonts w:ascii="Times New Roman" w:hAnsi="Times New Roman" w:cs="Times New Roman"/>
        </w:rPr>
        <w:t xml:space="preserve">enforcement of a settlement agreement exceeds hearing officer’s authority); </w:t>
      </w:r>
      <w:r w:rsidRPr="00547263">
        <w:rPr>
          <w:rFonts w:ascii="Times New Roman" w:hAnsi="Times New Roman" w:cs="Times New Roman"/>
          <w:i/>
          <w:iCs/>
        </w:rPr>
        <w:t>Colton-</w:t>
      </w:r>
      <w:proofErr w:type="spellStart"/>
      <w:r w:rsidRPr="00547263">
        <w:rPr>
          <w:rFonts w:ascii="Times New Roman" w:hAnsi="Times New Roman" w:cs="Times New Roman"/>
          <w:i/>
          <w:iCs/>
        </w:rPr>
        <w:t>Pierrepont</w:t>
      </w:r>
      <w:proofErr w:type="spellEnd"/>
      <w:r w:rsidRPr="00547263">
        <w:rPr>
          <w:rFonts w:ascii="Times New Roman" w:hAnsi="Times New Roman" w:cs="Times New Roman"/>
        </w:rPr>
        <w:t>, 341 Fed. Appx. at 689 (</w:t>
      </w:r>
      <w:r>
        <w:rPr>
          <w:rFonts w:ascii="Times New Roman" w:hAnsi="Times New Roman" w:cs="Times New Roman"/>
        </w:rPr>
        <w:t xml:space="preserve">hearing officer </w:t>
      </w:r>
      <w:r w:rsidRPr="00547263">
        <w:rPr>
          <w:rFonts w:ascii="Times New Roman" w:hAnsi="Times New Roman" w:cs="Times New Roman"/>
        </w:rPr>
        <w:t xml:space="preserve">has “no authority to enforce [a] settlement agreement – essentially a contract between the parties”); </w:t>
      </w:r>
      <w:r>
        <w:rPr>
          <w:rFonts w:ascii="Times New Roman" w:hAnsi="Times New Roman" w:cs="Times New Roman"/>
          <w:i/>
          <w:iCs/>
        </w:rPr>
        <w:t>Justin R.</w:t>
      </w:r>
      <w:r>
        <w:rPr>
          <w:rFonts w:ascii="Times New Roman" w:hAnsi="Times New Roman" w:cs="Times New Roman"/>
        </w:rPr>
        <w:t>, 2011 WL 24706, at *13 (hearing officer does not have jurisdiction to enforce a settlement agreement)</w:t>
      </w:r>
      <w:r w:rsidR="000C0AA1">
        <w:rPr>
          <w:rFonts w:ascii="Times New Roman" w:hAnsi="Times New Roman" w:cs="Times New Roman"/>
        </w:rPr>
        <w:t>.</w:t>
      </w:r>
    </w:p>
  </w:footnote>
  <w:footnote w:id="25">
    <w:p w14:paraId="6C266AC9" w14:textId="21492EF2" w:rsidR="00F722EB" w:rsidRDefault="00F722EB">
      <w:pPr>
        <w:pStyle w:val="FootnoteText"/>
      </w:pPr>
      <w:r>
        <w:rPr>
          <w:rStyle w:val="FootnoteReference"/>
        </w:rPr>
        <w:footnoteRef/>
      </w:r>
      <w:r>
        <w:t xml:space="preserve"> </w:t>
      </w:r>
      <w:r w:rsidRPr="003C2CCA">
        <w:rPr>
          <w:rFonts w:ascii="Times New Roman" w:hAnsi="Times New Roman" w:cs="Times New Roman"/>
          <w:i/>
          <w:iCs/>
        </w:rPr>
        <w:t>Council Rock Sch. Dist.</w:t>
      </w:r>
      <w:r w:rsidRPr="003C2CCA">
        <w:rPr>
          <w:rFonts w:ascii="Times New Roman" w:hAnsi="Times New Roman" w:cs="Times New Roman"/>
        </w:rPr>
        <w:t xml:space="preserve">, 833 F. Supp. 2d </w:t>
      </w:r>
      <w:r>
        <w:rPr>
          <w:rFonts w:ascii="Times New Roman" w:hAnsi="Times New Roman" w:cs="Times New Roman"/>
        </w:rPr>
        <w:t>at 448-49 (internal quotation marks and citations omitted).</w:t>
      </w:r>
    </w:p>
  </w:footnote>
  <w:footnote w:id="26">
    <w:p w14:paraId="2EE87739" w14:textId="1876538A" w:rsidR="001C41FE" w:rsidRPr="00547263" w:rsidRDefault="001C41FE">
      <w:pPr>
        <w:pStyle w:val="FootnoteText"/>
        <w:rPr>
          <w:rFonts w:ascii="Times New Roman" w:hAnsi="Times New Roman" w:cs="Times New Roman"/>
        </w:rPr>
      </w:pPr>
      <w:r w:rsidRPr="00547263">
        <w:rPr>
          <w:rStyle w:val="FootnoteReference"/>
          <w:rFonts w:ascii="Times New Roman" w:hAnsi="Times New Roman" w:cs="Times New Roman"/>
        </w:rPr>
        <w:footnoteRef/>
      </w:r>
      <w:r w:rsidRPr="00547263">
        <w:rPr>
          <w:rFonts w:ascii="Times New Roman" w:hAnsi="Times New Roman" w:cs="Times New Roman"/>
        </w:rPr>
        <w:t xml:space="preserve"> </w:t>
      </w:r>
      <w:r w:rsidR="00387D03" w:rsidRPr="00547263">
        <w:rPr>
          <w:rFonts w:ascii="Times New Roman" w:hAnsi="Times New Roman" w:cs="Times New Roman"/>
        </w:rPr>
        <w:t>See, e.g.,</w:t>
      </w:r>
      <w:r w:rsidR="00387D03" w:rsidRPr="00547263">
        <w:rPr>
          <w:rFonts w:ascii="Times New Roman" w:hAnsi="Times New Roman" w:cs="Times New Roman"/>
          <w:i/>
          <w:iCs/>
        </w:rPr>
        <w:t xml:space="preserve"> Andover Public Schools</w:t>
      </w:r>
      <w:r w:rsidR="00387D03" w:rsidRPr="00547263">
        <w:rPr>
          <w:rFonts w:ascii="Times New Roman" w:hAnsi="Times New Roman" w:cs="Times New Roman"/>
        </w:rPr>
        <w:t xml:space="preserve">, </w:t>
      </w:r>
      <w:r w:rsidR="00387D03" w:rsidRPr="00547263">
        <w:rPr>
          <w:rFonts w:ascii="Times New Roman" w:hAnsi="Times New Roman" w:cs="Times New Roman"/>
          <w:i/>
          <w:iCs/>
        </w:rPr>
        <w:t>supra</w:t>
      </w:r>
      <w:r w:rsidR="00387D03" w:rsidRPr="00547263">
        <w:rPr>
          <w:rFonts w:ascii="Times New Roman" w:hAnsi="Times New Roman" w:cs="Times New Roman"/>
        </w:rPr>
        <w:t xml:space="preserve">, </w:t>
      </w:r>
      <w:r w:rsidR="00387D03" w:rsidRPr="00547263">
        <w:rPr>
          <w:rFonts w:ascii="Times New Roman" w:hAnsi="Times New Roman" w:cs="Times New Roman"/>
          <w:i/>
          <w:iCs/>
        </w:rPr>
        <w:t>Monson Public Schools, supra, Peabody Public Schools, supra</w:t>
      </w:r>
      <w:r w:rsidR="00387D03" w:rsidRPr="00547263">
        <w:rPr>
          <w:rFonts w:ascii="Times New Roman" w:hAnsi="Times New Roman" w:cs="Times New Roman"/>
        </w:rPr>
        <w:t>.</w:t>
      </w:r>
    </w:p>
  </w:footnote>
  <w:footnote w:id="27">
    <w:p w14:paraId="3030120E" w14:textId="43C24BB8" w:rsidR="001C41FE" w:rsidRPr="00547263" w:rsidRDefault="001C41FE">
      <w:pPr>
        <w:pStyle w:val="FootnoteText"/>
        <w:rPr>
          <w:rFonts w:ascii="Times New Roman" w:hAnsi="Times New Roman" w:cs="Times New Roman"/>
        </w:rPr>
      </w:pPr>
      <w:r w:rsidRPr="00547263">
        <w:rPr>
          <w:rStyle w:val="FootnoteReference"/>
          <w:rFonts w:ascii="Times New Roman" w:hAnsi="Times New Roman" w:cs="Times New Roman"/>
        </w:rPr>
        <w:footnoteRef/>
      </w:r>
      <w:r w:rsidRPr="00547263">
        <w:rPr>
          <w:rFonts w:ascii="Times New Roman" w:hAnsi="Times New Roman" w:cs="Times New Roman"/>
        </w:rPr>
        <w:t xml:space="preserve"> See </w:t>
      </w:r>
      <w:r w:rsidRPr="00547263">
        <w:rPr>
          <w:rFonts w:ascii="Times New Roman" w:hAnsi="Times New Roman" w:cs="Times New Roman"/>
          <w:i/>
          <w:iCs/>
        </w:rPr>
        <w:t>S. Kingstown Sch. Comm. v. Joanna S.</w:t>
      </w:r>
      <w:r w:rsidR="00AE1A2D" w:rsidRPr="00547263">
        <w:rPr>
          <w:rFonts w:ascii="Times New Roman" w:hAnsi="Times New Roman" w:cs="Times New Roman"/>
        </w:rPr>
        <w:t xml:space="preserve">, </w:t>
      </w:r>
      <w:r w:rsidRPr="00547263">
        <w:rPr>
          <w:rFonts w:ascii="Times New Roman" w:hAnsi="Times New Roman" w:cs="Times New Roman"/>
        </w:rPr>
        <w:t>773 F.3d</w:t>
      </w:r>
      <w:r w:rsidR="00AE1A2D" w:rsidRPr="00547263">
        <w:rPr>
          <w:rFonts w:ascii="Times New Roman" w:hAnsi="Times New Roman" w:cs="Times New Roman"/>
        </w:rPr>
        <w:t xml:space="preserve">, 353 </w:t>
      </w:r>
      <w:r w:rsidRPr="00547263">
        <w:rPr>
          <w:rFonts w:ascii="Times New Roman" w:hAnsi="Times New Roman" w:cs="Times New Roman"/>
        </w:rPr>
        <w:t>n.3 (1st Cir. 2014)</w:t>
      </w:r>
      <w:r w:rsidR="00AE1A2D" w:rsidRPr="00547263">
        <w:rPr>
          <w:rFonts w:ascii="Times New Roman" w:hAnsi="Times New Roman" w:cs="Times New Roman"/>
        </w:rPr>
        <w:t xml:space="preserve"> (“We need not address the separate issue whether the Hearing Officer in the course of performing her statutory duties had the authority to consider the Settlement Agreement as a defense, a question that seems to have divided lower courts”).</w:t>
      </w:r>
    </w:p>
  </w:footnote>
  <w:footnote w:id="28">
    <w:p w14:paraId="14BE6DC6" w14:textId="5F0E1A86" w:rsidR="001C41FE" w:rsidRPr="00547263" w:rsidRDefault="001C41FE">
      <w:pPr>
        <w:pStyle w:val="FootnoteText"/>
        <w:rPr>
          <w:rFonts w:ascii="Times New Roman" w:hAnsi="Times New Roman" w:cs="Times New Roman"/>
        </w:rPr>
      </w:pPr>
      <w:r w:rsidRPr="00547263">
        <w:rPr>
          <w:rStyle w:val="FootnoteReference"/>
          <w:rFonts w:ascii="Times New Roman" w:hAnsi="Times New Roman" w:cs="Times New Roman"/>
        </w:rPr>
        <w:footnoteRef/>
      </w:r>
      <w:r w:rsidRPr="00547263">
        <w:rPr>
          <w:rFonts w:ascii="Times New Roman" w:hAnsi="Times New Roman" w:cs="Times New Roman"/>
        </w:rPr>
        <w:t xml:space="preserve"> See </w:t>
      </w:r>
      <w:r w:rsidRPr="00547263">
        <w:rPr>
          <w:rFonts w:ascii="Times New Roman" w:hAnsi="Times New Roman" w:cs="Times New Roman"/>
          <w:i/>
          <w:iCs/>
        </w:rPr>
        <w:t xml:space="preserve">School Bd. </w:t>
      </w:r>
      <w:r w:rsidR="00A1372C" w:rsidRPr="00547263">
        <w:rPr>
          <w:rFonts w:ascii="Times New Roman" w:hAnsi="Times New Roman" w:cs="Times New Roman"/>
          <w:i/>
          <w:iCs/>
        </w:rPr>
        <w:t>o</w:t>
      </w:r>
      <w:r w:rsidRPr="00547263">
        <w:rPr>
          <w:rFonts w:ascii="Times New Roman" w:hAnsi="Times New Roman" w:cs="Times New Roman"/>
          <w:i/>
          <w:iCs/>
        </w:rPr>
        <w:t>f Lee County</w:t>
      </w:r>
      <w:r w:rsidR="000F03B8" w:rsidRPr="00547263">
        <w:rPr>
          <w:rFonts w:ascii="Times New Roman" w:hAnsi="Times New Roman" w:cs="Times New Roman"/>
        </w:rPr>
        <w:t xml:space="preserve">, </w:t>
      </w:r>
      <w:r w:rsidR="0001665A" w:rsidRPr="00547263">
        <w:rPr>
          <w:rFonts w:ascii="Times New Roman" w:hAnsi="Times New Roman" w:cs="Times New Roman"/>
        </w:rPr>
        <w:t xml:space="preserve">348 Fed. Appx. </w:t>
      </w:r>
      <w:r w:rsidR="000F03B8" w:rsidRPr="00547263">
        <w:rPr>
          <w:rFonts w:ascii="Times New Roman" w:hAnsi="Times New Roman" w:cs="Times New Roman"/>
        </w:rPr>
        <w:t xml:space="preserve">at </w:t>
      </w:r>
      <w:r w:rsidR="0001665A" w:rsidRPr="00547263">
        <w:rPr>
          <w:rFonts w:ascii="Times New Roman" w:hAnsi="Times New Roman" w:cs="Times New Roman"/>
        </w:rPr>
        <w:t>512</w:t>
      </w:r>
      <w:r w:rsidRPr="00547263">
        <w:rPr>
          <w:rFonts w:ascii="Times New Roman" w:hAnsi="Times New Roman" w:cs="Times New Roman"/>
        </w:rPr>
        <w:t xml:space="preserve">; </w:t>
      </w:r>
      <w:r w:rsidRPr="00547263">
        <w:rPr>
          <w:rFonts w:ascii="Times New Roman" w:hAnsi="Times New Roman" w:cs="Times New Roman"/>
          <w:i/>
          <w:iCs/>
        </w:rPr>
        <w:t>Palm Springs Unified Sch. Dist</w:t>
      </w:r>
      <w:r w:rsidRPr="00547263">
        <w:rPr>
          <w:rFonts w:ascii="Times New Roman" w:hAnsi="Times New Roman" w:cs="Times New Roman"/>
        </w:rPr>
        <w:t xml:space="preserve">., 304 Fed. Appx. </w:t>
      </w:r>
      <w:r w:rsidR="000F03B8" w:rsidRPr="00547263">
        <w:rPr>
          <w:rFonts w:ascii="Times New Roman" w:hAnsi="Times New Roman" w:cs="Times New Roman"/>
        </w:rPr>
        <w:t>at</w:t>
      </w:r>
      <w:r w:rsidR="00A167D6" w:rsidRPr="00547263">
        <w:rPr>
          <w:rFonts w:ascii="Times New Roman" w:hAnsi="Times New Roman" w:cs="Times New Roman"/>
        </w:rPr>
        <w:t xml:space="preserve"> 549</w:t>
      </w:r>
      <w:r w:rsidR="000F03B8" w:rsidRPr="00547263">
        <w:rPr>
          <w:rFonts w:ascii="Times New Roman" w:hAnsi="Times New Roman" w:cs="Times New Roman"/>
        </w:rPr>
        <w:t xml:space="preserve">. </w:t>
      </w:r>
      <w:r w:rsidR="00AE1A2D" w:rsidRPr="00547263">
        <w:rPr>
          <w:rFonts w:ascii="Times New Roman" w:hAnsi="Times New Roman" w:cs="Times New Roman"/>
        </w:rPr>
        <w:t xml:space="preserve">See also </w:t>
      </w:r>
      <w:r w:rsidR="00AE1A2D" w:rsidRPr="00547263">
        <w:rPr>
          <w:rFonts w:ascii="Times New Roman" w:hAnsi="Times New Roman" w:cs="Times New Roman"/>
          <w:i/>
          <w:iCs/>
        </w:rPr>
        <w:t xml:space="preserve">D.B.A. ex rel. </w:t>
      </w:r>
      <w:proofErr w:type="spellStart"/>
      <w:r w:rsidR="00AE1A2D" w:rsidRPr="00547263">
        <w:rPr>
          <w:rFonts w:ascii="Times New Roman" w:hAnsi="Times New Roman" w:cs="Times New Roman"/>
          <w:i/>
          <w:iCs/>
        </w:rPr>
        <w:t>Snerlling</w:t>
      </w:r>
      <w:proofErr w:type="spellEnd"/>
      <w:r w:rsidR="00AE1A2D" w:rsidRPr="00547263">
        <w:rPr>
          <w:rFonts w:ascii="Times New Roman" w:hAnsi="Times New Roman" w:cs="Times New Roman"/>
          <w:i/>
          <w:iCs/>
        </w:rPr>
        <w:t xml:space="preserve"> v. Special Sch</w:t>
      </w:r>
      <w:r w:rsidR="00A167D6" w:rsidRPr="00547263">
        <w:rPr>
          <w:rFonts w:ascii="Times New Roman" w:hAnsi="Times New Roman" w:cs="Times New Roman"/>
          <w:i/>
          <w:iCs/>
        </w:rPr>
        <w:t>.</w:t>
      </w:r>
      <w:r w:rsidR="00AE1A2D" w:rsidRPr="00547263">
        <w:rPr>
          <w:rFonts w:ascii="Times New Roman" w:hAnsi="Times New Roman" w:cs="Times New Roman"/>
          <w:i/>
          <w:iCs/>
        </w:rPr>
        <w:t xml:space="preserve"> Dist. No. 1, </w:t>
      </w:r>
      <w:r w:rsidR="00AE1A2D" w:rsidRPr="00547263">
        <w:rPr>
          <w:rFonts w:ascii="Times New Roman" w:hAnsi="Times New Roman" w:cs="Times New Roman"/>
        </w:rPr>
        <w:t xml:space="preserve">2010 WL 5300946 at *4 (D. Minn. 2010) (unpublished) (Hearing officer has no authority to enforce settlement </w:t>
      </w:r>
      <w:proofErr w:type="gramStart"/>
      <w:r w:rsidR="00AE1A2D" w:rsidRPr="00547263">
        <w:rPr>
          <w:rFonts w:ascii="Times New Roman" w:hAnsi="Times New Roman" w:cs="Times New Roman"/>
        </w:rPr>
        <w:t>agreements, but</w:t>
      </w:r>
      <w:proofErr w:type="gramEnd"/>
      <w:r w:rsidR="00AE1A2D" w:rsidRPr="00547263">
        <w:rPr>
          <w:rFonts w:ascii="Times New Roman" w:hAnsi="Times New Roman" w:cs="Times New Roman"/>
        </w:rPr>
        <w:t xml:space="preserve"> may “review and interpret a settlement agreement for the purpose of determining whether jurisdiction exists”)</w:t>
      </w:r>
      <w:r w:rsidR="0003599D">
        <w:rPr>
          <w:rFonts w:ascii="Times New Roman" w:hAnsi="Times New Roman" w:cs="Times New Roman"/>
        </w:rPr>
        <w:t>.</w:t>
      </w:r>
    </w:p>
  </w:footnote>
  <w:footnote w:id="29">
    <w:p w14:paraId="6B2683E9" w14:textId="301A4672" w:rsidR="00A1372C" w:rsidRPr="00547263" w:rsidRDefault="00A1372C">
      <w:pPr>
        <w:pStyle w:val="FootnoteText"/>
        <w:rPr>
          <w:rFonts w:ascii="Times New Roman" w:hAnsi="Times New Roman" w:cs="Times New Roman"/>
          <w:i/>
          <w:iCs/>
        </w:rPr>
      </w:pPr>
      <w:r w:rsidRPr="00547263">
        <w:rPr>
          <w:rStyle w:val="FootnoteReference"/>
          <w:rFonts w:ascii="Times New Roman" w:hAnsi="Times New Roman" w:cs="Times New Roman"/>
        </w:rPr>
        <w:footnoteRef/>
      </w:r>
      <w:r w:rsidRPr="00547263">
        <w:rPr>
          <w:rFonts w:ascii="Times New Roman" w:hAnsi="Times New Roman" w:cs="Times New Roman"/>
        </w:rPr>
        <w:t xml:space="preserve"> </w:t>
      </w:r>
      <w:r w:rsidR="00547263" w:rsidRPr="00547263">
        <w:rPr>
          <w:rFonts w:ascii="Times New Roman" w:hAnsi="Times New Roman" w:cs="Times New Roman"/>
        </w:rPr>
        <w:t xml:space="preserve">See </w:t>
      </w:r>
      <w:r w:rsidR="00547263" w:rsidRPr="00547263">
        <w:rPr>
          <w:rFonts w:ascii="Times New Roman" w:hAnsi="Times New Roman" w:cs="Times New Roman"/>
          <w:i/>
          <w:iCs/>
        </w:rPr>
        <w:t>School Bd. of Lee County</w:t>
      </w:r>
      <w:r w:rsidR="00547263" w:rsidRPr="00547263">
        <w:rPr>
          <w:rFonts w:ascii="Times New Roman" w:hAnsi="Times New Roman" w:cs="Times New Roman"/>
        </w:rPr>
        <w:t>, 348 Fed. Appx. at 512.</w:t>
      </w:r>
    </w:p>
  </w:footnote>
  <w:footnote w:id="30">
    <w:p w14:paraId="41F506FB" w14:textId="324DE10F" w:rsidR="001C41FE" w:rsidRPr="00AE1A2D" w:rsidRDefault="001C41FE">
      <w:pPr>
        <w:pStyle w:val="FootnoteText"/>
      </w:pPr>
      <w:r w:rsidRPr="00547263">
        <w:rPr>
          <w:rStyle w:val="FootnoteReference"/>
          <w:rFonts w:ascii="Times New Roman" w:hAnsi="Times New Roman" w:cs="Times New Roman"/>
        </w:rPr>
        <w:footnoteRef/>
      </w:r>
      <w:r w:rsidR="00AE1A2D" w:rsidRPr="00547263">
        <w:rPr>
          <w:rFonts w:ascii="Times New Roman" w:hAnsi="Times New Roman" w:cs="Times New Roman"/>
        </w:rPr>
        <w:t xml:space="preserve"> </w:t>
      </w:r>
      <w:r w:rsidR="00AE1A2D" w:rsidRPr="00547263">
        <w:rPr>
          <w:rFonts w:ascii="Times New Roman" w:hAnsi="Times New Roman" w:cs="Times New Roman"/>
          <w:i/>
          <w:iCs/>
        </w:rPr>
        <w:t>Colton-</w:t>
      </w:r>
      <w:proofErr w:type="spellStart"/>
      <w:r w:rsidR="00AE1A2D" w:rsidRPr="00547263">
        <w:rPr>
          <w:rFonts w:ascii="Times New Roman" w:hAnsi="Times New Roman" w:cs="Times New Roman"/>
          <w:i/>
          <w:iCs/>
        </w:rPr>
        <w:t>Pierrepont</w:t>
      </w:r>
      <w:proofErr w:type="spellEnd"/>
      <w:r w:rsidR="00AE1A2D" w:rsidRPr="00547263">
        <w:rPr>
          <w:rFonts w:ascii="Times New Roman" w:hAnsi="Times New Roman" w:cs="Times New Roman"/>
          <w:i/>
          <w:iCs/>
        </w:rPr>
        <w:t xml:space="preserve"> Cent. Sch. Dist.</w:t>
      </w:r>
      <w:r w:rsidR="00AE1A2D" w:rsidRPr="00547263">
        <w:rPr>
          <w:rFonts w:ascii="Times New Roman" w:hAnsi="Times New Roman" w:cs="Times New Roman"/>
        </w:rPr>
        <w:t xml:space="preserve">, </w:t>
      </w:r>
      <w:r w:rsidR="00EB7A6A" w:rsidRPr="00547263">
        <w:rPr>
          <w:rFonts w:ascii="Times New Roman" w:hAnsi="Times New Roman" w:cs="Times New Roman"/>
        </w:rPr>
        <w:t xml:space="preserve">341 Fed. Appx. </w:t>
      </w:r>
      <w:r w:rsidR="000F03B8" w:rsidRPr="00547263">
        <w:rPr>
          <w:rFonts w:ascii="Times New Roman" w:hAnsi="Times New Roman" w:cs="Times New Roman"/>
        </w:rPr>
        <w:t>at</w:t>
      </w:r>
      <w:r w:rsidR="00EB7A6A" w:rsidRPr="00547263">
        <w:rPr>
          <w:rFonts w:ascii="Times New Roman" w:hAnsi="Times New Roman" w:cs="Times New Roman"/>
        </w:rPr>
        <w:t xml:space="preserve"> 690 n.3</w:t>
      </w:r>
      <w:r w:rsidR="00547263" w:rsidRPr="00547263">
        <w:rPr>
          <w:rFonts w:ascii="Times New Roman" w:hAnsi="Times New Roman" w:cs="Times New Roman"/>
        </w:rPr>
        <w:t>.</w:t>
      </w:r>
    </w:p>
  </w:footnote>
  <w:footnote w:id="31">
    <w:p w14:paraId="4EA464AA" w14:textId="77777777" w:rsidR="00FE6D9F" w:rsidRPr="00547263" w:rsidRDefault="00FE6D9F" w:rsidP="00FE6D9F">
      <w:pPr>
        <w:pStyle w:val="FootnoteText"/>
        <w:rPr>
          <w:rFonts w:ascii="Times New Roman" w:hAnsi="Times New Roman" w:cs="Times New Roman"/>
        </w:rPr>
      </w:pPr>
      <w:r w:rsidRPr="00547263">
        <w:rPr>
          <w:rStyle w:val="FootnoteReference"/>
          <w:rFonts w:ascii="Times New Roman" w:hAnsi="Times New Roman" w:cs="Times New Roman"/>
        </w:rPr>
        <w:footnoteRef/>
      </w:r>
      <w:r w:rsidRPr="00547263">
        <w:rPr>
          <w:rFonts w:ascii="Times New Roman" w:hAnsi="Times New Roman" w:cs="Times New Roman"/>
        </w:rPr>
        <w:t xml:space="preserve"> </w:t>
      </w:r>
      <w:r w:rsidRPr="00547263">
        <w:rPr>
          <w:rFonts w:ascii="Times New Roman" w:hAnsi="Times New Roman" w:cs="Times New Roman"/>
          <w:i/>
          <w:iCs/>
        </w:rPr>
        <w:t>Andover Public Schools, supra</w:t>
      </w:r>
      <w:r w:rsidRPr="00547263">
        <w:rPr>
          <w:rFonts w:ascii="Times New Roman" w:hAnsi="Times New Roman" w:cs="Times New Roman"/>
        </w:rPr>
        <w:t>.</w:t>
      </w:r>
    </w:p>
  </w:footnote>
  <w:footnote w:id="32">
    <w:p w14:paraId="1CC36BCD" w14:textId="49F270EB" w:rsidR="000C0AA1" w:rsidRPr="00B670B7" w:rsidRDefault="000C0AA1">
      <w:pPr>
        <w:pStyle w:val="FootnoteText"/>
        <w:rPr>
          <w:rFonts w:ascii="Times New Roman" w:hAnsi="Times New Roman" w:cs="Times New Roman"/>
          <w:i/>
          <w:iCs/>
        </w:rPr>
      </w:pPr>
      <w:r w:rsidRPr="00B670B7">
        <w:rPr>
          <w:rStyle w:val="FootnoteReference"/>
          <w:rFonts w:ascii="Times New Roman" w:hAnsi="Times New Roman" w:cs="Times New Roman"/>
        </w:rPr>
        <w:footnoteRef/>
      </w:r>
      <w:r w:rsidRPr="00B670B7">
        <w:rPr>
          <w:rFonts w:ascii="Times New Roman" w:hAnsi="Times New Roman" w:cs="Times New Roman"/>
        </w:rPr>
        <w:t xml:space="preserve"> </w:t>
      </w:r>
      <w:r w:rsidRPr="00B670B7">
        <w:rPr>
          <w:rFonts w:ascii="Times New Roman" w:hAnsi="Times New Roman" w:cs="Times New Roman"/>
          <w:i/>
          <w:iCs/>
        </w:rPr>
        <w:t>Id.</w:t>
      </w:r>
    </w:p>
  </w:footnote>
  <w:footnote w:id="33">
    <w:p w14:paraId="48E54E2C" w14:textId="7BEDEC35" w:rsidR="00906B60" w:rsidRPr="00B670B7" w:rsidRDefault="00906B60" w:rsidP="00906B60">
      <w:pPr>
        <w:pStyle w:val="FootnoteText"/>
        <w:rPr>
          <w:rFonts w:ascii="Times New Roman" w:hAnsi="Times New Roman" w:cs="Times New Roman"/>
          <w:i/>
          <w:iCs/>
        </w:rPr>
      </w:pPr>
      <w:r w:rsidRPr="00B670B7">
        <w:rPr>
          <w:rStyle w:val="FootnoteReference"/>
          <w:rFonts w:ascii="Times New Roman" w:hAnsi="Times New Roman" w:cs="Times New Roman"/>
        </w:rPr>
        <w:footnoteRef/>
      </w:r>
      <w:r w:rsidRPr="00B670B7">
        <w:rPr>
          <w:rFonts w:ascii="Times New Roman" w:hAnsi="Times New Roman" w:cs="Times New Roman"/>
        </w:rPr>
        <w:t xml:space="preserve"> </w:t>
      </w:r>
      <w:r w:rsidR="000C0AA1" w:rsidRPr="00B670B7">
        <w:rPr>
          <w:rFonts w:ascii="Times New Roman" w:hAnsi="Times New Roman" w:cs="Times New Roman"/>
          <w:i/>
          <w:iCs/>
        </w:rPr>
        <w:t>Id.</w:t>
      </w:r>
    </w:p>
  </w:footnote>
  <w:footnote w:id="34">
    <w:p w14:paraId="3163AB29" w14:textId="77777777" w:rsidR="000C0AA1" w:rsidRPr="00B670B7" w:rsidRDefault="000C0AA1" w:rsidP="000C0AA1">
      <w:pPr>
        <w:pStyle w:val="FootnoteText"/>
        <w:rPr>
          <w:rFonts w:ascii="Times New Roman" w:hAnsi="Times New Roman" w:cs="Times New Roman"/>
        </w:rPr>
      </w:pPr>
      <w:r w:rsidRPr="00B670B7">
        <w:rPr>
          <w:rStyle w:val="FootnoteReference"/>
          <w:rFonts w:ascii="Times New Roman" w:hAnsi="Times New Roman" w:cs="Times New Roman"/>
        </w:rPr>
        <w:footnoteRef/>
      </w:r>
      <w:r w:rsidRPr="00B670B7">
        <w:rPr>
          <w:rFonts w:ascii="Times New Roman" w:hAnsi="Times New Roman" w:cs="Times New Roman"/>
        </w:rPr>
        <w:t xml:space="preserve"> See </w:t>
      </w:r>
      <w:r w:rsidRPr="00B670B7">
        <w:rPr>
          <w:rFonts w:ascii="Times New Roman" w:hAnsi="Times New Roman" w:cs="Times New Roman"/>
          <w:i/>
          <w:iCs/>
        </w:rPr>
        <w:t>Council Rock Sch. Dist.</w:t>
      </w:r>
      <w:r w:rsidRPr="00B670B7">
        <w:rPr>
          <w:rFonts w:ascii="Times New Roman" w:hAnsi="Times New Roman" w:cs="Times New Roman"/>
        </w:rPr>
        <w:t xml:space="preserve">, 833 F. Supp. 2d at 448-49; </w:t>
      </w:r>
      <w:r w:rsidRPr="00B670B7">
        <w:rPr>
          <w:rFonts w:ascii="Times New Roman" w:hAnsi="Times New Roman" w:cs="Times New Roman"/>
          <w:i/>
          <w:iCs/>
        </w:rPr>
        <w:t>Colton-</w:t>
      </w:r>
      <w:proofErr w:type="spellStart"/>
      <w:r w:rsidRPr="00B670B7">
        <w:rPr>
          <w:rFonts w:ascii="Times New Roman" w:hAnsi="Times New Roman" w:cs="Times New Roman"/>
          <w:i/>
          <w:iCs/>
        </w:rPr>
        <w:t>Pierrepont</w:t>
      </w:r>
      <w:proofErr w:type="spellEnd"/>
      <w:r w:rsidRPr="00B670B7">
        <w:rPr>
          <w:rFonts w:ascii="Times New Roman" w:hAnsi="Times New Roman" w:cs="Times New Roman"/>
        </w:rPr>
        <w:t>, 341 Fed. Appx. at 689.</w:t>
      </w:r>
    </w:p>
  </w:footnote>
  <w:footnote w:id="35">
    <w:p w14:paraId="1FA2E61D" w14:textId="62773C2E" w:rsidR="000C0AA1" w:rsidRPr="00B670B7" w:rsidRDefault="000C0AA1">
      <w:pPr>
        <w:pStyle w:val="FootnoteText"/>
      </w:pPr>
      <w:r w:rsidRPr="00B670B7">
        <w:rPr>
          <w:rStyle w:val="FootnoteReference"/>
          <w:rFonts w:ascii="Times New Roman" w:hAnsi="Times New Roman" w:cs="Times New Roman"/>
        </w:rPr>
        <w:footnoteRef/>
      </w:r>
      <w:r w:rsidRPr="00B670B7">
        <w:rPr>
          <w:rFonts w:ascii="Times New Roman" w:hAnsi="Times New Roman" w:cs="Times New Roman"/>
        </w:rPr>
        <w:t xml:space="preserve"> </w:t>
      </w:r>
      <w:r w:rsidR="00B670B7">
        <w:rPr>
          <w:rFonts w:ascii="Times New Roman" w:hAnsi="Times New Roman" w:cs="Times New Roman"/>
          <w:i/>
          <w:iCs/>
        </w:rPr>
        <w:t>Frazier</w:t>
      </w:r>
      <w:r w:rsidR="00B670B7">
        <w:rPr>
          <w:rFonts w:ascii="Times New Roman" w:hAnsi="Times New Roman" w:cs="Times New Roman"/>
        </w:rPr>
        <w:t>, 276 F.3d at 63.</w:t>
      </w:r>
    </w:p>
  </w:footnote>
  <w:footnote w:id="36">
    <w:p w14:paraId="6AC772A9" w14:textId="39EC6AA8" w:rsidR="00192370" w:rsidRPr="00192370" w:rsidRDefault="00192370">
      <w:pPr>
        <w:pStyle w:val="FootnoteText"/>
        <w:rPr>
          <w:i/>
          <w:iCs/>
        </w:rPr>
      </w:pPr>
      <w:r w:rsidRPr="00547263">
        <w:rPr>
          <w:rStyle w:val="FootnoteReference"/>
          <w:rFonts w:ascii="Times New Roman" w:hAnsi="Times New Roman" w:cs="Times New Roman"/>
        </w:rPr>
        <w:footnoteRef/>
      </w:r>
      <w:r w:rsidRPr="00547263">
        <w:rPr>
          <w:rFonts w:ascii="Times New Roman" w:hAnsi="Times New Roman" w:cs="Times New Roman"/>
          <w:i/>
          <w:iCs/>
        </w:rPr>
        <w:t xml:space="preserve"> </w:t>
      </w:r>
      <w:r w:rsidRPr="00B670B7">
        <w:rPr>
          <w:rFonts w:ascii="Times New Roman" w:hAnsi="Times New Roman" w:cs="Times New Roman"/>
        </w:rPr>
        <w:t xml:space="preserve">See </w:t>
      </w:r>
      <w:r w:rsidRPr="00B670B7">
        <w:rPr>
          <w:rFonts w:ascii="Times New Roman" w:hAnsi="Times New Roman" w:cs="Times New Roman"/>
          <w:i/>
          <w:iCs/>
        </w:rPr>
        <w:t>Colton-</w:t>
      </w:r>
      <w:proofErr w:type="spellStart"/>
      <w:r w:rsidRPr="00B670B7">
        <w:rPr>
          <w:rFonts w:ascii="Times New Roman" w:hAnsi="Times New Roman" w:cs="Times New Roman"/>
          <w:i/>
          <w:iCs/>
        </w:rPr>
        <w:t>Pierr</w:t>
      </w:r>
      <w:r w:rsidR="003B2936">
        <w:rPr>
          <w:rFonts w:ascii="Times New Roman" w:hAnsi="Times New Roman" w:cs="Times New Roman"/>
          <w:i/>
          <w:iCs/>
        </w:rPr>
        <w:t>e</w:t>
      </w:r>
      <w:r w:rsidRPr="00B670B7">
        <w:rPr>
          <w:rFonts w:ascii="Times New Roman" w:hAnsi="Times New Roman" w:cs="Times New Roman"/>
          <w:i/>
          <w:iCs/>
        </w:rPr>
        <w:t>pont</w:t>
      </w:r>
      <w:proofErr w:type="spellEnd"/>
      <w:r w:rsidRPr="00B670B7">
        <w:rPr>
          <w:rFonts w:ascii="Times New Roman" w:hAnsi="Times New Roman" w:cs="Times New Roman"/>
        </w:rPr>
        <w:t>, 341 Fed. Appx. at 690.</w:t>
      </w:r>
    </w:p>
  </w:footnote>
  <w:footnote w:id="37">
    <w:p w14:paraId="03CE9282" w14:textId="45035431" w:rsidR="001C41FE" w:rsidRPr="00690251" w:rsidRDefault="001C41FE">
      <w:pPr>
        <w:pStyle w:val="FootnoteText"/>
      </w:pPr>
      <w:r w:rsidRPr="00690251">
        <w:rPr>
          <w:rStyle w:val="FootnoteReference"/>
          <w:rFonts w:ascii="Times New Roman" w:hAnsi="Times New Roman" w:cs="Times New Roman"/>
        </w:rPr>
        <w:footnoteRef/>
      </w:r>
      <w:r w:rsidRPr="00690251">
        <w:rPr>
          <w:rFonts w:ascii="Times New Roman" w:hAnsi="Times New Roman" w:cs="Times New Roman"/>
        </w:rPr>
        <w:t xml:space="preserve"> See</w:t>
      </w:r>
      <w:r w:rsidR="00B670B7">
        <w:rPr>
          <w:rFonts w:ascii="Times New Roman" w:hAnsi="Times New Roman" w:cs="Times New Roman"/>
        </w:rPr>
        <w:t xml:space="preserve"> </w:t>
      </w:r>
      <w:r w:rsidR="00B670B7">
        <w:rPr>
          <w:rFonts w:ascii="Times New Roman" w:hAnsi="Times New Roman" w:cs="Times New Roman"/>
          <w:i/>
          <w:iCs/>
        </w:rPr>
        <w:t>Anderson</w:t>
      </w:r>
      <w:r w:rsidR="00B670B7">
        <w:rPr>
          <w:rFonts w:ascii="Times New Roman" w:hAnsi="Times New Roman" w:cs="Times New Roman"/>
        </w:rPr>
        <w:t>, 477 U.S.</w:t>
      </w:r>
      <w:r w:rsidRPr="00690251">
        <w:rPr>
          <w:rFonts w:ascii="Times New Roman" w:hAnsi="Times New Roman" w:cs="Times New Roman"/>
        </w:rPr>
        <w:t xml:space="preserve"> at 250.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75A9"/>
    <w:multiLevelType w:val="multilevel"/>
    <w:tmpl w:val="6DB40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D128C"/>
    <w:multiLevelType w:val="hybridMultilevel"/>
    <w:tmpl w:val="5CAA5C4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EFB46BC"/>
    <w:multiLevelType w:val="hybridMultilevel"/>
    <w:tmpl w:val="0E66BBF8"/>
    <w:lvl w:ilvl="0" w:tplc="D6C03720">
      <w:start w:val="1"/>
      <w:numFmt w:val="low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E6D37A8"/>
    <w:multiLevelType w:val="hybridMultilevel"/>
    <w:tmpl w:val="E2E06882"/>
    <w:lvl w:ilvl="0" w:tplc="838AAB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BD409E"/>
    <w:multiLevelType w:val="hybridMultilevel"/>
    <w:tmpl w:val="D8B8A9B2"/>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65A05"/>
    <w:multiLevelType w:val="hybridMultilevel"/>
    <w:tmpl w:val="D2906D1A"/>
    <w:lvl w:ilvl="0" w:tplc="1D186BEE">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AF7F0F"/>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9427635"/>
    <w:multiLevelType w:val="hybridMultilevel"/>
    <w:tmpl w:val="0D98FA66"/>
    <w:lvl w:ilvl="0" w:tplc="C86C623C">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EE0756"/>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87D4A88"/>
    <w:multiLevelType w:val="hybridMultilevel"/>
    <w:tmpl w:val="8E745FE8"/>
    <w:lvl w:ilvl="0" w:tplc="6FBAAC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7"/>
  </w:num>
  <w:num w:numId="3">
    <w:abstractNumId w:val="0"/>
  </w:num>
  <w:num w:numId="4">
    <w:abstractNumId w:val="1"/>
  </w:num>
  <w:num w:numId="5">
    <w:abstractNumId w:val="9"/>
  </w:num>
  <w:num w:numId="6">
    <w:abstractNumId w:val="3"/>
  </w:num>
  <w:num w:numId="7">
    <w:abstractNumId w:val="2"/>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56"/>
    <w:rsid w:val="0001665A"/>
    <w:rsid w:val="0003599D"/>
    <w:rsid w:val="0006613D"/>
    <w:rsid w:val="00076540"/>
    <w:rsid w:val="000962A6"/>
    <w:rsid w:val="000A0169"/>
    <w:rsid w:val="000C0AA1"/>
    <w:rsid w:val="000C6CB5"/>
    <w:rsid w:val="000D358F"/>
    <w:rsid w:val="000D5DB2"/>
    <w:rsid w:val="000F03B8"/>
    <w:rsid w:val="001478F6"/>
    <w:rsid w:val="001662E8"/>
    <w:rsid w:val="00192370"/>
    <w:rsid w:val="001A50D8"/>
    <w:rsid w:val="001C0F8F"/>
    <w:rsid w:val="001C41FE"/>
    <w:rsid w:val="001D21AA"/>
    <w:rsid w:val="001D6753"/>
    <w:rsid w:val="001E6097"/>
    <w:rsid w:val="001F7CEA"/>
    <w:rsid w:val="002103CB"/>
    <w:rsid w:val="00235615"/>
    <w:rsid w:val="00260E89"/>
    <w:rsid w:val="00263052"/>
    <w:rsid w:val="00276AB3"/>
    <w:rsid w:val="00284B3D"/>
    <w:rsid w:val="00284FCC"/>
    <w:rsid w:val="002A5ED4"/>
    <w:rsid w:val="002C7B50"/>
    <w:rsid w:val="002E1721"/>
    <w:rsid w:val="0030143F"/>
    <w:rsid w:val="003035D9"/>
    <w:rsid w:val="00316C87"/>
    <w:rsid w:val="00350FE9"/>
    <w:rsid w:val="00362C47"/>
    <w:rsid w:val="003707F2"/>
    <w:rsid w:val="00371F47"/>
    <w:rsid w:val="00387D03"/>
    <w:rsid w:val="003B2936"/>
    <w:rsid w:val="003C0EC0"/>
    <w:rsid w:val="003C2CCA"/>
    <w:rsid w:val="003D56C3"/>
    <w:rsid w:val="003E7A2F"/>
    <w:rsid w:val="003F7C56"/>
    <w:rsid w:val="00410D83"/>
    <w:rsid w:val="0042494A"/>
    <w:rsid w:val="0043751F"/>
    <w:rsid w:val="00446C6F"/>
    <w:rsid w:val="0045009F"/>
    <w:rsid w:val="0045012B"/>
    <w:rsid w:val="004712B7"/>
    <w:rsid w:val="00482D79"/>
    <w:rsid w:val="004A24EE"/>
    <w:rsid w:val="004A5565"/>
    <w:rsid w:val="004A5D73"/>
    <w:rsid w:val="004D1A94"/>
    <w:rsid w:val="004D5EAD"/>
    <w:rsid w:val="004E07BD"/>
    <w:rsid w:val="004F6D14"/>
    <w:rsid w:val="005017D5"/>
    <w:rsid w:val="005146A0"/>
    <w:rsid w:val="00547263"/>
    <w:rsid w:val="005B19AC"/>
    <w:rsid w:val="005E218C"/>
    <w:rsid w:val="005F1C8A"/>
    <w:rsid w:val="006073B2"/>
    <w:rsid w:val="00615B8C"/>
    <w:rsid w:val="00627E69"/>
    <w:rsid w:val="00640E6E"/>
    <w:rsid w:val="0064259F"/>
    <w:rsid w:val="00642C83"/>
    <w:rsid w:val="006521FA"/>
    <w:rsid w:val="0066317C"/>
    <w:rsid w:val="00690251"/>
    <w:rsid w:val="006C52CB"/>
    <w:rsid w:val="006D208A"/>
    <w:rsid w:val="006E6B6F"/>
    <w:rsid w:val="006F2991"/>
    <w:rsid w:val="006F7CEE"/>
    <w:rsid w:val="00711EA8"/>
    <w:rsid w:val="00720230"/>
    <w:rsid w:val="00724397"/>
    <w:rsid w:val="0075476A"/>
    <w:rsid w:val="00757B35"/>
    <w:rsid w:val="00757DC0"/>
    <w:rsid w:val="00767D56"/>
    <w:rsid w:val="00780D31"/>
    <w:rsid w:val="007B1764"/>
    <w:rsid w:val="007C0F57"/>
    <w:rsid w:val="007C67F8"/>
    <w:rsid w:val="007F2B65"/>
    <w:rsid w:val="00803F77"/>
    <w:rsid w:val="0081744B"/>
    <w:rsid w:val="0083238A"/>
    <w:rsid w:val="00852390"/>
    <w:rsid w:val="008544E3"/>
    <w:rsid w:val="0086142E"/>
    <w:rsid w:val="008A7D97"/>
    <w:rsid w:val="008B5267"/>
    <w:rsid w:val="008C02AE"/>
    <w:rsid w:val="008C1833"/>
    <w:rsid w:val="008D3341"/>
    <w:rsid w:val="008E1660"/>
    <w:rsid w:val="00906B60"/>
    <w:rsid w:val="0093058C"/>
    <w:rsid w:val="00932B1E"/>
    <w:rsid w:val="00933F6A"/>
    <w:rsid w:val="00937B8A"/>
    <w:rsid w:val="00940030"/>
    <w:rsid w:val="009429B0"/>
    <w:rsid w:val="00954176"/>
    <w:rsid w:val="009929B5"/>
    <w:rsid w:val="00995747"/>
    <w:rsid w:val="009B3674"/>
    <w:rsid w:val="009B7AD5"/>
    <w:rsid w:val="009D1E39"/>
    <w:rsid w:val="009E4BBD"/>
    <w:rsid w:val="00A02680"/>
    <w:rsid w:val="00A11405"/>
    <w:rsid w:val="00A1372C"/>
    <w:rsid w:val="00A14988"/>
    <w:rsid w:val="00A14AD5"/>
    <w:rsid w:val="00A167D6"/>
    <w:rsid w:val="00A23255"/>
    <w:rsid w:val="00A23C4A"/>
    <w:rsid w:val="00A27D61"/>
    <w:rsid w:val="00A45B07"/>
    <w:rsid w:val="00A51F06"/>
    <w:rsid w:val="00A57253"/>
    <w:rsid w:val="00A64C45"/>
    <w:rsid w:val="00A71E69"/>
    <w:rsid w:val="00A91EFE"/>
    <w:rsid w:val="00AA7B38"/>
    <w:rsid w:val="00AB09B8"/>
    <w:rsid w:val="00AB2EA6"/>
    <w:rsid w:val="00AB637D"/>
    <w:rsid w:val="00AC00F6"/>
    <w:rsid w:val="00AC496D"/>
    <w:rsid w:val="00AC542B"/>
    <w:rsid w:val="00AE1A2D"/>
    <w:rsid w:val="00AE57F6"/>
    <w:rsid w:val="00B03E60"/>
    <w:rsid w:val="00B13B33"/>
    <w:rsid w:val="00B337B1"/>
    <w:rsid w:val="00B4014E"/>
    <w:rsid w:val="00B43E2F"/>
    <w:rsid w:val="00B61CE1"/>
    <w:rsid w:val="00B670B7"/>
    <w:rsid w:val="00B67794"/>
    <w:rsid w:val="00B75623"/>
    <w:rsid w:val="00B81596"/>
    <w:rsid w:val="00B94165"/>
    <w:rsid w:val="00BA633C"/>
    <w:rsid w:val="00BA6C1E"/>
    <w:rsid w:val="00BB065C"/>
    <w:rsid w:val="00BC3BFE"/>
    <w:rsid w:val="00BC609B"/>
    <w:rsid w:val="00BE0527"/>
    <w:rsid w:val="00BF12D3"/>
    <w:rsid w:val="00C02CB8"/>
    <w:rsid w:val="00C04BE1"/>
    <w:rsid w:val="00C14957"/>
    <w:rsid w:val="00C21CFD"/>
    <w:rsid w:val="00C346BB"/>
    <w:rsid w:val="00C41115"/>
    <w:rsid w:val="00C45518"/>
    <w:rsid w:val="00C5063F"/>
    <w:rsid w:val="00C541F3"/>
    <w:rsid w:val="00C60DD7"/>
    <w:rsid w:val="00C67FA1"/>
    <w:rsid w:val="00C7064A"/>
    <w:rsid w:val="00CB0B2A"/>
    <w:rsid w:val="00CC42EE"/>
    <w:rsid w:val="00CD0953"/>
    <w:rsid w:val="00D01910"/>
    <w:rsid w:val="00D142A2"/>
    <w:rsid w:val="00D2596B"/>
    <w:rsid w:val="00D4295B"/>
    <w:rsid w:val="00D510E7"/>
    <w:rsid w:val="00D84AA3"/>
    <w:rsid w:val="00D86EF8"/>
    <w:rsid w:val="00D92EC0"/>
    <w:rsid w:val="00D9619C"/>
    <w:rsid w:val="00D97080"/>
    <w:rsid w:val="00DA3E95"/>
    <w:rsid w:val="00DA686A"/>
    <w:rsid w:val="00DE54BC"/>
    <w:rsid w:val="00E02C84"/>
    <w:rsid w:val="00E1180D"/>
    <w:rsid w:val="00E15541"/>
    <w:rsid w:val="00E40DE3"/>
    <w:rsid w:val="00E51A57"/>
    <w:rsid w:val="00E53C1D"/>
    <w:rsid w:val="00E560CD"/>
    <w:rsid w:val="00E609E8"/>
    <w:rsid w:val="00E70B2C"/>
    <w:rsid w:val="00E96B6E"/>
    <w:rsid w:val="00EA3678"/>
    <w:rsid w:val="00EB1E56"/>
    <w:rsid w:val="00EB21FE"/>
    <w:rsid w:val="00EB3A33"/>
    <w:rsid w:val="00EB586D"/>
    <w:rsid w:val="00EB7A6A"/>
    <w:rsid w:val="00EC24B8"/>
    <w:rsid w:val="00EC7BA6"/>
    <w:rsid w:val="00EF51FC"/>
    <w:rsid w:val="00EF6227"/>
    <w:rsid w:val="00F17502"/>
    <w:rsid w:val="00F17809"/>
    <w:rsid w:val="00F20C1F"/>
    <w:rsid w:val="00F2761C"/>
    <w:rsid w:val="00F518A0"/>
    <w:rsid w:val="00F53146"/>
    <w:rsid w:val="00F54E1F"/>
    <w:rsid w:val="00F60D65"/>
    <w:rsid w:val="00F669B1"/>
    <w:rsid w:val="00F722EB"/>
    <w:rsid w:val="00F77847"/>
    <w:rsid w:val="00F85D25"/>
    <w:rsid w:val="00F96EC5"/>
    <w:rsid w:val="00FB378D"/>
    <w:rsid w:val="00FB75B0"/>
    <w:rsid w:val="00FC03C3"/>
    <w:rsid w:val="00FE6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EFED1"/>
  <w15:docId w15:val="{21A2DB91-1026-4485-9376-AAF32CF3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5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D56"/>
    <w:rPr>
      <w:sz w:val="18"/>
      <w:szCs w:val="18"/>
    </w:rPr>
  </w:style>
  <w:style w:type="character" w:customStyle="1" w:styleId="BalloonTextChar">
    <w:name w:val="Balloon Text Char"/>
    <w:basedOn w:val="DefaultParagraphFont"/>
    <w:link w:val="BalloonText"/>
    <w:uiPriority w:val="99"/>
    <w:semiHidden/>
    <w:rsid w:val="00767D56"/>
    <w:rPr>
      <w:rFonts w:ascii="Times New Roman" w:hAnsi="Times New Roman" w:cs="Times New Roman"/>
      <w:sz w:val="18"/>
      <w:szCs w:val="18"/>
    </w:rPr>
  </w:style>
  <w:style w:type="paragraph" w:styleId="NoSpacing">
    <w:name w:val="No Spacing"/>
    <w:link w:val="NoSpacingChar"/>
    <w:uiPriority w:val="1"/>
    <w:qFormat/>
    <w:rsid w:val="00767D56"/>
    <w:rPr>
      <w:sz w:val="22"/>
      <w:szCs w:val="22"/>
    </w:rPr>
  </w:style>
  <w:style w:type="paragraph" w:styleId="FootnoteText">
    <w:name w:val="footnote text"/>
    <w:basedOn w:val="Normal"/>
    <w:link w:val="FootnoteTextChar"/>
    <w:uiPriority w:val="99"/>
    <w:unhideWhenUsed/>
    <w:rsid w:val="00767D5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67D56"/>
    <w:rPr>
      <w:sz w:val="20"/>
      <w:szCs w:val="20"/>
    </w:rPr>
  </w:style>
  <w:style w:type="character" w:styleId="FootnoteReference">
    <w:name w:val="footnote reference"/>
    <w:basedOn w:val="DefaultParagraphFont"/>
    <w:unhideWhenUsed/>
    <w:rsid w:val="00767D56"/>
    <w:rPr>
      <w:vertAlign w:val="superscript"/>
    </w:rPr>
  </w:style>
  <w:style w:type="character" w:styleId="CommentReference">
    <w:name w:val="annotation reference"/>
    <w:basedOn w:val="DefaultParagraphFont"/>
    <w:uiPriority w:val="99"/>
    <w:semiHidden/>
    <w:unhideWhenUsed/>
    <w:rsid w:val="006E6B6F"/>
    <w:rPr>
      <w:sz w:val="16"/>
      <w:szCs w:val="16"/>
    </w:rPr>
  </w:style>
  <w:style w:type="paragraph" w:styleId="CommentText">
    <w:name w:val="annotation text"/>
    <w:basedOn w:val="Normal"/>
    <w:link w:val="CommentTextChar"/>
    <w:uiPriority w:val="99"/>
    <w:semiHidden/>
    <w:unhideWhenUsed/>
    <w:rsid w:val="006E6B6F"/>
    <w:rPr>
      <w:sz w:val="20"/>
      <w:szCs w:val="20"/>
    </w:rPr>
  </w:style>
  <w:style w:type="character" w:customStyle="1" w:styleId="CommentTextChar">
    <w:name w:val="Comment Text Char"/>
    <w:basedOn w:val="DefaultParagraphFont"/>
    <w:link w:val="CommentText"/>
    <w:uiPriority w:val="99"/>
    <w:semiHidden/>
    <w:rsid w:val="006E6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B6F"/>
    <w:rPr>
      <w:b/>
      <w:bCs/>
    </w:rPr>
  </w:style>
  <w:style w:type="character" w:customStyle="1" w:styleId="CommentSubjectChar">
    <w:name w:val="Comment Subject Char"/>
    <w:basedOn w:val="CommentTextChar"/>
    <w:link w:val="CommentSubject"/>
    <w:uiPriority w:val="99"/>
    <w:semiHidden/>
    <w:rsid w:val="006E6B6F"/>
    <w:rPr>
      <w:rFonts w:ascii="Times New Roman" w:eastAsia="Times New Roman" w:hAnsi="Times New Roman" w:cs="Times New Roman"/>
      <w:b/>
      <w:bCs/>
      <w:sz w:val="20"/>
      <w:szCs w:val="20"/>
    </w:rPr>
  </w:style>
  <w:style w:type="paragraph" w:styleId="ListParagraph">
    <w:name w:val="List Paragraph"/>
    <w:basedOn w:val="Normal"/>
    <w:uiPriority w:val="34"/>
    <w:qFormat/>
    <w:rsid w:val="006E6B6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57253"/>
  </w:style>
  <w:style w:type="character" w:customStyle="1" w:styleId="apple-converted-space">
    <w:name w:val="apple-converted-space"/>
    <w:basedOn w:val="DefaultParagraphFont"/>
    <w:rsid w:val="00350FE9"/>
  </w:style>
  <w:style w:type="character" w:customStyle="1" w:styleId="cohl">
    <w:name w:val="co_hl"/>
    <w:basedOn w:val="DefaultParagraphFont"/>
    <w:rsid w:val="00350FE9"/>
  </w:style>
  <w:style w:type="paragraph" w:styleId="Header">
    <w:name w:val="header"/>
    <w:basedOn w:val="Normal"/>
    <w:link w:val="HeaderChar"/>
    <w:uiPriority w:val="99"/>
    <w:unhideWhenUsed/>
    <w:rsid w:val="009B3674"/>
    <w:pPr>
      <w:tabs>
        <w:tab w:val="center" w:pos="4680"/>
        <w:tab w:val="right" w:pos="9360"/>
      </w:tabs>
    </w:pPr>
  </w:style>
  <w:style w:type="character" w:customStyle="1" w:styleId="HeaderChar">
    <w:name w:val="Header Char"/>
    <w:basedOn w:val="DefaultParagraphFont"/>
    <w:link w:val="Header"/>
    <w:uiPriority w:val="99"/>
    <w:rsid w:val="009B3674"/>
    <w:rPr>
      <w:rFonts w:ascii="Times New Roman" w:eastAsia="Times New Roman" w:hAnsi="Times New Roman" w:cs="Times New Roman"/>
    </w:rPr>
  </w:style>
  <w:style w:type="paragraph" w:styleId="Footer">
    <w:name w:val="footer"/>
    <w:basedOn w:val="Normal"/>
    <w:link w:val="FooterChar"/>
    <w:uiPriority w:val="99"/>
    <w:unhideWhenUsed/>
    <w:rsid w:val="009B3674"/>
    <w:pPr>
      <w:tabs>
        <w:tab w:val="center" w:pos="4680"/>
        <w:tab w:val="right" w:pos="9360"/>
      </w:tabs>
    </w:pPr>
  </w:style>
  <w:style w:type="character" w:customStyle="1" w:styleId="FooterChar">
    <w:name w:val="Footer Char"/>
    <w:basedOn w:val="DefaultParagraphFont"/>
    <w:link w:val="Footer"/>
    <w:uiPriority w:val="99"/>
    <w:rsid w:val="009B3674"/>
    <w:rPr>
      <w:rFonts w:ascii="Times New Roman" w:eastAsia="Times New Roman" w:hAnsi="Times New Roman" w:cs="Times New Roman"/>
    </w:rPr>
  </w:style>
  <w:style w:type="character" w:styleId="Hyperlink">
    <w:name w:val="Hyperlink"/>
    <w:rsid w:val="00A51F06"/>
    <w:rPr>
      <w:color w:val="0563C1"/>
      <w:u w:val="single"/>
    </w:rPr>
  </w:style>
  <w:style w:type="character" w:customStyle="1" w:styleId="NoSpacingChar">
    <w:name w:val="No Spacing Char"/>
    <w:basedOn w:val="DefaultParagraphFont"/>
    <w:link w:val="NoSpacing"/>
    <w:uiPriority w:val="1"/>
    <w:rsid w:val="001C41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7194">
      <w:bodyDiv w:val="1"/>
      <w:marLeft w:val="0"/>
      <w:marRight w:val="0"/>
      <w:marTop w:val="0"/>
      <w:marBottom w:val="0"/>
      <w:divBdr>
        <w:top w:val="none" w:sz="0" w:space="0" w:color="auto"/>
        <w:left w:val="none" w:sz="0" w:space="0" w:color="auto"/>
        <w:bottom w:val="none" w:sz="0" w:space="0" w:color="auto"/>
        <w:right w:val="none" w:sz="0" w:space="0" w:color="auto"/>
      </w:divBdr>
      <w:divsChild>
        <w:div w:id="116529354">
          <w:marLeft w:val="0"/>
          <w:marRight w:val="0"/>
          <w:marTop w:val="0"/>
          <w:marBottom w:val="0"/>
          <w:divBdr>
            <w:top w:val="none" w:sz="0" w:space="0" w:color="auto"/>
            <w:left w:val="none" w:sz="0" w:space="0" w:color="auto"/>
            <w:bottom w:val="none" w:sz="0" w:space="0" w:color="auto"/>
            <w:right w:val="none" w:sz="0" w:space="0" w:color="auto"/>
          </w:divBdr>
          <w:divsChild>
            <w:div w:id="491988651">
              <w:marLeft w:val="0"/>
              <w:marRight w:val="0"/>
              <w:marTop w:val="0"/>
              <w:marBottom w:val="0"/>
              <w:divBdr>
                <w:top w:val="none" w:sz="0" w:space="0" w:color="auto"/>
                <w:left w:val="none" w:sz="0" w:space="0" w:color="auto"/>
                <w:bottom w:val="none" w:sz="0" w:space="0" w:color="auto"/>
                <w:right w:val="none" w:sz="0" w:space="0" w:color="auto"/>
              </w:divBdr>
              <w:divsChild>
                <w:div w:id="1015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8060">
      <w:bodyDiv w:val="1"/>
      <w:marLeft w:val="0"/>
      <w:marRight w:val="0"/>
      <w:marTop w:val="0"/>
      <w:marBottom w:val="0"/>
      <w:divBdr>
        <w:top w:val="none" w:sz="0" w:space="0" w:color="auto"/>
        <w:left w:val="none" w:sz="0" w:space="0" w:color="auto"/>
        <w:bottom w:val="none" w:sz="0" w:space="0" w:color="auto"/>
        <w:right w:val="none" w:sz="0" w:space="0" w:color="auto"/>
      </w:divBdr>
      <w:divsChild>
        <w:div w:id="2101372538">
          <w:marLeft w:val="0"/>
          <w:marRight w:val="0"/>
          <w:marTop w:val="0"/>
          <w:marBottom w:val="0"/>
          <w:divBdr>
            <w:top w:val="none" w:sz="0" w:space="0" w:color="auto"/>
            <w:left w:val="none" w:sz="0" w:space="0" w:color="auto"/>
            <w:bottom w:val="none" w:sz="0" w:space="0" w:color="auto"/>
            <w:right w:val="none" w:sz="0" w:space="0" w:color="auto"/>
          </w:divBdr>
          <w:divsChild>
            <w:div w:id="768744533">
              <w:marLeft w:val="0"/>
              <w:marRight w:val="0"/>
              <w:marTop w:val="0"/>
              <w:marBottom w:val="0"/>
              <w:divBdr>
                <w:top w:val="none" w:sz="0" w:space="0" w:color="auto"/>
                <w:left w:val="none" w:sz="0" w:space="0" w:color="auto"/>
                <w:bottom w:val="none" w:sz="0" w:space="0" w:color="auto"/>
                <w:right w:val="none" w:sz="0" w:space="0" w:color="auto"/>
              </w:divBdr>
              <w:divsChild>
                <w:div w:id="19618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6189">
      <w:bodyDiv w:val="1"/>
      <w:marLeft w:val="0"/>
      <w:marRight w:val="0"/>
      <w:marTop w:val="0"/>
      <w:marBottom w:val="0"/>
      <w:divBdr>
        <w:top w:val="none" w:sz="0" w:space="0" w:color="auto"/>
        <w:left w:val="none" w:sz="0" w:space="0" w:color="auto"/>
        <w:bottom w:val="none" w:sz="0" w:space="0" w:color="auto"/>
        <w:right w:val="none" w:sz="0" w:space="0" w:color="auto"/>
      </w:divBdr>
      <w:divsChild>
        <w:div w:id="352656740">
          <w:marLeft w:val="0"/>
          <w:marRight w:val="0"/>
          <w:marTop w:val="0"/>
          <w:marBottom w:val="0"/>
          <w:divBdr>
            <w:top w:val="none" w:sz="0" w:space="0" w:color="auto"/>
            <w:left w:val="none" w:sz="0" w:space="0" w:color="auto"/>
            <w:bottom w:val="none" w:sz="0" w:space="0" w:color="auto"/>
            <w:right w:val="none" w:sz="0" w:space="0" w:color="auto"/>
          </w:divBdr>
          <w:divsChild>
            <w:div w:id="286089060">
              <w:marLeft w:val="0"/>
              <w:marRight w:val="0"/>
              <w:marTop w:val="0"/>
              <w:marBottom w:val="0"/>
              <w:divBdr>
                <w:top w:val="none" w:sz="0" w:space="0" w:color="auto"/>
                <w:left w:val="none" w:sz="0" w:space="0" w:color="auto"/>
                <w:bottom w:val="none" w:sz="0" w:space="0" w:color="auto"/>
                <w:right w:val="none" w:sz="0" w:space="0" w:color="auto"/>
              </w:divBdr>
              <w:divsChild>
                <w:div w:id="152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73796">
      <w:bodyDiv w:val="1"/>
      <w:marLeft w:val="0"/>
      <w:marRight w:val="0"/>
      <w:marTop w:val="0"/>
      <w:marBottom w:val="0"/>
      <w:divBdr>
        <w:top w:val="none" w:sz="0" w:space="0" w:color="auto"/>
        <w:left w:val="none" w:sz="0" w:space="0" w:color="auto"/>
        <w:bottom w:val="none" w:sz="0" w:space="0" w:color="auto"/>
        <w:right w:val="none" w:sz="0" w:space="0" w:color="auto"/>
      </w:divBdr>
      <w:divsChild>
        <w:div w:id="1939294921">
          <w:marLeft w:val="0"/>
          <w:marRight w:val="0"/>
          <w:marTop w:val="0"/>
          <w:marBottom w:val="0"/>
          <w:divBdr>
            <w:top w:val="none" w:sz="0" w:space="0" w:color="auto"/>
            <w:left w:val="none" w:sz="0" w:space="0" w:color="auto"/>
            <w:bottom w:val="none" w:sz="0" w:space="0" w:color="auto"/>
            <w:right w:val="none" w:sz="0" w:space="0" w:color="auto"/>
          </w:divBdr>
          <w:divsChild>
            <w:div w:id="1777093450">
              <w:marLeft w:val="0"/>
              <w:marRight w:val="0"/>
              <w:marTop w:val="0"/>
              <w:marBottom w:val="0"/>
              <w:divBdr>
                <w:top w:val="none" w:sz="0" w:space="0" w:color="auto"/>
                <w:left w:val="none" w:sz="0" w:space="0" w:color="auto"/>
                <w:bottom w:val="none" w:sz="0" w:space="0" w:color="auto"/>
                <w:right w:val="none" w:sz="0" w:space="0" w:color="auto"/>
              </w:divBdr>
              <w:divsChild>
                <w:div w:id="810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01544">
      <w:bodyDiv w:val="1"/>
      <w:marLeft w:val="0"/>
      <w:marRight w:val="0"/>
      <w:marTop w:val="0"/>
      <w:marBottom w:val="0"/>
      <w:divBdr>
        <w:top w:val="none" w:sz="0" w:space="0" w:color="auto"/>
        <w:left w:val="none" w:sz="0" w:space="0" w:color="auto"/>
        <w:bottom w:val="none" w:sz="0" w:space="0" w:color="auto"/>
        <w:right w:val="none" w:sz="0" w:space="0" w:color="auto"/>
      </w:divBdr>
      <w:divsChild>
        <w:div w:id="1508901438">
          <w:marLeft w:val="0"/>
          <w:marRight w:val="0"/>
          <w:marTop w:val="0"/>
          <w:marBottom w:val="0"/>
          <w:divBdr>
            <w:top w:val="none" w:sz="0" w:space="0" w:color="auto"/>
            <w:left w:val="none" w:sz="0" w:space="0" w:color="auto"/>
            <w:bottom w:val="none" w:sz="0" w:space="0" w:color="auto"/>
            <w:right w:val="none" w:sz="0" w:space="0" w:color="auto"/>
          </w:divBdr>
          <w:divsChild>
            <w:div w:id="311105013">
              <w:marLeft w:val="0"/>
              <w:marRight w:val="0"/>
              <w:marTop w:val="0"/>
              <w:marBottom w:val="0"/>
              <w:divBdr>
                <w:top w:val="none" w:sz="0" w:space="0" w:color="auto"/>
                <w:left w:val="none" w:sz="0" w:space="0" w:color="auto"/>
                <w:bottom w:val="none" w:sz="0" w:space="0" w:color="auto"/>
                <w:right w:val="none" w:sz="0" w:space="0" w:color="auto"/>
              </w:divBdr>
              <w:divsChild>
                <w:div w:id="1898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49354">
      <w:bodyDiv w:val="1"/>
      <w:marLeft w:val="0"/>
      <w:marRight w:val="0"/>
      <w:marTop w:val="0"/>
      <w:marBottom w:val="0"/>
      <w:divBdr>
        <w:top w:val="none" w:sz="0" w:space="0" w:color="auto"/>
        <w:left w:val="none" w:sz="0" w:space="0" w:color="auto"/>
        <w:bottom w:val="none" w:sz="0" w:space="0" w:color="auto"/>
        <w:right w:val="none" w:sz="0" w:space="0" w:color="auto"/>
      </w:divBdr>
    </w:div>
    <w:div w:id="726150977">
      <w:bodyDiv w:val="1"/>
      <w:marLeft w:val="0"/>
      <w:marRight w:val="0"/>
      <w:marTop w:val="0"/>
      <w:marBottom w:val="0"/>
      <w:divBdr>
        <w:top w:val="none" w:sz="0" w:space="0" w:color="auto"/>
        <w:left w:val="none" w:sz="0" w:space="0" w:color="auto"/>
        <w:bottom w:val="none" w:sz="0" w:space="0" w:color="auto"/>
        <w:right w:val="none" w:sz="0" w:space="0" w:color="auto"/>
      </w:divBdr>
      <w:divsChild>
        <w:div w:id="1122918294">
          <w:marLeft w:val="0"/>
          <w:marRight w:val="0"/>
          <w:marTop w:val="0"/>
          <w:marBottom w:val="0"/>
          <w:divBdr>
            <w:top w:val="none" w:sz="0" w:space="0" w:color="auto"/>
            <w:left w:val="none" w:sz="0" w:space="0" w:color="auto"/>
            <w:bottom w:val="none" w:sz="0" w:space="0" w:color="auto"/>
            <w:right w:val="none" w:sz="0" w:space="0" w:color="auto"/>
          </w:divBdr>
          <w:divsChild>
            <w:div w:id="1421487829">
              <w:marLeft w:val="0"/>
              <w:marRight w:val="0"/>
              <w:marTop w:val="0"/>
              <w:marBottom w:val="0"/>
              <w:divBdr>
                <w:top w:val="none" w:sz="0" w:space="0" w:color="auto"/>
                <w:left w:val="none" w:sz="0" w:space="0" w:color="auto"/>
                <w:bottom w:val="none" w:sz="0" w:space="0" w:color="auto"/>
                <w:right w:val="none" w:sz="0" w:space="0" w:color="auto"/>
              </w:divBdr>
              <w:divsChild>
                <w:div w:id="3181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0324">
      <w:bodyDiv w:val="1"/>
      <w:marLeft w:val="0"/>
      <w:marRight w:val="0"/>
      <w:marTop w:val="0"/>
      <w:marBottom w:val="0"/>
      <w:divBdr>
        <w:top w:val="none" w:sz="0" w:space="0" w:color="auto"/>
        <w:left w:val="none" w:sz="0" w:space="0" w:color="auto"/>
        <w:bottom w:val="none" w:sz="0" w:space="0" w:color="auto"/>
        <w:right w:val="none" w:sz="0" w:space="0" w:color="auto"/>
      </w:divBdr>
      <w:divsChild>
        <w:div w:id="824662394">
          <w:marLeft w:val="0"/>
          <w:marRight w:val="0"/>
          <w:marTop w:val="0"/>
          <w:marBottom w:val="0"/>
          <w:divBdr>
            <w:top w:val="none" w:sz="0" w:space="0" w:color="auto"/>
            <w:left w:val="none" w:sz="0" w:space="0" w:color="auto"/>
            <w:bottom w:val="none" w:sz="0" w:space="0" w:color="auto"/>
            <w:right w:val="none" w:sz="0" w:space="0" w:color="auto"/>
          </w:divBdr>
          <w:divsChild>
            <w:div w:id="712769827">
              <w:marLeft w:val="0"/>
              <w:marRight w:val="0"/>
              <w:marTop w:val="0"/>
              <w:marBottom w:val="0"/>
              <w:divBdr>
                <w:top w:val="none" w:sz="0" w:space="0" w:color="auto"/>
                <w:left w:val="none" w:sz="0" w:space="0" w:color="auto"/>
                <w:bottom w:val="none" w:sz="0" w:space="0" w:color="auto"/>
                <w:right w:val="none" w:sz="0" w:space="0" w:color="auto"/>
              </w:divBdr>
              <w:divsChild>
                <w:div w:id="12735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3901">
      <w:bodyDiv w:val="1"/>
      <w:marLeft w:val="0"/>
      <w:marRight w:val="0"/>
      <w:marTop w:val="0"/>
      <w:marBottom w:val="0"/>
      <w:divBdr>
        <w:top w:val="none" w:sz="0" w:space="0" w:color="auto"/>
        <w:left w:val="none" w:sz="0" w:space="0" w:color="auto"/>
        <w:bottom w:val="none" w:sz="0" w:space="0" w:color="auto"/>
        <w:right w:val="none" w:sz="0" w:space="0" w:color="auto"/>
      </w:divBdr>
      <w:divsChild>
        <w:div w:id="420492049">
          <w:marLeft w:val="0"/>
          <w:marRight w:val="0"/>
          <w:marTop w:val="0"/>
          <w:marBottom w:val="0"/>
          <w:divBdr>
            <w:top w:val="none" w:sz="0" w:space="0" w:color="auto"/>
            <w:left w:val="none" w:sz="0" w:space="0" w:color="auto"/>
            <w:bottom w:val="none" w:sz="0" w:space="0" w:color="auto"/>
            <w:right w:val="none" w:sz="0" w:space="0" w:color="auto"/>
          </w:divBdr>
          <w:divsChild>
            <w:div w:id="342173092">
              <w:marLeft w:val="0"/>
              <w:marRight w:val="0"/>
              <w:marTop w:val="0"/>
              <w:marBottom w:val="0"/>
              <w:divBdr>
                <w:top w:val="none" w:sz="0" w:space="0" w:color="auto"/>
                <w:left w:val="none" w:sz="0" w:space="0" w:color="auto"/>
                <w:bottom w:val="none" w:sz="0" w:space="0" w:color="auto"/>
                <w:right w:val="none" w:sz="0" w:space="0" w:color="auto"/>
              </w:divBdr>
              <w:divsChild>
                <w:div w:id="778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9766">
      <w:bodyDiv w:val="1"/>
      <w:marLeft w:val="0"/>
      <w:marRight w:val="0"/>
      <w:marTop w:val="0"/>
      <w:marBottom w:val="0"/>
      <w:divBdr>
        <w:top w:val="none" w:sz="0" w:space="0" w:color="auto"/>
        <w:left w:val="none" w:sz="0" w:space="0" w:color="auto"/>
        <w:bottom w:val="none" w:sz="0" w:space="0" w:color="auto"/>
        <w:right w:val="none" w:sz="0" w:space="0" w:color="auto"/>
      </w:divBdr>
      <w:divsChild>
        <w:div w:id="1568876548">
          <w:marLeft w:val="0"/>
          <w:marRight w:val="0"/>
          <w:marTop w:val="0"/>
          <w:marBottom w:val="0"/>
          <w:divBdr>
            <w:top w:val="none" w:sz="0" w:space="0" w:color="auto"/>
            <w:left w:val="none" w:sz="0" w:space="0" w:color="auto"/>
            <w:bottom w:val="none" w:sz="0" w:space="0" w:color="auto"/>
            <w:right w:val="none" w:sz="0" w:space="0" w:color="auto"/>
          </w:divBdr>
          <w:divsChild>
            <w:div w:id="1840922557">
              <w:marLeft w:val="0"/>
              <w:marRight w:val="0"/>
              <w:marTop w:val="0"/>
              <w:marBottom w:val="0"/>
              <w:divBdr>
                <w:top w:val="none" w:sz="0" w:space="0" w:color="auto"/>
                <w:left w:val="none" w:sz="0" w:space="0" w:color="auto"/>
                <w:bottom w:val="none" w:sz="0" w:space="0" w:color="auto"/>
                <w:right w:val="none" w:sz="0" w:space="0" w:color="auto"/>
              </w:divBdr>
              <w:divsChild>
                <w:div w:id="10951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3679">
      <w:bodyDiv w:val="1"/>
      <w:marLeft w:val="0"/>
      <w:marRight w:val="0"/>
      <w:marTop w:val="0"/>
      <w:marBottom w:val="0"/>
      <w:divBdr>
        <w:top w:val="none" w:sz="0" w:space="0" w:color="auto"/>
        <w:left w:val="none" w:sz="0" w:space="0" w:color="auto"/>
        <w:bottom w:val="none" w:sz="0" w:space="0" w:color="auto"/>
        <w:right w:val="none" w:sz="0" w:space="0" w:color="auto"/>
      </w:divBdr>
      <w:divsChild>
        <w:div w:id="1161501699">
          <w:marLeft w:val="0"/>
          <w:marRight w:val="0"/>
          <w:marTop w:val="0"/>
          <w:marBottom w:val="0"/>
          <w:divBdr>
            <w:top w:val="none" w:sz="0" w:space="0" w:color="auto"/>
            <w:left w:val="none" w:sz="0" w:space="0" w:color="auto"/>
            <w:bottom w:val="none" w:sz="0" w:space="0" w:color="auto"/>
            <w:right w:val="none" w:sz="0" w:space="0" w:color="auto"/>
          </w:divBdr>
          <w:divsChild>
            <w:div w:id="1791312699">
              <w:marLeft w:val="0"/>
              <w:marRight w:val="0"/>
              <w:marTop w:val="0"/>
              <w:marBottom w:val="0"/>
              <w:divBdr>
                <w:top w:val="none" w:sz="0" w:space="0" w:color="auto"/>
                <w:left w:val="none" w:sz="0" w:space="0" w:color="auto"/>
                <w:bottom w:val="none" w:sz="0" w:space="0" w:color="auto"/>
                <w:right w:val="none" w:sz="0" w:space="0" w:color="auto"/>
              </w:divBdr>
              <w:divsChild>
                <w:div w:id="20592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4">
      <w:bodyDiv w:val="1"/>
      <w:marLeft w:val="0"/>
      <w:marRight w:val="0"/>
      <w:marTop w:val="0"/>
      <w:marBottom w:val="0"/>
      <w:divBdr>
        <w:top w:val="none" w:sz="0" w:space="0" w:color="auto"/>
        <w:left w:val="none" w:sz="0" w:space="0" w:color="auto"/>
        <w:bottom w:val="none" w:sz="0" w:space="0" w:color="auto"/>
        <w:right w:val="none" w:sz="0" w:space="0" w:color="auto"/>
      </w:divBdr>
      <w:divsChild>
        <w:div w:id="1300917808">
          <w:marLeft w:val="0"/>
          <w:marRight w:val="0"/>
          <w:marTop w:val="0"/>
          <w:marBottom w:val="0"/>
          <w:divBdr>
            <w:top w:val="none" w:sz="0" w:space="0" w:color="auto"/>
            <w:left w:val="none" w:sz="0" w:space="0" w:color="auto"/>
            <w:bottom w:val="none" w:sz="0" w:space="0" w:color="auto"/>
            <w:right w:val="none" w:sz="0" w:space="0" w:color="auto"/>
          </w:divBdr>
          <w:divsChild>
            <w:div w:id="902712240">
              <w:marLeft w:val="0"/>
              <w:marRight w:val="0"/>
              <w:marTop w:val="0"/>
              <w:marBottom w:val="0"/>
              <w:divBdr>
                <w:top w:val="none" w:sz="0" w:space="0" w:color="auto"/>
                <w:left w:val="none" w:sz="0" w:space="0" w:color="auto"/>
                <w:bottom w:val="none" w:sz="0" w:space="0" w:color="auto"/>
                <w:right w:val="none" w:sz="0" w:space="0" w:color="auto"/>
              </w:divBdr>
              <w:divsChild>
                <w:div w:id="19114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8466">
      <w:bodyDiv w:val="1"/>
      <w:marLeft w:val="0"/>
      <w:marRight w:val="0"/>
      <w:marTop w:val="0"/>
      <w:marBottom w:val="0"/>
      <w:divBdr>
        <w:top w:val="none" w:sz="0" w:space="0" w:color="auto"/>
        <w:left w:val="none" w:sz="0" w:space="0" w:color="auto"/>
        <w:bottom w:val="none" w:sz="0" w:space="0" w:color="auto"/>
        <w:right w:val="none" w:sz="0" w:space="0" w:color="auto"/>
      </w:divBdr>
      <w:divsChild>
        <w:div w:id="826281927">
          <w:marLeft w:val="0"/>
          <w:marRight w:val="0"/>
          <w:marTop w:val="0"/>
          <w:marBottom w:val="0"/>
          <w:divBdr>
            <w:top w:val="none" w:sz="0" w:space="0" w:color="auto"/>
            <w:left w:val="none" w:sz="0" w:space="0" w:color="auto"/>
            <w:bottom w:val="none" w:sz="0" w:space="0" w:color="auto"/>
            <w:right w:val="none" w:sz="0" w:space="0" w:color="auto"/>
          </w:divBdr>
          <w:divsChild>
            <w:div w:id="1513378272">
              <w:marLeft w:val="0"/>
              <w:marRight w:val="0"/>
              <w:marTop w:val="0"/>
              <w:marBottom w:val="0"/>
              <w:divBdr>
                <w:top w:val="none" w:sz="0" w:space="0" w:color="auto"/>
                <w:left w:val="none" w:sz="0" w:space="0" w:color="auto"/>
                <w:bottom w:val="none" w:sz="0" w:space="0" w:color="auto"/>
                <w:right w:val="none" w:sz="0" w:space="0" w:color="auto"/>
              </w:divBdr>
              <w:divsChild>
                <w:div w:id="14465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64686">
      <w:bodyDiv w:val="1"/>
      <w:marLeft w:val="0"/>
      <w:marRight w:val="0"/>
      <w:marTop w:val="0"/>
      <w:marBottom w:val="0"/>
      <w:divBdr>
        <w:top w:val="none" w:sz="0" w:space="0" w:color="auto"/>
        <w:left w:val="none" w:sz="0" w:space="0" w:color="auto"/>
        <w:bottom w:val="none" w:sz="0" w:space="0" w:color="auto"/>
        <w:right w:val="none" w:sz="0" w:space="0" w:color="auto"/>
      </w:divBdr>
      <w:divsChild>
        <w:div w:id="1862891724">
          <w:marLeft w:val="0"/>
          <w:marRight w:val="0"/>
          <w:marTop w:val="0"/>
          <w:marBottom w:val="0"/>
          <w:divBdr>
            <w:top w:val="none" w:sz="0" w:space="0" w:color="auto"/>
            <w:left w:val="none" w:sz="0" w:space="0" w:color="auto"/>
            <w:bottom w:val="none" w:sz="0" w:space="0" w:color="auto"/>
            <w:right w:val="none" w:sz="0" w:space="0" w:color="auto"/>
          </w:divBdr>
          <w:divsChild>
            <w:div w:id="2029327074">
              <w:marLeft w:val="0"/>
              <w:marRight w:val="0"/>
              <w:marTop w:val="0"/>
              <w:marBottom w:val="0"/>
              <w:divBdr>
                <w:top w:val="none" w:sz="0" w:space="0" w:color="auto"/>
                <w:left w:val="none" w:sz="0" w:space="0" w:color="auto"/>
                <w:bottom w:val="none" w:sz="0" w:space="0" w:color="auto"/>
                <w:right w:val="none" w:sz="0" w:space="0" w:color="auto"/>
              </w:divBdr>
              <w:divsChild>
                <w:div w:id="5946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61515">
      <w:bodyDiv w:val="1"/>
      <w:marLeft w:val="0"/>
      <w:marRight w:val="0"/>
      <w:marTop w:val="0"/>
      <w:marBottom w:val="0"/>
      <w:divBdr>
        <w:top w:val="none" w:sz="0" w:space="0" w:color="auto"/>
        <w:left w:val="none" w:sz="0" w:space="0" w:color="auto"/>
        <w:bottom w:val="none" w:sz="0" w:space="0" w:color="auto"/>
        <w:right w:val="none" w:sz="0" w:space="0" w:color="auto"/>
      </w:divBdr>
      <w:divsChild>
        <w:div w:id="1894584110">
          <w:marLeft w:val="0"/>
          <w:marRight w:val="0"/>
          <w:marTop w:val="0"/>
          <w:marBottom w:val="0"/>
          <w:divBdr>
            <w:top w:val="none" w:sz="0" w:space="0" w:color="auto"/>
            <w:left w:val="none" w:sz="0" w:space="0" w:color="auto"/>
            <w:bottom w:val="none" w:sz="0" w:space="0" w:color="auto"/>
            <w:right w:val="none" w:sz="0" w:space="0" w:color="auto"/>
          </w:divBdr>
          <w:divsChild>
            <w:div w:id="1361777875">
              <w:marLeft w:val="0"/>
              <w:marRight w:val="0"/>
              <w:marTop w:val="0"/>
              <w:marBottom w:val="0"/>
              <w:divBdr>
                <w:top w:val="none" w:sz="0" w:space="0" w:color="auto"/>
                <w:left w:val="none" w:sz="0" w:space="0" w:color="auto"/>
                <w:bottom w:val="none" w:sz="0" w:space="0" w:color="auto"/>
                <w:right w:val="none" w:sz="0" w:space="0" w:color="auto"/>
              </w:divBdr>
              <w:divsChild>
                <w:div w:id="20260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1C8F-D1F9-41D4-A570-4379E0B7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Jane Sexson</dc:creator>
  <cp:keywords/>
  <dc:description/>
  <cp:lastModifiedBy>Erlichman, Reece (ALA)</cp:lastModifiedBy>
  <cp:revision>2</cp:revision>
  <cp:lastPrinted>2021-05-06T15:48:00Z</cp:lastPrinted>
  <dcterms:created xsi:type="dcterms:W3CDTF">2021-05-07T14:53:00Z</dcterms:created>
  <dcterms:modified xsi:type="dcterms:W3CDTF">2021-05-07T14:53:00Z</dcterms:modified>
</cp:coreProperties>
</file>