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017D84" w:rsidRDefault="00FA2868" w:rsidP="003F6569">
      <w:pPr>
        <w:rPr>
          <w:b/>
          <w:bCs/>
          <w:color w:val="000000" w:themeColor="text1"/>
        </w:rPr>
      </w:pPr>
    </w:p>
    <w:p w14:paraId="74EE768D" w14:textId="77777777" w:rsidR="00FA2868" w:rsidRPr="00017D84" w:rsidRDefault="00FA2868" w:rsidP="003F6569">
      <w:pPr>
        <w:pStyle w:val="NoSpacing"/>
        <w:jc w:val="center"/>
        <w:rPr>
          <w:rFonts w:ascii="Times New Roman" w:hAnsi="Times New Roman" w:cs="Times New Roman"/>
          <w:b/>
          <w:bCs/>
          <w:color w:val="000000" w:themeColor="text1"/>
          <w:sz w:val="24"/>
          <w:szCs w:val="24"/>
        </w:rPr>
      </w:pPr>
      <w:r w:rsidRPr="00017D84">
        <w:rPr>
          <w:rFonts w:ascii="Times New Roman" w:hAnsi="Times New Roman" w:cs="Times New Roman"/>
          <w:b/>
          <w:bCs/>
          <w:color w:val="000000" w:themeColor="text1"/>
          <w:sz w:val="24"/>
          <w:szCs w:val="24"/>
        </w:rPr>
        <w:t>COMMONWEALTH OF MASSACHUSETTS</w:t>
      </w:r>
    </w:p>
    <w:p w14:paraId="7B46EF9D" w14:textId="77777777" w:rsidR="00FA2868" w:rsidRPr="00017D84" w:rsidRDefault="00FA2868" w:rsidP="003F6569">
      <w:pPr>
        <w:pStyle w:val="NoSpacing"/>
        <w:jc w:val="center"/>
        <w:rPr>
          <w:rFonts w:ascii="Times New Roman" w:hAnsi="Times New Roman" w:cs="Times New Roman"/>
          <w:b/>
          <w:bCs/>
          <w:color w:val="000000" w:themeColor="text1"/>
          <w:sz w:val="24"/>
          <w:szCs w:val="24"/>
        </w:rPr>
      </w:pPr>
      <w:r w:rsidRPr="00017D84">
        <w:rPr>
          <w:rFonts w:ascii="Times New Roman" w:hAnsi="Times New Roman" w:cs="Times New Roman"/>
          <w:b/>
          <w:bCs/>
          <w:color w:val="000000" w:themeColor="text1"/>
          <w:sz w:val="24"/>
          <w:szCs w:val="24"/>
        </w:rPr>
        <w:t>DIVISION OF ADMINISTRATIVE LAW APPEALS</w:t>
      </w:r>
    </w:p>
    <w:p w14:paraId="6B63458E" w14:textId="77777777" w:rsidR="00FA2868" w:rsidRPr="00017D84" w:rsidRDefault="00FA2868" w:rsidP="003F6569">
      <w:pPr>
        <w:pStyle w:val="NoSpacing"/>
        <w:jc w:val="center"/>
        <w:rPr>
          <w:rFonts w:ascii="Times New Roman" w:hAnsi="Times New Roman" w:cs="Times New Roman"/>
          <w:b/>
          <w:bCs/>
          <w:color w:val="000000" w:themeColor="text1"/>
          <w:sz w:val="24"/>
          <w:szCs w:val="24"/>
        </w:rPr>
      </w:pPr>
      <w:r w:rsidRPr="00017D84">
        <w:rPr>
          <w:rFonts w:ascii="Times New Roman" w:hAnsi="Times New Roman" w:cs="Times New Roman"/>
          <w:b/>
          <w:bCs/>
          <w:color w:val="000000" w:themeColor="text1"/>
          <w:sz w:val="24"/>
          <w:szCs w:val="24"/>
        </w:rPr>
        <w:t>BUREAU OF SPECIAL EDUCATION APPEALS</w:t>
      </w:r>
    </w:p>
    <w:p w14:paraId="5A704B99" w14:textId="77777777" w:rsidR="00FA2868" w:rsidRPr="00017D84" w:rsidRDefault="00FA2868" w:rsidP="003F6569">
      <w:pPr>
        <w:pStyle w:val="NoSpacing"/>
        <w:tabs>
          <w:tab w:val="left" w:pos="5446"/>
        </w:tabs>
        <w:rPr>
          <w:rFonts w:ascii="Times New Roman" w:hAnsi="Times New Roman" w:cs="Times New Roman"/>
          <w:b/>
          <w:bCs/>
          <w:color w:val="000000" w:themeColor="text1"/>
          <w:sz w:val="24"/>
          <w:szCs w:val="24"/>
        </w:rPr>
      </w:pPr>
      <w:r w:rsidRPr="00017D84">
        <w:rPr>
          <w:rFonts w:ascii="Times New Roman" w:hAnsi="Times New Roman" w:cs="Times New Roman"/>
          <w:b/>
          <w:bCs/>
          <w:color w:val="000000" w:themeColor="text1"/>
          <w:sz w:val="24"/>
          <w:szCs w:val="24"/>
        </w:rPr>
        <w:tab/>
      </w:r>
    </w:p>
    <w:p w14:paraId="211125E5" w14:textId="77777777" w:rsidR="00FA2868" w:rsidRPr="00017D84" w:rsidRDefault="00FA2868" w:rsidP="003F6569">
      <w:pPr>
        <w:pStyle w:val="NoSpacing"/>
        <w:tabs>
          <w:tab w:val="left" w:pos="5446"/>
        </w:tabs>
        <w:rPr>
          <w:rFonts w:ascii="Times New Roman" w:hAnsi="Times New Roman" w:cs="Times New Roman"/>
          <w:b/>
          <w:bCs/>
          <w:color w:val="000000" w:themeColor="text1"/>
          <w:sz w:val="24"/>
          <w:szCs w:val="24"/>
        </w:rPr>
      </w:pPr>
    </w:p>
    <w:p w14:paraId="29E77897" w14:textId="77777777" w:rsidR="00FA2868" w:rsidRPr="00017D84" w:rsidRDefault="00FA2868" w:rsidP="003F6569">
      <w:pPr>
        <w:pStyle w:val="NoSpacing"/>
        <w:rPr>
          <w:rFonts w:ascii="Times New Roman" w:hAnsi="Times New Roman" w:cs="Times New Roman"/>
          <w:b/>
          <w:bCs/>
          <w:color w:val="000000" w:themeColor="text1"/>
          <w:sz w:val="24"/>
          <w:szCs w:val="24"/>
        </w:rPr>
      </w:pPr>
    </w:p>
    <w:p w14:paraId="0CBE50E0" w14:textId="05EE3294" w:rsidR="00FA2868" w:rsidRPr="00017D84" w:rsidRDefault="00FA2868" w:rsidP="005D594C">
      <w:pPr>
        <w:pStyle w:val="NoSpacing"/>
        <w:rPr>
          <w:rFonts w:ascii="Times New Roman" w:hAnsi="Times New Roman" w:cs="Times New Roman"/>
          <w:b/>
          <w:bCs/>
          <w:color w:val="000000" w:themeColor="text1"/>
          <w:sz w:val="24"/>
          <w:szCs w:val="24"/>
        </w:rPr>
      </w:pPr>
      <w:r w:rsidRPr="00017D84">
        <w:rPr>
          <w:rFonts w:ascii="Times New Roman" w:hAnsi="Times New Roman" w:cs="Times New Roman"/>
          <w:b/>
          <w:bCs/>
          <w:color w:val="000000" w:themeColor="text1"/>
          <w:sz w:val="24"/>
          <w:szCs w:val="24"/>
        </w:rPr>
        <w:t>In Re:</w:t>
      </w:r>
      <w:r w:rsidRPr="00017D84">
        <w:rPr>
          <w:rFonts w:ascii="Times New Roman" w:hAnsi="Times New Roman" w:cs="Times New Roman"/>
          <w:b/>
          <w:bCs/>
          <w:color w:val="000000" w:themeColor="text1"/>
          <w:sz w:val="24"/>
          <w:szCs w:val="24"/>
        </w:rPr>
        <w:tab/>
        <w:t xml:space="preserve"> Student v. Lawrence Public Schools</w:t>
      </w:r>
      <w:r w:rsidR="00381834" w:rsidRPr="00017D84">
        <w:rPr>
          <w:rFonts w:ascii="Times New Roman" w:hAnsi="Times New Roman" w:cs="Times New Roman"/>
          <w:b/>
          <w:bCs/>
          <w:color w:val="000000" w:themeColor="text1"/>
          <w:sz w:val="24"/>
          <w:szCs w:val="24"/>
        </w:rPr>
        <w:t xml:space="preserve"> and DESE</w:t>
      </w:r>
      <w:r w:rsidRPr="00017D84">
        <w:rPr>
          <w:rFonts w:ascii="Times New Roman" w:hAnsi="Times New Roman" w:cs="Times New Roman"/>
          <w:b/>
          <w:bCs/>
          <w:color w:val="000000" w:themeColor="text1"/>
          <w:sz w:val="24"/>
          <w:szCs w:val="24"/>
        </w:rPr>
        <w:tab/>
      </w:r>
      <w:r w:rsidRPr="00017D84">
        <w:rPr>
          <w:rFonts w:ascii="Times New Roman" w:hAnsi="Times New Roman" w:cs="Times New Roman"/>
          <w:b/>
          <w:bCs/>
          <w:color w:val="000000" w:themeColor="text1"/>
          <w:sz w:val="24"/>
          <w:szCs w:val="24"/>
        </w:rPr>
        <w:tab/>
      </w:r>
      <w:r w:rsidR="00F16ECD">
        <w:rPr>
          <w:rFonts w:ascii="Times New Roman" w:hAnsi="Times New Roman" w:cs="Times New Roman"/>
          <w:b/>
          <w:bCs/>
          <w:color w:val="000000" w:themeColor="text1"/>
          <w:sz w:val="24"/>
          <w:szCs w:val="24"/>
        </w:rPr>
        <w:tab/>
      </w:r>
      <w:r w:rsidRPr="00017D84">
        <w:rPr>
          <w:rFonts w:ascii="Times New Roman" w:hAnsi="Times New Roman" w:cs="Times New Roman"/>
          <w:b/>
          <w:bCs/>
          <w:color w:val="000000" w:themeColor="text1"/>
          <w:sz w:val="24"/>
          <w:szCs w:val="24"/>
        </w:rPr>
        <w:t>BSEA #  2107071</w:t>
      </w:r>
    </w:p>
    <w:p w14:paraId="7C3157D8" w14:textId="77777777" w:rsidR="00FA2868" w:rsidRPr="00017D84" w:rsidRDefault="00FA2868" w:rsidP="003F6569">
      <w:pPr>
        <w:jc w:val="center"/>
        <w:rPr>
          <w:b/>
          <w:bCs/>
          <w:color w:val="000000" w:themeColor="text1"/>
          <w:u w:val="single"/>
        </w:rPr>
      </w:pPr>
    </w:p>
    <w:p w14:paraId="0C03FBB3" w14:textId="3EFC2240" w:rsidR="00FA2868" w:rsidRPr="00017D84" w:rsidRDefault="00FA2868" w:rsidP="003F6569">
      <w:pPr>
        <w:jc w:val="center"/>
        <w:rPr>
          <w:b/>
          <w:bCs/>
          <w:color w:val="000000" w:themeColor="text1"/>
          <w:u w:val="single"/>
        </w:rPr>
      </w:pPr>
      <w:r w:rsidRPr="00017D84">
        <w:rPr>
          <w:b/>
          <w:bCs/>
          <w:color w:val="000000" w:themeColor="text1"/>
          <w:u w:val="single"/>
        </w:rPr>
        <w:t xml:space="preserve">RULING ON </w:t>
      </w:r>
      <w:r w:rsidR="00377BFE" w:rsidRPr="00017D84">
        <w:rPr>
          <w:b/>
          <w:bCs/>
          <w:color w:val="000000" w:themeColor="text1"/>
          <w:u w:val="single"/>
        </w:rPr>
        <w:t>THE DEPARTMENT OF ELEMENTARY AND SECONDARY EDUCATION’S</w:t>
      </w:r>
      <w:r w:rsidRPr="00017D84">
        <w:rPr>
          <w:b/>
          <w:bCs/>
          <w:color w:val="000000" w:themeColor="text1"/>
          <w:u w:val="single"/>
        </w:rPr>
        <w:t xml:space="preserve"> MOTION TO DISMISS </w:t>
      </w:r>
      <w:r w:rsidR="00377BFE" w:rsidRPr="00017D84">
        <w:rPr>
          <w:b/>
          <w:bCs/>
          <w:color w:val="000000" w:themeColor="text1"/>
          <w:u w:val="single"/>
        </w:rPr>
        <w:t xml:space="preserve"> </w:t>
      </w:r>
      <w:r w:rsidR="001E4794" w:rsidRPr="00017D84">
        <w:rPr>
          <w:b/>
          <w:bCs/>
          <w:color w:val="000000" w:themeColor="text1"/>
          <w:u w:val="single"/>
        </w:rPr>
        <w:t xml:space="preserve"> </w:t>
      </w:r>
    </w:p>
    <w:p w14:paraId="1F9476D4" w14:textId="77777777" w:rsidR="00FA2868" w:rsidRPr="00017D84" w:rsidRDefault="00FA2868" w:rsidP="003F6569">
      <w:pPr>
        <w:jc w:val="center"/>
        <w:rPr>
          <w:b/>
          <w:bCs/>
          <w:color w:val="000000" w:themeColor="text1"/>
        </w:rPr>
      </w:pPr>
    </w:p>
    <w:p w14:paraId="2A011991" w14:textId="51C909FE" w:rsidR="00034EA8" w:rsidRPr="00017D84" w:rsidRDefault="49EA4C1C" w:rsidP="00713062">
      <w:pPr>
        <w:rPr>
          <w:color w:val="000000" w:themeColor="text1"/>
        </w:rPr>
      </w:pPr>
      <w:r w:rsidRPr="00017D84">
        <w:rPr>
          <w:color w:val="000000" w:themeColor="text1"/>
        </w:rPr>
        <w:t xml:space="preserve">This matter comes before the Hearing Officer on the </w:t>
      </w:r>
      <w:r w:rsidR="00377BFE" w:rsidRPr="00017D84">
        <w:rPr>
          <w:color w:val="000000" w:themeColor="text1"/>
        </w:rPr>
        <w:t>Department of Elementary and Secondary Education’s</w:t>
      </w:r>
      <w:r w:rsidRPr="00017D84">
        <w:rPr>
          <w:color w:val="000000" w:themeColor="text1"/>
        </w:rPr>
        <w:t xml:space="preserve"> (</w:t>
      </w:r>
      <w:r w:rsidR="00377BFE" w:rsidRPr="00017D84">
        <w:rPr>
          <w:color w:val="000000" w:themeColor="text1"/>
        </w:rPr>
        <w:t>DESE</w:t>
      </w:r>
      <w:r w:rsidRPr="00017D84">
        <w:rPr>
          <w:color w:val="000000" w:themeColor="text1"/>
        </w:rPr>
        <w:t xml:space="preserve">) </w:t>
      </w:r>
      <w:r w:rsidRPr="00017D84">
        <w:rPr>
          <w:i/>
          <w:iCs/>
          <w:color w:val="000000" w:themeColor="text1"/>
        </w:rPr>
        <w:t xml:space="preserve">Motion to Dismiss </w:t>
      </w:r>
      <w:r w:rsidRPr="00017D84">
        <w:rPr>
          <w:color w:val="000000" w:themeColor="text1"/>
        </w:rPr>
        <w:t>(</w:t>
      </w:r>
      <w:r w:rsidRPr="00017D84">
        <w:rPr>
          <w:i/>
          <w:iCs/>
          <w:color w:val="000000" w:themeColor="text1"/>
        </w:rPr>
        <w:t>Motion</w:t>
      </w:r>
      <w:r w:rsidRPr="00017D84">
        <w:rPr>
          <w:color w:val="000000" w:themeColor="text1"/>
        </w:rPr>
        <w:t xml:space="preserve">) which was filed with the BSEA on </w:t>
      </w:r>
      <w:r w:rsidR="00377BFE" w:rsidRPr="00017D84">
        <w:rPr>
          <w:color w:val="000000" w:themeColor="text1"/>
        </w:rPr>
        <w:t>April 21</w:t>
      </w:r>
      <w:r w:rsidRPr="00017D84">
        <w:rPr>
          <w:color w:val="000000" w:themeColor="text1"/>
        </w:rPr>
        <w:t>, 202</w:t>
      </w:r>
      <w:r w:rsidR="00377BFE" w:rsidRPr="00017D84">
        <w:rPr>
          <w:color w:val="000000" w:themeColor="text1"/>
        </w:rPr>
        <w:t>1</w:t>
      </w:r>
      <w:r w:rsidRPr="00017D84">
        <w:rPr>
          <w:color w:val="000000" w:themeColor="text1"/>
        </w:rPr>
        <w:t xml:space="preserve">.  </w:t>
      </w:r>
      <w:r w:rsidR="00ED2A9A" w:rsidRPr="00017D84">
        <w:rPr>
          <w:color w:val="000000" w:themeColor="text1"/>
        </w:rPr>
        <w:t xml:space="preserve">As ground for its </w:t>
      </w:r>
      <w:r w:rsidR="00ED2A9A" w:rsidRPr="00017D84">
        <w:rPr>
          <w:i/>
          <w:iCs/>
          <w:color w:val="000000" w:themeColor="text1"/>
        </w:rPr>
        <w:t>Motion</w:t>
      </w:r>
      <w:r w:rsidR="00ED2A9A" w:rsidRPr="00017D84">
        <w:rPr>
          <w:color w:val="000000" w:themeColor="text1"/>
        </w:rPr>
        <w:t xml:space="preserve">, DESE asserts </w:t>
      </w:r>
      <w:r w:rsidR="00874E1A" w:rsidRPr="00017D84">
        <w:rPr>
          <w:color w:val="000000" w:themeColor="text1"/>
        </w:rPr>
        <w:t>that Parent has failed to serve DESE in accordance</w:t>
      </w:r>
      <w:r w:rsidR="008B358A" w:rsidRPr="00017D84">
        <w:rPr>
          <w:color w:val="000000" w:themeColor="text1"/>
        </w:rPr>
        <w:t xml:space="preserve"> the Hearing Officer’s Order dated M</w:t>
      </w:r>
      <w:r w:rsidR="00007E41" w:rsidRPr="00017D84">
        <w:rPr>
          <w:color w:val="000000" w:themeColor="text1"/>
        </w:rPr>
        <w:t xml:space="preserve">arch 26, 2021 as well as the BSEA Hearing Rules; that </w:t>
      </w:r>
      <w:r w:rsidR="009F1A9A" w:rsidRPr="00017D84">
        <w:rPr>
          <w:color w:val="000000" w:themeColor="text1"/>
        </w:rPr>
        <w:t xml:space="preserve">even assuming Parent’s alleged facts as true, </w:t>
      </w:r>
      <w:r w:rsidR="00007E41" w:rsidRPr="00017D84">
        <w:rPr>
          <w:color w:val="000000" w:themeColor="text1"/>
        </w:rPr>
        <w:t>Parents has failed to state</w:t>
      </w:r>
      <w:r w:rsidR="009F1A9A" w:rsidRPr="00017D84">
        <w:rPr>
          <w:color w:val="000000" w:themeColor="text1"/>
        </w:rPr>
        <w:t xml:space="preserve"> a claim against DESE upon which </w:t>
      </w:r>
      <w:r w:rsidR="00213614" w:rsidRPr="00017D84">
        <w:rPr>
          <w:color w:val="000000" w:themeColor="text1"/>
        </w:rPr>
        <w:t xml:space="preserve">relief can be granted; that Parent’s Hearing Request does not specify the nature of her child’s inability to access </w:t>
      </w:r>
      <w:r w:rsidR="00C3293E" w:rsidRPr="00017D84">
        <w:rPr>
          <w:color w:val="000000" w:themeColor="text1"/>
        </w:rPr>
        <w:t>a FAPE or the way in which the remedy addresses the underlying complaint; and that the BSEA lacks aut</w:t>
      </w:r>
      <w:r w:rsidR="0049192F" w:rsidRPr="00017D84">
        <w:rPr>
          <w:color w:val="000000" w:themeColor="text1"/>
        </w:rPr>
        <w:t>hority to grant monetary damages.</w:t>
      </w:r>
      <w:r w:rsidR="005473B8">
        <w:rPr>
          <w:color w:val="000000" w:themeColor="text1"/>
        </w:rPr>
        <w:t xml:space="preserve"> DESE also note</w:t>
      </w:r>
      <w:r w:rsidR="00432710">
        <w:rPr>
          <w:color w:val="000000" w:themeColor="text1"/>
        </w:rPr>
        <w:t>s</w:t>
      </w:r>
      <w:r w:rsidR="005473B8">
        <w:rPr>
          <w:color w:val="000000" w:themeColor="text1"/>
        </w:rPr>
        <w:t xml:space="preserve"> that </w:t>
      </w:r>
      <w:r w:rsidR="008F33A1">
        <w:rPr>
          <w:color w:val="000000" w:themeColor="text1"/>
        </w:rPr>
        <w:t xml:space="preserve">Parent, having moved to Massachusetts from Puerto Rico, may be under the </w:t>
      </w:r>
      <w:r w:rsidR="00E15D36">
        <w:rPr>
          <w:color w:val="000000" w:themeColor="text1"/>
        </w:rPr>
        <w:t>fals</w:t>
      </w:r>
      <w:r w:rsidR="00B007CF">
        <w:rPr>
          <w:color w:val="000000" w:themeColor="text1"/>
        </w:rPr>
        <w:t>e</w:t>
      </w:r>
      <w:r w:rsidR="00E15D36">
        <w:rPr>
          <w:color w:val="000000" w:themeColor="text1"/>
        </w:rPr>
        <w:t xml:space="preserve"> </w:t>
      </w:r>
      <w:r w:rsidR="008F33A1">
        <w:rPr>
          <w:color w:val="000000" w:themeColor="text1"/>
        </w:rPr>
        <w:t>assumption that DESE</w:t>
      </w:r>
      <w:r w:rsidR="00E15D36">
        <w:rPr>
          <w:color w:val="000000" w:themeColor="text1"/>
        </w:rPr>
        <w:t xml:space="preserve"> has a similar role in Massa</w:t>
      </w:r>
      <w:r w:rsidR="00B007CF">
        <w:rPr>
          <w:color w:val="000000" w:themeColor="text1"/>
        </w:rPr>
        <w:t>ch</w:t>
      </w:r>
      <w:r w:rsidR="00E15D36">
        <w:rPr>
          <w:color w:val="000000" w:themeColor="text1"/>
        </w:rPr>
        <w:t xml:space="preserve">usetts as the Puerto Rico Department of Education </w:t>
      </w:r>
      <w:r w:rsidR="00B007CF">
        <w:rPr>
          <w:color w:val="000000" w:themeColor="text1"/>
        </w:rPr>
        <w:t xml:space="preserve">which assumes responsibility for all special education services. </w:t>
      </w:r>
      <w:r w:rsidR="008F33A1">
        <w:rPr>
          <w:color w:val="000000" w:themeColor="text1"/>
        </w:rPr>
        <w:t xml:space="preserve"> </w:t>
      </w:r>
    </w:p>
    <w:p w14:paraId="08C66C77" w14:textId="77777777" w:rsidR="00034EA8" w:rsidRPr="00017D84" w:rsidRDefault="00034EA8" w:rsidP="00713062">
      <w:pPr>
        <w:rPr>
          <w:color w:val="000000" w:themeColor="text1"/>
        </w:rPr>
      </w:pPr>
    </w:p>
    <w:p w14:paraId="620EFD20" w14:textId="7AD1233D" w:rsidR="00713062" w:rsidRPr="00017D84" w:rsidRDefault="00377BFE" w:rsidP="00713062">
      <w:pPr>
        <w:rPr>
          <w:color w:val="000000" w:themeColor="text1"/>
        </w:rPr>
      </w:pPr>
      <w:r w:rsidRPr="00017D84">
        <w:rPr>
          <w:color w:val="000000" w:themeColor="text1"/>
        </w:rPr>
        <w:t xml:space="preserve">Neither </w:t>
      </w:r>
      <w:r w:rsidR="49EA4C1C" w:rsidRPr="00017D84">
        <w:rPr>
          <w:color w:val="000000" w:themeColor="text1"/>
        </w:rPr>
        <w:t xml:space="preserve">Parent </w:t>
      </w:r>
      <w:r w:rsidRPr="00017D84">
        <w:rPr>
          <w:color w:val="000000" w:themeColor="text1"/>
        </w:rPr>
        <w:t>no</w:t>
      </w:r>
      <w:r w:rsidR="00034EA8" w:rsidRPr="00017D84">
        <w:rPr>
          <w:color w:val="000000" w:themeColor="text1"/>
        </w:rPr>
        <w:t>r</w:t>
      </w:r>
      <w:r w:rsidRPr="00017D84">
        <w:rPr>
          <w:color w:val="000000" w:themeColor="text1"/>
        </w:rPr>
        <w:t xml:space="preserve"> the Lawrence Public Schools </w:t>
      </w:r>
      <w:r w:rsidR="00AF6C47" w:rsidRPr="00017D84">
        <w:rPr>
          <w:color w:val="000000" w:themeColor="text1"/>
        </w:rPr>
        <w:t>(District) has</w:t>
      </w:r>
      <w:r w:rsidRPr="00017D84">
        <w:rPr>
          <w:color w:val="000000" w:themeColor="text1"/>
        </w:rPr>
        <w:t xml:space="preserve"> filed a response. </w:t>
      </w:r>
    </w:p>
    <w:p w14:paraId="790E7BB5" w14:textId="3E1201A0" w:rsidR="00FA2868" w:rsidRPr="00017D84" w:rsidRDefault="00C535DD" w:rsidP="003328ED">
      <w:pPr>
        <w:spacing w:before="100" w:beforeAutospacing="1" w:after="100" w:afterAutospacing="1"/>
        <w:rPr>
          <w:color w:val="000000" w:themeColor="text1"/>
        </w:rPr>
      </w:pPr>
      <w:r w:rsidRPr="00017D84">
        <w:rPr>
          <w:color w:val="000000" w:themeColor="text1"/>
        </w:rPr>
        <w:t xml:space="preserve">For the reasons set forth below, </w:t>
      </w:r>
      <w:r w:rsidR="00377BFE" w:rsidRPr="00017D84">
        <w:rPr>
          <w:color w:val="000000" w:themeColor="text1"/>
        </w:rPr>
        <w:t>DESE’s</w:t>
      </w:r>
      <w:r w:rsidRPr="00017D84">
        <w:rPr>
          <w:color w:val="000000" w:themeColor="text1"/>
        </w:rPr>
        <w:t xml:space="preserve"> </w:t>
      </w:r>
      <w:r w:rsidRPr="00017D84">
        <w:rPr>
          <w:i/>
          <w:iCs/>
          <w:color w:val="000000" w:themeColor="text1"/>
        </w:rPr>
        <w:t xml:space="preserve">Motion </w:t>
      </w:r>
      <w:r w:rsidRPr="00017D84">
        <w:rPr>
          <w:color w:val="000000" w:themeColor="text1"/>
        </w:rPr>
        <w:t>is hereby</w:t>
      </w:r>
      <w:r w:rsidR="00034EA8" w:rsidRPr="00017D84">
        <w:rPr>
          <w:color w:val="000000" w:themeColor="text1"/>
        </w:rPr>
        <w:t xml:space="preserve"> </w:t>
      </w:r>
      <w:r w:rsidR="00A7042C">
        <w:rPr>
          <w:b/>
          <w:bCs/>
          <w:color w:val="000000" w:themeColor="text1"/>
        </w:rPr>
        <w:t>ALLOWED</w:t>
      </w:r>
      <w:r w:rsidR="00B63F7E">
        <w:rPr>
          <w:b/>
          <w:bCs/>
          <w:color w:val="000000" w:themeColor="text1"/>
        </w:rPr>
        <w:t xml:space="preserve">.  </w:t>
      </w:r>
      <w:r w:rsidR="007F37DD">
        <w:rPr>
          <w:b/>
          <w:bCs/>
          <w:color w:val="000000" w:themeColor="text1"/>
        </w:rPr>
        <w:t xml:space="preserve"> Parent’s claims against DESE are hereby DISMISSED WITHOUT PREJUDICE.</w:t>
      </w:r>
    </w:p>
    <w:p w14:paraId="3BACC537" w14:textId="38874CAA" w:rsidR="00FA2868" w:rsidRPr="00017D84" w:rsidRDefault="00FA2868" w:rsidP="003F6569">
      <w:pPr>
        <w:rPr>
          <w:b/>
          <w:bCs/>
          <w:color w:val="000000" w:themeColor="text1"/>
        </w:rPr>
      </w:pPr>
      <w:r w:rsidRPr="00017D84">
        <w:rPr>
          <w:b/>
          <w:bCs/>
          <w:color w:val="000000" w:themeColor="text1"/>
        </w:rPr>
        <w:t>RELEVANT PROCEDURAL HISTORY:</w:t>
      </w:r>
    </w:p>
    <w:p w14:paraId="3994E1E3" w14:textId="77777777" w:rsidR="00045275" w:rsidRPr="00017D84" w:rsidRDefault="00045275" w:rsidP="003F6569">
      <w:pPr>
        <w:rPr>
          <w:b/>
          <w:bCs/>
          <w:color w:val="000000" w:themeColor="text1"/>
        </w:rPr>
      </w:pPr>
    </w:p>
    <w:p w14:paraId="2BB03596" w14:textId="2CB3C055" w:rsidR="002012CC" w:rsidRPr="0046072A" w:rsidRDefault="002012CC" w:rsidP="0046072A">
      <w:pPr>
        <w:pStyle w:val="FootnoteText"/>
      </w:pPr>
      <w:r w:rsidRPr="00017D84">
        <w:rPr>
          <w:color w:val="000000" w:themeColor="text1"/>
        </w:rPr>
        <w:t xml:space="preserve">On February 26, 2021, Parent filed a Hearing Request in the above-referenced matter.  </w:t>
      </w:r>
      <w:r w:rsidR="00377BFE" w:rsidRPr="00017D84">
        <w:rPr>
          <w:color w:val="000000" w:themeColor="text1"/>
        </w:rPr>
        <w:t>D</w:t>
      </w:r>
      <w:r w:rsidRPr="00017D84">
        <w:rPr>
          <w:color w:val="000000" w:themeColor="text1"/>
        </w:rPr>
        <w:t xml:space="preserve">uring </w:t>
      </w:r>
      <w:r w:rsidR="00377BFE" w:rsidRPr="00017D84">
        <w:rPr>
          <w:color w:val="000000" w:themeColor="text1"/>
        </w:rPr>
        <w:t>a</w:t>
      </w:r>
      <w:r w:rsidRPr="00017D84">
        <w:rPr>
          <w:color w:val="000000" w:themeColor="text1"/>
        </w:rPr>
        <w:t xml:space="preserve"> conference call </w:t>
      </w:r>
      <w:r w:rsidR="00377BFE" w:rsidRPr="00017D84">
        <w:rPr>
          <w:color w:val="000000" w:themeColor="text1"/>
        </w:rPr>
        <w:t>on March 22, 2021, it became apparent that</w:t>
      </w:r>
      <w:r w:rsidRPr="00017D84">
        <w:rPr>
          <w:color w:val="000000" w:themeColor="text1"/>
        </w:rPr>
        <w:t xml:space="preserve"> Parent failed to serve DESE, an intended party to the appeal. </w:t>
      </w:r>
      <w:r w:rsidR="00192EC7" w:rsidRPr="00192EC7">
        <w:rPr>
          <w:sz w:val="24"/>
          <w:szCs w:val="24"/>
        </w:rPr>
        <w:t>The BSEA sent a copy of the Parent’s Hearing Request to the DESE on March 26, 2021.</w:t>
      </w:r>
      <w:r w:rsidRPr="00192EC7">
        <w:rPr>
          <w:color w:val="000000" w:themeColor="text1"/>
          <w:sz w:val="24"/>
          <w:szCs w:val="24"/>
        </w:rPr>
        <w:t> </w:t>
      </w:r>
      <w:r w:rsidR="00192EC7" w:rsidRPr="00192EC7">
        <w:rPr>
          <w:color w:val="000000" w:themeColor="text1"/>
          <w:sz w:val="24"/>
          <w:szCs w:val="24"/>
        </w:rPr>
        <w:t xml:space="preserve">Thereafter, </w:t>
      </w:r>
      <w:r w:rsidRPr="00192EC7">
        <w:rPr>
          <w:color w:val="000000" w:themeColor="text1"/>
          <w:sz w:val="24"/>
          <w:szCs w:val="24"/>
        </w:rPr>
        <w:t>, all Parties, including DESE, were served with a recalculated Notice of Hearing reflecting that the DESE was a named party, and that the matter was scheduled for Hearing on April 28, 2021. </w:t>
      </w:r>
      <w:r w:rsidR="00377BFE" w:rsidRPr="00192EC7">
        <w:rPr>
          <w:color w:val="000000" w:themeColor="text1"/>
          <w:sz w:val="24"/>
          <w:szCs w:val="24"/>
        </w:rPr>
        <w:t xml:space="preserve"> </w:t>
      </w:r>
    </w:p>
    <w:p w14:paraId="19650627" w14:textId="77777777" w:rsidR="00922F6E" w:rsidRPr="00627E12" w:rsidRDefault="00922F6E" w:rsidP="00922F6E">
      <w:pPr>
        <w:tabs>
          <w:tab w:val="left" w:pos="2792"/>
        </w:tabs>
        <w:rPr>
          <w:color w:val="000000" w:themeColor="text1"/>
        </w:rPr>
      </w:pPr>
    </w:p>
    <w:p w14:paraId="53A9B5D2" w14:textId="77777777" w:rsidR="00922F6E" w:rsidRPr="00627E12" w:rsidRDefault="00922F6E" w:rsidP="00922F6E">
      <w:pPr>
        <w:tabs>
          <w:tab w:val="left" w:pos="2792"/>
        </w:tabs>
        <w:rPr>
          <w:color w:val="000000" w:themeColor="text1"/>
        </w:rPr>
      </w:pPr>
      <w:r w:rsidRPr="00627E12">
        <w:rPr>
          <w:color w:val="000000" w:themeColor="text1"/>
        </w:rPr>
        <w:t xml:space="preserve">On April 2, 2021, the Hearing Officer issued an order scheduling a pre-hearing conference.  </w:t>
      </w:r>
    </w:p>
    <w:p w14:paraId="30B12736" w14:textId="77777777" w:rsidR="00922F6E" w:rsidRPr="00627E12" w:rsidRDefault="00922F6E" w:rsidP="00922F6E">
      <w:pPr>
        <w:tabs>
          <w:tab w:val="left" w:pos="2792"/>
        </w:tabs>
        <w:rPr>
          <w:color w:val="000000" w:themeColor="text1"/>
        </w:rPr>
      </w:pPr>
    </w:p>
    <w:p w14:paraId="173A0801" w14:textId="1913413B" w:rsidR="00922F6E" w:rsidRPr="00627E12" w:rsidRDefault="00922F6E" w:rsidP="00922F6E">
      <w:pPr>
        <w:tabs>
          <w:tab w:val="left" w:pos="2792"/>
        </w:tabs>
        <w:rPr>
          <w:color w:val="000000" w:themeColor="text1"/>
        </w:rPr>
      </w:pPr>
      <w:r w:rsidRPr="00627E12">
        <w:rPr>
          <w:color w:val="000000" w:themeColor="text1"/>
        </w:rPr>
        <w:t>On April 5, 2021, counsel for DESE informed the Parties that Parent had yet to serve DESE with the Hearing Request.  DESE objected to proceeding without having been formally served; as grounds for its objection, DESE cited BSEA Hearing Rules requiring service by the opposing party</w:t>
      </w:r>
      <w:r w:rsidRPr="00627E12">
        <w:rPr>
          <w:rStyle w:val="FootnoteReference"/>
          <w:color w:val="000000" w:themeColor="text1"/>
        </w:rPr>
        <w:footnoteReference w:id="1"/>
      </w:r>
      <w:r w:rsidRPr="00627E12">
        <w:rPr>
          <w:color w:val="000000" w:themeColor="text1"/>
        </w:rPr>
        <w:t xml:space="preserve"> and indicated that it did not wish to establish a precedent to the practice of being made a party to a dispute without proper service.  Nevertheless, acknowledging Parent’s pro se status, </w:t>
      </w:r>
      <w:r w:rsidRPr="00627E12">
        <w:rPr>
          <w:color w:val="000000" w:themeColor="text1"/>
        </w:rPr>
        <w:lastRenderedPageBreak/>
        <w:t xml:space="preserve">DESE agreed to discuss these issues at a  </w:t>
      </w:r>
      <w:r w:rsidR="00AC2A15">
        <w:rPr>
          <w:color w:val="000000" w:themeColor="text1"/>
        </w:rPr>
        <w:t>P</w:t>
      </w:r>
      <w:r w:rsidRPr="00627E12">
        <w:rPr>
          <w:color w:val="000000" w:themeColor="text1"/>
        </w:rPr>
        <w:t xml:space="preserve">re-hearing </w:t>
      </w:r>
      <w:r w:rsidR="00192EC7">
        <w:rPr>
          <w:color w:val="000000" w:themeColor="text1"/>
        </w:rPr>
        <w:t>C</w:t>
      </w:r>
      <w:r w:rsidRPr="00627E12">
        <w:rPr>
          <w:color w:val="000000" w:themeColor="text1"/>
        </w:rPr>
        <w:t xml:space="preserve">onference which the Hearing Officer was attempting to schedule.   </w:t>
      </w:r>
    </w:p>
    <w:p w14:paraId="12827498" w14:textId="31BFA0DE" w:rsidR="00377BFE" w:rsidRPr="00017D84" w:rsidRDefault="00377BFE" w:rsidP="002012CC">
      <w:pPr>
        <w:rPr>
          <w:color w:val="000000" w:themeColor="text1"/>
        </w:rPr>
      </w:pPr>
    </w:p>
    <w:p w14:paraId="1F8B4096" w14:textId="54A08E1E" w:rsidR="00377BFE" w:rsidRPr="00447750" w:rsidRDefault="00377BFE" w:rsidP="00447750">
      <w:pPr>
        <w:widowControl w:val="0"/>
        <w:rPr>
          <w:color w:val="000000"/>
        </w:rPr>
      </w:pPr>
      <w:r w:rsidRPr="00017D84">
        <w:rPr>
          <w:color w:val="000000" w:themeColor="text1"/>
        </w:rPr>
        <w:t>A Pre</w:t>
      </w:r>
      <w:r w:rsidR="00A817B4" w:rsidRPr="00017D84">
        <w:rPr>
          <w:color w:val="000000" w:themeColor="text1"/>
        </w:rPr>
        <w:t xml:space="preserve">-Hearing Conference was scheduled for April 16, 2021 with the intention of clarifying the issues for Hearing.  Parent did not attend.  As such, </w:t>
      </w:r>
      <w:r w:rsidR="00447750" w:rsidRPr="00C903BB">
        <w:rPr>
          <w:i/>
          <w:iCs/>
          <w:color w:val="000000"/>
        </w:rPr>
        <w:t>Ruling and Order on Joint Motion of Lawrence Public Schools and DESE to Postpone the Automatic Hearing Date and Motion for Parent to Show Cause</w:t>
      </w:r>
      <w:r w:rsidR="00447750">
        <w:rPr>
          <w:color w:val="000000"/>
        </w:rPr>
        <w:t xml:space="preserve"> </w:t>
      </w:r>
      <w:r w:rsidR="00A817B4" w:rsidRPr="00017D84">
        <w:rPr>
          <w:color w:val="000000" w:themeColor="text1"/>
        </w:rPr>
        <w:t>was issued on April 20, 2021</w:t>
      </w:r>
      <w:r w:rsidR="00192EC7">
        <w:rPr>
          <w:color w:val="000000" w:themeColor="text1"/>
        </w:rPr>
        <w:t>,</w:t>
      </w:r>
      <w:r w:rsidR="00F764E8" w:rsidRPr="00017D84">
        <w:rPr>
          <w:color w:val="000000" w:themeColor="text1"/>
        </w:rPr>
        <w:t xml:space="preserve"> </w:t>
      </w:r>
      <w:r w:rsidR="00F83220" w:rsidRPr="00017D84">
        <w:rPr>
          <w:color w:val="000000" w:themeColor="text1"/>
        </w:rPr>
        <w:t>defining the issues</w:t>
      </w:r>
      <w:r w:rsidR="000062F0" w:rsidRPr="00017D84">
        <w:rPr>
          <w:rStyle w:val="FootnoteReference"/>
          <w:color w:val="000000" w:themeColor="text1"/>
        </w:rPr>
        <w:footnoteReference w:id="2"/>
      </w:r>
      <w:r w:rsidR="000062F0" w:rsidRPr="00017D84">
        <w:rPr>
          <w:color w:val="000000" w:themeColor="text1"/>
        </w:rPr>
        <w:t xml:space="preserve"> </w:t>
      </w:r>
      <w:r w:rsidR="00F83220" w:rsidRPr="00017D84">
        <w:rPr>
          <w:color w:val="000000" w:themeColor="text1"/>
        </w:rPr>
        <w:t>for Hearing as follows:</w:t>
      </w:r>
    </w:p>
    <w:p w14:paraId="270791F8" w14:textId="77777777" w:rsidR="00B97A78" w:rsidRPr="00017D84" w:rsidRDefault="00B97A78" w:rsidP="002012CC">
      <w:pPr>
        <w:rPr>
          <w:color w:val="000000" w:themeColor="text1"/>
        </w:rPr>
      </w:pPr>
    </w:p>
    <w:p w14:paraId="6CECC673" w14:textId="77777777" w:rsidR="00F83220" w:rsidRPr="00017D84" w:rsidRDefault="00F83220" w:rsidP="00F83220">
      <w:pPr>
        <w:pStyle w:val="ListParagraph"/>
        <w:numPr>
          <w:ilvl w:val="2"/>
          <w:numId w:val="14"/>
        </w:numPr>
      </w:pPr>
      <w:r w:rsidRPr="00017D84">
        <w:rPr>
          <w:color w:val="000000"/>
        </w:rPr>
        <w:t>Whether the District complied with 603 CMR 28.03(1)(c)(2)</w:t>
      </w:r>
      <w:r w:rsidRPr="00017D84">
        <w:rPr>
          <w:rStyle w:val="FootnoteReference"/>
          <w:color w:val="000000"/>
        </w:rPr>
        <w:footnoteReference w:id="3"/>
      </w:r>
      <w:r w:rsidRPr="00017D84">
        <w:rPr>
          <w:color w:val="000000"/>
        </w:rPr>
        <w:t xml:space="preserve">? </w:t>
      </w:r>
    </w:p>
    <w:p w14:paraId="4DE5EF27" w14:textId="02051D7C" w:rsidR="00AC2A15" w:rsidRDefault="00F83220" w:rsidP="00AC2A15">
      <w:pPr>
        <w:pStyle w:val="ListParagraph"/>
        <w:numPr>
          <w:ilvl w:val="2"/>
          <w:numId w:val="14"/>
        </w:numPr>
      </w:pPr>
      <w:r w:rsidRPr="00017D84">
        <w:rPr>
          <w:color w:val="000000"/>
        </w:rPr>
        <w:t>If I find that the answer is “no”, then whether the District’s failure to comply with said regulation resulted in a denial of a FAPE to Student.</w:t>
      </w:r>
      <w:r w:rsidRPr="00017D84">
        <w:rPr>
          <w:rStyle w:val="FootnoteReference"/>
          <w:color w:val="000000"/>
        </w:rPr>
        <w:footnoteReference w:id="4"/>
      </w:r>
    </w:p>
    <w:p w14:paraId="1948C5B0" w14:textId="77777777" w:rsidR="00AC2A15" w:rsidRPr="00017D84" w:rsidRDefault="00AC2A15" w:rsidP="0046072A">
      <w:pPr>
        <w:pStyle w:val="ListParagraph"/>
        <w:ind w:left="0"/>
      </w:pPr>
    </w:p>
    <w:p w14:paraId="3416F079" w14:textId="03C843FA" w:rsidR="002012CC" w:rsidRPr="008C7B77" w:rsidRDefault="00045275" w:rsidP="008356A4">
      <w:r w:rsidRPr="00017D84">
        <w:t xml:space="preserve">The Ruling </w:t>
      </w:r>
      <w:r w:rsidR="00CB50E3">
        <w:t xml:space="preserve">also </w:t>
      </w:r>
      <w:r w:rsidRPr="00017D84">
        <w:t>noted that</w:t>
      </w:r>
      <w:r w:rsidR="00CB50E3">
        <w:t xml:space="preserve"> “despite the imperfect service, DESE </w:t>
      </w:r>
      <w:r w:rsidR="00430CB6">
        <w:t>has been provided with sufficient, actual notice of the Hearing Request and the Hearing date.”  The Ruling further noted that</w:t>
      </w:r>
      <w:r w:rsidRPr="00017D84">
        <w:t xml:space="preserve"> f</w:t>
      </w:r>
      <w:r w:rsidRPr="00017D84">
        <w:rPr>
          <w:color w:val="000000"/>
        </w:rPr>
        <w:t>rom the Hearing Request, it was unclear to the Hearing Officer what specific claims Parent wished to address against DESE.</w:t>
      </w:r>
    </w:p>
    <w:p w14:paraId="678AA707" w14:textId="3B08DBB1" w:rsidR="00FA2868" w:rsidRPr="00017D84" w:rsidRDefault="004D3683" w:rsidP="006C40A5">
      <w:pPr>
        <w:spacing w:before="100" w:beforeAutospacing="1" w:after="100" w:afterAutospacing="1"/>
        <w:rPr>
          <w:b/>
          <w:bCs/>
          <w:color w:val="000000" w:themeColor="text1"/>
        </w:rPr>
      </w:pPr>
      <w:r w:rsidRPr="00017D84">
        <w:rPr>
          <w:b/>
          <w:bCs/>
          <w:color w:val="000000" w:themeColor="text1"/>
        </w:rPr>
        <w:t>RELEVANT FACTS:</w:t>
      </w:r>
    </w:p>
    <w:p w14:paraId="4FEA5839" w14:textId="123C5E57" w:rsidR="00245389" w:rsidRPr="00017D84" w:rsidRDefault="00245389" w:rsidP="00245389">
      <w:pPr>
        <w:pStyle w:val="paragraph"/>
        <w:textAlignment w:val="baseline"/>
        <w:rPr>
          <w:color w:val="000000" w:themeColor="text1"/>
        </w:rPr>
      </w:pPr>
      <w:r w:rsidRPr="00017D84">
        <w:rPr>
          <w:color w:val="000000" w:themeColor="text1"/>
        </w:rPr>
        <w:t xml:space="preserve">For the purposes of this </w:t>
      </w:r>
      <w:r w:rsidRPr="00017D84">
        <w:rPr>
          <w:i/>
          <w:iCs/>
          <w:color w:val="000000" w:themeColor="text1"/>
        </w:rPr>
        <w:t>Motion</w:t>
      </w:r>
      <w:r w:rsidR="008356A4" w:rsidRPr="00017D84">
        <w:rPr>
          <w:color w:val="000000" w:themeColor="text1"/>
        </w:rPr>
        <w:t>,</w:t>
      </w:r>
      <w:r w:rsidRPr="00017D84">
        <w:rPr>
          <w:color w:val="000000" w:themeColor="text1"/>
        </w:rPr>
        <w:t xml:space="preserve"> I must take the assertions set out in the Parent's Complaint as true</w:t>
      </w:r>
      <w:r w:rsidR="00D7451F" w:rsidRPr="00017D84">
        <w:rPr>
          <w:color w:val="000000" w:themeColor="text1"/>
        </w:rPr>
        <w:t>.</w:t>
      </w:r>
    </w:p>
    <w:p w14:paraId="3A68C28E" w14:textId="7E7A9A6E" w:rsidR="00613740" w:rsidRPr="00017D84" w:rsidRDefault="252D28F9" w:rsidP="49EA4C1C">
      <w:pPr>
        <w:pStyle w:val="paragraph"/>
        <w:spacing w:before="0" w:beforeAutospacing="0" w:after="0" w:afterAutospacing="0"/>
        <w:textAlignment w:val="baseline"/>
        <w:rPr>
          <w:rStyle w:val="normaltextrun"/>
          <w:color w:val="000000" w:themeColor="text1"/>
        </w:rPr>
      </w:pPr>
      <w:r w:rsidRPr="00017D84">
        <w:rPr>
          <w:rStyle w:val="eop"/>
          <w:color w:val="000000" w:themeColor="text1"/>
        </w:rPr>
        <w:t xml:space="preserve">Student is a </w:t>
      </w:r>
      <w:r w:rsidR="00BA179B" w:rsidRPr="00017D84">
        <w:rPr>
          <w:rStyle w:val="eop"/>
          <w:color w:val="000000" w:themeColor="text1"/>
        </w:rPr>
        <w:t>19-year-old</w:t>
      </w:r>
      <w:r w:rsidRPr="00017D84">
        <w:rPr>
          <w:rStyle w:val="eop"/>
          <w:color w:val="000000" w:themeColor="text1"/>
        </w:rPr>
        <w:t xml:space="preserve"> resident of Lawrence, MA.  He attends Lawrence High School (LHS). On February 26, 2021, Parent filed a Hearing Request. In it she alleges that on June 5, 2020, Student and Parent moved to Lawrence, MA from Puerto Rico, where he was receiving special education and related services.  Student’s program in Puerto Rico did not provide him with a </w:t>
      </w:r>
      <w:r w:rsidRPr="00017D84">
        <w:rPr>
          <w:rStyle w:val="eop"/>
          <w:color w:val="000000" w:themeColor="text1"/>
        </w:rPr>
        <w:lastRenderedPageBreak/>
        <w:t xml:space="preserve">FAPE, and Parent participated in “administrative hearings with the Puerto Rico Department of Education.” Upon arriving in Lawrence, MA, Parent was told by the District that because Student was 19 years old, he could not attend school. On August 24, 2020, Parent met with Mr. Victor Caraballo Anderson, Head of School, and describes that meeting in her hearing request as follows: </w:t>
      </w:r>
    </w:p>
    <w:p w14:paraId="7922B36C" w14:textId="77777777" w:rsidR="00613740" w:rsidRPr="00017D84" w:rsidRDefault="00613740" w:rsidP="00420F6D">
      <w:pPr>
        <w:pStyle w:val="paragraph"/>
        <w:spacing w:before="0" w:beforeAutospacing="0" w:after="0" w:afterAutospacing="0"/>
        <w:textAlignment w:val="baseline"/>
        <w:rPr>
          <w:rStyle w:val="normaltextrun"/>
          <w:color w:val="000000" w:themeColor="text1"/>
        </w:rPr>
      </w:pPr>
    </w:p>
    <w:p w14:paraId="7DF7B7F6" w14:textId="2B6BAFB8" w:rsidR="00420F6D" w:rsidRPr="00017D84" w:rsidRDefault="49EA4C1C" w:rsidP="49EA4C1C">
      <w:pPr>
        <w:pStyle w:val="paragraph"/>
        <w:spacing w:before="0" w:beforeAutospacing="0" w:after="0" w:afterAutospacing="0"/>
        <w:ind w:left="1440"/>
        <w:textAlignment w:val="baseline"/>
        <w:rPr>
          <w:color w:val="000000" w:themeColor="text1"/>
        </w:rPr>
      </w:pPr>
      <w:r w:rsidRPr="00017D84">
        <w:rPr>
          <w:rStyle w:val="normaltextrun"/>
          <w:color w:val="000000" w:themeColor="text1"/>
        </w:rPr>
        <w:t>[The District] presented us with the same options they presented us in Puerto Rico insisting that he skip grades, and we let them know that [Student] wanted to continue studying in each grade in order to complete the credits until 12</w:t>
      </w:r>
      <w:r w:rsidRPr="00017D84">
        <w:rPr>
          <w:rStyle w:val="normaltextrun"/>
          <w:color w:val="000000" w:themeColor="text1"/>
          <w:vertAlign w:val="superscript"/>
        </w:rPr>
        <w:t>th</w:t>
      </w:r>
      <w:r w:rsidRPr="00017D84">
        <w:rPr>
          <w:rStyle w:val="apple-converted-space"/>
          <w:color w:val="000000" w:themeColor="text1"/>
        </w:rPr>
        <w:t> grade and go to university given that because of the mistakes made by the education professionals in Puerto Rico the student had not received an appropriate education with adequate support and services and that’s why he is in 10</w:t>
      </w:r>
      <w:r w:rsidRPr="00017D84">
        <w:rPr>
          <w:rStyle w:val="normaltextrun"/>
          <w:color w:val="000000" w:themeColor="text1"/>
          <w:vertAlign w:val="superscript"/>
        </w:rPr>
        <w:t>th</w:t>
      </w:r>
      <w:r w:rsidRPr="00017D84">
        <w:rPr>
          <w:rStyle w:val="apple-converted-space"/>
          <w:color w:val="000000" w:themeColor="text1"/>
        </w:rPr>
        <w:t xml:space="preserve"> grade and not at a university. I said that both the student and I want </w:t>
      </w:r>
      <w:r w:rsidR="00A7247F" w:rsidRPr="00017D84">
        <w:rPr>
          <w:rStyle w:val="apple-converted-space"/>
          <w:color w:val="000000" w:themeColor="text1"/>
        </w:rPr>
        <w:t>[Student]</w:t>
      </w:r>
      <w:r w:rsidRPr="00017D84">
        <w:rPr>
          <w:rStyle w:val="apple-converted-space"/>
          <w:color w:val="000000" w:themeColor="text1"/>
        </w:rPr>
        <w:t xml:space="preserve"> to continue studying in each grade until he reaches 12</w:t>
      </w:r>
      <w:r w:rsidRPr="00017D84">
        <w:rPr>
          <w:rStyle w:val="normaltextrun"/>
          <w:color w:val="000000" w:themeColor="text1"/>
          <w:vertAlign w:val="superscript"/>
        </w:rPr>
        <w:t>th</w:t>
      </w:r>
      <w:r w:rsidRPr="00017D84">
        <w:rPr>
          <w:rStyle w:val="apple-converted-space"/>
          <w:color w:val="000000" w:themeColor="text1"/>
        </w:rPr>
        <w:t xml:space="preserve"> grade because in spite of all his rights having been </w:t>
      </w:r>
      <w:r w:rsidR="008378C5" w:rsidRPr="00017D84">
        <w:rPr>
          <w:rStyle w:val="apple-converted-space"/>
          <w:color w:val="000000" w:themeColor="text1"/>
        </w:rPr>
        <w:t>violated,</w:t>
      </w:r>
      <w:r w:rsidRPr="00017D84">
        <w:rPr>
          <w:rStyle w:val="apple-converted-space"/>
          <w:color w:val="000000" w:themeColor="text1"/>
        </w:rPr>
        <w:t xml:space="preserve"> he is pushing himself first to be with students that aren’t his age and second to obtain a very good grade, which despite his limitations and without timely services, since they took him out of the self-contained room where he was for nine years for no reason, he made honor roll two times. </w:t>
      </w:r>
    </w:p>
    <w:p w14:paraId="38F58091" w14:textId="77777777" w:rsidR="004E4558" w:rsidRPr="00017D84" w:rsidRDefault="004E4558" w:rsidP="00420F6D">
      <w:pPr>
        <w:pStyle w:val="paragraph"/>
        <w:spacing w:before="0" w:beforeAutospacing="0" w:after="0" w:afterAutospacing="0"/>
        <w:textAlignment w:val="baseline"/>
        <w:rPr>
          <w:rStyle w:val="pagebreaktextspan"/>
          <w:color w:val="000000" w:themeColor="text1"/>
          <w:shd w:val="clear" w:color="auto" w:fill="FFFFFF"/>
        </w:rPr>
      </w:pPr>
    </w:p>
    <w:p w14:paraId="7BBCDC62" w14:textId="64036A68" w:rsidR="005551AE" w:rsidRPr="00017D84" w:rsidRDefault="00613740" w:rsidP="00197ACF">
      <w:pPr>
        <w:pStyle w:val="paragraph"/>
        <w:spacing w:before="0" w:beforeAutospacing="0" w:after="0" w:afterAutospacing="0"/>
        <w:textAlignment w:val="baseline"/>
        <w:rPr>
          <w:rStyle w:val="normaltextrun"/>
          <w:color w:val="000000" w:themeColor="text1"/>
        </w:rPr>
      </w:pPr>
      <w:r w:rsidRPr="00017D84">
        <w:rPr>
          <w:rStyle w:val="normaltextrun"/>
          <w:color w:val="000000" w:themeColor="text1"/>
        </w:rPr>
        <w:t>A</w:t>
      </w:r>
      <w:r w:rsidR="00420F6D" w:rsidRPr="00017D84">
        <w:rPr>
          <w:rStyle w:val="normaltextrun"/>
          <w:color w:val="000000" w:themeColor="text1"/>
        </w:rPr>
        <w:t xml:space="preserve">nother meeting </w:t>
      </w:r>
      <w:r w:rsidRPr="00017D84">
        <w:rPr>
          <w:rStyle w:val="normaltextrun"/>
          <w:color w:val="000000" w:themeColor="text1"/>
        </w:rPr>
        <w:t xml:space="preserve">took place </w:t>
      </w:r>
      <w:r w:rsidR="00420F6D" w:rsidRPr="00017D84">
        <w:rPr>
          <w:rStyle w:val="normaltextrun"/>
          <w:color w:val="000000" w:themeColor="text1"/>
        </w:rPr>
        <w:t>on August 26, 2020</w:t>
      </w:r>
      <w:r w:rsidR="00156744" w:rsidRPr="00017D84">
        <w:rPr>
          <w:rStyle w:val="normaltextrun"/>
          <w:color w:val="000000" w:themeColor="text1"/>
        </w:rPr>
        <w:t xml:space="preserve"> </w:t>
      </w:r>
      <w:r w:rsidR="00420F6D" w:rsidRPr="00017D84">
        <w:rPr>
          <w:rStyle w:val="normaltextrun"/>
          <w:color w:val="000000" w:themeColor="text1"/>
        </w:rPr>
        <w:t xml:space="preserve">with </w:t>
      </w:r>
      <w:r w:rsidR="00156744" w:rsidRPr="00017D84">
        <w:rPr>
          <w:rStyle w:val="normaltextrun"/>
          <w:color w:val="000000" w:themeColor="text1"/>
        </w:rPr>
        <w:t>Parent, Student</w:t>
      </w:r>
      <w:r w:rsidR="00420F6D" w:rsidRPr="00017D84">
        <w:rPr>
          <w:rStyle w:val="normaltextrun"/>
          <w:color w:val="000000" w:themeColor="text1"/>
        </w:rPr>
        <w:t xml:space="preserve"> and Mr. James Parker</w:t>
      </w:r>
      <w:r w:rsidR="00C56F22" w:rsidRPr="00017D84">
        <w:rPr>
          <w:rStyle w:val="normaltextrun"/>
          <w:color w:val="000000" w:themeColor="text1"/>
        </w:rPr>
        <w:t>, Zone 4 Special Education Director</w:t>
      </w:r>
      <w:r w:rsidR="00156744" w:rsidRPr="00017D84">
        <w:rPr>
          <w:rStyle w:val="normaltextrun"/>
          <w:color w:val="000000" w:themeColor="text1"/>
        </w:rPr>
        <w:t xml:space="preserve"> of the Lawrence Public Schools</w:t>
      </w:r>
      <w:r w:rsidR="00420F6D" w:rsidRPr="00017D84">
        <w:rPr>
          <w:rStyle w:val="normaltextrun"/>
          <w:color w:val="000000" w:themeColor="text1"/>
        </w:rPr>
        <w:t xml:space="preserve">. </w:t>
      </w:r>
      <w:r w:rsidR="00156744" w:rsidRPr="00017D84">
        <w:rPr>
          <w:rStyle w:val="normaltextrun"/>
          <w:color w:val="000000" w:themeColor="text1"/>
        </w:rPr>
        <w:t xml:space="preserve">At the meeting, </w:t>
      </w:r>
      <w:r w:rsidR="00C40686" w:rsidRPr="00017D84">
        <w:rPr>
          <w:rStyle w:val="normaltextrun"/>
          <w:color w:val="000000" w:themeColor="text1"/>
        </w:rPr>
        <w:t>Parent present</w:t>
      </w:r>
      <w:r w:rsidR="005D1EED" w:rsidRPr="00017D84">
        <w:rPr>
          <w:rStyle w:val="normaltextrun"/>
          <w:color w:val="000000" w:themeColor="text1"/>
        </w:rPr>
        <w:t>ed the District with Student’s</w:t>
      </w:r>
      <w:r w:rsidR="00C40686" w:rsidRPr="00017D84">
        <w:rPr>
          <w:rStyle w:val="normaltextrun"/>
          <w:color w:val="000000" w:themeColor="text1"/>
        </w:rPr>
        <w:t xml:space="preserve"> special education documents from Puerto Rico. She was provided the Procedural Safeguards</w:t>
      </w:r>
      <w:r w:rsidR="005D1EED" w:rsidRPr="00017D84">
        <w:rPr>
          <w:rStyle w:val="normaltextrun"/>
          <w:color w:val="000000" w:themeColor="text1"/>
        </w:rPr>
        <w:t>,</w:t>
      </w:r>
      <w:r w:rsidR="00C40686" w:rsidRPr="00017D84">
        <w:rPr>
          <w:rStyle w:val="normaltextrun"/>
          <w:color w:val="000000" w:themeColor="text1"/>
        </w:rPr>
        <w:t xml:space="preserve"> and Student was registered for school.</w:t>
      </w:r>
      <w:r w:rsidR="00C40686" w:rsidRPr="00017D84">
        <w:rPr>
          <w:color w:val="000000" w:themeColor="text1"/>
        </w:rPr>
        <w:t xml:space="preserve"> </w:t>
      </w:r>
      <w:r w:rsidR="005F251D" w:rsidRPr="00017D84">
        <w:rPr>
          <w:rStyle w:val="normaltextrun"/>
          <w:color w:val="000000" w:themeColor="text1"/>
        </w:rPr>
        <w:t>The District informed Parent that they had contacted the Department of Education in Puerto Rico for Student’s records</w:t>
      </w:r>
      <w:r w:rsidR="000310E6" w:rsidRPr="00017D84">
        <w:rPr>
          <w:rStyle w:val="normaltextrun"/>
          <w:color w:val="000000" w:themeColor="text1"/>
        </w:rPr>
        <w:t xml:space="preserve"> and would be contacting Parent to develop the IEP. </w:t>
      </w:r>
      <w:r w:rsidR="005D1EED" w:rsidRPr="00017D84">
        <w:rPr>
          <w:rStyle w:val="normaltextrun"/>
          <w:color w:val="000000" w:themeColor="text1"/>
        </w:rPr>
        <w:t xml:space="preserve"> </w:t>
      </w:r>
      <w:r w:rsidR="00C15244" w:rsidRPr="00017D84">
        <w:rPr>
          <w:rStyle w:val="normaltextrun"/>
          <w:color w:val="000000" w:themeColor="text1"/>
        </w:rPr>
        <w:t>On or about that same time, Parent attempted to find legal representation to help her with the matter but was unsuccessful. She “</w:t>
      </w:r>
      <w:r w:rsidR="00420F6D" w:rsidRPr="00017D84">
        <w:rPr>
          <w:rStyle w:val="normaltextrun"/>
          <w:color w:val="000000" w:themeColor="text1"/>
        </w:rPr>
        <w:t>decided to call for a mediation</w:t>
      </w:r>
      <w:r w:rsidR="00D036B4" w:rsidRPr="00017D84">
        <w:rPr>
          <w:rStyle w:val="normaltextrun"/>
          <w:color w:val="000000" w:themeColor="text1"/>
        </w:rPr>
        <w:t xml:space="preserve">,” but </w:t>
      </w:r>
      <w:r w:rsidR="006F5B03" w:rsidRPr="00017D84">
        <w:rPr>
          <w:rStyle w:val="normaltextrun"/>
          <w:color w:val="000000" w:themeColor="text1"/>
        </w:rPr>
        <w:t>the</w:t>
      </w:r>
      <w:r w:rsidR="00D036B4" w:rsidRPr="00017D84">
        <w:rPr>
          <w:rStyle w:val="normaltextrun"/>
          <w:color w:val="000000" w:themeColor="text1"/>
        </w:rPr>
        <w:t xml:space="preserve"> matter was not resolved. </w:t>
      </w:r>
    </w:p>
    <w:p w14:paraId="48175489" w14:textId="77777777" w:rsidR="005551AE" w:rsidRPr="00017D84" w:rsidRDefault="005551AE" w:rsidP="00197ACF">
      <w:pPr>
        <w:pStyle w:val="paragraph"/>
        <w:spacing w:before="0" w:beforeAutospacing="0" w:after="0" w:afterAutospacing="0"/>
        <w:textAlignment w:val="baseline"/>
        <w:rPr>
          <w:rStyle w:val="normaltextrun"/>
          <w:color w:val="000000" w:themeColor="text1"/>
        </w:rPr>
      </w:pPr>
    </w:p>
    <w:p w14:paraId="0B9FF7BE" w14:textId="21D3866B" w:rsidR="00420F6D" w:rsidRPr="00017D84" w:rsidRDefault="00D036B4" w:rsidP="00197ACF">
      <w:pPr>
        <w:pStyle w:val="paragraph"/>
        <w:spacing w:before="0" w:beforeAutospacing="0" w:after="0" w:afterAutospacing="0"/>
        <w:textAlignment w:val="baseline"/>
        <w:rPr>
          <w:color w:val="000000" w:themeColor="text1"/>
        </w:rPr>
      </w:pPr>
      <w:r w:rsidRPr="00017D84">
        <w:rPr>
          <w:rStyle w:val="normaltextrun"/>
          <w:color w:val="000000" w:themeColor="text1"/>
        </w:rPr>
        <w:t>Parent assert</w:t>
      </w:r>
      <w:r w:rsidR="006F5B03" w:rsidRPr="00017D84">
        <w:rPr>
          <w:rStyle w:val="normaltextrun"/>
          <w:color w:val="000000" w:themeColor="text1"/>
        </w:rPr>
        <w:t>ed</w:t>
      </w:r>
      <w:r w:rsidRPr="00017D84">
        <w:rPr>
          <w:rStyle w:val="normaltextrun"/>
          <w:color w:val="000000" w:themeColor="text1"/>
        </w:rPr>
        <w:t xml:space="preserve"> that Student is not receiving a FAPE</w:t>
      </w:r>
      <w:r w:rsidR="005551AE" w:rsidRPr="00017D84">
        <w:rPr>
          <w:rStyle w:val="normaltextrun"/>
          <w:color w:val="000000" w:themeColor="text1"/>
        </w:rPr>
        <w:t xml:space="preserve"> and </w:t>
      </w:r>
      <w:r w:rsidR="006303EC" w:rsidRPr="00017D84">
        <w:rPr>
          <w:rStyle w:val="normaltextrun"/>
          <w:color w:val="000000" w:themeColor="text1"/>
        </w:rPr>
        <w:t>asked</w:t>
      </w:r>
      <w:r w:rsidR="00BF6EB2" w:rsidRPr="00017D84">
        <w:rPr>
          <w:rStyle w:val="normaltextrun"/>
          <w:color w:val="000000" w:themeColor="text1"/>
        </w:rPr>
        <w:t xml:space="preserve"> for</w:t>
      </w:r>
      <w:r w:rsidR="006303EC" w:rsidRPr="00017D84">
        <w:rPr>
          <w:rStyle w:val="normaltextrun"/>
          <w:color w:val="000000" w:themeColor="text1"/>
        </w:rPr>
        <w:t xml:space="preserve"> the following</w:t>
      </w:r>
      <w:r w:rsidR="00BF6EB2" w:rsidRPr="00017D84">
        <w:rPr>
          <w:rStyle w:val="normaltextrun"/>
          <w:color w:val="000000" w:themeColor="text1"/>
        </w:rPr>
        <w:t xml:space="preserve"> relief</w:t>
      </w:r>
      <w:r w:rsidR="006303EC" w:rsidRPr="00017D84">
        <w:rPr>
          <w:rStyle w:val="normaltextrun"/>
          <w:color w:val="000000" w:themeColor="text1"/>
        </w:rPr>
        <w:t>:</w:t>
      </w:r>
      <w:r w:rsidR="00420F6D" w:rsidRPr="00017D84">
        <w:rPr>
          <w:rStyle w:val="normaltextrun"/>
          <w:color w:val="000000" w:themeColor="text1"/>
        </w:rPr>
        <w:t xml:space="preserve"> </w:t>
      </w:r>
    </w:p>
    <w:p w14:paraId="2CA63E04" w14:textId="77777777" w:rsidR="006303EC" w:rsidRPr="00017D84" w:rsidRDefault="006303EC" w:rsidP="006303EC">
      <w:pPr>
        <w:pStyle w:val="paragraph"/>
        <w:spacing w:before="0" w:beforeAutospacing="0" w:after="0" w:afterAutospacing="0"/>
        <w:textAlignment w:val="baseline"/>
        <w:rPr>
          <w:rStyle w:val="apple-converted-space"/>
          <w:color w:val="000000" w:themeColor="text1"/>
        </w:rPr>
      </w:pPr>
    </w:p>
    <w:p w14:paraId="784635F8" w14:textId="10F4E92D" w:rsidR="00420F6D" w:rsidRPr="00017D84" w:rsidRDefault="00AC09DC" w:rsidP="00BF6EB2">
      <w:pPr>
        <w:pStyle w:val="paragraph"/>
        <w:numPr>
          <w:ilvl w:val="0"/>
          <w:numId w:val="12"/>
        </w:numPr>
        <w:spacing w:before="0" w:beforeAutospacing="0" w:after="0" w:afterAutospacing="0"/>
        <w:textAlignment w:val="baseline"/>
        <w:rPr>
          <w:color w:val="000000" w:themeColor="text1"/>
        </w:rPr>
      </w:pPr>
      <w:r w:rsidRPr="00017D84">
        <w:rPr>
          <w:rStyle w:val="normaltextrun"/>
          <w:color w:val="000000" w:themeColor="text1"/>
        </w:rPr>
        <w:t>“</w:t>
      </w:r>
      <w:r w:rsidR="00420F6D" w:rsidRPr="00017D84">
        <w:rPr>
          <w:rStyle w:val="normaltextrun"/>
          <w:color w:val="000000" w:themeColor="text1"/>
        </w:rPr>
        <w:t>200,000 dollars for all of the mistreatment, abuse of power, discrimination, emotional damage, and mismanagement</w:t>
      </w:r>
      <w:r w:rsidR="00420F6D" w:rsidRPr="00017D84">
        <w:rPr>
          <w:rStyle w:val="apple-converted-space"/>
          <w:color w:val="000000" w:themeColor="text1"/>
        </w:rPr>
        <w:t> </w:t>
      </w:r>
      <w:r w:rsidR="00420F6D" w:rsidRPr="00017D84">
        <w:rPr>
          <w:rStyle w:val="normaltextrun"/>
          <w:color w:val="000000" w:themeColor="text1"/>
        </w:rPr>
        <w:t>of the case</w:t>
      </w:r>
      <w:r w:rsidRPr="00017D84">
        <w:rPr>
          <w:rStyle w:val="normaltextrun"/>
          <w:color w:val="000000" w:themeColor="text1"/>
        </w:rPr>
        <w:t>”;</w:t>
      </w:r>
      <w:r w:rsidR="00420F6D" w:rsidRPr="00017D84">
        <w:rPr>
          <w:rStyle w:val="tabchar"/>
          <w:color w:val="000000" w:themeColor="text1"/>
        </w:rPr>
        <w:t xml:space="preserve"> </w:t>
      </w:r>
      <w:r w:rsidR="00420F6D" w:rsidRPr="00017D84">
        <w:rPr>
          <w:rStyle w:val="eop"/>
          <w:color w:val="000000" w:themeColor="text1"/>
        </w:rPr>
        <w:t> </w:t>
      </w:r>
    </w:p>
    <w:p w14:paraId="3891641B" w14:textId="6FF5EA9B" w:rsidR="00420F6D" w:rsidRPr="00017D84" w:rsidRDefault="49EA4C1C" w:rsidP="49EA4C1C">
      <w:pPr>
        <w:pStyle w:val="paragraph"/>
        <w:numPr>
          <w:ilvl w:val="0"/>
          <w:numId w:val="12"/>
        </w:numPr>
        <w:spacing w:before="0" w:beforeAutospacing="0" w:after="0" w:afterAutospacing="0"/>
        <w:jc w:val="both"/>
        <w:textAlignment w:val="baseline"/>
        <w:rPr>
          <w:color w:val="000000" w:themeColor="text1"/>
        </w:rPr>
      </w:pPr>
      <w:r w:rsidRPr="00017D84">
        <w:rPr>
          <w:rStyle w:val="normaltextrun"/>
          <w:color w:val="000000" w:themeColor="text1"/>
        </w:rPr>
        <w:t>that “the Department of Education take responsibility for offering [Student] a fair and appropriate education with all services in a timely manner and with all of the benefits that correspond to him”;</w:t>
      </w:r>
    </w:p>
    <w:p w14:paraId="75884CF2" w14:textId="726B0A0A" w:rsidR="00420F6D" w:rsidRPr="00017D84" w:rsidRDefault="49EA4C1C" w:rsidP="49EA4C1C">
      <w:pPr>
        <w:pStyle w:val="paragraph"/>
        <w:numPr>
          <w:ilvl w:val="0"/>
          <w:numId w:val="12"/>
        </w:numPr>
        <w:spacing w:before="0" w:beforeAutospacing="0" w:after="0" w:afterAutospacing="0"/>
        <w:textAlignment w:val="baseline"/>
        <w:rPr>
          <w:color w:val="000000" w:themeColor="text1"/>
        </w:rPr>
      </w:pPr>
      <w:r w:rsidRPr="00017D84">
        <w:rPr>
          <w:rStyle w:val="eop"/>
          <w:color w:val="000000" w:themeColor="text1"/>
        </w:rPr>
        <w:t>that “the Department of Education take responsibility if for some reason or another the student is not able to complete the fourth year of high school (12</w:t>
      </w:r>
      <w:r w:rsidRPr="00017D84">
        <w:rPr>
          <w:rStyle w:val="normaltextrun"/>
          <w:color w:val="000000" w:themeColor="text1"/>
          <w:vertAlign w:val="superscript"/>
        </w:rPr>
        <w:t>th</w:t>
      </w:r>
      <w:r w:rsidRPr="00017D84">
        <w:rPr>
          <w:rStyle w:val="apple-converted-space"/>
          <w:color w:val="000000" w:themeColor="text1"/>
        </w:rPr>
        <w:t> grade) before 21 or 22 years of age, the Department of Education should be required to continue providing him his classes and studies with all of his special education services and assistance until he goes to or finishes 12</w:t>
      </w:r>
      <w:r w:rsidRPr="00017D84">
        <w:rPr>
          <w:rStyle w:val="normaltextrun"/>
          <w:color w:val="000000" w:themeColor="text1"/>
          <w:vertAlign w:val="superscript"/>
        </w:rPr>
        <w:t>th</w:t>
      </w:r>
      <w:r w:rsidRPr="00017D84">
        <w:rPr>
          <w:rStyle w:val="apple-converted-space"/>
          <w:color w:val="000000" w:themeColor="text1"/>
        </w:rPr>
        <w:t> grade and goes to university”; </w:t>
      </w:r>
    </w:p>
    <w:p w14:paraId="64859ACE" w14:textId="3B99DB7C" w:rsidR="00420F6D" w:rsidRPr="00017D84" w:rsidRDefault="49EA4C1C" w:rsidP="49EA4C1C">
      <w:pPr>
        <w:pStyle w:val="paragraph"/>
        <w:numPr>
          <w:ilvl w:val="0"/>
          <w:numId w:val="12"/>
        </w:numPr>
        <w:spacing w:before="0" w:beforeAutospacing="0" w:after="0" w:afterAutospacing="0"/>
        <w:textAlignment w:val="baseline"/>
        <w:rPr>
          <w:color w:val="000000" w:themeColor="text1"/>
        </w:rPr>
      </w:pPr>
      <w:r w:rsidRPr="00017D84">
        <w:rPr>
          <w:rStyle w:val="normaltextrun"/>
          <w:color w:val="000000" w:themeColor="text1"/>
        </w:rPr>
        <w:t>that “the Department of Education make up for the psychological, occupational therapy times that have not been offered to the student since he entered Lawrence High School, and order all of the types of evaluations that the student needs”;</w:t>
      </w:r>
    </w:p>
    <w:p w14:paraId="5476257D" w14:textId="7A7DC0D1" w:rsidR="00420F6D" w:rsidRPr="00017D84" w:rsidRDefault="49EA4C1C" w:rsidP="49EA4C1C">
      <w:pPr>
        <w:pStyle w:val="paragraph"/>
        <w:numPr>
          <w:ilvl w:val="0"/>
          <w:numId w:val="12"/>
        </w:numPr>
        <w:spacing w:before="0" w:beforeAutospacing="0" w:after="0" w:afterAutospacing="0"/>
        <w:textAlignment w:val="baseline"/>
        <w:rPr>
          <w:color w:val="000000" w:themeColor="text1"/>
        </w:rPr>
      </w:pPr>
      <w:r w:rsidRPr="00017D84">
        <w:rPr>
          <w:rStyle w:val="normaltextrun"/>
          <w:color w:val="000000" w:themeColor="text1"/>
        </w:rPr>
        <w:lastRenderedPageBreak/>
        <w:t>that “the student be given a vocational evaluation and registered in the vocational rehabilitation program”; and</w:t>
      </w:r>
    </w:p>
    <w:p w14:paraId="5389172F" w14:textId="1E92C99E" w:rsidR="00420F6D" w:rsidRPr="00017D84" w:rsidRDefault="49EA4C1C" w:rsidP="49EA4C1C">
      <w:pPr>
        <w:pStyle w:val="paragraph"/>
        <w:numPr>
          <w:ilvl w:val="0"/>
          <w:numId w:val="12"/>
        </w:numPr>
        <w:spacing w:before="0" w:beforeAutospacing="0" w:after="0" w:afterAutospacing="0"/>
        <w:textAlignment w:val="baseline"/>
        <w:rPr>
          <w:color w:val="000000" w:themeColor="text1"/>
        </w:rPr>
      </w:pPr>
      <w:r w:rsidRPr="00017D84">
        <w:rPr>
          <w:rStyle w:val="normaltextrun"/>
          <w:color w:val="000000" w:themeColor="text1"/>
        </w:rPr>
        <w:t xml:space="preserve">that “the transfer of rights since they never explained what that was to me in Puerto </w:t>
      </w:r>
      <w:r w:rsidR="003B3F9E" w:rsidRPr="00017D84">
        <w:rPr>
          <w:rStyle w:val="normaltextrun"/>
          <w:color w:val="000000" w:themeColor="text1"/>
        </w:rPr>
        <w:t>Rico,</w:t>
      </w:r>
      <w:r w:rsidRPr="00017D84">
        <w:rPr>
          <w:rStyle w:val="normaltextrun"/>
          <w:color w:val="000000" w:themeColor="text1"/>
        </w:rPr>
        <w:t xml:space="preserve"> and they always put not applicable in the summary because in Puerto Rico the age of majority is 21 years old.” </w:t>
      </w:r>
    </w:p>
    <w:p w14:paraId="2E5A194B" w14:textId="77777777" w:rsidR="00E05367" w:rsidRPr="00017D84" w:rsidRDefault="00E05367" w:rsidP="00D64B7D">
      <w:pPr>
        <w:pStyle w:val="paragraph"/>
        <w:spacing w:before="0" w:beforeAutospacing="0" w:after="0" w:afterAutospacing="0"/>
        <w:textAlignment w:val="baseline"/>
        <w:rPr>
          <w:rStyle w:val="eop"/>
          <w:color w:val="000000" w:themeColor="text1"/>
        </w:rPr>
      </w:pPr>
    </w:p>
    <w:p w14:paraId="4D36A29D" w14:textId="00C0FB0B" w:rsidR="00FA2868" w:rsidRPr="00017D84" w:rsidRDefault="00FA2868" w:rsidP="003F6569">
      <w:pPr>
        <w:widowControl w:val="0"/>
        <w:rPr>
          <w:b/>
          <w:bCs/>
          <w:color w:val="000000" w:themeColor="text1"/>
        </w:rPr>
      </w:pPr>
      <w:r w:rsidRPr="00017D84">
        <w:rPr>
          <w:b/>
          <w:bCs/>
          <w:color w:val="000000" w:themeColor="text1"/>
        </w:rPr>
        <w:t>LEGAL STANDARD:</w:t>
      </w:r>
    </w:p>
    <w:p w14:paraId="44095087" w14:textId="77777777" w:rsidR="00FA2868" w:rsidRPr="00017D84" w:rsidRDefault="00FA2868" w:rsidP="003F6569">
      <w:pPr>
        <w:widowControl w:val="0"/>
        <w:rPr>
          <w:b/>
          <w:bCs/>
          <w:color w:val="000000" w:themeColor="text1"/>
        </w:rPr>
      </w:pPr>
    </w:p>
    <w:p w14:paraId="34632FAC" w14:textId="2F351A72" w:rsidR="00FA2868" w:rsidRPr="005957B5" w:rsidRDefault="005957B5" w:rsidP="005957B5">
      <w:pPr>
        <w:widowControl w:val="0"/>
        <w:rPr>
          <w:i/>
          <w:iCs/>
          <w:color w:val="000000" w:themeColor="text1"/>
        </w:rPr>
      </w:pPr>
      <w:r>
        <w:rPr>
          <w:i/>
          <w:iCs/>
          <w:color w:val="000000" w:themeColor="text1"/>
        </w:rPr>
        <w:t xml:space="preserve">1. </w:t>
      </w:r>
      <w:r w:rsidR="00FA2868" w:rsidRPr="005957B5">
        <w:rPr>
          <w:i/>
          <w:iCs/>
          <w:color w:val="000000" w:themeColor="text1"/>
        </w:rPr>
        <w:t>Legal Standard for Motion to Dismiss.</w:t>
      </w:r>
    </w:p>
    <w:p w14:paraId="6EE48921" w14:textId="77777777" w:rsidR="00E31206" w:rsidRPr="00017D84" w:rsidRDefault="00E31206" w:rsidP="00E31206">
      <w:pPr>
        <w:pStyle w:val="ListParagraph"/>
        <w:widowControl w:val="0"/>
        <w:rPr>
          <w:i/>
          <w:iCs/>
          <w:color w:val="000000" w:themeColor="text1"/>
        </w:rPr>
      </w:pPr>
    </w:p>
    <w:p w14:paraId="5C28B126" w14:textId="3846357B" w:rsidR="00FA2868" w:rsidRPr="00017D84" w:rsidRDefault="49EA4C1C" w:rsidP="003F6569">
      <w:pPr>
        <w:widowControl w:val="0"/>
        <w:rPr>
          <w:color w:val="000000" w:themeColor="text1"/>
        </w:rPr>
      </w:pPr>
      <w:r w:rsidRPr="00017D84">
        <w:rPr>
          <w:color w:val="000000" w:themeColor="text1"/>
        </w:rPr>
        <w:t xml:space="preserve">Hearing Officers are bound by the </w:t>
      </w:r>
      <w:r w:rsidRPr="00017D84">
        <w:rPr>
          <w:i/>
          <w:iCs/>
          <w:color w:val="000000" w:themeColor="text1"/>
        </w:rPr>
        <w:t>BSEA</w:t>
      </w:r>
      <w:r w:rsidRPr="00017D84">
        <w:rPr>
          <w:color w:val="000000" w:themeColor="text1"/>
        </w:rPr>
        <w:t xml:space="preserve"> </w:t>
      </w:r>
      <w:r w:rsidRPr="00017D84">
        <w:rPr>
          <w:i/>
          <w:iCs/>
          <w:color w:val="000000" w:themeColor="text1"/>
        </w:rPr>
        <w:t xml:space="preserve">Hearing Rules for Special Education Appeals </w:t>
      </w:r>
      <w:r w:rsidRPr="00017D84">
        <w:rPr>
          <w:color w:val="000000" w:themeColor="text1"/>
        </w:rPr>
        <w:t>(Hearing Rules) and the Standard Rules of Adjudicatory Practice and Procedure, 801 C.</w:t>
      </w:r>
      <w:r w:rsidR="00A7247F" w:rsidRPr="00017D84">
        <w:rPr>
          <w:color w:val="000000" w:themeColor="text1"/>
        </w:rPr>
        <w:t>M.</w:t>
      </w:r>
      <w:r w:rsidRPr="00017D84">
        <w:rPr>
          <w:color w:val="000000" w:themeColor="text1"/>
        </w:rPr>
        <w:t xml:space="preserve">R. 1.01.   Pursuant to Rule XVII A and B of the </w:t>
      </w:r>
      <w:r w:rsidRPr="00017D84">
        <w:rPr>
          <w:i/>
          <w:iCs/>
          <w:color w:val="000000" w:themeColor="text1"/>
        </w:rPr>
        <w:t xml:space="preserve">Hearing Rules </w:t>
      </w:r>
      <w:r w:rsidRPr="00017D84">
        <w:rPr>
          <w:color w:val="000000" w:themeColor="text1"/>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t>
      </w:r>
    </w:p>
    <w:p w14:paraId="010AC3F0" w14:textId="77777777" w:rsidR="00A53CBB" w:rsidRPr="00017D84" w:rsidRDefault="00A53CBB" w:rsidP="003F6569">
      <w:pPr>
        <w:widowControl w:val="0"/>
        <w:rPr>
          <w:color w:val="000000" w:themeColor="text1"/>
        </w:rPr>
      </w:pPr>
    </w:p>
    <w:p w14:paraId="525A6B08" w14:textId="14A2FF7D" w:rsidR="00AC2A15" w:rsidRDefault="00FA2868" w:rsidP="003F6569">
      <w:pPr>
        <w:widowControl w:val="0"/>
        <w:rPr>
          <w:color w:val="000000" w:themeColor="text1"/>
        </w:rPr>
      </w:pPr>
      <w:r w:rsidRPr="00017D84">
        <w:rPr>
          <w:color w:val="000000" w:themeColor="text1"/>
        </w:rPr>
        <w:t>To survive a motion to dismiss, there must exist “factual ‘allegations plausibly suggesting (not merely consistent with)’ an entitlement to relief.”</w:t>
      </w:r>
      <w:r w:rsidR="001F0571" w:rsidRPr="00017D84">
        <w:rPr>
          <w:rStyle w:val="FootnoteReference"/>
          <w:color w:val="000000" w:themeColor="text1"/>
        </w:rPr>
        <w:footnoteReference w:id="5"/>
      </w:r>
      <w:r w:rsidRPr="00017D84">
        <w:rPr>
          <w:color w:val="000000" w:themeColor="text1"/>
        </w:rPr>
        <w:t xml:space="preserve">  The hearing officer must take as true “the allegations of the complaint, as well as such inferences as may be drawn therefrom in the plaintiff's favor.”</w:t>
      </w:r>
      <w:r w:rsidR="001F0571" w:rsidRPr="00017D84">
        <w:rPr>
          <w:rStyle w:val="FootnoteReference"/>
          <w:color w:val="000000" w:themeColor="text1"/>
        </w:rPr>
        <w:footnoteReference w:id="6"/>
      </w:r>
      <w:r w:rsidRPr="00017D84">
        <w:rPr>
          <w:color w:val="000000" w:themeColor="text1"/>
        </w:rPr>
        <w:t xml:space="preserve"> These “[f]actual allegations must be enough to raise a right to relief above the speculative level.</w:t>
      </w:r>
      <w:bookmarkStart w:id="0" w:name="N_8_"/>
      <w:r w:rsidRPr="00017D84">
        <w:rPr>
          <w:color w:val="000000" w:themeColor="text1"/>
        </w:rPr>
        <w:t>”</w:t>
      </w:r>
      <w:r w:rsidR="001F0571" w:rsidRPr="00017D84">
        <w:rPr>
          <w:rStyle w:val="FootnoteReference"/>
          <w:color w:val="000000" w:themeColor="text1"/>
        </w:rPr>
        <w:footnoteReference w:id="7"/>
      </w:r>
      <w:r w:rsidRPr="00017D84">
        <w:rPr>
          <w:color w:val="000000" w:themeColor="text1"/>
        </w:rPr>
        <w:t> </w:t>
      </w:r>
      <w:bookmarkEnd w:id="0"/>
      <w:r w:rsidRPr="00017D84">
        <w:rPr>
          <w:color w:val="000000" w:themeColor="text1"/>
        </w:rPr>
        <w:t xml:space="preserve"> </w:t>
      </w:r>
    </w:p>
    <w:p w14:paraId="4C301B54" w14:textId="77777777" w:rsidR="005957B5" w:rsidRPr="00017D84" w:rsidRDefault="005957B5" w:rsidP="003F6569">
      <w:pPr>
        <w:widowControl w:val="0"/>
        <w:rPr>
          <w:color w:val="000000" w:themeColor="text1"/>
        </w:rPr>
      </w:pPr>
    </w:p>
    <w:p w14:paraId="08FFB42F" w14:textId="10D0A420" w:rsidR="0004399B" w:rsidRPr="005957B5" w:rsidRDefault="005957B5" w:rsidP="005957B5">
      <w:pPr>
        <w:widowControl w:val="0"/>
        <w:rPr>
          <w:i/>
          <w:iCs/>
          <w:color w:val="000000" w:themeColor="text1"/>
        </w:rPr>
      </w:pPr>
      <w:r>
        <w:rPr>
          <w:i/>
          <w:iCs/>
          <w:color w:val="000000" w:themeColor="text1"/>
        </w:rPr>
        <w:t>2.</w:t>
      </w:r>
      <w:r w:rsidR="00AC2A15" w:rsidRPr="005957B5">
        <w:rPr>
          <w:i/>
          <w:iCs/>
          <w:color w:val="000000" w:themeColor="text1"/>
        </w:rPr>
        <w:t xml:space="preserve"> </w:t>
      </w:r>
      <w:r w:rsidR="0004399B" w:rsidRPr="005957B5">
        <w:rPr>
          <w:i/>
          <w:iCs/>
          <w:color w:val="000000" w:themeColor="text1"/>
        </w:rPr>
        <w:t>Service</w:t>
      </w:r>
      <w:r w:rsidR="00D52EBF" w:rsidRPr="005957B5">
        <w:rPr>
          <w:i/>
          <w:iCs/>
          <w:color w:val="000000" w:themeColor="text1"/>
        </w:rPr>
        <w:t>.</w:t>
      </w:r>
    </w:p>
    <w:p w14:paraId="54B02FE3" w14:textId="77777777" w:rsidR="0004399B" w:rsidRPr="00017D84" w:rsidRDefault="0004399B" w:rsidP="0004399B">
      <w:pPr>
        <w:widowControl w:val="0"/>
        <w:rPr>
          <w:color w:val="000000" w:themeColor="text1"/>
        </w:rPr>
      </w:pPr>
    </w:p>
    <w:p w14:paraId="0629F5E1" w14:textId="572FB55F" w:rsidR="0004399B" w:rsidRPr="00017D84" w:rsidRDefault="0004399B" w:rsidP="0004399B">
      <w:pPr>
        <w:widowControl w:val="0"/>
      </w:pPr>
      <w:r w:rsidRPr="00017D84">
        <w:rPr>
          <w:color w:val="000000" w:themeColor="text1"/>
        </w:rPr>
        <w:t xml:space="preserve">BSEA Hearing Rule I(B) </w:t>
      </w:r>
      <w:r w:rsidRPr="00017D84">
        <w:t>states that to “begin the hearing process, the party requesting the hearing (i.e., moving party)</w:t>
      </w:r>
      <w:r w:rsidRPr="00017D84">
        <w:rPr>
          <w:i/>
          <w:iCs/>
        </w:rPr>
        <w:t xml:space="preserve"> </w:t>
      </w:r>
      <w:r w:rsidRPr="00017D84">
        <w:t>must send</w:t>
      </w:r>
      <w:r w:rsidRPr="00017D84">
        <w:rPr>
          <w:i/>
          <w:iCs/>
        </w:rPr>
        <w:t xml:space="preserve"> </w:t>
      </w:r>
      <w:r w:rsidRPr="00017D84">
        <w:t>a written hearing request to the opposing party. At the same time, the moving party must send a copy of the hearing request to the BSEA.</w:t>
      </w:r>
      <w:r w:rsidR="00681403">
        <w:t>”</w:t>
      </w:r>
      <w:r w:rsidR="00681403" w:rsidRPr="00681403">
        <w:rPr>
          <w:rStyle w:val="FootnoteReference"/>
        </w:rPr>
        <w:t xml:space="preserve"> </w:t>
      </w:r>
      <w:r w:rsidR="00681403" w:rsidRPr="00017D84">
        <w:rPr>
          <w:rStyle w:val="FootnoteReference"/>
        </w:rPr>
        <w:footnoteReference w:id="8"/>
      </w:r>
      <w:r w:rsidR="00681403" w:rsidRPr="00017D84">
        <w:t xml:space="preserve"> </w:t>
      </w:r>
      <w:r w:rsidRPr="00017D84">
        <w:t xml:space="preserve"> </w:t>
      </w:r>
    </w:p>
    <w:p w14:paraId="12CA671F" w14:textId="77777777" w:rsidR="0004399B" w:rsidRPr="00017D84" w:rsidRDefault="0004399B" w:rsidP="0004399B">
      <w:pPr>
        <w:widowControl w:val="0"/>
      </w:pPr>
    </w:p>
    <w:p w14:paraId="6D875F11" w14:textId="6C55BA5F" w:rsidR="002F1826" w:rsidRDefault="0004399B" w:rsidP="0004399B">
      <w:pPr>
        <w:widowControl w:val="0"/>
        <w:rPr>
          <w:color w:val="000000"/>
          <w:shd w:val="clear" w:color="auto" w:fill="FFFFFF"/>
        </w:rPr>
      </w:pPr>
      <w:r w:rsidRPr="00017D84">
        <w:rPr>
          <w:color w:val="000000" w:themeColor="text1"/>
        </w:rPr>
        <w:t xml:space="preserve">Although the BSEA is not bound by the Federal Rules of Civil Procedure, </w:t>
      </w:r>
      <w:r w:rsidR="00AC2A15">
        <w:rPr>
          <w:color w:val="000000" w:themeColor="text1"/>
        </w:rPr>
        <w:t xml:space="preserve">Hearing Officers </w:t>
      </w:r>
      <w:r w:rsidRPr="00017D84">
        <w:rPr>
          <w:color w:val="000000" w:themeColor="text1"/>
        </w:rPr>
        <w:t xml:space="preserve"> often look to them for guidance. Pursuant to the Federal Rules of Civil Procedure</w:t>
      </w:r>
      <w:r w:rsidRPr="00935DA8">
        <w:rPr>
          <w:color w:val="000000" w:themeColor="text1"/>
        </w:rPr>
        <w:t>, a plaintiff must comply with Rule(4)(i)(1)</w:t>
      </w:r>
      <w:r w:rsidRPr="00017D84">
        <w:rPr>
          <w:color w:val="000000" w:themeColor="text1"/>
        </w:rPr>
        <w:t xml:space="preserve"> for proper service.</w:t>
      </w:r>
      <w:r w:rsidRPr="00935DA8">
        <w:rPr>
          <w:color w:val="000000" w:themeColor="text1"/>
        </w:rPr>
        <w:t xml:space="preserve"> </w:t>
      </w:r>
      <w:r w:rsidRPr="00017D84">
        <w:rPr>
          <w:color w:val="000000" w:themeColor="text1"/>
        </w:rPr>
        <w:t xml:space="preserve"> When </w:t>
      </w:r>
      <w:r w:rsidRPr="00017D84">
        <w:rPr>
          <w:color w:val="000000"/>
          <w:shd w:val="clear" w:color="auto" w:fill="FFFFFF"/>
        </w:rPr>
        <w:t>timely service is not made under Rule 4, Rule 4(m) provides, that “if the plaintiff shows good cause for the failure [to effect proper service in a timely manner], the court must extend the time for service for an appropriate period.”</w:t>
      </w:r>
      <w:r>
        <w:rPr>
          <w:rStyle w:val="FootnoteReference"/>
          <w:color w:val="000000"/>
          <w:shd w:val="clear" w:color="auto" w:fill="FFFFFF"/>
        </w:rPr>
        <w:footnoteReference w:id="9"/>
      </w:r>
      <w:r w:rsidRPr="00017D84">
        <w:rPr>
          <w:color w:val="000000"/>
          <w:shd w:val="clear" w:color="auto" w:fill="FFFFFF"/>
        </w:rPr>
        <w:t xml:space="preserve"> Good cause may be found when the plaintiff's failure to complete proper service in a timely fashion is related to (1) the actions of a third person, such as a process server; (2) a defendant evading service of process or engaging in misleading conduct; (3) the plaintiff acting diligently in trying to effect service or “some understandable mitigating circumstance”; and (4) </w:t>
      </w:r>
      <w:r w:rsidRPr="00017D84">
        <w:rPr>
          <w:color w:val="000000"/>
          <w:shd w:val="clear" w:color="auto" w:fill="FFFFFF"/>
        </w:rPr>
        <w:lastRenderedPageBreak/>
        <w:t>the plaintiff proceeding</w:t>
      </w:r>
      <w:r w:rsidRPr="00017D84">
        <w:rPr>
          <w:rStyle w:val="apple-converted-space"/>
          <w:color w:val="000000"/>
          <w:shd w:val="clear" w:color="auto" w:fill="FFFFFF"/>
        </w:rPr>
        <w:t> </w:t>
      </w:r>
      <w:r w:rsidRPr="00017D84">
        <w:rPr>
          <w:rStyle w:val="Emphasis"/>
          <w:color w:val="000000"/>
          <w:bdr w:val="none" w:sz="0" w:space="0" w:color="auto" w:frame="1"/>
          <w:shd w:val="clear" w:color="auto" w:fill="FFFFFF"/>
        </w:rPr>
        <w:t>pro se</w:t>
      </w:r>
      <w:r w:rsidRPr="00017D84">
        <w:rPr>
          <w:rStyle w:val="apple-converted-space"/>
          <w:color w:val="000000"/>
          <w:shd w:val="clear" w:color="auto" w:fill="FFFFFF"/>
        </w:rPr>
        <w:t> </w:t>
      </w:r>
      <w:r w:rsidRPr="00017D84">
        <w:rPr>
          <w:color w:val="000000"/>
          <w:shd w:val="clear" w:color="auto" w:fill="FFFFFF"/>
        </w:rPr>
        <w:t>or</w:t>
      </w:r>
      <w:r w:rsidRPr="00017D84">
        <w:rPr>
          <w:rStyle w:val="apple-converted-space"/>
          <w:color w:val="000000"/>
          <w:shd w:val="clear" w:color="auto" w:fill="FFFFFF"/>
        </w:rPr>
        <w:t> </w:t>
      </w:r>
      <w:r w:rsidRPr="00017D84">
        <w:rPr>
          <w:rStyle w:val="Emphasis"/>
          <w:color w:val="000000"/>
          <w:bdr w:val="none" w:sz="0" w:space="0" w:color="auto" w:frame="1"/>
          <w:shd w:val="clear" w:color="auto" w:fill="FFFFFF"/>
        </w:rPr>
        <w:t>in forma pauperis</w:t>
      </w:r>
      <w:r w:rsidRPr="00017D84">
        <w:rPr>
          <w:color w:val="000000"/>
          <w:shd w:val="clear" w:color="auto" w:fill="FFFFFF"/>
        </w:rPr>
        <w:t>.</w:t>
      </w:r>
      <w:r>
        <w:rPr>
          <w:rStyle w:val="FootnoteReference"/>
          <w:color w:val="000000"/>
          <w:shd w:val="clear" w:color="auto" w:fill="FFFFFF"/>
        </w:rPr>
        <w:footnoteReference w:id="10"/>
      </w:r>
      <w:r w:rsidRPr="00017D84">
        <w:rPr>
          <w:rStyle w:val="apple-converted-space"/>
          <w:color w:val="000000"/>
          <w:shd w:val="clear" w:color="auto" w:fill="FFFFFF"/>
        </w:rPr>
        <w:t> </w:t>
      </w:r>
      <w:r w:rsidRPr="00017D84">
        <w:rPr>
          <w:color w:val="000000"/>
          <w:shd w:val="clear" w:color="auto" w:fill="FFFFFF"/>
        </w:rPr>
        <w:t xml:space="preserve"> </w:t>
      </w:r>
    </w:p>
    <w:p w14:paraId="0C04DB4F" w14:textId="77777777" w:rsidR="002F1826" w:rsidRDefault="002F1826" w:rsidP="0004399B">
      <w:pPr>
        <w:widowControl w:val="0"/>
        <w:rPr>
          <w:color w:val="000000"/>
          <w:shd w:val="clear" w:color="auto" w:fill="FFFFFF"/>
        </w:rPr>
      </w:pPr>
    </w:p>
    <w:p w14:paraId="79E2D471" w14:textId="7D56F513" w:rsidR="0004399B" w:rsidRPr="00BD4838" w:rsidRDefault="0004399B" w:rsidP="0004399B">
      <w:pPr>
        <w:widowControl w:val="0"/>
        <w:rPr>
          <w:color w:val="000000" w:themeColor="text1"/>
        </w:rPr>
      </w:pPr>
      <w:r w:rsidRPr="00017D84">
        <w:rPr>
          <w:color w:val="000000"/>
          <w:shd w:val="clear" w:color="auto" w:fill="FFFFFF"/>
        </w:rPr>
        <w:t>The fact that a plaintiff is</w:t>
      </w:r>
      <w:r w:rsidRPr="00017D84">
        <w:rPr>
          <w:rStyle w:val="apple-converted-space"/>
          <w:color w:val="000000"/>
          <w:shd w:val="clear" w:color="auto" w:fill="FFFFFF"/>
        </w:rPr>
        <w:t> </w:t>
      </w:r>
      <w:r w:rsidRPr="00017D84">
        <w:rPr>
          <w:rStyle w:val="Emphasis"/>
          <w:color w:val="000000"/>
          <w:bdr w:val="none" w:sz="0" w:space="0" w:color="auto" w:frame="1"/>
          <w:shd w:val="clear" w:color="auto" w:fill="FFFFFF"/>
        </w:rPr>
        <w:t>pro se</w:t>
      </w:r>
      <w:r w:rsidRPr="00017D84">
        <w:rPr>
          <w:rStyle w:val="apple-converted-space"/>
          <w:color w:val="000000"/>
          <w:shd w:val="clear" w:color="auto" w:fill="FFFFFF"/>
        </w:rPr>
        <w:t> </w:t>
      </w:r>
      <w:r w:rsidRPr="00017D84">
        <w:rPr>
          <w:color w:val="000000"/>
          <w:shd w:val="clear" w:color="auto" w:fill="FFFFFF"/>
        </w:rPr>
        <w:t>“is not automatically enough to constitute good cause for purposes of Rule 4(m).”</w:t>
      </w:r>
      <w:r>
        <w:rPr>
          <w:rStyle w:val="FootnoteReference"/>
          <w:color w:val="000000"/>
          <w:shd w:val="clear" w:color="auto" w:fill="FFFFFF"/>
        </w:rPr>
        <w:footnoteReference w:id="11"/>
      </w:r>
      <w:r w:rsidRPr="00017D84">
        <w:rPr>
          <w:rStyle w:val="apple-converted-space"/>
          <w:color w:val="000000"/>
          <w:shd w:val="clear" w:color="auto" w:fill="FFFFFF"/>
        </w:rPr>
        <w:t>  </w:t>
      </w:r>
      <w:r w:rsidRPr="00017D84">
        <w:rPr>
          <w:color w:val="000000"/>
          <w:shd w:val="clear" w:color="auto" w:fill="FFFFFF"/>
        </w:rPr>
        <w:t>“In determining what is and what is not good cause, the federal courts obviously are obligated to balance the clear intent of Rule 4(m) and the desire to provide litigants their day in court.”</w:t>
      </w:r>
      <w:r>
        <w:rPr>
          <w:rStyle w:val="FootnoteReference"/>
          <w:color w:val="000000"/>
          <w:shd w:val="clear" w:color="auto" w:fill="FFFFFF"/>
        </w:rPr>
        <w:footnoteReference w:id="12"/>
      </w:r>
      <w:r w:rsidRPr="00017D84">
        <w:rPr>
          <w:rStyle w:val="apple-converted-space"/>
          <w:color w:val="000000"/>
          <w:shd w:val="clear" w:color="auto" w:fill="FFFFFF"/>
        </w:rPr>
        <w:t> </w:t>
      </w:r>
      <w:r w:rsidRPr="00017D84">
        <w:rPr>
          <w:color w:val="000000"/>
          <w:shd w:val="clear" w:color="auto" w:fill="FFFFFF"/>
        </w:rPr>
        <w:t xml:space="preserve"> “Insisting on a timely service of process and assuring litigants a just adjudication on the merits of an action are not inconsistent, but over-emphasis on either could lead to undesired consequences.”</w:t>
      </w:r>
      <w:r>
        <w:rPr>
          <w:rStyle w:val="FootnoteReference"/>
          <w:color w:val="000000"/>
          <w:shd w:val="clear" w:color="auto" w:fill="FFFFFF"/>
        </w:rPr>
        <w:footnoteReference w:id="13"/>
      </w:r>
      <w:r w:rsidRPr="00017D84">
        <w:rPr>
          <w:rStyle w:val="apple-converted-space"/>
          <w:color w:val="000000"/>
          <w:shd w:val="clear" w:color="auto" w:fill="FFFFFF"/>
        </w:rPr>
        <w:t> </w:t>
      </w:r>
      <w:r w:rsidRPr="00017D84">
        <w:rPr>
          <w:color w:val="000000"/>
        </w:rPr>
        <w:t>Good cause can be established in part “where a pro se litigant can show confusion on his part, either because of his unfamiliarity with the rules, or because of his reliance on the misleading advice of others.”</w:t>
      </w:r>
      <w:r>
        <w:rPr>
          <w:rStyle w:val="FootnoteReference"/>
          <w:color w:val="000000"/>
        </w:rPr>
        <w:footnoteReference w:id="14"/>
      </w:r>
      <w:r w:rsidRPr="00017D84">
        <w:rPr>
          <w:rStyle w:val="apple-converted-space"/>
          <w:color w:val="000000"/>
        </w:rPr>
        <w:t> </w:t>
      </w:r>
      <w:r w:rsidRPr="00017D84">
        <w:rPr>
          <w:color w:val="000000"/>
        </w:rPr>
        <w:t xml:space="preserve"> </w:t>
      </w:r>
    </w:p>
    <w:p w14:paraId="0DFCFE7F" w14:textId="77777777" w:rsidR="0004399B" w:rsidRDefault="0004399B" w:rsidP="0004399B">
      <w:pPr>
        <w:rPr>
          <w:color w:val="000000"/>
        </w:rPr>
      </w:pPr>
    </w:p>
    <w:p w14:paraId="3DBC02F6" w14:textId="77777777" w:rsidR="0004399B" w:rsidRPr="00A73C9F" w:rsidRDefault="0004399B" w:rsidP="0004399B">
      <w:r w:rsidRPr="00017D84">
        <w:rPr>
          <w:color w:val="000000"/>
        </w:rPr>
        <w:t xml:space="preserve">However, even absent a showing of good cause, </w:t>
      </w:r>
      <w:r>
        <w:rPr>
          <w:color w:val="000000"/>
        </w:rPr>
        <w:t>a court</w:t>
      </w:r>
      <w:r w:rsidRPr="00017D84">
        <w:rPr>
          <w:color w:val="000000"/>
        </w:rPr>
        <w:t xml:space="preserve"> still has discretion to extend time to properly effect service under Rule 4.</w:t>
      </w:r>
      <w:r>
        <w:rPr>
          <w:rStyle w:val="FootnoteReference"/>
          <w:color w:val="000000"/>
        </w:rPr>
        <w:footnoteReference w:id="15"/>
      </w:r>
      <w:r w:rsidRPr="00017D84">
        <w:rPr>
          <w:rStyle w:val="apple-converted-space"/>
          <w:color w:val="000000"/>
        </w:rPr>
        <w:t> </w:t>
      </w:r>
      <w:r w:rsidRPr="00017D84">
        <w:rPr>
          <w:color w:val="000000"/>
        </w:rPr>
        <w:t xml:space="preserve"> When proper service is not completed and there is no good cause to excuse</w:t>
      </w:r>
      <w:r w:rsidRPr="00017D84">
        <w:rPr>
          <w:rStyle w:val="apple-converted-space"/>
          <w:color w:val="000000"/>
        </w:rPr>
        <w:t> </w:t>
      </w:r>
      <w:r w:rsidRPr="00017D84">
        <w:rPr>
          <w:rStyle w:val="coconcept18"/>
          <w:color w:val="000000"/>
          <w:bdr w:val="none" w:sz="0" w:space="0" w:color="auto" w:frame="1"/>
          <w:shd w:val="clear" w:color="auto" w:fill="FFFFFF"/>
        </w:rPr>
        <w:t>improper</w:t>
      </w:r>
      <w:r w:rsidRPr="00017D84">
        <w:rPr>
          <w:rStyle w:val="apple-converted-space"/>
          <w:color w:val="000000"/>
        </w:rPr>
        <w:t> </w:t>
      </w:r>
      <w:r w:rsidRPr="00017D84">
        <w:rPr>
          <w:color w:val="000000"/>
        </w:rPr>
        <w:t>service, a court's discretion to extend time for service is guided by three factors: (1) whether the party to be served received</w:t>
      </w:r>
      <w:r w:rsidRPr="00017D84">
        <w:rPr>
          <w:rStyle w:val="apple-converted-space"/>
          <w:color w:val="000000"/>
        </w:rPr>
        <w:t> </w:t>
      </w:r>
      <w:r w:rsidRPr="00017D84">
        <w:rPr>
          <w:rStyle w:val="coconcept1924"/>
          <w:color w:val="000000"/>
          <w:bdr w:val="none" w:sz="0" w:space="0" w:color="auto" w:frame="1"/>
          <w:shd w:val="clear" w:color="auto" w:fill="FFFFFF"/>
        </w:rPr>
        <w:t>actual</w:t>
      </w:r>
      <w:r w:rsidRPr="00017D84">
        <w:rPr>
          <w:rStyle w:val="apple-converted-space"/>
          <w:color w:val="000000"/>
        </w:rPr>
        <w:t> </w:t>
      </w:r>
      <w:r w:rsidRPr="00017D84">
        <w:rPr>
          <w:rStyle w:val="coconcept2631"/>
          <w:color w:val="000000"/>
          <w:bdr w:val="none" w:sz="0" w:space="0" w:color="auto" w:frame="1"/>
          <w:shd w:val="clear" w:color="auto" w:fill="FFFFFF"/>
        </w:rPr>
        <w:t>notice</w:t>
      </w:r>
      <w:r w:rsidRPr="00017D84">
        <w:rPr>
          <w:rStyle w:val="apple-converted-space"/>
          <w:color w:val="000000"/>
        </w:rPr>
        <w:t> </w:t>
      </w:r>
      <w:r w:rsidRPr="00017D84">
        <w:rPr>
          <w:color w:val="000000"/>
        </w:rPr>
        <w:t>of the lawsuit; (2) whether the defendant would suffer prejudice; and (3) whether the plaintiff would be severely prejudiced if his complaint were dismissed.</w:t>
      </w:r>
      <w:r>
        <w:rPr>
          <w:rStyle w:val="FootnoteReference"/>
          <w:color w:val="000000"/>
        </w:rPr>
        <w:footnoteReference w:id="16"/>
      </w:r>
      <w:r w:rsidRPr="00017D84">
        <w:rPr>
          <w:rStyle w:val="apple-converted-space"/>
          <w:color w:val="000000"/>
        </w:rPr>
        <w:t> </w:t>
      </w:r>
      <w:r w:rsidRPr="00017D84">
        <w:rPr>
          <w:color w:val="000000"/>
        </w:rPr>
        <w:t xml:space="preserve"> In addition, courts consider whether the plaintiff acted in bad faith or intentionally failed to adhere to the rules.</w:t>
      </w:r>
      <w:r>
        <w:rPr>
          <w:rStyle w:val="FootnoteReference"/>
          <w:color w:val="000000"/>
        </w:rPr>
        <w:footnoteReference w:id="17"/>
      </w:r>
      <w:r w:rsidRPr="00017D84">
        <w:rPr>
          <w:rStyle w:val="apple-converted-space"/>
          <w:color w:val="000000"/>
        </w:rPr>
        <w:t> </w:t>
      </w:r>
      <w:r w:rsidRPr="00017D84">
        <w:rPr>
          <w:color w:val="000000"/>
        </w:rPr>
        <w:t>Courts also consider whether the defendant received</w:t>
      </w:r>
      <w:r w:rsidRPr="00017D84">
        <w:rPr>
          <w:rStyle w:val="apple-converted-space"/>
          <w:color w:val="000000"/>
        </w:rPr>
        <w:t> </w:t>
      </w:r>
      <w:r w:rsidRPr="00017D84">
        <w:rPr>
          <w:rStyle w:val="coconcept1924"/>
          <w:color w:val="000000"/>
          <w:bdr w:val="none" w:sz="0" w:space="0" w:color="auto" w:frame="1"/>
          <w:shd w:val="clear" w:color="auto" w:fill="FFFFFF"/>
        </w:rPr>
        <w:t>actual</w:t>
      </w:r>
      <w:r w:rsidRPr="00017D84">
        <w:rPr>
          <w:rStyle w:val="apple-converted-space"/>
          <w:color w:val="000000"/>
        </w:rPr>
        <w:t> </w:t>
      </w:r>
      <w:r w:rsidRPr="00017D84">
        <w:rPr>
          <w:rStyle w:val="coconcept2631"/>
          <w:color w:val="000000"/>
          <w:bdr w:val="none" w:sz="0" w:space="0" w:color="auto" w:frame="1"/>
          <w:shd w:val="clear" w:color="auto" w:fill="FFFFFF"/>
        </w:rPr>
        <w:t>notice</w:t>
      </w:r>
      <w:r w:rsidRPr="00017D84">
        <w:rPr>
          <w:rStyle w:val="apple-converted-space"/>
          <w:color w:val="000000"/>
        </w:rPr>
        <w:t> </w:t>
      </w:r>
      <w:r w:rsidRPr="00017D84">
        <w:rPr>
          <w:color w:val="000000"/>
        </w:rPr>
        <w:t>of the plaintiffs’ claims.</w:t>
      </w:r>
      <w:r>
        <w:rPr>
          <w:rStyle w:val="FootnoteReference"/>
          <w:color w:val="000000"/>
        </w:rPr>
        <w:footnoteReference w:id="18"/>
      </w:r>
      <w:r w:rsidRPr="00017D84">
        <w:rPr>
          <w:color w:val="000000"/>
        </w:rPr>
        <w:t xml:space="preserve"> </w:t>
      </w:r>
    </w:p>
    <w:p w14:paraId="67642C2D" w14:textId="77777777" w:rsidR="0004399B" w:rsidRPr="0004399B" w:rsidRDefault="0004399B" w:rsidP="0004399B">
      <w:pPr>
        <w:widowControl w:val="0"/>
        <w:rPr>
          <w:i/>
          <w:iCs/>
          <w:color w:val="000000" w:themeColor="text1"/>
        </w:rPr>
      </w:pPr>
    </w:p>
    <w:p w14:paraId="40D57E57" w14:textId="41187FA6" w:rsidR="00FA2868" w:rsidRPr="0046072A" w:rsidRDefault="00AC2A15" w:rsidP="005957B5">
      <w:pPr>
        <w:widowControl w:val="0"/>
        <w:rPr>
          <w:i/>
          <w:iCs/>
          <w:color w:val="000000" w:themeColor="text1"/>
        </w:rPr>
      </w:pPr>
      <w:r>
        <w:rPr>
          <w:i/>
          <w:iCs/>
          <w:color w:val="000000" w:themeColor="text1"/>
        </w:rPr>
        <w:t xml:space="preserve">3. </w:t>
      </w:r>
      <w:r w:rsidR="00FA2868" w:rsidRPr="0046072A">
        <w:rPr>
          <w:i/>
          <w:iCs/>
          <w:color w:val="000000" w:themeColor="text1"/>
        </w:rPr>
        <w:t>Jurisdiction of the BSEA.</w:t>
      </w:r>
    </w:p>
    <w:p w14:paraId="0B8BDBC1" w14:textId="77777777" w:rsidR="0002261C" w:rsidRPr="00017D84" w:rsidRDefault="0002261C" w:rsidP="0002261C">
      <w:pPr>
        <w:pStyle w:val="ListParagraph"/>
        <w:widowControl w:val="0"/>
        <w:rPr>
          <w:i/>
          <w:iCs/>
          <w:color w:val="000000" w:themeColor="text1"/>
        </w:rPr>
      </w:pPr>
    </w:p>
    <w:p w14:paraId="548F588F" w14:textId="435A9C9B" w:rsidR="00FA2868" w:rsidRPr="00017D84" w:rsidRDefault="0002261C" w:rsidP="0002261C">
      <w:pPr>
        <w:widowControl w:val="0"/>
        <w:ind w:left="720"/>
        <w:rPr>
          <w:i/>
          <w:iCs/>
          <w:color w:val="000000" w:themeColor="text1"/>
        </w:rPr>
      </w:pPr>
      <w:r w:rsidRPr="00017D84">
        <w:rPr>
          <w:i/>
          <w:iCs/>
          <w:color w:val="000000" w:themeColor="text1"/>
        </w:rPr>
        <w:t xml:space="preserve">a.  </w:t>
      </w:r>
      <w:r w:rsidR="00FA2868" w:rsidRPr="00017D84">
        <w:rPr>
          <w:i/>
          <w:iCs/>
          <w:color w:val="000000" w:themeColor="text1"/>
        </w:rPr>
        <w:t>Subject Matter Jurisdiction.</w:t>
      </w:r>
    </w:p>
    <w:p w14:paraId="5EA1D9C8" w14:textId="77777777" w:rsidR="0002261C" w:rsidRPr="00017D84" w:rsidRDefault="0002261C" w:rsidP="0002261C">
      <w:pPr>
        <w:widowControl w:val="0"/>
        <w:ind w:left="720"/>
        <w:rPr>
          <w:color w:val="000000" w:themeColor="text1"/>
        </w:rPr>
      </w:pPr>
    </w:p>
    <w:p w14:paraId="1A4536E0" w14:textId="2FDBAE0C" w:rsidR="00FA2868" w:rsidRPr="00017D84" w:rsidRDefault="00FA2868" w:rsidP="003F6569">
      <w:pPr>
        <w:widowControl w:val="0"/>
        <w:rPr>
          <w:color w:val="000000" w:themeColor="text1"/>
        </w:rPr>
      </w:pPr>
      <w:r w:rsidRPr="00017D84">
        <w:rPr>
          <w:color w:val="000000" w:themeColor="text1"/>
        </w:rPr>
        <w:t>20 U.S.C. § 1</w:t>
      </w:r>
      <w:r w:rsidR="00AA062C" w:rsidRPr="00017D84">
        <w:rPr>
          <w:color w:val="000000" w:themeColor="text1"/>
        </w:rPr>
        <w:t>4</w:t>
      </w:r>
      <w:r w:rsidRPr="00017D84">
        <w:rPr>
          <w:color w:val="000000" w:themeColor="text1"/>
        </w:rPr>
        <w:t xml:space="preserve">15(b)(6) grants the </w:t>
      </w:r>
      <w:r w:rsidR="00E05534">
        <w:rPr>
          <w:color w:val="000000" w:themeColor="text1"/>
        </w:rPr>
        <w:t>BSEA</w:t>
      </w:r>
      <w:r w:rsidRPr="00017D84">
        <w:rPr>
          <w:color w:val="000000" w:themeColor="text1"/>
        </w:rPr>
        <w:t xml:space="preserve">  jurisdiction over timely filed complaints by a parent/guardian or a school district “with respect to any matter relating to the identification, evaluation, or educational placement of the child, or the provision of a free appropriate public education to such child.”</w:t>
      </w:r>
      <w:r w:rsidR="001F0571" w:rsidRPr="00017D84">
        <w:rPr>
          <w:rStyle w:val="FootnoteReference"/>
          <w:color w:val="000000" w:themeColor="text1"/>
        </w:rPr>
        <w:footnoteReference w:id="19"/>
      </w:r>
      <w:r w:rsidRPr="00017D84">
        <w:rPr>
          <w:color w:val="000000" w:themeColor="text1"/>
        </w:rPr>
        <w:t xml:space="preserve">  In Massachusetts, a parent or a school district, “may request mediation and/or a hearing at any time on any matter concerning the eligibility, evaluation, placement, IEP, provision of special education in accordance with state and federal law, or </w:t>
      </w:r>
      <w:r w:rsidRPr="00017D84">
        <w:rPr>
          <w:color w:val="000000" w:themeColor="text1"/>
        </w:rPr>
        <w:lastRenderedPageBreak/>
        <w:t>procedural protections of state and federal law for students with disabilities.”</w:t>
      </w:r>
      <w:r w:rsidR="001F0571" w:rsidRPr="00017D84">
        <w:rPr>
          <w:rStyle w:val="FootnoteReference"/>
          <w:color w:val="000000" w:themeColor="text1"/>
        </w:rPr>
        <w:footnoteReference w:id="20"/>
      </w:r>
      <w:r w:rsidRPr="00017D84">
        <w:rPr>
          <w:color w:val="000000" w:themeColor="text1"/>
        </w:rPr>
        <w:t xml:space="preserve"> </w:t>
      </w:r>
    </w:p>
    <w:p w14:paraId="6C56E971" w14:textId="77777777" w:rsidR="00FA2868" w:rsidRPr="00017D84" w:rsidRDefault="00FA2868" w:rsidP="003F6569">
      <w:pPr>
        <w:widowControl w:val="0"/>
        <w:rPr>
          <w:color w:val="000000" w:themeColor="text1"/>
        </w:rPr>
      </w:pPr>
    </w:p>
    <w:p w14:paraId="5D468B7C" w14:textId="6D98BC89" w:rsidR="00FA2868" w:rsidRPr="00017D84" w:rsidRDefault="009A6EA9" w:rsidP="003F6569">
      <w:pPr>
        <w:widowControl w:val="0"/>
        <w:rPr>
          <w:color w:val="000000" w:themeColor="text1"/>
        </w:rPr>
      </w:pPr>
      <w:r w:rsidRPr="00017D84">
        <w:rPr>
          <w:color w:val="000000" w:themeColor="text1"/>
        </w:rPr>
        <w:t>The</w:t>
      </w:r>
      <w:r w:rsidR="00FA2868" w:rsidRPr="00017D84">
        <w:rPr>
          <w:color w:val="000000" w:themeColor="text1"/>
        </w:rPr>
        <w:t xml:space="preserv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001F0571" w:rsidRPr="00017D84">
        <w:rPr>
          <w:rStyle w:val="FootnoteReference"/>
          <w:color w:val="000000" w:themeColor="text1"/>
        </w:rPr>
        <w:footnoteReference w:id="21"/>
      </w:r>
      <w:r w:rsidR="00FA2868" w:rsidRPr="00017D84">
        <w:rPr>
          <w:color w:val="000000" w:themeColor="text1"/>
        </w:rPr>
        <w:t xml:space="preserve"> The </w:t>
      </w:r>
      <w:r w:rsidRPr="00017D84">
        <w:rPr>
          <w:color w:val="000000" w:themeColor="text1"/>
        </w:rPr>
        <w:t xml:space="preserve">First </w:t>
      </w:r>
      <w:r w:rsidR="00FA2868" w:rsidRPr="00017D84">
        <w:rPr>
          <w:color w:val="000000" w:themeColor="text1"/>
        </w:rPr>
        <w:t>Circuit Court of Appeals has concluded that where the underlying claim is related to FAPE, only the remedies available under the IDEA are available.</w:t>
      </w:r>
      <w:r w:rsidR="001F0571" w:rsidRPr="00017D84">
        <w:rPr>
          <w:rStyle w:val="FootnoteReference"/>
          <w:color w:val="000000" w:themeColor="text1"/>
        </w:rPr>
        <w:footnoteReference w:id="22"/>
      </w:r>
      <w:r w:rsidR="00FA2868" w:rsidRPr="00017D84">
        <w:rPr>
          <w:color w:val="000000" w:themeColor="text1"/>
        </w:rPr>
        <w:t xml:space="preserve"> Monetary damages are limited to compensatory education and equitable remedies involving the payment of money for expenses paid by the parents for the educational and related needs of the student.</w:t>
      </w:r>
      <w:r w:rsidR="001F0571" w:rsidRPr="00017D84">
        <w:rPr>
          <w:rStyle w:val="FootnoteReference"/>
          <w:color w:val="000000" w:themeColor="text1"/>
        </w:rPr>
        <w:footnoteReference w:id="23"/>
      </w:r>
      <w:r w:rsidR="00FA2868" w:rsidRPr="00017D84">
        <w:rPr>
          <w:color w:val="000000" w:themeColor="text1"/>
        </w:rPr>
        <w:t xml:space="preserve">  Hence, punitive damages are also unavailable as a remedy.</w:t>
      </w:r>
      <w:r w:rsidR="001F0571" w:rsidRPr="00017D84">
        <w:rPr>
          <w:rStyle w:val="FootnoteReference"/>
          <w:color w:val="000000" w:themeColor="text1"/>
        </w:rPr>
        <w:footnoteReference w:id="24"/>
      </w:r>
      <w:r w:rsidR="00FA2868" w:rsidRPr="00017D84">
        <w:rPr>
          <w:color w:val="000000" w:themeColor="text1"/>
        </w:rPr>
        <w:t> </w:t>
      </w:r>
    </w:p>
    <w:p w14:paraId="78D7765A" w14:textId="28549AA8" w:rsidR="00C753E1" w:rsidRPr="00017D84" w:rsidRDefault="00C753E1" w:rsidP="003F6569">
      <w:pPr>
        <w:widowControl w:val="0"/>
        <w:rPr>
          <w:color w:val="000000" w:themeColor="text1"/>
        </w:rPr>
      </w:pPr>
    </w:p>
    <w:p w14:paraId="50BDD4C1" w14:textId="7B7940C3" w:rsidR="00C753E1" w:rsidRPr="0046072A" w:rsidRDefault="005957B5" w:rsidP="005957B5">
      <w:pPr>
        <w:widowControl w:val="0"/>
        <w:rPr>
          <w:i/>
          <w:iCs/>
          <w:color w:val="000000" w:themeColor="text1"/>
        </w:rPr>
      </w:pPr>
      <w:r>
        <w:rPr>
          <w:i/>
          <w:iCs/>
          <w:color w:val="000000" w:themeColor="text1"/>
        </w:rPr>
        <w:t xml:space="preserve">4. </w:t>
      </w:r>
      <w:r w:rsidR="00C753E1" w:rsidRPr="0046072A">
        <w:rPr>
          <w:i/>
          <w:iCs/>
          <w:color w:val="000000" w:themeColor="text1"/>
        </w:rPr>
        <w:t>Role of DESE</w:t>
      </w:r>
      <w:r w:rsidR="00D52EBF" w:rsidRPr="0046072A">
        <w:rPr>
          <w:i/>
          <w:iCs/>
          <w:color w:val="000000" w:themeColor="text1"/>
        </w:rPr>
        <w:t>.</w:t>
      </w:r>
      <w:r w:rsidR="00C753E1" w:rsidRPr="0046072A">
        <w:rPr>
          <w:i/>
          <w:iCs/>
          <w:color w:val="000000" w:themeColor="text1"/>
        </w:rPr>
        <w:t xml:space="preserve"> </w:t>
      </w:r>
    </w:p>
    <w:p w14:paraId="50B6B03C" w14:textId="77777777" w:rsidR="004A4B43" w:rsidRPr="00017D84" w:rsidRDefault="004A4B43" w:rsidP="007278AA">
      <w:pPr>
        <w:pStyle w:val="ListParagraph"/>
        <w:widowControl w:val="0"/>
        <w:ind w:left="630"/>
        <w:rPr>
          <w:i/>
          <w:iCs/>
          <w:color w:val="000000" w:themeColor="text1"/>
        </w:rPr>
      </w:pPr>
    </w:p>
    <w:p w14:paraId="462F47B7" w14:textId="18F033C9" w:rsidR="00246BC8" w:rsidRPr="00E96B70" w:rsidRDefault="00246BC8" w:rsidP="009844A6">
      <w:pPr>
        <w:shd w:val="clear" w:color="auto" w:fill="FFFFFF"/>
        <w:textAlignment w:val="baseline"/>
        <w:rPr>
          <w:color w:val="000000"/>
        </w:rPr>
      </w:pPr>
      <w:r w:rsidRPr="00017D84">
        <w:rPr>
          <w:color w:val="000000"/>
        </w:rPr>
        <w:t xml:space="preserve">Section 1412(6) </w:t>
      </w:r>
      <w:r w:rsidR="00406C54" w:rsidRPr="00017D84">
        <w:rPr>
          <w:color w:val="000000"/>
        </w:rPr>
        <w:t xml:space="preserve">of the IDEA </w:t>
      </w:r>
      <w:r w:rsidRPr="00017D84">
        <w:rPr>
          <w:color w:val="000000"/>
        </w:rPr>
        <w:t>states that the “State educational agency</w:t>
      </w:r>
      <w:r w:rsidR="00EE38AC">
        <w:rPr>
          <w:rStyle w:val="FootnoteReference"/>
          <w:color w:val="000000"/>
        </w:rPr>
        <w:footnoteReference w:id="25"/>
      </w:r>
      <w:r w:rsidRPr="00017D84">
        <w:rPr>
          <w:color w:val="000000"/>
        </w:rPr>
        <w:t xml:space="preserve"> shall be responsible for assuring” that every child disabled within the meaning of the IDEA be provided with a “free appropriate public education.” </w:t>
      </w:r>
      <w:r w:rsidR="00706095" w:rsidRPr="00017D84">
        <w:rPr>
          <w:color w:val="000000"/>
        </w:rPr>
        <w:t xml:space="preserve">Section 1412(6) imposes on the </w:t>
      </w:r>
      <w:r w:rsidR="00706095">
        <w:rPr>
          <w:color w:val="000000"/>
        </w:rPr>
        <w:t>SEA</w:t>
      </w:r>
      <w:r w:rsidR="00706095" w:rsidRPr="00017D84">
        <w:rPr>
          <w:color w:val="000000"/>
        </w:rPr>
        <w:t xml:space="preserve"> the “primary responsibility for ensuring that local educational agencies comply with the requirements of the IDEA.”</w:t>
      </w:r>
      <w:r w:rsidR="00706095">
        <w:rPr>
          <w:rStyle w:val="FootnoteReference"/>
          <w:color w:val="000000"/>
        </w:rPr>
        <w:footnoteReference w:id="26"/>
      </w:r>
      <w:r w:rsidR="00706095" w:rsidRPr="00017D84">
        <w:rPr>
          <w:color w:val="000000"/>
        </w:rPr>
        <w:t xml:space="preserve"> </w:t>
      </w:r>
      <w:r w:rsidR="008E0270">
        <w:rPr>
          <w:color w:val="000000"/>
        </w:rPr>
        <w:t>Hence, the</w:t>
      </w:r>
      <w:r w:rsidR="008E0270" w:rsidRPr="008E0270">
        <w:rPr>
          <w:color w:val="000000"/>
        </w:rPr>
        <w:t xml:space="preserve"> SEA may be held responsible for any failure to assure that all eligible students are provided FAPE and may also be held responsible for providing a student with the requisite special education services if there is no LEA available, able or willing to do so</w:t>
      </w:r>
      <w:r w:rsidR="00E96B70">
        <w:rPr>
          <w:color w:val="000000"/>
        </w:rPr>
        <w:t>.</w:t>
      </w:r>
      <w:r w:rsidR="00E96B70">
        <w:rPr>
          <w:rStyle w:val="FootnoteReference"/>
          <w:color w:val="000000"/>
        </w:rPr>
        <w:footnoteReference w:id="27"/>
      </w:r>
      <w:r w:rsidR="00E96B70">
        <w:rPr>
          <w:color w:val="000000"/>
        </w:rPr>
        <w:t xml:space="preserve"> </w:t>
      </w:r>
      <w:r w:rsidR="00706095">
        <w:rPr>
          <w:color w:val="000000"/>
        </w:rPr>
        <w:t>This does not mean</w:t>
      </w:r>
      <w:r w:rsidR="00706095" w:rsidRPr="00017D84">
        <w:rPr>
          <w:color w:val="000000"/>
        </w:rPr>
        <w:t xml:space="preserve"> </w:t>
      </w:r>
      <w:r w:rsidR="00706095">
        <w:rPr>
          <w:color w:val="000000"/>
        </w:rPr>
        <w:t>“</w:t>
      </w:r>
      <w:r w:rsidR="00706095" w:rsidRPr="00017D84">
        <w:rPr>
          <w:color w:val="000000"/>
        </w:rPr>
        <w:t>that any time a local agency trips up in that respect, the State agency is an absolute insurer required to make good the damage.”</w:t>
      </w:r>
      <w:r w:rsidR="00706095">
        <w:rPr>
          <w:rStyle w:val="FootnoteReference"/>
          <w:color w:val="000000"/>
        </w:rPr>
        <w:footnoteReference w:id="28"/>
      </w:r>
      <w:r w:rsidR="00706095">
        <w:rPr>
          <w:color w:val="000000"/>
        </w:rPr>
        <w:t xml:space="preserve"> </w:t>
      </w:r>
      <w:r w:rsidR="004966EB">
        <w:rPr>
          <w:color w:val="000000"/>
        </w:rPr>
        <w:t xml:space="preserve">To </w:t>
      </w:r>
      <w:r w:rsidR="00345D1C" w:rsidRPr="00017D84">
        <w:rPr>
          <w:color w:val="000000"/>
          <w:shd w:val="clear" w:color="auto" w:fill="FFFFFF"/>
        </w:rPr>
        <w:t xml:space="preserve">establish the </w:t>
      </w:r>
      <w:r w:rsidR="00097766" w:rsidRPr="00017D84">
        <w:rPr>
          <w:color w:val="000000"/>
          <w:shd w:val="clear" w:color="auto" w:fill="FFFFFF"/>
        </w:rPr>
        <w:t>SEA’s liability</w:t>
      </w:r>
      <w:r w:rsidR="00345D1C" w:rsidRPr="00017D84">
        <w:rPr>
          <w:color w:val="000000"/>
          <w:shd w:val="clear" w:color="auto" w:fill="FFFFFF"/>
        </w:rPr>
        <w:t xml:space="preserve">, </w:t>
      </w:r>
      <w:r w:rsidR="004966EB">
        <w:rPr>
          <w:color w:val="000000"/>
          <w:shd w:val="clear" w:color="auto" w:fill="FFFFFF"/>
        </w:rPr>
        <w:t>a plaintiff</w:t>
      </w:r>
      <w:r w:rsidR="00345D1C" w:rsidRPr="00017D84">
        <w:rPr>
          <w:color w:val="000000"/>
          <w:shd w:val="clear" w:color="auto" w:fill="FFFFFF"/>
        </w:rPr>
        <w:t xml:space="preserve"> must show either that the SEA was directly involved and responsible for the denial of FAPE, or that the State-established standards fail to provide due process despite approval by the Secretary of Education.</w:t>
      </w:r>
      <w:r w:rsidR="00385BC1">
        <w:rPr>
          <w:rStyle w:val="FootnoteReference"/>
          <w:color w:val="000000"/>
          <w:shd w:val="clear" w:color="auto" w:fill="FFFFFF"/>
        </w:rPr>
        <w:footnoteReference w:id="29"/>
      </w:r>
      <w:r w:rsidR="00097766" w:rsidRPr="00017D84">
        <w:rPr>
          <w:color w:val="000000"/>
        </w:rPr>
        <w:t xml:space="preserve"> </w:t>
      </w:r>
      <w:r w:rsidR="00312C5E" w:rsidRPr="00017D84">
        <w:rPr>
          <w:color w:val="000000"/>
          <w:shd w:val="clear" w:color="auto" w:fill="FFFFFF"/>
        </w:rPr>
        <w:t>Because the LEA is responsible for direct provision of services under IDEA, including IEP development</w:t>
      </w:r>
      <w:r w:rsidR="000C128B" w:rsidRPr="00017D84">
        <w:rPr>
          <w:color w:val="000000"/>
          <w:shd w:val="clear" w:color="auto" w:fill="FFFFFF"/>
        </w:rPr>
        <w:t xml:space="preserve">, </w:t>
      </w:r>
      <w:r w:rsidR="00312C5E" w:rsidRPr="00017D84">
        <w:rPr>
          <w:color w:val="000000"/>
          <w:shd w:val="clear" w:color="auto" w:fill="FFFFFF"/>
        </w:rPr>
        <w:t>failures in this area are normally attributable to the LEA</w:t>
      </w:r>
      <w:r w:rsidR="00EB40EE" w:rsidRPr="00017D84">
        <w:rPr>
          <w:color w:val="000000"/>
          <w:shd w:val="clear" w:color="auto" w:fill="FFFFFF"/>
        </w:rPr>
        <w:t>.</w:t>
      </w:r>
      <w:r w:rsidR="00A40E19">
        <w:rPr>
          <w:rStyle w:val="FootnoteReference"/>
          <w:color w:val="000000"/>
          <w:shd w:val="clear" w:color="auto" w:fill="FFFFFF"/>
        </w:rPr>
        <w:footnoteReference w:id="30"/>
      </w:r>
      <w:r w:rsidR="00EB40EE" w:rsidRPr="00017D84">
        <w:rPr>
          <w:color w:val="000000"/>
          <w:shd w:val="clear" w:color="auto" w:fill="FFFFFF"/>
        </w:rPr>
        <w:t xml:space="preserve"> </w:t>
      </w:r>
      <w:r w:rsidR="008D5F3A">
        <w:rPr>
          <w:color w:val="000000"/>
        </w:rPr>
        <w:t>In</w:t>
      </w:r>
      <w:r w:rsidR="008D5F3A" w:rsidRPr="00017D84">
        <w:rPr>
          <w:color w:val="000000"/>
        </w:rPr>
        <w:t xml:space="preserve"> Massachusetts</w:t>
      </w:r>
      <w:r w:rsidR="008D5F3A">
        <w:rPr>
          <w:color w:val="000000"/>
        </w:rPr>
        <w:t>,</w:t>
      </w:r>
      <w:r w:rsidR="008D5F3A" w:rsidRPr="00017D84">
        <w:rPr>
          <w:color w:val="000000"/>
        </w:rPr>
        <w:t xml:space="preserve"> state regulations delineate the role of the LEA as distinct from the SEA</w:t>
      </w:r>
      <w:r w:rsidR="008D5F3A">
        <w:rPr>
          <w:color w:val="000000"/>
        </w:rPr>
        <w:t>, and, in general, s</w:t>
      </w:r>
      <w:r w:rsidR="008D5F3A" w:rsidRPr="00F73839">
        <w:rPr>
          <w:color w:val="000000"/>
        </w:rPr>
        <w:t xml:space="preserve">chool districts </w:t>
      </w:r>
      <w:r w:rsidR="008D5F3A">
        <w:rPr>
          <w:color w:val="000000"/>
        </w:rPr>
        <w:t>are</w:t>
      </w:r>
      <w:r w:rsidR="008D5F3A" w:rsidRPr="00F73839">
        <w:rPr>
          <w:color w:val="000000"/>
        </w:rPr>
        <w:t xml:space="preserve"> programmatically and financially responsible for eligible students based on residency and enrollment.</w:t>
      </w:r>
      <w:r w:rsidR="008D5F3A">
        <w:rPr>
          <w:rStyle w:val="FootnoteReference"/>
          <w:color w:val="000000"/>
        </w:rPr>
        <w:footnoteReference w:id="31"/>
      </w:r>
      <w:r w:rsidR="008D5F3A">
        <w:rPr>
          <w:color w:val="000000"/>
        </w:rPr>
        <w:t xml:space="preserve">  </w:t>
      </w:r>
      <w:r w:rsidR="00EB40EE" w:rsidRPr="00017D84">
        <w:rPr>
          <w:color w:val="000000"/>
          <w:shd w:val="clear" w:color="auto" w:fill="FFFFFF"/>
        </w:rPr>
        <w:t xml:space="preserve">Where there is no evidence that the SEA was </w:t>
      </w:r>
      <w:r w:rsidR="00312C5E" w:rsidRPr="00017D84">
        <w:rPr>
          <w:color w:val="000000"/>
          <w:shd w:val="clear" w:color="auto" w:fill="FFFFFF"/>
        </w:rPr>
        <w:t xml:space="preserve">involved in </w:t>
      </w:r>
      <w:r w:rsidR="00312C5E" w:rsidRPr="00017D84">
        <w:rPr>
          <w:color w:val="000000"/>
          <w:shd w:val="clear" w:color="auto" w:fill="FFFFFF"/>
        </w:rPr>
        <w:lastRenderedPageBreak/>
        <w:t xml:space="preserve">the IEP process, notified of relevant decisions, asked to participate in </w:t>
      </w:r>
      <w:r w:rsidR="00EB40EE" w:rsidRPr="00017D84">
        <w:rPr>
          <w:color w:val="000000"/>
          <w:shd w:val="clear" w:color="auto" w:fill="FFFFFF"/>
        </w:rPr>
        <w:t>a student’s</w:t>
      </w:r>
      <w:r w:rsidR="00312C5E" w:rsidRPr="00017D84">
        <w:rPr>
          <w:color w:val="000000"/>
          <w:shd w:val="clear" w:color="auto" w:fill="FFFFFF"/>
        </w:rPr>
        <w:t xml:space="preserve"> assessment or placement</w:t>
      </w:r>
      <w:r w:rsidR="00EB40EE" w:rsidRPr="00017D84">
        <w:rPr>
          <w:color w:val="000000"/>
          <w:shd w:val="clear" w:color="auto" w:fill="FFFFFF"/>
        </w:rPr>
        <w:t>,</w:t>
      </w:r>
      <w:r w:rsidR="00312C5E" w:rsidRPr="00017D84">
        <w:rPr>
          <w:color w:val="000000"/>
          <w:shd w:val="clear" w:color="auto" w:fill="FFFFFF"/>
        </w:rPr>
        <w:t xml:space="preserve"> </w:t>
      </w:r>
      <w:r w:rsidR="009E4206">
        <w:rPr>
          <w:color w:val="000000"/>
          <w:shd w:val="clear" w:color="auto" w:fill="FFFFFF"/>
        </w:rPr>
        <w:t xml:space="preserve">or </w:t>
      </w:r>
      <w:r w:rsidR="00312C5E" w:rsidRPr="00017D84">
        <w:rPr>
          <w:color w:val="000000"/>
          <w:shd w:val="clear" w:color="auto" w:fill="FFFFFF"/>
        </w:rPr>
        <w:t xml:space="preserve">called upon to fund </w:t>
      </w:r>
      <w:r w:rsidR="00EB40EE" w:rsidRPr="00017D84">
        <w:rPr>
          <w:color w:val="000000"/>
          <w:shd w:val="clear" w:color="auto" w:fill="FFFFFF"/>
        </w:rPr>
        <w:t xml:space="preserve">a </w:t>
      </w:r>
      <w:r w:rsidR="00733078" w:rsidRPr="00017D84">
        <w:rPr>
          <w:color w:val="000000"/>
          <w:shd w:val="clear" w:color="auto" w:fill="FFFFFF"/>
        </w:rPr>
        <w:t>student’s</w:t>
      </w:r>
      <w:r w:rsidR="00312C5E" w:rsidRPr="00017D84">
        <w:rPr>
          <w:color w:val="000000"/>
          <w:shd w:val="clear" w:color="auto" w:fill="FFFFFF"/>
        </w:rPr>
        <w:t xml:space="preserve"> education or to respond to complaints regarding </w:t>
      </w:r>
      <w:r w:rsidR="00EB40EE" w:rsidRPr="00017D84">
        <w:rPr>
          <w:color w:val="000000"/>
          <w:shd w:val="clear" w:color="auto" w:fill="FFFFFF"/>
        </w:rPr>
        <w:t xml:space="preserve">a </w:t>
      </w:r>
      <w:r w:rsidR="00D1213B" w:rsidRPr="00017D84">
        <w:rPr>
          <w:color w:val="000000"/>
          <w:shd w:val="clear" w:color="auto" w:fill="FFFFFF"/>
        </w:rPr>
        <w:t>student’s</w:t>
      </w:r>
      <w:r w:rsidR="00312C5E" w:rsidRPr="00017D84">
        <w:rPr>
          <w:color w:val="000000"/>
          <w:shd w:val="clear" w:color="auto" w:fill="FFFFFF"/>
        </w:rPr>
        <w:t xml:space="preserve"> program</w:t>
      </w:r>
      <w:r w:rsidR="002C549B" w:rsidRPr="00017D84">
        <w:rPr>
          <w:color w:val="000000"/>
          <w:shd w:val="clear" w:color="auto" w:fill="FFFFFF"/>
        </w:rPr>
        <w:t>, the SEA is not involved and bears no responsibility for denying a student a FAPE</w:t>
      </w:r>
      <w:r w:rsidR="00F30F6B" w:rsidRPr="00017D84">
        <w:rPr>
          <w:color w:val="000000"/>
          <w:shd w:val="clear" w:color="auto" w:fill="FFFFFF"/>
        </w:rPr>
        <w:t>.</w:t>
      </w:r>
      <w:r w:rsidR="009E4206">
        <w:rPr>
          <w:rStyle w:val="FootnoteReference"/>
          <w:color w:val="000000"/>
          <w:shd w:val="clear" w:color="auto" w:fill="FFFFFF"/>
        </w:rPr>
        <w:footnoteReference w:id="32"/>
      </w:r>
    </w:p>
    <w:p w14:paraId="3B379C20" w14:textId="1F28288A" w:rsidR="0016755E" w:rsidRPr="00017D84" w:rsidRDefault="00FA2868" w:rsidP="0016755E">
      <w:pPr>
        <w:widowControl w:val="0"/>
        <w:rPr>
          <w:color w:val="000000" w:themeColor="text1"/>
        </w:rPr>
      </w:pPr>
      <w:r w:rsidRPr="00017D84">
        <w:rPr>
          <w:color w:val="000000" w:themeColor="text1"/>
        </w:rPr>
        <w:t xml:space="preserve"> </w:t>
      </w:r>
    </w:p>
    <w:p w14:paraId="2F210072" w14:textId="46609B92" w:rsidR="00FA2868" w:rsidRPr="00017D84" w:rsidRDefault="0002261C" w:rsidP="003F6569">
      <w:pPr>
        <w:widowControl w:val="0"/>
        <w:rPr>
          <w:color w:val="000000" w:themeColor="text1"/>
        </w:rPr>
      </w:pPr>
      <w:r w:rsidRPr="00017D84">
        <w:rPr>
          <w:b/>
          <w:bCs/>
          <w:color w:val="000000" w:themeColor="text1"/>
        </w:rPr>
        <w:t>APPLICATION OF LEGAL STANDARD</w:t>
      </w:r>
      <w:r w:rsidR="00FA2868" w:rsidRPr="00017D84">
        <w:rPr>
          <w:color w:val="000000" w:themeColor="text1"/>
        </w:rPr>
        <w:t>:</w:t>
      </w:r>
    </w:p>
    <w:p w14:paraId="201AE823" w14:textId="77777777" w:rsidR="00FA2868" w:rsidRPr="00017D84" w:rsidRDefault="00FA2868" w:rsidP="003F6569">
      <w:pPr>
        <w:widowControl w:val="0"/>
        <w:rPr>
          <w:color w:val="000000" w:themeColor="text1"/>
        </w:rPr>
      </w:pPr>
    </w:p>
    <w:p w14:paraId="62F4FACA" w14:textId="14A16493" w:rsidR="0099112B" w:rsidRDefault="00FA2868" w:rsidP="0099112B">
      <w:pPr>
        <w:widowControl w:val="0"/>
        <w:rPr>
          <w:color w:val="000000" w:themeColor="text1"/>
        </w:rPr>
      </w:pPr>
      <w:r w:rsidRPr="00017D84">
        <w:rPr>
          <w:color w:val="000000" w:themeColor="text1"/>
        </w:rPr>
        <w:t xml:space="preserve">In evaluating the </w:t>
      </w:r>
      <w:r w:rsidR="00246BC8" w:rsidRPr="00017D84">
        <w:rPr>
          <w:color w:val="000000" w:themeColor="text1"/>
        </w:rPr>
        <w:t>DESE’s</w:t>
      </w:r>
      <w:r w:rsidRPr="00017D84">
        <w:rPr>
          <w:color w:val="000000" w:themeColor="text1"/>
        </w:rPr>
        <w:t xml:space="preserve"> </w:t>
      </w:r>
      <w:r w:rsidR="008356A4" w:rsidRPr="00017D84">
        <w:rPr>
          <w:i/>
          <w:iCs/>
          <w:color w:val="000000" w:themeColor="text1"/>
        </w:rPr>
        <w:t xml:space="preserve">Motion to Dismiss </w:t>
      </w:r>
      <w:r w:rsidRPr="00017D84">
        <w:rPr>
          <w:color w:val="000000" w:themeColor="text1"/>
        </w:rPr>
        <w:t>under the legal standard set forth above, I take the Parent</w:t>
      </w:r>
      <w:r w:rsidR="00B018B9" w:rsidRPr="00017D84">
        <w:rPr>
          <w:color w:val="000000" w:themeColor="text1"/>
        </w:rPr>
        <w:t>’s</w:t>
      </w:r>
      <w:r w:rsidRPr="00017D84">
        <w:rPr>
          <w:color w:val="000000" w:themeColor="text1"/>
        </w:rPr>
        <w:t xml:space="preserve"> allegations as true as well as any inferences that may be drawn from them in </w:t>
      </w:r>
      <w:r w:rsidR="00935B55" w:rsidRPr="00017D84">
        <w:rPr>
          <w:color w:val="000000" w:themeColor="text1"/>
        </w:rPr>
        <w:t>her</w:t>
      </w:r>
      <w:r w:rsidRPr="00017D84">
        <w:rPr>
          <w:color w:val="000000" w:themeColor="text1"/>
        </w:rPr>
        <w:t xml:space="preserve"> favor</w:t>
      </w:r>
      <w:r w:rsidR="0064188D" w:rsidRPr="00017D84">
        <w:rPr>
          <w:color w:val="000000" w:themeColor="text1"/>
        </w:rPr>
        <w:t>,</w:t>
      </w:r>
      <w:r w:rsidRPr="00017D84">
        <w:rPr>
          <w:color w:val="000000" w:themeColor="text1"/>
        </w:rPr>
        <w:t xml:space="preserve"> and deny dismissal if these allegations plausibly suggest an entitlement to relief.</w:t>
      </w:r>
      <w:r w:rsidR="001F0571" w:rsidRPr="00017D84">
        <w:rPr>
          <w:rStyle w:val="FootnoteReference"/>
          <w:color w:val="000000" w:themeColor="text1"/>
        </w:rPr>
        <w:footnoteReference w:id="33"/>
      </w:r>
      <w:r w:rsidRPr="00017D84">
        <w:rPr>
          <w:color w:val="000000" w:themeColor="text1"/>
        </w:rPr>
        <w:t xml:space="preserve"> </w:t>
      </w:r>
    </w:p>
    <w:p w14:paraId="0E9C0D4F" w14:textId="77777777" w:rsidR="0099112B" w:rsidRDefault="0099112B" w:rsidP="0099112B">
      <w:pPr>
        <w:widowControl w:val="0"/>
        <w:rPr>
          <w:color w:val="000000" w:themeColor="text1"/>
        </w:rPr>
      </w:pPr>
    </w:p>
    <w:p w14:paraId="05A903AC" w14:textId="1BB08B80" w:rsidR="00193AF1" w:rsidRPr="005957B5" w:rsidRDefault="005957B5" w:rsidP="005957B5">
      <w:pPr>
        <w:widowControl w:val="0"/>
        <w:rPr>
          <w:i/>
          <w:iCs/>
          <w:color w:val="000000"/>
        </w:rPr>
      </w:pPr>
      <w:r>
        <w:rPr>
          <w:i/>
          <w:iCs/>
          <w:color w:val="000000"/>
        </w:rPr>
        <w:t xml:space="preserve">1.  </w:t>
      </w:r>
      <w:r w:rsidR="0099112B" w:rsidRPr="005957B5">
        <w:rPr>
          <w:i/>
          <w:iCs/>
          <w:color w:val="000000"/>
        </w:rPr>
        <w:t>Although Parent Failed to Serve DESE Properly, DESE</w:t>
      </w:r>
      <w:r w:rsidR="00193AF1" w:rsidRPr="005957B5">
        <w:rPr>
          <w:i/>
          <w:iCs/>
          <w:color w:val="000000"/>
        </w:rPr>
        <w:t xml:space="preserve"> </w:t>
      </w:r>
      <w:r w:rsidR="0099112B" w:rsidRPr="005957B5">
        <w:rPr>
          <w:i/>
          <w:iCs/>
          <w:color w:val="000000"/>
        </w:rPr>
        <w:t>R</w:t>
      </w:r>
      <w:r w:rsidR="00193AF1" w:rsidRPr="005957B5">
        <w:rPr>
          <w:i/>
          <w:iCs/>
          <w:color w:val="000000"/>
        </w:rPr>
        <w:t>eceived</w:t>
      </w:r>
      <w:r w:rsidR="00193AF1" w:rsidRPr="005957B5">
        <w:rPr>
          <w:rStyle w:val="apple-converted-space"/>
          <w:i/>
          <w:iCs/>
          <w:color w:val="000000"/>
        </w:rPr>
        <w:t> </w:t>
      </w:r>
      <w:r w:rsidR="0099112B" w:rsidRPr="005957B5">
        <w:rPr>
          <w:rStyle w:val="coconcept1924"/>
          <w:i/>
          <w:iCs/>
          <w:color w:val="000000"/>
          <w:bdr w:val="none" w:sz="0" w:space="0" w:color="auto" w:frame="1"/>
          <w:shd w:val="clear" w:color="auto" w:fill="FFFFFF"/>
        </w:rPr>
        <w:t>A</w:t>
      </w:r>
      <w:r w:rsidR="00193AF1" w:rsidRPr="005957B5">
        <w:rPr>
          <w:rStyle w:val="coconcept1924"/>
          <w:i/>
          <w:iCs/>
          <w:color w:val="000000"/>
          <w:bdr w:val="none" w:sz="0" w:space="0" w:color="auto" w:frame="1"/>
          <w:shd w:val="clear" w:color="auto" w:fill="FFFFFF"/>
        </w:rPr>
        <w:t>ctual</w:t>
      </w:r>
      <w:r w:rsidR="00193AF1" w:rsidRPr="005957B5">
        <w:rPr>
          <w:rStyle w:val="apple-converted-space"/>
          <w:i/>
          <w:iCs/>
          <w:color w:val="000000"/>
        </w:rPr>
        <w:t> </w:t>
      </w:r>
      <w:r w:rsidR="0099112B" w:rsidRPr="005957B5">
        <w:rPr>
          <w:rStyle w:val="coconcept2631"/>
          <w:i/>
          <w:iCs/>
          <w:color w:val="000000"/>
          <w:bdr w:val="none" w:sz="0" w:space="0" w:color="auto" w:frame="1"/>
          <w:shd w:val="clear" w:color="auto" w:fill="FFFFFF"/>
        </w:rPr>
        <w:t>N</w:t>
      </w:r>
      <w:r w:rsidR="00193AF1" w:rsidRPr="005957B5">
        <w:rPr>
          <w:rStyle w:val="coconcept2631"/>
          <w:i/>
          <w:iCs/>
          <w:color w:val="000000"/>
          <w:bdr w:val="none" w:sz="0" w:space="0" w:color="auto" w:frame="1"/>
          <w:shd w:val="clear" w:color="auto" w:fill="FFFFFF"/>
        </w:rPr>
        <w:t>otice</w:t>
      </w:r>
      <w:r w:rsidR="00193AF1" w:rsidRPr="005957B5">
        <w:rPr>
          <w:rStyle w:val="apple-converted-space"/>
          <w:i/>
          <w:iCs/>
          <w:color w:val="000000"/>
        </w:rPr>
        <w:t> </w:t>
      </w:r>
      <w:r w:rsidR="00193AF1" w:rsidRPr="005957B5">
        <w:rPr>
          <w:i/>
          <w:iCs/>
          <w:color w:val="000000"/>
        </w:rPr>
        <w:t xml:space="preserve">of </w:t>
      </w:r>
      <w:r w:rsidR="0099112B" w:rsidRPr="005957B5">
        <w:rPr>
          <w:i/>
          <w:iCs/>
          <w:color w:val="000000"/>
        </w:rPr>
        <w:t>Parent’s C</w:t>
      </w:r>
      <w:r w:rsidR="00193AF1" w:rsidRPr="005957B5">
        <w:rPr>
          <w:i/>
          <w:iCs/>
          <w:color w:val="000000"/>
        </w:rPr>
        <w:t>laims</w:t>
      </w:r>
      <w:r w:rsidR="0099112B" w:rsidRPr="005957B5">
        <w:rPr>
          <w:i/>
          <w:iCs/>
          <w:color w:val="000000"/>
        </w:rPr>
        <w:t>.</w:t>
      </w:r>
    </w:p>
    <w:p w14:paraId="13E0F87E" w14:textId="32EC7A73" w:rsidR="00986A8C" w:rsidRDefault="00986A8C" w:rsidP="00986A8C">
      <w:pPr>
        <w:widowControl w:val="0"/>
        <w:ind w:left="360"/>
        <w:rPr>
          <w:color w:val="000000"/>
        </w:rPr>
      </w:pPr>
    </w:p>
    <w:p w14:paraId="1C56870D" w14:textId="7C20F4B4" w:rsidR="00A17A64" w:rsidRDefault="00384551" w:rsidP="00986A8C">
      <w:pPr>
        <w:widowControl w:val="0"/>
        <w:rPr>
          <w:color w:val="000000"/>
        </w:rPr>
      </w:pPr>
      <w:r>
        <w:rPr>
          <w:color w:val="000000"/>
        </w:rPr>
        <w:t xml:space="preserve">DESE is correct that, to date, Parent has failed to serve DESE with a copy of the Hearing Request. </w:t>
      </w:r>
      <w:r w:rsidR="00693752">
        <w:rPr>
          <w:color w:val="000000"/>
        </w:rPr>
        <w:t xml:space="preserve">Nevertheless, Parent is proceeding in the instant appeal </w:t>
      </w:r>
      <w:r w:rsidR="00693752">
        <w:rPr>
          <w:i/>
          <w:iCs/>
          <w:color w:val="000000"/>
        </w:rPr>
        <w:t xml:space="preserve">pro </w:t>
      </w:r>
      <w:r w:rsidR="00693752" w:rsidRPr="00CD5384">
        <w:rPr>
          <w:i/>
          <w:iCs/>
          <w:color w:val="000000"/>
        </w:rPr>
        <w:t>se</w:t>
      </w:r>
      <w:r w:rsidR="00CD5384">
        <w:rPr>
          <w:color w:val="000000"/>
        </w:rPr>
        <w:t>. A</w:t>
      </w:r>
      <w:r w:rsidR="00693752">
        <w:rPr>
          <w:color w:val="000000"/>
        </w:rPr>
        <w:t>lthough said status does not grant her permission to disregard BSEA rulings and orders, it affords her additional leeway in navigati</w:t>
      </w:r>
      <w:r w:rsidR="00CD5384">
        <w:rPr>
          <w:color w:val="000000"/>
        </w:rPr>
        <w:t>ng</w:t>
      </w:r>
      <w:r w:rsidR="00693752">
        <w:rPr>
          <w:color w:val="000000"/>
        </w:rPr>
        <w:t xml:space="preserve"> the litigious </w:t>
      </w:r>
      <w:r w:rsidR="00CD5384">
        <w:rPr>
          <w:color w:val="000000"/>
        </w:rPr>
        <w:t>world</w:t>
      </w:r>
      <w:r w:rsidR="00693752">
        <w:rPr>
          <w:color w:val="000000"/>
        </w:rPr>
        <w:t xml:space="preserve"> of BSEA proceedings</w:t>
      </w:r>
      <w:r w:rsidR="003C65E8">
        <w:rPr>
          <w:color w:val="000000"/>
        </w:rPr>
        <w:t>. Parent does not appear to be acting in bad faith</w:t>
      </w:r>
      <w:r w:rsidR="00E05534">
        <w:rPr>
          <w:color w:val="000000"/>
        </w:rPr>
        <w:t xml:space="preserve"> but may </w:t>
      </w:r>
      <w:r w:rsidR="007A5A73">
        <w:rPr>
          <w:color w:val="000000"/>
        </w:rPr>
        <w:t>lack clarity,</w:t>
      </w:r>
      <w:r w:rsidR="005444A2">
        <w:rPr>
          <w:color w:val="000000"/>
        </w:rPr>
        <w:t xml:space="preserve"> especially in light of the fact that </w:t>
      </w:r>
      <w:r w:rsidR="00F311B8">
        <w:rPr>
          <w:color w:val="000000"/>
        </w:rPr>
        <w:t>English is</w:t>
      </w:r>
      <w:r w:rsidR="00B17223">
        <w:rPr>
          <w:color w:val="000000"/>
        </w:rPr>
        <w:t xml:space="preserve"> her non-primary language.</w:t>
      </w:r>
      <w:r w:rsidR="0043386D">
        <w:rPr>
          <w:color w:val="000000"/>
        </w:rPr>
        <w:t xml:space="preserve"> </w:t>
      </w:r>
      <w:r w:rsidR="00F311B8">
        <w:rPr>
          <w:color w:val="000000"/>
        </w:rPr>
        <w:t>In addition, a</w:t>
      </w:r>
      <w:r w:rsidR="0043386D">
        <w:rPr>
          <w:color w:val="000000"/>
        </w:rPr>
        <w:t xml:space="preserve">s suggested by DESE in it </w:t>
      </w:r>
      <w:r w:rsidR="0043386D" w:rsidRPr="0043386D">
        <w:rPr>
          <w:i/>
          <w:iCs/>
          <w:color w:val="000000"/>
        </w:rPr>
        <w:t>Motion</w:t>
      </w:r>
      <w:r w:rsidR="0043386D" w:rsidRPr="0043386D">
        <w:rPr>
          <w:color w:val="000000"/>
        </w:rPr>
        <w:t>,</w:t>
      </w:r>
      <w:r w:rsidR="0043386D">
        <w:rPr>
          <w:color w:val="000000"/>
        </w:rPr>
        <w:t xml:space="preserve"> Parent may be confused </w:t>
      </w:r>
      <w:r w:rsidR="00432710">
        <w:rPr>
          <w:color w:val="000000"/>
        </w:rPr>
        <w:t>by the different role of DESE from that of the Puerto Rico Department of Education</w:t>
      </w:r>
      <w:r w:rsidR="0043386D">
        <w:rPr>
          <w:i/>
          <w:iCs/>
          <w:color w:val="000000"/>
        </w:rPr>
        <w:t>.</w:t>
      </w:r>
      <w:r w:rsidR="00B17223">
        <w:rPr>
          <w:rStyle w:val="FootnoteReference"/>
          <w:color w:val="000000"/>
        </w:rPr>
        <w:footnoteReference w:id="34"/>
      </w:r>
    </w:p>
    <w:p w14:paraId="653596EF" w14:textId="77777777" w:rsidR="00852FEE" w:rsidRDefault="00852FEE" w:rsidP="00A17A64">
      <w:pPr>
        <w:widowControl w:val="0"/>
      </w:pPr>
    </w:p>
    <w:p w14:paraId="35226046" w14:textId="017B4E06" w:rsidR="00986A8C" w:rsidRPr="00852FEE" w:rsidRDefault="00A17A64" w:rsidP="00986A8C">
      <w:pPr>
        <w:widowControl w:val="0"/>
      </w:pPr>
      <w:r w:rsidRPr="00962F09">
        <w:t xml:space="preserve">The core purpose of service </w:t>
      </w:r>
      <w:r w:rsidR="00852FEE">
        <w:t xml:space="preserve">in civil proceedings </w:t>
      </w:r>
      <w:r w:rsidR="000734DB">
        <w:t>is</w:t>
      </w:r>
      <w:r w:rsidRPr="00962F09">
        <w:t>: (1) to provide a court jurisdiction over the defendant</w:t>
      </w:r>
      <w:r w:rsidR="00852FEE">
        <w:t>,</w:t>
      </w:r>
      <w:r w:rsidRPr="00962F09">
        <w:t xml:space="preserve"> and (2) to put the party being sued on notice of the lawsuit</w:t>
      </w:r>
      <w:r w:rsidR="00852FEE">
        <w:t xml:space="preserve">. </w:t>
      </w:r>
      <w:r w:rsidR="005A40DA">
        <w:rPr>
          <w:color w:val="000000"/>
        </w:rPr>
        <w:t>A</w:t>
      </w:r>
      <w:r w:rsidR="005A40DA" w:rsidRPr="00693752">
        <w:rPr>
          <w:color w:val="000000"/>
        </w:rPr>
        <w:t>s</w:t>
      </w:r>
      <w:r w:rsidR="005A40DA">
        <w:rPr>
          <w:color w:val="000000"/>
        </w:rPr>
        <w:t xml:space="preserve"> previously articulated in the April 20, 2021 </w:t>
      </w:r>
      <w:r w:rsidR="005A40DA" w:rsidRPr="00C903BB">
        <w:rPr>
          <w:i/>
          <w:iCs/>
          <w:color w:val="000000"/>
        </w:rPr>
        <w:t>Ruling and Order on Joint Motion of Lawrence Public Schools and DESE to Postpone the Automatic Hearing Date and Motion for Parent to Show Cause</w:t>
      </w:r>
      <w:r w:rsidR="005A40DA">
        <w:rPr>
          <w:color w:val="000000"/>
        </w:rPr>
        <w:t xml:space="preserve">, the purpose of service has </w:t>
      </w:r>
      <w:r w:rsidR="005A40DA">
        <w:t>been met</w:t>
      </w:r>
      <w:r w:rsidR="00852FEE">
        <w:t xml:space="preserve"> in the instant matter</w:t>
      </w:r>
      <w:r w:rsidR="005A40DA">
        <w:t xml:space="preserve"> despite its imperfect</w:t>
      </w:r>
      <w:r w:rsidR="00A42AFC">
        <w:t>ions.</w:t>
      </w:r>
      <w:r w:rsidR="00852FEE">
        <w:t xml:space="preserve"> </w:t>
      </w:r>
      <w:r w:rsidR="00384551">
        <w:t>DESE has been provided with sufficient, actual notice of the Hearing Request and the Hearing date.</w:t>
      </w:r>
      <w:r w:rsidR="00237A03">
        <w:rPr>
          <w:rStyle w:val="FootnoteReference"/>
        </w:rPr>
        <w:footnoteReference w:id="35"/>
      </w:r>
      <w:r w:rsidR="00A22EC5">
        <w:t xml:space="preserve"> DESE’s </w:t>
      </w:r>
      <w:r w:rsidR="00B63F7E">
        <w:t xml:space="preserve">request for dismissal on this ground is </w:t>
      </w:r>
      <w:r w:rsidR="00B63F7E" w:rsidRPr="00B63F7E">
        <w:rPr>
          <w:b/>
          <w:bCs/>
        </w:rPr>
        <w:t>DENIED</w:t>
      </w:r>
      <w:r w:rsidR="00B63F7E">
        <w:t>.</w:t>
      </w:r>
    </w:p>
    <w:p w14:paraId="62ABF4F4" w14:textId="79E11B10" w:rsidR="00986A8C" w:rsidRDefault="00986A8C" w:rsidP="00986A8C">
      <w:pPr>
        <w:widowControl w:val="0"/>
        <w:rPr>
          <w:color w:val="000000"/>
        </w:rPr>
      </w:pPr>
    </w:p>
    <w:p w14:paraId="08A2D0F3" w14:textId="5A4393F5" w:rsidR="0093317E" w:rsidRPr="00B97DA5" w:rsidRDefault="00B97DA5" w:rsidP="00B97DA5">
      <w:pPr>
        <w:widowControl w:val="0"/>
        <w:rPr>
          <w:i/>
          <w:iCs/>
          <w:color w:val="000000"/>
        </w:rPr>
      </w:pPr>
      <w:r>
        <w:rPr>
          <w:i/>
          <w:iCs/>
          <w:color w:val="000000"/>
        </w:rPr>
        <w:t xml:space="preserve">2.  </w:t>
      </w:r>
      <w:r w:rsidR="00270378" w:rsidRPr="00B97DA5">
        <w:rPr>
          <w:i/>
          <w:iCs/>
          <w:color w:val="000000"/>
        </w:rPr>
        <w:t xml:space="preserve">Parent’s </w:t>
      </w:r>
      <w:r w:rsidR="0093317E" w:rsidRPr="00B97DA5">
        <w:rPr>
          <w:i/>
          <w:iCs/>
          <w:color w:val="000000"/>
        </w:rPr>
        <w:t>Claims</w:t>
      </w:r>
      <w:r w:rsidR="00270378" w:rsidRPr="00B97DA5">
        <w:rPr>
          <w:i/>
          <w:iCs/>
          <w:color w:val="000000"/>
        </w:rPr>
        <w:t xml:space="preserve"> for Monetary </w:t>
      </w:r>
      <w:r w:rsidR="001B3BBB" w:rsidRPr="00B97DA5">
        <w:rPr>
          <w:i/>
          <w:iCs/>
          <w:color w:val="000000"/>
        </w:rPr>
        <w:t>Damages Are Dismissed.</w:t>
      </w:r>
    </w:p>
    <w:p w14:paraId="1EC7350F" w14:textId="77777777" w:rsidR="001B3BBB" w:rsidRDefault="001B3BBB" w:rsidP="001B3BBB">
      <w:pPr>
        <w:widowControl w:val="0"/>
        <w:rPr>
          <w:color w:val="000000"/>
        </w:rPr>
      </w:pPr>
    </w:p>
    <w:p w14:paraId="7E1B17D1" w14:textId="4E373716" w:rsidR="00B63F7E" w:rsidRPr="00852FEE" w:rsidRDefault="001B3BBB" w:rsidP="00B63F7E">
      <w:pPr>
        <w:widowControl w:val="0"/>
      </w:pPr>
      <w:r>
        <w:rPr>
          <w:color w:val="000000"/>
        </w:rPr>
        <w:t xml:space="preserve">DESE is correct that the BSEA is limited in the relief it can offer, and </w:t>
      </w:r>
      <w:r>
        <w:rPr>
          <w:color w:val="000000" w:themeColor="text1"/>
        </w:rPr>
        <w:t>m</w:t>
      </w:r>
      <w:r w:rsidRPr="00A01BA6">
        <w:rPr>
          <w:color w:val="000000" w:themeColor="text1"/>
        </w:rPr>
        <w:t xml:space="preserve">onetary damages </w:t>
      </w:r>
      <w:r w:rsidR="000E6136">
        <w:rPr>
          <w:color w:val="000000" w:themeColor="text1"/>
        </w:rPr>
        <w:t xml:space="preserve">at the BSEA </w:t>
      </w:r>
      <w:r w:rsidRPr="00A01BA6">
        <w:rPr>
          <w:color w:val="000000" w:themeColor="text1"/>
        </w:rPr>
        <w:t>are limited to compensatory education and equitable remedies involving the payment of money for expenses paid by the parents for the educational and related needs of the student.</w:t>
      </w:r>
      <w:r w:rsidRPr="00017D84">
        <w:rPr>
          <w:rStyle w:val="FootnoteReference"/>
          <w:color w:val="000000" w:themeColor="text1"/>
        </w:rPr>
        <w:footnoteReference w:id="36"/>
      </w:r>
      <w:r w:rsidRPr="00A01BA6">
        <w:rPr>
          <w:color w:val="000000" w:themeColor="text1"/>
        </w:rPr>
        <w:t xml:space="preserve">  </w:t>
      </w:r>
      <w:r w:rsidR="00A90EFA">
        <w:rPr>
          <w:color w:val="000000" w:themeColor="text1"/>
        </w:rPr>
        <w:t>P</w:t>
      </w:r>
      <w:r w:rsidRPr="00A01BA6">
        <w:rPr>
          <w:color w:val="000000" w:themeColor="text1"/>
        </w:rPr>
        <w:t>unitive damages</w:t>
      </w:r>
      <w:r w:rsidR="00A90EFA">
        <w:rPr>
          <w:color w:val="000000" w:themeColor="text1"/>
        </w:rPr>
        <w:t>, as requested by Parent in the instant matter,</w:t>
      </w:r>
      <w:r w:rsidRPr="00A01BA6">
        <w:rPr>
          <w:color w:val="000000" w:themeColor="text1"/>
        </w:rPr>
        <w:t xml:space="preserve"> are also unavailable as a </w:t>
      </w:r>
      <w:r w:rsidRPr="00A01BA6">
        <w:rPr>
          <w:color w:val="000000" w:themeColor="text1"/>
        </w:rPr>
        <w:lastRenderedPageBreak/>
        <w:t>remedy.</w:t>
      </w:r>
      <w:r w:rsidRPr="00017D84">
        <w:rPr>
          <w:rStyle w:val="FootnoteReference"/>
          <w:color w:val="000000" w:themeColor="text1"/>
        </w:rPr>
        <w:footnoteReference w:id="37"/>
      </w:r>
      <w:r w:rsidRPr="00A01BA6">
        <w:rPr>
          <w:color w:val="000000" w:themeColor="text1"/>
        </w:rPr>
        <w:t> </w:t>
      </w:r>
      <w:r w:rsidR="000734BE">
        <w:t xml:space="preserve"> </w:t>
      </w:r>
      <w:r w:rsidR="00B63F7E">
        <w:t xml:space="preserve">DESE’s request for dismissal of Parent’s claims for monetary relief </w:t>
      </w:r>
      <w:r w:rsidR="000734BE">
        <w:t>is</w:t>
      </w:r>
      <w:r w:rsidR="00B63F7E">
        <w:t xml:space="preserve"> </w:t>
      </w:r>
      <w:r w:rsidR="00B63F7E" w:rsidRPr="00B63F7E">
        <w:rPr>
          <w:b/>
          <w:bCs/>
        </w:rPr>
        <w:t>ALLOWED</w:t>
      </w:r>
      <w:r w:rsidR="00B63F7E">
        <w:t>.</w:t>
      </w:r>
      <w:r w:rsidR="00463CE4">
        <w:rPr>
          <w:rStyle w:val="FootnoteReference"/>
        </w:rPr>
        <w:footnoteReference w:id="38"/>
      </w:r>
      <w:r w:rsidR="00B63F7E">
        <w:t xml:space="preserve">  </w:t>
      </w:r>
    </w:p>
    <w:p w14:paraId="123D2425" w14:textId="77777777" w:rsidR="00A01BA6" w:rsidRPr="002F6F48" w:rsidRDefault="00A01BA6" w:rsidP="002F6F48">
      <w:pPr>
        <w:rPr>
          <w:color w:val="000000" w:themeColor="text1"/>
        </w:rPr>
      </w:pPr>
    </w:p>
    <w:p w14:paraId="791ABFCD" w14:textId="74309DD5" w:rsidR="00A01BA6" w:rsidRPr="00B97DA5" w:rsidRDefault="00B97DA5" w:rsidP="00B97DA5">
      <w:pPr>
        <w:widowControl w:val="0"/>
        <w:rPr>
          <w:i/>
          <w:iCs/>
          <w:color w:val="000000" w:themeColor="text1"/>
        </w:rPr>
      </w:pPr>
      <w:r>
        <w:rPr>
          <w:i/>
          <w:iCs/>
          <w:color w:val="000000" w:themeColor="text1"/>
        </w:rPr>
        <w:t xml:space="preserve">3.  </w:t>
      </w:r>
      <w:r w:rsidR="002F6F48" w:rsidRPr="00B97DA5">
        <w:rPr>
          <w:i/>
          <w:iCs/>
          <w:color w:val="000000" w:themeColor="text1"/>
        </w:rPr>
        <w:t>Parent’s Claims Against DESE Are Dismissed</w:t>
      </w:r>
      <w:r w:rsidR="000734BE" w:rsidRPr="00B97DA5">
        <w:rPr>
          <w:i/>
          <w:iCs/>
          <w:color w:val="000000" w:themeColor="text1"/>
        </w:rPr>
        <w:t xml:space="preserve"> for Failure to State a Claim Upon Which Relief May Be Granted</w:t>
      </w:r>
      <w:r w:rsidR="002F6F48" w:rsidRPr="00B97DA5">
        <w:rPr>
          <w:i/>
          <w:iCs/>
          <w:color w:val="000000" w:themeColor="text1"/>
        </w:rPr>
        <w:t>.</w:t>
      </w:r>
    </w:p>
    <w:p w14:paraId="56BC70BC" w14:textId="77777777" w:rsidR="00892537" w:rsidRDefault="00892537" w:rsidP="008268A4">
      <w:pPr>
        <w:widowControl w:val="0"/>
        <w:rPr>
          <w:color w:val="000000" w:themeColor="text1"/>
        </w:rPr>
      </w:pPr>
    </w:p>
    <w:p w14:paraId="53E46CAD" w14:textId="321590B0" w:rsidR="00DE1F06" w:rsidRDefault="00F36824" w:rsidP="008268A4">
      <w:pPr>
        <w:widowControl w:val="0"/>
        <w:rPr>
          <w:color w:val="000000" w:themeColor="text1"/>
        </w:rPr>
      </w:pPr>
      <w:r>
        <w:rPr>
          <w:color w:val="000000" w:themeColor="text1"/>
        </w:rPr>
        <w:t>It is undisputed that</w:t>
      </w:r>
      <w:r w:rsidR="00FA219B">
        <w:rPr>
          <w:color w:val="000000" w:themeColor="text1"/>
        </w:rPr>
        <w:t xml:space="preserve"> </w:t>
      </w:r>
      <w:r w:rsidR="00283EFD">
        <w:rPr>
          <w:color w:val="000000" w:themeColor="text1"/>
        </w:rPr>
        <w:t>“</w:t>
      </w:r>
      <w:r w:rsidR="00371251">
        <w:rPr>
          <w:color w:val="000000" w:themeColor="text1"/>
        </w:rPr>
        <w:t>a parent may file a due process complaint against an SEA and the hearing officer has the auth</w:t>
      </w:r>
      <w:r w:rsidR="00283EFD">
        <w:rPr>
          <w:color w:val="000000" w:themeColor="text1"/>
        </w:rPr>
        <w:t>o</w:t>
      </w:r>
      <w:r w:rsidR="00371251">
        <w:rPr>
          <w:color w:val="000000" w:themeColor="text1"/>
        </w:rPr>
        <w:t>r</w:t>
      </w:r>
      <w:r w:rsidR="00283EFD">
        <w:rPr>
          <w:color w:val="000000" w:themeColor="text1"/>
        </w:rPr>
        <w:t>it</w:t>
      </w:r>
      <w:r w:rsidR="00371251">
        <w:rPr>
          <w:color w:val="000000" w:themeColor="text1"/>
        </w:rPr>
        <w:t>y</w:t>
      </w:r>
      <w:r w:rsidR="00283EFD">
        <w:rPr>
          <w:color w:val="000000" w:themeColor="text1"/>
        </w:rPr>
        <w:t xml:space="preserve"> to determine, based on the individual facts and circumstances in the case, whether the SEA is a proper party at the due process hearing.”</w:t>
      </w:r>
      <w:r w:rsidR="00283EFD">
        <w:rPr>
          <w:rStyle w:val="FootnoteReference"/>
          <w:color w:val="000000" w:themeColor="text1"/>
        </w:rPr>
        <w:footnoteReference w:id="39"/>
      </w:r>
      <w:r>
        <w:rPr>
          <w:color w:val="000000" w:themeColor="text1"/>
        </w:rPr>
        <w:t xml:space="preserve"> </w:t>
      </w:r>
      <w:r w:rsidR="00283EFD">
        <w:rPr>
          <w:color w:val="000000" w:themeColor="text1"/>
        </w:rPr>
        <w:t xml:space="preserve"> </w:t>
      </w:r>
      <w:r w:rsidR="0006151A">
        <w:rPr>
          <w:color w:val="000000" w:themeColor="text1"/>
        </w:rPr>
        <w:t>In the instant matter, DESE a</w:t>
      </w:r>
      <w:r w:rsidR="006124E2">
        <w:rPr>
          <w:color w:val="000000" w:themeColor="text1"/>
        </w:rPr>
        <w:t xml:space="preserve">sserts that Parent </w:t>
      </w:r>
      <w:r w:rsidR="000B11D0">
        <w:rPr>
          <w:color w:val="000000" w:themeColor="text1"/>
        </w:rPr>
        <w:t>has alleged no failure to</w:t>
      </w:r>
      <w:r w:rsidR="00892537">
        <w:rPr>
          <w:color w:val="000000" w:themeColor="text1"/>
        </w:rPr>
        <w:t xml:space="preserve"> </w:t>
      </w:r>
      <w:r w:rsidR="000B11D0">
        <w:rPr>
          <w:color w:val="000000" w:themeColor="text1"/>
        </w:rPr>
        <w:t>monitor</w:t>
      </w:r>
      <w:r w:rsidR="00414FCC">
        <w:rPr>
          <w:color w:val="000000" w:themeColor="text1"/>
        </w:rPr>
        <w:t xml:space="preserve"> or ensure compliance with Massachusetts special education laws.  DESE further alleges that the Hearing Request fails to demonstrate what elements of </w:t>
      </w:r>
      <w:r w:rsidR="00892537">
        <w:rPr>
          <w:color w:val="000000" w:themeColor="text1"/>
        </w:rPr>
        <w:t>Student’s</w:t>
      </w:r>
      <w:r w:rsidR="00414FCC">
        <w:rPr>
          <w:color w:val="000000" w:themeColor="text1"/>
        </w:rPr>
        <w:t xml:space="preserve"> IEP are defici</w:t>
      </w:r>
      <w:r w:rsidR="00892537">
        <w:rPr>
          <w:color w:val="000000" w:themeColor="text1"/>
        </w:rPr>
        <w:t>e</w:t>
      </w:r>
      <w:r w:rsidR="00414FCC">
        <w:rPr>
          <w:color w:val="000000" w:themeColor="text1"/>
        </w:rPr>
        <w:t>nt</w:t>
      </w:r>
      <w:r w:rsidR="00654CE6">
        <w:rPr>
          <w:color w:val="000000" w:themeColor="text1"/>
        </w:rPr>
        <w:t>, to explain what remedy would ensure Student’s access to FAPE and to clarify why DESE should be held responsible for any violations since “[d]</w:t>
      </w:r>
      <w:proofErr w:type="spellStart"/>
      <w:r w:rsidR="00654CE6">
        <w:rPr>
          <w:color w:val="000000" w:themeColor="text1"/>
        </w:rPr>
        <w:t>issatisfaction</w:t>
      </w:r>
      <w:proofErr w:type="spellEnd"/>
      <w:r w:rsidR="00654CE6">
        <w:rPr>
          <w:color w:val="000000" w:themeColor="text1"/>
        </w:rPr>
        <w:t xml:space="preserve"> with a stu</w:t>
      </w:r>
      <w:r w:rsidR="00892537">
        <w:rPr>
          <w:color w:val="000000" w:themeColor="text1"/>
        </w:rPr>
        <w:t>d</w:t>
      </w:r>
      <w:r w:rsidR="00654CE6">
        <w:rPr>
          <w:color w:val="000000" w:themeColor="text1"/>
        </w:rPr>
        <w:t>ent’s special education program</w:t>
      </w:r>
      <w:r w:rsidR="00892537">
        <w:rPr>
          <w:color w:val="000000" w:themeColor="text1"/>
        </w:rPr>
        <w:t>, without specific examples of a denial of FAPE, is not something for which DESE is responsible or can provide relief.”</w:t>
      </w:r>
    </w:p>
    <w:p w14:paraId="51035C9B" w14:textId="77777777" w:rsidR="00DE1F06" w:rsidRDefault="00DE1F06" w:rsidP="008268A4">
      <w:pPr>
        <w:widowControl w:val="0"/>
        <w:rPr>
          <w:color w:val="000000" w:themeColor="text1"/>
        </w:rPr>
      </w:pPr>
    </w:p>
    <w:p w14:paraId="67D3E131" w14:textId="67B019DC" w:rsidR="00F110B4" w:rsidRPr="00962F09" w:rsidRDefault="00892537" w:rsidP="00A7042C">
      <w:pPr>
        <w:widowControl w:val="0"/>
        <w:rPr>
          <w:color w:val="000000" w:themeColor="text1"/>
        </w:rPr>
      </w:pPr>
      <w:r>
        <w:rPr>
          <w:color w:val="000000" w:themeColor="text1"/>
        </w:rPr>
        <w:t>DESE is correct that Parent’s Hearing Request fails to articulate a cause of action against DESE.  In fact, I noted s</w:t>
      </w:r>
      <w:r w:rsidR="00766013">
        <w:rPr>
          <w:color w:val="000000" w:themeColor="text1"/>
        </w:rPr>
        <w:t>uch in the</w:t>
      </w:r>
      <w:r w:rsidR="00617722">
        <w:rPr>
          <w:color w:val="000000" w:themeColor="text1"/>
        </w:rPr>
        <w:t xml:space="preserve"> </w:t>
      </w:r>
      <w:r w:rsidR="00617722" w:rsidRPr="00017D84">
        <w:rPr>
          <w:color w:val="000000" w:themeColor="text1"/>
        </w:rPr>
        <w:t xml:space="preserve">April 20, 2021 </w:t>
      </w:r>
      <w:r w:rsidR="008268A4" w:rsidRPr="00017D84">
        <w:rPr>
          <w:color w:val="000000" w:themeColor="text1"/>
        </w:rPr>
        <w:t xml:space="preserve"> </w:t>
      </w:r>
      <w:r w:rsidR="008268A4" w:rsidRPr="00C903BB">
        <w:rPr>
          <w:i/>
          <w:iCs/>
          <w:color w:val="000000"/>
        </w:rPr>
        <w:t>Ruling and Order on Joint Motion of Lawrence Public Schools and DESE to Postpone the Automatic Hearing Date and Motion for Parent to Show Cause</w:t>
      </w:r>
      <w:r w:rsidR="00100F47">
        <w:rPr>
          <w:color w:val="000000"/>
        </w:rPr>
        <w:t xml:space="preserve">.  In an effort to </w:t>
      </w:r>
      <w:r w:rsidR="00766013">
        <w:rPr>
          <w:color w:val="000000" w:themeColor="text1"/>
        </w:rPr>
        <w:t xml:space="preserve">to </w:t>
      </w:r>
      <w:r w:rsidR="008268A4" w:rsidRPr="00017D84">
        <w:rPr>
          <w:color w:val="000000" w:themeColor="text1"/>
        </w:rPr>
        <w:t>defin</w:t>
      </w:r>
      <w:r w:rsidR="00766013">
        <w:rPr>
          <w:color w:val="000000" w:themeColor="text1"/>
        </w:rPr>
        <w:t>e</w:t>
      </w:r>
      <w:r w:rsidR="008268A4" w:rsidRPr="00017D84">
        <w:rPr>
          <w:color w:val="000000" w:themeColor="text1"/>
        </w:rPr>
        <w:t xml:space="preserve"> the issues for Hearing</w:t>
      </w:r>
      <w:r w:rsidR="00100F47">
        <w:rPr>
          <w:color w:val="000000" w:themeColor="text1"/>
        </w:rPr>
        <w:t xml:space="preserve">, </w:t>
      </w:r>
      <w:r w:rsidR="00A42C72">
        <w:rPr>
          <w:color w:val="000000" w:themeColor="text1"/>
        </w:rPr>
        <w:t xml:space="preserve">I could not decipher </w:t>
      </w:r>
      <w:r w:rsidR="001B1D32">
        <w:rPr>
          <w:color w:val="000000" w:themeColor="text1"/>
        </w:rPr>
        <w:t xml:space="preserve">from the facts alleged in the Hearing Request </w:t>
      </w:r>
      <w:r w:rsidR="00A42C72">
        <w:rPr>
          <w:color w:val="000000" w:themeColor="text1"/>
        </w:rPr>
        <w:t xml:space="preserve">any claims which </w:t>
      </w:r>
      <w:r w:rsidR="003D70F6">
        <w:rPr>
          <w:color w:val="000000" w:themeColor="text1"/>
        </w:rPr>
        <w:t>could be leveled at DESE.</w:t>
      </w:r>
      <w:r w:rsidR="00D07772">
        <w:rPr>
          <w:color w:val="000000"/>
        </w:rPr>
        <w:t xml:space="preserve"> </w:t>
      </w:r>
      <w:r w:rsidR="001B1D32">
        <w:rPr>
          <w:color w:val="000000"/>
        </w:rPr>
        <w:t>Even if taken as true</w:t>
      </w:r>
      <w:r w:rsidR="00D07772">
        <w:rPr>
          <w:color w:val="000000"/>
        </w:rPr>
        <w:t xml:space="preserve">, </w:t>
      </w:r>
      <w:r w:rsidR="001B1D32">
        <w:rPr>
          <w:color w:val="000000"/>
        </w:rPr>
        <w:t xml:space="preserve">Parent’s facts </w:t>
      </w:r>
      <w:r w:rsidR="00D07772">
        <w:rPr>
          <w:color w:val="000000"/>
        </w:rPr>
        <w:t>fail to suggest</w:t>
      </w:r>
      <w:r w:rsidR="00EE566F">
        <w:rPr>
          <w:color w:val="000000"/>
        </w:rPr>
        <w:t xml:space="preserve"> that DESE was in any way </w:t>
      </w:r>
      <w:r w:rsidR="00DE1F06" w:rsidRPr="00D07772">
        <w:rPr>
          <w:color w:val="000000"/>
          <w:shd w:val="clear" w:color="auto" w:fill="FFFFFF"/>
        </w:rPr>
        <w:t xml:space="preserve">directly involved </w:t>
      </w:r>
      <w:r w:rsidR="00F228CB">
        <w:rPr>
          <w:color w:val="000000"/>
          <w:shd w:val="clear" w:color="auto" w:fill="FFFFFF"/>
        </w:rPr>
        <w:t>with or</w:t>
      </w:r>
      <w:r w:rsidR="00DE1F06" w:rsidRPr="00D07772">
        <w:rPr>
          <w:color w:val="000000"/>
          <w:shd w:val="clear" w:color="auto" w:fill="FFFFFF"/>
        </w:rPr>
        <w:t xml:space="preserve"> responsible for </w:t>
      </w:r>
      <w:r w:rsidR="00EE566F">
        <w:rPr>
          <w:color w:val="000000"/>
          <w:shd w:val="clear" w:color="auto" w:fill="FFFFFF"/>
        </w:rPr>
        <w:t>any allegations of a</w:t>
      </w:r>
      <w:r w:rsidR="00DE1F06" w:rsidRPr="00D07772">
        <w:rPr>
          <w:color w:val="000000"/>
          <w:shd w:val="clear" w:color="auto" w:fill="FFFFFF"/>
        </w:rPr>
        <w:t xml:space="preserve"> denial of FAPE, or that </w:t>
      </w:r>
      <w:r w:rsidR="00EE566F">
        <w:rPr>
          <w:color w:val="000000"/>
          <w:shd w:val="clear" w:color="auto" w:fill="FFFFFF"/>
        </w:rPr>
        <w:t>DESE</w:t>
      </w:r>
      <w:r w:rsidR="000C785A">
        <w:rPr>
          <w:color w:val="000000"/>
          <w:shd w:val="clear" w:color="auto" w:fill="FFFFFF"/>
        </w:rPr>
        <w:t xml:space="preserve"> failed to ensure compliance with </w:t>
      </w:r>
      <w:r w:rsidR="00DE1F06" w:rsidRPr="00D07772">
        <w:rPr>
          <w:color w:val="000000"/>
          <w:shd w:val="clear" w:color="auto" w:fill="FFFFFF"/>
        </w:rPr>
        <w:t>State-established standards.</w:t>
      </w:r>
      <w:r w:rsidR="00DE1F06">
        <w:rPr>
          <w:rStyle w:val="FootnoteReference"/>
          <w:color w:val="000000"/>
          <w:shd w:val="clear" w:color="auto" w:fill="FFFFFF"/>
        </w:rPr>
        <w:footnoteReference w:id="40"/>
      </w:r>
      <w:r w:rsidR="00DE1F06" w:rsidRPr="00D07772">
        <w:rPr>
          <w:color w:val="000000"/>
        </w:rPr>
        <w:t xml:space="preserve"> </w:t>
      </w:r>
      <w:r w:rsidR="00F358F7">
        <w:rPr>
          <w:color w:val="000000"/>
        </w:rPr>
        <w:t xml:space="preserve"> Parent asserted no facts suggesting that DESE </w:t>
      </w:r>
      <w:r w:rsidR="00DE1F06" w:rsidRPr="00D07772">
        <w:rPr>
          <w:color w:val="000000"/>
          <w:shd w:val="clear" w:color="auto" w:fill="FFFFFF"/>
        </w:rPr>
        <w:t xml:space="preserve">was involved in the IEP process, asked to participate in  </w:t>
      </w:r>
      <w:r w:rsidR="00207627">
        <w:rPr>
          <w:color w:val="000000"/>
          <w:shd w:val="clear" w:color="auto" w:fill="FFFFFF"/>
        </w:rPr>
        <w:t>S</w:t>
      </w:r>
      <w:r w:rsidR="00DE1F06" w:rsidRPr="00D07772">
        <w:rPr>
          <w:color w:val="000000"/>
          <w:shd w:val="clear" w:color="auto" w:fill="FFFFFF"/>
        </w:rPr>
        <w:t xml:space="preserve">tudent’s assessment or placement, or called upon to fund </w:t>
      </w:r>
      <w:r w:rsidR="00207627">
        <w:rPr>
          <w:color w:val="000000"/>
          <w:shd w:val="clear" w:color="auto" w:fill="FFFFFF"/>
        </w:rPr>
        <w:t>S</w:t>
      </w:r>
      <w:r w:rsidR="00DE1F06" w:rsidRPr="00D07772">
        <w:rPr>
          <w:color w:val="000000"/>
          <w:shd w:val="clear" w:color="auto" w:fill="FFFFFF"/>
        </w:rPr>
        <w:t xml:space="preserve">tudent’s education or to respond to complaints regarding </w:t>
      </w:r>
      <w:r w:rsidR="00207627">
        <w:rPr>
          <w:color w:val="000000"/>
          <w:shd w:val="clear" w:color="auto" w:fill="FFFFFF"/>
        </w:rPr>
        <w:t>S</w:t>
      </w:r>
      <w:r w:rsidR="00DE1F06" w:rsidRPr="00D07772">
        <w:rPr>
          <w:color w:val="000000"/>
          <w:shd w:val="clear" w:color="auto" w:fill="FFFFFF"/>
        </w:rPr>
        <w:t>tudent’s program.</w:t>
      </w:r>
      <w:r w:rsidR="00DE1F06">
        <w:rPr>
          <w:rStyle w:val="FootnoteReference"/>
          <w:color w:val="000000"/>
          <w:shd w:val="clear" w:color="auto" w:fill="FFFFFF"/>
        </w:rPr>
        <w:footnoteReference w:id="41"/>
      </w:r>
      <w:r w:rsidR="007D429A">
        <w:rPr>
          <w:color w:val="000000"/>
          <w:shd w:val="clear" w:color="auto" w:fill="FFFFFF"/>
        </w:rPr>
        <w:t xml:space="preserve"> </w:t>
      </w:r>
      <w:r w:rsidR="00CC34DD">
        <w:rPr>
          <w:color w:val="000000"/>
          <w:shd w:val="clear" w:color="auto" w:fill="FFFFFF"/>
        </w:rPr>
        <w:t xml:space="preserve"> </w:t>
      </w:r>
      <w:r w:rsidR="00C62951">
        <w:rPr>
          <w:color w:val="000000" w:themeColor="text1"/>
        </w:rPr>
        <w:t>In the instant matter, I simply cannot find that</w:t>
      </w:r>
      <w:r w:rsidR="00207627">
        <w:rPr>
          <w:color w:val="000000" w:themeColor="text1"/>
        </w:rPr>
        <w:t xml:space="preserve"> the </w:t>
      </w:r>
      <w:r w:rsidR="00C62951">
        <w:rPr>
          <w:color w:val="000000" w:themeColor="text1"/>
        </w:rPr>
        <w:t xml:space="preserve"> factual allegations</w:t>
      </w:r>
      <w:r w:rsidR="00207627">
        <w:rPr>
          <w:color w:val="000000" w:themeColor="text1"/>
        </w:rPr>
        <w:t xml:space="preserve"> set forth in Parent’s earing Request,</w:t>
      </w:r>
      <w:r w:rsidR="0009438E">
        <w:rPr>
          <w:color w:val="000000" w:themeColor="text1"/>
        </w:rPr>
        <w:t xml:space="preserve"> </w:t>
      </w:r>
      <w:r w:rsidR="00207627">
        <w:rPr>
          <w:color w:val="000000" w:themeColor="text1"/>
        </w:rPr>
        <w:t>regar</w:t>
      </w:r>
      <w:r w:rsidR="00B97DA5">
        <w:rPr>
          <w:color w:val="000000" w:themeColor="text1"/>
        </w:rPr>
        <w:t xml:space="preserve">ding </w:t>
      </w:r>
      <w:r w:rsidR="0009438E">
        <w:rPr>
          <w:color w:val="000000" w:themeColor="text1"/>
        </w:rPr>
        <w:t>DESE</w:t>
      </w:r>
      <w:r w:rsidR="00C62951">
        <w:rPr>
          <w:color w:val="000000" w:themeColor="text1"/>
        </w:rPr>
        <w:t xml:space="preserve"> “</w:t>
      </w:r>
      <w:r w:rsidR="00FF73B0" w:rsidRPr="00017D84">
        <w:rPr>
          <w:color w:val="000000" w:themeColor="text1"/>
        </w:rPr>
        <w:t>raise a right to relief above the speculative level.”</w:t>
      </w:r>
      <w:r w:rsidR="00FF73B0" w:rsidRPr="00017D84">
        <w:rPr>
          <w:rStyle w:val="FootnoteReference"/>
          <w:color w:val="000000" w:themeColor="text1"/>
        </w:rPr>
        <w:footnoteReference w:id="42"/>
      </w:r>
      <w:r w:rsidR="00FF73B0" w:rsidRPr="00017D84">
        <w:rPr>
          <w:color w:val="000000" w:themeColor="text1"/>
        </w:rPr>
        <w:t xml:space="preserve">  </w:t>
      </w:r>
      <w:r w:rsidR="00CC34DD">
        <w:rPr>
          <w:color w:val="000000"/>
          <w:shd w:val="clear" w:color="auto" w:fill="FFFFFF"/>
        </w:rPr>
        <w:t xml:space="preserve">As such, I find that Parent’s claims against DESE should be dismissed without prejudice.  DESE’s </w:t>
      </w:r>
      <w:r w:rsidR="00CC34DD">
        <w:rPr>
          <w:i/>
          <w:iCs/>
          <w:color w:val="000000"/>
          <w:shd w:val="clear" w:color="auto" w:fill="FFFFFF"/>
        </w:rPr>
        <w:t>Motion</w:t>
      </w:r>
      <w:r w:rsidR="00CC34DD">
        <w:rPr>
          <w:color w:val="000000"/>
          <w:shd w:val="clear" w:color="auto" w:fill="FFFFFF"/>
        </w:rPr>
        <w:t xml:space="preserve"> is </w:t>
      </w:r>
      <w:r w:rsidR="00CC34DD" w:rsidRPr="00CC34DD">
        <w:rPr>
          <w:b/>
          <w:bCs/>
          <w:color w:val="000000"/>
          <w:shd w:val="clear" w:color="auto" w:fill="FFFFFF"/>
        </w:rPr>
        <w:t>ALLOWED</w:t>
      </w:r>
      <w:r w:rsidR="00CC34DD">
        <w:rPr>
          <w:color w:val="000000"/>
          <w:shd w:val="clear" w:color="auto" w:fill="FFFFFF"/>
        </w:rPr>
        <w:t xml:space="preserve">. </w:t>
      </w:r>
    </w:p>
    <w:p w14:paraId="75A798B4" w14:textId="4672F2FC" w:rsidR="0064188D" w:rsidRPr="00017D84" w:rsidRDefault="0064188D" w:rsidP="003F6569">
      <w:pPr>
        <w:tabs>
          <w:tab w:val="left" w:pos="2792"/>
        </w:tabs>
        <w:rPr>
          <w:b/>
          <w:bCs/>
          <w:color w:val="000000" w:themeColor="text1"/>
        </w:rPr>
      </w:pPr>
    </w:p>
    <w:p w14:paraId="66791E3D" w14:textId="201F8E6C" w:rsidR="00FA2868" w:rsidRPr="00017D84" w:rsidRDefault="49EA4C1C" w:rsidP="003F6569">
      <w:pPr>
        <w:tabs>
          <w:tab w:val="left" w:pos="2792"/>
        </w:tabs>
        <w:rPr>
          <w:color w:val="000000" w:themeColor="text1"/>
        </w:rPr>
      </w:pPr>
      <w:r w:rsidRPr="00017D84">
        <w:rPr>
          <w:b/>
          <w:bCs/>
          <w:color w:val="000000" w:themeColor="text1"/>
        </w:rPr>
        <w:t>ORDER</w:t>
      </w:r>
      <w:r w:rsidRPr="00017D84">
        <w:rPr>
          <w:color w:val="000000" w:themeColor="text1"/>
        </w:rPr>
        <w:t>:</w:t>
      </w:r>
    </w:p>
    <w:p w14:paraId="678A1291" w14:textId="5E284EFF" w:rsidR="007F37DD" w:rsidRPr="00A7042C" w:rsidRDefault="007F37DD" w:rsidP="007F37DD">
      <w:pPr>
        <w:spacing w:before="100" w:beforeAutospacing="1" w:after="100" w:afterAutospacing="1"/>
        <w:rPr>
          <w:b/>
          <w:bCs/>
          <w:color w:val="000000" w:themeColor="text1"/>
        </w:rPr>
      </w:pPr>
      <w:r w:rsidRPr="00017D84">
        <w:rPr>
          <w:color w:val="000000" w:themeColor="text1"/>
        </w:rPr>
        <w:t xml:space="preserve">For the reasons set forth </w:t>
      </w:r>
      <w:r w:rsidR="00207627">
        <w:rPr>
          <w:color w:val="000000" w:themeColor="text1"/>
        </w:rPr>
        <w:t>above</w:t>
      </w:r>
      <w:r w:rsidRPr="00017D84">
        <w:rPr>
          <w:color w:val="000000" w:themeColor="text1"/>
        </w:rPr>
        <w:t xml:space="preserve">, DESE’s </w:t>
      </w:r>
      <w:r w:rsidRPr="00017D84">
        <w:rPr>
          <w:i/>
          <w:iCs/>
          <w:color w:val="000000" w:themeColor="text1"/>
        </w:rPr>
        <w:t xml:space="preserve">Motion </w:t>
      </w:r>
      <w:r w:rsidRPr="00017D84">
        <w:rPr>
          <w:color w:val="000000" w:themeColor="text1"/>
        </w:rPr>
        <w:t xml:space="preserve">is hereby </w:t>
      </w:r>
      <w:r w:rsidR="00A7042C">
        <w:rPr>
          <w:b/>
          <w:bCs/>
          <w:color w:val="000000" w:themeColor="text1"/>
        </w:rPr>
        <w:t>ALLOWED</w:t>
      </w:r>
      <w:r>
        <w:rPr>
          <w:b/>
          <w:bCs/>
          <w:color w:val="000000" w:themeColor="text1"/>
        </w:rPr>
        <w:t>.   Parent’s claims against DESE are hereby DISMISSED WITHOUT PREJUDICE.</w:t>
      </w:r>
    </w:p>
    <w:p w14:paraId="5CD52F68" w14:textId="77777777" w:rsidR="00FA2868" w:rsidRPr="00017D84" w:rsidRDefault="00FA2868" w:rsidP="003F6569">
      <w:pPr>
        <w:tabs>
          <w:tab w:val="left" w:pos="2792"/>
        </w:tabs>
        <w:rPr>
          <w:color w:val="000000" w:themeColor="text1"/>
        </w:rPr>
      </w:pPr>
    </w:p>
    <w:p w14:paraId="79888936" w14:textId="77777777" w:rsidR="00FA2868" w:rsidRPr="00017D84" w:rsidRDefault="00FA2868" w:rsidP="003F6569">
      <w:pPr>
        <w:tabs>
          <w:tab w:val="left" w:pos="2792"/>
        </w:tabs>
        <w:rPr>
          <w:color w:val="000000" w:themeColor="text1"/>
        </w:rPr>
      </w:pPr>
      <w:r w:rsidRPr="00017D84">
        <w:rPr>
          <w:color w:val="000000" w:themeColor="text1"/>
        </w:rPr>
        <w:t>By the Hearing Officer,</w:t>
      </w:r>
    </w:p>
    <w:p w14:paraId="0604D40F" w14:textId="77777777" w:rsidR="00FA2868" w:rsidRPr="00017D84" w:rsidRDefault="00FA2868" w:rsidP="003F6569">
      <w:pPr>
        <w:tabs>
          <w:tab w:val="left" w:pos="2792"/>
        </w:tabs>
        <w:rPr>
          <w:color w:val="000000" w:themeColor="text1"/>
        </w:rPr>
      </w:pPr>
      <w:r w:rsidRPr="00017D84">
        <w:rPr>
          <w:color w:val="000000" w:themeColor="text1"/>
        </w:rPr>
        <w:t xml:space="preserve"> </w:t>
      </w:r>
    </w:p>
    <w:p w14:paraId="0247E53F" w14:textId="2B3DDE27" w:rsidR="00FA2868" w:rsidRPr="00017D84" w:rsidRDefault="002B58E6" w:rsidP="003F6569">
      <w:pPr>
        <w:tabs>
          <w:tab w:val="left" w:pos="2792"/>
        </w:tabs>
        <w:rPr>
          <w:color w:val="000000" w:themeColor="text1"/>
        </w:rPr>
      </w:pPr>
      <w:r w:rsidRPr="00017D84">
        <w:rPr>
          <w:color w:val="000000" w:themeColor="text1"/>
          <w:u w:val="single"/>
        </w:rPr>
        <w:t xml:space="preserve">s/ </w:t>
      </w:r>
      <w:r w:rsidRPr="00A7042C">
        <w:rPr>
          <w:rFonts w:ascii="Apple Chancery" w:hAnsi="Apple Chancery" w:cs="Apple Chancery" w:hint="cs"/>
          <w:color w:val="000000" w:themeColor="text1"/>
          <w:u w:val="single"/>
        </w:rPr>
        <w:t>Alina Kantor Nir</w:t>
      </w:r>
      <w:r w:rsidR="00FA2868" w:rsidRPr="00A7042C">
        <w:rPr>
          <w:rFonts w:ascii="Apple Chancery" w:hAnsi="Apple Chancery" w:cs="Apple Chancery" w:hint="cs"/>
          <w:color w:val="000000" w:themeColor="text1"/>
          <w:u w:val="single"/>
        </w:rPr>
        <w:br/>
      </w:r>
      <w:r w:rsidR="00D52CAB" w:rsidRPr="00017D84">
        <w:rPr>
          <w:color w:val="000000" w:themeColor="text1"/>
        </w:rPr>
        <w:t>Alina Kanto</w:t>
      </w:r>
      <w:r w:rsidRPr="00017D84">
        <w:rPr>
          <w:color w:val="000000" w:themeColor="text1"/>
        </w:rPr>
        <w:t>r</w:t>
      </w:r>
      <w:r w:rsidR="00D52CAB" w:rsidRPr="00017D84">
        <w:rPr>
          <w:color w:val="000000" w:themeColor="text1"/>
        </w:rPr>
        <w:t xml:space="preserve"> Nir</w:t>
      </w:r>
    </w:p>
    <w:p w14:paraId="1B32524B" w14:textId="3725A4B2" w:rsidR="00FA2868" w:rsidRPr="00017D84" w:rsidRDefault="00FA2868" w:rsidP="003F6569">
      <w:pPr>
        <w:tabs>
          <w:tab w:val="left" w:pos="2792"/>
        </w:tabs>
        <w:rPr>
          <w:color w:val="000000" w:themeColor="text1"/>
        </w:rPr>
      </w:pPr>
      <w:r w:rsidRPr="00017D84">
        <w:rPr>
          <w:color w:val="000000" w:themeColor="text1"/>
        </w:rPr>
        <w:t xml:space="preserve">Date:  </w:t>
      </w:r>
      <w:r w:rsidR="00054E58" w:rsidRPr="00017D84">
        <w:rPr>
          <w:color w:val="000000" w:themeColor="text1"/>
        </w:rPr>
        <w:t xml:space="preserve">April </w:t>
      </w:r>
      <w:r w:rsidR="00A7042C">
        <w:rPr>
          <w:color w:val="000000" w:themeColor="text1"/>
        </w:rPr>
        <w:t>26</w:t>
      </w:r>
      <w:r w:rsidR="00F72526" w:rsidRPr="00017D84">
        <w:rPr>
          <w:color w:val="000000" w:themeColor="text1"/>
        </w:rPr>
        <w:t>, 2021</w:t>
      </w:r>
    </w:p>
    <w:p w14:paraId="748BC7C2" w14:textId="77777777" w:rsidR="00FA2868" w:rsidRPr="00017D84" w:rsidRDefault="00FA2868" w:rsidP="003F6569">
      <w:pPr>
        <w:tabs>
          <w:tab w:val="left" w:pos="2792"/>
        </w:tabs>
        <w:rPr>
          <w:color w:val="000000" w:themeColor="text1"/>
        </w:rPr>
      </w:pPr>
    </w:p>
    <w:p w14:paraId="42667BD8" w14:textId="77777777" w:rsidR="008356A4" w:rsidRPr="00017D84" w:rsidRDefault="008356A4" w:rsidP="008356A4">
      <w:pPr>
        <w:pStyle w:val="paragraph"/>
        <w:spacing w:before="0" w:beforeAutospacing="0" w:after="0" w:afterAutospacing="0"/>
        <w:ind w:firstLine="1440"/>
        <w:textAlignment w:val="baseline"/>
        <w:rPr>
          <w:rStyle w:val="eop"/>
          <w:color w:val="000000" w:themeColor="text1"/>
        </w:rPr>
      </w:pPr>
    </w:p>
    <w:p w14:paraId="5D3F1299" w14:textId="4FE68657" w:rsidR="00791A2D" w:rsidRPr="00017D84" w:rsidRDefault="00791A2D" w:rsidP="003F6569">
      <w:pPr>
        <w:rPr>
          <w:color w:val="000000" w:themeColor="text1"/>
        </w:rPr>
      </w:pPr>
    </w:p>
    <w:p w14:paraId="174853E1" w14:textId="77777777" w:rsidR="00017D84" w:rsidRPr="00017D84" w:rsidRDefault="00017D84">
      <w:pPr>
        <w:rPr>
          <w:color w:val="000000" w:themeColor="text1"/>
        </w:rPr>
      </w:pPr>
    </w:p>
    <w:sectPr w:rsidR="00017D84" w:rsidRPr="00017D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5502" w14:textId="77777777" w:rsidR="0007684D" w:rsidRDefault="0007684D" w:rsidP="00FA2868">
      <w:r>
        <w:separator/>
      </w:r>
    </w:p>
  </w:endnote>
  <w:endnote w:type="continuationSeparator" w:id="0">
    <w:p w14:paraId="00E997DE" w14:textId="77777777" w:rsidR="0007684D" w:rsidRDefault="0007684D"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7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E053" w14:textId="77777777" w:rsidR="0007684D" w:rsidRDefault="0007684D" w:rsidP="00FA2868">
      <w:r>
        <w:separator/>
      </w:r>
    </w:p>
  </w:footnote>
  <w:footnote w:type="continuationSeparator" w:id="0">
    <w:p w14:paraId="5A8160CF" w14:textId="77777777" w:rsidR="0007684D" w:rsidRDefault="0007684D" w:rsidP="00FA2868">
      <w:r>
        <w:continuationSeparator/>
      </w:r>
    </w:p>
  </w:footnote>
  <w:footnote w:id="1">
    <w:p w14:paraId="6286DFDC" w14:textId="7B1E6913" w:rsidR="00922F6E" w:rsidRPr="002B742D" w:rsidRDefault="00922F6E" w:rsidP="00922F6E">
      <w:pPr>
        <w:pStyle w:val="FootnoteText"/>
      </w:pPr>
      <w:r w:rsidRPr="002B742D">
        <w:rPr>
          <w:rStyle w:val="FootnoteReference"/>
        </w:rPr>
        <w:footnoteRef/>
      </w:r>
      <w:r w:rsidRPr="002B742D">
        <w:t xml:space="preserve"> </w:t>
      </w:r>
      <w:r w:rsidR="00192EC7">
        <w:t xml:space="preserve">In contrast to </w:t>
      </w:r>
      <w:r w:rsidRPr="002B742D">
        <w:t xml:space="preserve"> </w:t>
      </w:r>
      <w:r w:rsidR="00192EC7">
        <w:t xml:space="preserve">the </w:t>
      </w:r>
      <w:r w:rsidRPr="002B742D">
        <w:t>BSEA</w:t>
      </w:r>
      <w:r w:rsidR="00192EC7">
        <w:t>’s having sent</w:t>
      </w:r>
      <w:r w:rsidRPr="002B742D">
        <w:t xml:space="preserve"> a copy of the Parent’s Hearing Request to the DESE</w:t>
      </w:r>
      <w:r w:rsidR="00192EC7">
        <w:t>.</w:t>
      </w:r>
      <w:r w:rsidRPr="002B742D">
        <w:t xml:space="preserve"> </w:t>
      </w:r>
    </w:p>
  </w:footnote>
  <w:footnote w:id="2">
    <w:p w14:paraId="70BB9F2A" w14:textId="774A03C4" w:rsidR="000062F0" w:rsidRPr="002B742D" w:rsidRDefault="000062F0" w:rsidP="000062F0">
      <w:pPr>
        <w:pStyle w:val="FootnoteText"/>
      </w:pPr>
      <w:r w:rsidRPr="002B742D">
        <w:rPr>
          <w:rStyle w:val="FootnoteReference"/>
        </w:rPr>
        <w:footnoteRef/>
      </w:r>
      <w:r w:rsidRPr="002B742D">
        <w:t xml:space="preserve"> In her Hearing Request, Parent </w:t>
      </w:r>
      <w:r w:rsidRPr="002B742D">
        <w:rPr>
          <w:color w:val="000000"/>
        </w:rPr>
        <w:t xml:space="preserve">presented a host of factual allegations that point to the existence of a dispute concerning Student’s rights under the IDEA and the discharge of the District’s procedural and substantive responsibilities under the IDEA.  Specifically, she asserted that the District failed to evaluate Student, implement the services in his IEP, and develop an appropriate IEP.  She alleges procedural violations as well, including but not limited to the “timely” delivery of services and the opportunity to sign the Age of Majority Forms.   </w:t>
      </w:r>
    </w:p>
  </w:footnote>
  <w:footnote w:id="3">
    <w:p w14:paraId="5A5FAF96" w14:textId="77777777" w:rsidR="00F83220" w:rsidRPr="002B742D" w:rsidRDefault="00F83220" w:rsidP="00F83220">
      <w:pPr>
        <w:pStyle w:val="FootnoteText"/>
      </w:pPr>
      <w:r w:rsidRPr="002B742D">
        <w:rPr>
          <w:rStyle w:val="FootnoteReference"/>
        </w:rPr>
        <w:footnoteRef/>
      </w:r>
      <w:r w:rsidRPr="002B742D">
        <w:t xml:space="preserve"> That regulations states as follows: “If a student found eligible in another state moves to Massachusetts, the new Massachusetts district of residence shall provide the student with a free appropriate public education, including special education services comparable to those in the IEP from the former state, in consultation with the parents, until the Massachusetts district determines if it will accept the finding of eligibility and/or the current IEP developed for the student in the former state of residence. If the Massachusetts district determines that the finding of eligibility and the IEP developed for the student continues to accurately represent the needs of the student, then the Massachusetts district shall continue to implement the IEP. If the Massachusetts district determines that a new evaluation is necessary to determine continued eligibility or services, or a parent or another person concerned with the child's development requests an evaluation, the district shall immediately provide written notice to the parents as required under 603 CMR 28.04(1).”</w:t>
      </w:r>
    </w:p>
  </w:footnote>
  <w:footnote w:id="4">
    <w:p w14:paraId="23DFE1F0" w14:textId="77777777" w:rsidR="00F83220" w:rsidRPr="002B742D" w:rsidRDefault="00F83220" w:rsidP="00F83220">
      <w:pPr>
        <w:pStyle w:val="FootnoteText"/>
      </w:pPr>
      <w:r w:rsidRPr="002B742D">
        <w:rPr>
          <w:rStyle w:val="FootnoteReference"/>
        </w:rPr>
        <w:footnoteRef/>
      </w:r>
      <w:r w:rsidRPr="002B742D">
        <w:t xml:space="preserve"> There is no allegation in the Hearing Request that the District has proposed an IEP for Student for the 2020-2021 school year and that such IEP is not reasonably calculated to provide Student with a free and appropriate education (FAPE) in the least restrictive environment (LRE).  Moreover, the District’s Response to the Hearing Request (Response) outlines the District’s unsuccessful attempts to hold a Team meeting and to develop an IEP.  It does not appear from the pleadings that an IEP was developed, and the affidavits enclosed with the District’s Response indicate that the District has been implementing the accepted portions of Student’s IEP from Puerto Rico.  Because Parent was not present for the pre-hearing conference, the Parties could not clarify whether Parent is alleging any denial of a FAPE other than what this Hearing Officer has articulated in this Ruling.</w:t>
      </w:r>
    </w:p>
  </w:footnote>
  <w:footnote w:id="5">
    <w:p w14:paraId="651678E4" w14:textId="3830B4FD" w:rsidR="001F0571" w:rsidRPr="002B742D" w:rsidRDefault="001F0571">
      <w:pPr>
        <w:pStyle w:val="FootnoteText"/>
      </w:pPr>
      <w:r w:rsidRPr="002B742D">
        <w:rPr>
          <w:rStyle w:val="FootnoteReference"/>
        </w:rPr>
        <w:footnoteRef/>
      </w:r>
      <w:r w:rsidRPr="002B742D">
        <w:t xml:space="preserve"> </w:t>
      </w:r>
      <w:proofErr w:type="spellStart"/>
      <w:r w:rsidRPr="002B742D">
        <w:rPr>
          <w:i/>
          <w:iCs/>
          <w:color w:val="000000" w:themeColor="text1"/>
        </w:rPr>
        <w:t>Iannocchino</w:t>
      </w:r>
      <w:proofErr w:type="spellEnd"/>
      <w:r w:rsidRPr="002B742D">
        <w:rPr>
          <w:i/>
          <w:iCs/>
          <w:color w:val="000000" w:themeColor="text1"/>
        </w:rPr>
        <w:t xml:space="preserve"> v. Ford Motor Co.</w:t>
      </w:r>
      <w:r w:rsidRPr="002B742D">
        <w:rPr>
          <w:color w:val="000000" w:themeColor="text1"/>
        </w:rPr>
        <w:t>, 451 Mass. 623, 636 (2008) (quoting </w:t>
      </w:r>
      <w:r w:rsidRPr="002B742D">
        <w:rPr>
          <w:i/>
          <w:iCs/>
          <w:color w:val="000000" w:themeColor="text1"/>
        </w:rPr>
        <w:t>Bell Atl. Corp. v. Twombly</w:t>
      </w:r>
      <w:r w:rsidRPr="002B742D">
        <w:rPr>
          <w:color w:val="000000" w:themeColor="text1"/>
        </w:rPr>
        <w:t>, 550 U.S. 544, 557 (2007)).</w:t>
      </w:r>
    </w:p>
  </w:footnote>
  <w:footnote w:id="6">
    <w:p w14:paraId="60F4D613" w14:textId="3818C0C6" w:rsidR="001F0571" w:rsidRPr="002B742D" w:rsidRDefault="001F0571">
      <w:pPr>
        <w:pStyle w:val="FootnoteText"/>
      </w:pPr>
      <w:r w:rsidRPr="002B742D">
        <w:rPr>
          <w:rStyle w:val="FootnoteReference"/>
        </w:rPr>
        <w:footnoteRef/>
      </w:r>
      <w:r w:rsidRPr="002B742D">
        <w:t xml:space="preserve"> </w:t>
      </w:r>
      <w:r w:rsidRPr="002B742D">
        <w:rPr>
          <w:i/>
          <w:iCs/>
          <w:color w:val="000000" w:themeColor="text1"/>
        </w:rPr>
        <w:t>Blank v. Chelmsford Ob/Gyn, P.C.</w:t>
      </w:r>
      <w:r w:rsidRPr="002B742D">
        <w:rPr>
          <w:color w:val="000000" w:themeColor="text1"/>
        </w:rPr>
        <w:t xml:space="preserve">, 420 Mass. 404, 407 (1995).  </w:t>
      </w:r>
    </w:p>
  </w:footnote>
  <w:footnote w:id="7">
    <w:p w14:paraId="77C352AF" w14:textId="157A30D3" w:rsidR="001F0571" w:rsidRPr="002B742D" w:rsidRDefault="001F0571">
      <w:pPr>
        <w:pStyle w:val="FootnoteText"/>
      </w:pPr>
      <w:r w:rsidRPr="002B742D">
        <w:rPr>
          <w:rStyle w:val="FootnoteReference"/>
        </w:rPr>
        <w:footnoteRef/>
      </w:r>
      <w:r w:rsidRPr="002B742D">
        <w:t xml:space="preserve"> </w:t>
      </w:r>
      <w:r w:rsidRPr="002B742D">
        <w:rPr>
          <w:i/>
          <w:iCs/>
          <w:color w:val="000000" w:themeColor="text1"/>
        </w:rPr>
        <w:t>Golchin v. Liberty Mut. Ins. Co.</w:t>
      </w:r>
      <w:r w:rsidRPr="002B742D">
        <w:rPr>
          <w:color w:val="000000" w:themeColor="text1"/>
        </w:rPr>
        <w:t xml:space="preserve">, 460 Mass. 222, 223 (2011) (internal quotation marks and citations omitted).   </w:t>
      </w:r>
    </w:p>
  </w:footnote>
  <w:footnote w:id="8">
    <w:p w14:paraId="2E5F4BA9" w14:textId="77777777" w:rsidR="00681403" w:rsidRPr="002B742D" w:rsidRDefault="00681403" w:rsidP="00681403">
      <w:pPr>
        <w:pStyle w:val="FootnoteText"/>
        <w:ind w:left="180" w:hanging="180"/>
      </w:pPr>
      <w:r w:rsidRPr="002B742D">
        <w:rPr>
          <w:rStyle w:val="FootnoteReference"/>
        </w:rPr>
        <w:footnoteRef/>
      </w:r>
      <w:r w:rsidRPr="002B742D">
        <w:t xml:space="preserve"> Sending the hearing request to the office of a school administrator, or to counsel for a party shall be deemed sufficient service.</w:t>
      </w:r>
    </w:p>
  </w:footnote>
  <w:footnote w:id="9">
    <w:p w14:paraId="5CE9CF62" w14:textId="77777777" w:rsidR="0004399B" w:rsidRPr="002B742D" w:rsidRDefault="0004399B" w:rsidP="0004399B">
      <w:pPr>
        <w:pStyle w:val="FootnoteText"/>
      </w:pPr>
      <w:r w:rsidRPr="002B742D">
        <w:rPr>
          <w:rStyle w:val="FootnoteReference"/>
        </w:rPr>
        <w:footnoteRef/>
      </w:r>
      <w:r w:rsidRPr="002B742D">
        <w:t xml:space="preserve"> Fed. R. Civ. P. 4(m).</w:t>
      </w:r>
    </w:p>
  </w:footnote>
  <w:footnote w:id="10">
    <w:p w14:paraId="10C5DD90"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McIsaac v. Ford</w:t>
      </w:r>
      <w:r w:rsidRPr="002B742D">
        <w:t>, 193 F. Supp. 2d 382, 383 (D. Mass. 2002) (quoting Wright &amp; Miller, </w:t>
      </w:r>
      <w:r w:rsidRPr="002B742D">
        <w:rPr>
          <w:i/>
          <w:iCs/>
        </w:rPr>
        <w:t>Federal Practice and Procedure: Civil 3d</w:t>
      </w:r>
      <w:r w:rsidRPr="002B742D">
        <w:t> § 1137, at 342 (2002)).</w:t>
      </w:r>
    </w:p>
  </w:footnote>
  <w:footnote w:id="11">
    <w:p w14:paraId="11D19390"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Id.</w:t>
      </w:r>
    </w:p>
  </w:footnote>
  <w:footnote w:id="12">
    <w:p w14:paraId="3016C245"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Id</w:t>
      </w:r>
      <w:r w:rsidRPr="002B742D">
        <w:t>. at 384.</w:t>
      </w:r>
    </w:p>
  </w:footnote>
  <w:footnote w:id="13">
    <w:p w14:paraId="7427AB6D"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Id</w:t>
      </w:r>
      <w:r w:rsidRPr="002B742D">
        <w:t>.</w:t>
      </w:r>
    </w:p>
  </w:footnote>
  <w:footnote w:id="14">
    <w:p w14:paraId="30E8770D" w14:textId="77777777" w:rsidR="0004399B" w:rsidRPr="002B742D" w:rsidRDefault="0004399B" w:rsidP="0004399B">
      <w:pPr>
        <w:pStyle w:val="FootnoteText"/>
        <w:rPr>
          <w:i/>
          <w:iCs/>
        </w:rPr>
      </w:pPr>
      <w:r w:rsidRPr="002B742D">
        <w:rPr>
          <w:rStyle w:val="FootnoteReference"/>
        </w:rPr>
        <w:footnoteRef/>
      </w:r>
      <w:r w:rsidRPr="002B742D">
        <w:t xml:space="preserve"> </w:t>
      </w:r>
      <w:r w:rsidRPr="002B742D">
        <w:rPr>
          <w:rStyle w:val="counderline"/>
          <w:i/>
          <w:iCs/>
          <w:color w:val="000000"/>
          <w:bdr w:val="none" w:sz="0" w:space="0" w:color="auto" w:frame="1"/>
          <w:shd w:val="clear" w:color="auto" w:fill="FFFFFF"/>
        </w:rPr>
        <w:t>Id.</w:t>
      </w:r>
    </w:p>
  </w:footnote>
  <w:footnote w:id="15">
    <w:p w14:paraId="612BEA57" w14:textId="77777777" w:rsidR="0004399B" w:rsidRPr="002B742D" w:rsidRDefault="0004399B" w:rsidP="0004399B">
      <w:pPr>
        <w:pStyle w:val="FootnoteText"/>
        <w:rPr>
          <w:i/>
          <w:iCs/>
        </w:rPr>
      </w:pPr>
      <w:r w:rsidRPr="002B742D">
        <w:rPr>
          <w:rStyle w:val="FootnoteReference"/>
        </w:rPr>
        <w:footnoteRef/>
      </w:r>
      <w:r w:rsidRPr="002B742D">
        <w:t xml:space="preserve"> </w:t>
      </w:r>
      <w:r w:rsidRPr="002B742D">
        <w:rPr>
          <w:i/>
          <w:iCs/>
        </w:rPr>
        <w:t>Awadh v. Tourneau, Inc.,</w:t>
      </w:r>
      <w:r w:rsidRPr="002B742D">
        <w:t xml:space="preserve"> No. 15-cv-13993-DJC, 2017 WL 1246326, at *3 (D. Mass. Feb. 17, 2017).</w:t>
      </w:r>
      <w:r w:rsidRPr="002B742D">
        <w:rPr>
          <w:i/>
          <w:iCs/>
        </w:rPr>
        <w:t> </w:t>
      </w:r>
    </w:p>
  </w:footnote>
  <w:footnote w:id="16">
    <w:p w14:paraId="6CC9E36B"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Bell v. Rinchem Co., Inc.,</w:t>
      </w:r>
      <w:r w:rsidRPr="002B742D">
        <w:t xml:space="preserve"> No. 14-cv-40177-TSH, 2014 WL 11290899, at *4 (D. Mass. Dec. 2, 2014) (citing </w:t>
      </w:r>
      <w:r w:rsidRPr="002B742D">
        <w:rPr>
          <w:i/>
          <w:iCs/>
        </w:rPr>
        <w:t>H &amp; A Corp. v. United States</w:t>
      </w:r>
      <w:r w:rsidRPr="002B742D">
        <w:t>, No. 14-13783-MLW, 2015 WL 5610816, at *4 (D. Mass. Sept. 22, 2015)).</w:t>
      </w:r>
    </w:p>
  </w:footnote>
  <w:footnote w:id="17">
    <w:p w14:paraId="18267B95"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Aly v. Mohegan Council-Boy Scouts of America</w:t>
      </w:r>
      <w:r w:rsidRPr="002B742D">
        <w:t>, No. 08-40099-FDS, 2009 WL 3299951, at *2 (D. Mass. Apr. 20, 2009).</w:t>
      </w:r>
    </w:p>
  </w:footnote>
  <w:footnote w:id="18">
    <w:p w14:paraId="175FB269" w14:textId="77777777" w:rsidR="0004399B" w:rsidRPr="002B742D" w:rsidRDefault="0004399B" w:rsidP="0004399B">
      <w:pPr>
        <w:pStyle w:val="FootnoteText"/>
      </w:pPr>
      <w:r w:rsidRPr="002B742D">
        <w:rPr>
          <w:rStyle w:val="FootnoteReference"/>
        </w:rPr>
        <w:footnoteRef/>
      </w:r>
      <w:r w:rsidRPr="002B742D">
        <w:t xml:space="preserve"> </w:t>
      </w:r>
      <w:r w:rsidRPr="002B742D">
        <w:rPr>
          <w:i/>
          <w:iCs/>
        </w:rPr>
        <w:t>Evariste v. United States</w:t>
      </w:r>
      <w:r w:rsidRPr="002B742D">
        <w:t>, No. 19-CV-11996-DJC, 2021 WL 828380, at *2 (D. Mass. Mar. 4, 2021) (defendant had actual notice of claims, as evidenced by the filing of the motion to dismiss); </w:t>
      </w:r>
      <w:r w:rsidRPr="002B742D">
        <w:rPr>
          <w:i/>
          <w:iCs/>
        </w:rPr>
        <w:t>Payne v. Massachusetts</w:t>
      </w:r>
      <w:r w:rsidRPr="002B742D">
        <w:t>, No. 09-cv-10355-PBS, 2010 WL 5583117, at *4 (D. Mass. Nov. 18, 2010), </w:t>
      </w:r>
      <w:r w:rsidRPr="002B742D">
        <w:rPr>
          <w:i/>
          <w:iCs/>
        </w:rPr>
        <w:t>report and recommendation adopted</w:t>
      </w:r>
      <w:r w:rsidRPr="002B742D">
        <w:t xml:space="preserve">, No. 09-cv-10355, 2010 WL 5583111 (D. Mass. Dec. 10, 2010) (concluding that “the defendant received actual notice of [Plaintiff's] claims against it and was able to file a response to those claims, in the form of its motions to dismiss”).  </w:t>
      </w:r>
    </w:p>
  </w:footnote>
  <w:footnote w:id="19">
    <w:p w14:paraId="1A6ACE5D" w14:textId="1701142E" w:rsidR="001F0571" w:rsidRPr="002B742D" w:rsidRDefault="001F0571">
      <w:pPr>
        <w:pStyle w:val="FootnoteText"/>
      </w:pPr>
      <w:r w:rsidRPr="002B742D">
        <w:rPr>
          <w:rStyle w:val="FootnoteReference"/>
        </w:rPr>
        <w:footnoteRef/>
      </w:r>
      <w:r w:rsidRPr="002B742D">
        <w:t xml:space="preserve"> </w:t>
      </w:r>
      <w:r w:rsidRPr="002B742D">
        <w:rPr>
          <w:color w:val="000000" w:themeColor="text1"/>
        </w:rPr>
        <w:t>See 34 C.F.R. §300.507(a)(1).</w:t>
      </w:r>
    </w:p>
  </w:footnote>
  <w:footnote w:id="20">
    <w:p w14:paraId="0FBC25CB" w14:textId="29D9F5E2" w:rsidR="001F0571" w:rsidRPr="002B742D" w:rsidRDefault="001F0571">
      <w:pPr>
        <w:pStyle w:val="FootnoteText"/>
      </w:pPr>
      <w:r w:rsidRPr="002B742D">
        <w:rPr>
          <w:rStyle w:val="FootnoteReference"/>
        </w:rPr>
        <w:footnoteRef/>
      </w:r>
      <w:r w:rsidRPr="002B742D">
        <w:t xml:space="preserve"> </w:t>
      </w:r>
      <w:r w:rsidRPr="002B742D">
        <w:rPr>
          <w:color w:val="000000" w:themeColor="text1"/>
        </w:rPr>
        <w:t xml:space="preserve">603 CMR 28.08(3)(a).    </w:t>
      </w:r>
    </w:p>
  </w:footnote>
  <w:footnote w:id="21">
    <w:p w14:paraId="1785B5DA" w14:textId="5AB928AD" w:rsidR="001F0571" w:rsidRPr="002B742D" w:rsidRDefault="001F0571">
      <w:pPr>
        <w:pStyle w:val="FootnoteText"/>
        <w:rPr>
          <w:i/>
          <w:iCs/>
          <w:color w:val="000000" w:themeColor="text1"/>
        </w:rPr>
      </w:pPr>
      <w:r w:rsidRPr="002B742D">
        <w:rPr>
          <w:rStyle w:val="FootnoteReference"/>
        </w:rPr>
        <w:footnoteRef/>
      </w:r>
      <w:r w:rsidRPr="002B742D">
        <w:t xml:space="preserve"> </w:t>
      </w:r>
      <w:r w:rsidRPr="002B742D">
        <w:rPr>
          <w:i/>
          <w:iCs/>
          <w:color w:val="000000" w:themeColor="text1"/>
        </w:rPr>
        <w:t>In Re: Georgetown Public School</w:t>
      </w:r>
      <w:r w:rsidRPr="002B742D">
        <w:rPr>
          <w:color w:val="000000" w:themeColor="text1"/>
        </w:rPr>
        <w:t xml:space="preserve">, BSEA No. 1405352, 20 MSER 200 (Berman, 2014); </w:t>
      </w:r>
      <w:r w:rsidRPr="002B742D">
        <w:rPr>
          <w:i/>
          <w:iCs/>
          <w:color w:val="000000" w:themeColor="text1"/>
        </w:rPr>
        <w:t xml:space="preserve">see also </w:t>
      </w:r>
      <w:r w:rsidR="0093199B" w:rsidRPr="002B742D">
        <w:rPr>
          <w:i/>
          <w:iCs/>
          <w:color w:val="000000" w:themeColor="text1"/>
        </w:rPr>
        <w:t>Nieves-Marquez v. Puerto Rico</w:t>
      </w:r>
      <w:r w:rsidR="0093199B" w:rsidRPr="002B742D">
        <w:rPr>
          <w:color w:val="000000" w:themeColor="text1"/>
        </w:rPr>
        <w:t>, 353 F.3d 108, 126 (1st Cir. 2003)</w:t>
      </w:r>
      <w:r w:rsidR="0093199B" w:rsidRPr="002B742D">
        <w:rPr>
          <w:i/>
          <w:iCs/>
          <w:color w:val="000000" w:themeColor="text1"/>
        </w:rPr>
        <w:t xml:space="preserve"> </w:t>
      </w:r>
      <w:r w:rsidRPr="002B742D">
        <w:rPr>
          <w:color w:val="000000" w:themeColor="text1"/>
        </w:rPr>
        <w:t xml:space="preserve">(the "IDEA's primary purpose is to ensure FAPE, not to serve as a tort-like mechanism for compensating personal injury").   </w:t>
      </w:r>
    </w:p>
  </w:footnote>
  <w:footnote w:id="22">
    <w:p w14:paraId="4FC97FF7" w14:textId="12510E39" w:rsidR="001F0571" w:rsidRPr="002B742D" w:rsidRDefault="001F0571">
      <w:pPr>
        <w:pStyle w:val="FootnoteText"/>
        <w:rPr>
          <w:color w:val="000000" w:themeColor="text1"/>
        </w:rPr>
      </w:pPr>
      <w:r w:rsidRPr="002B742D">
        <w:rPr>
          <w:rStyle w:val="FootnoteReference"/>
        </w:rPr>
        <w:footnoteRef/>
      </w:r>
      <w:r w:rsidRPr="002B742D">
        <w:t xml:space="preserve"> </w:t>
      </w:r>
      <w:r w:rsidR="00ED04AD" w:rsidRPr="002B742D">
        <w:t xml:space="preserve">See </w:t>
      </w:r>
      <w:r w:rsidR="00ED04AD" w:rsidRPr="002B742D">
        <w:rPr>
          <w:i/>
          <w:iCs/>
          <w:color w:val="000000" w:themeColor="text1"/>
        </w:rPr>
        <w:t>Diaz-Fonseca v. Commonwealth of Puerto Rico</w:t>
      </w:r>
      <w:r w:rsidR="00ED04AD" w:rsidRPr="002B742D">
        <w:rPr>
          <w:color w:val="000000" w:themeColor="text1"/>
        </w:rPr>
        <w:t>, 451 F.3d 13, 19 (1st Cir. 2006)</w:t>
      </w:r>
      <w:r w:rsidR="0093199B" w:rsidRPr="002B742D">
        <w:rPr>
          <w:color w:val="000000" w:themeColor="text1"/>
        </w:rPr>
        <w:t xml:space="preserve"> </w:t>
      </w:r>
      <w:r w:rsidRPr="002B742D">
        <w:rPr>
          <w:color w:val="000000" w:themeColor="text1"/>
        </w:rPr>
        <w:t>(holding that where the essence of a claim is a denial of FAPE, no greater remedies than those authorized by the IDEA may be awarded, regardless of how the claims are characterized (ADA, Rehabilitation Act, Section 1983, etc.).</w:t>
      </w:r>
    </w:p>
  </w:footnote>
  <w:footnote w:id="23">
    <w:p w14:paraId="4BFB2918" w14:textId="2AD79D12" w:rsidR="001F0571" w:rsidRPr="002B742D" w:rsidRDefault="001F0571">
      <w:pPr>
        <w:pStyle w:val="FootnoteText"/>
      </w:pPr>
      <w:r w:rsidRPr="002B742D">
        <w:rPr>
          <w:rStyle w:val="FootnoteReference"/>
        </w:rPr>
        <w:footnoteRef/>
      </w:r>
      <w:r w:rsidRPr="002B742D">
        <w:t xml:space="preserve"> </w:t>
      </w:r>
      <w:r w:rsidRPr="002B742D">
        <w:rPr>
          <w:color w:val="000000" w:themeColor="text1"/>
        </w:rPr>
        <w:t xml:space="preserve">See </w:t>
      </w:r>
      <w:r w:rsidRPr="002B742D">
        <w:rPr>
          <w:i/>
          <w:iCs/>
          <w:color w:val="000000" w:themeColor="text1"/>
        </w:rPr>
        <w:t>id.</w:t>
      </w:r>
    </w:p>
  </w:footnote>
  <w:footnote w:id="24">
    <w:p w14:paraId="6B29C82B" w14:textId="0ADEEE93" w:rsidR="001F0571" w:rsidRPr="002B742D" w:rsidRDefault="001F0571">
      <w:pPr>
        <w:pStyle w:val="FootnoteText"/>
      </w:pPr>
      <w:r w:rsidRPr="002B742D">
        <w:rPr>
          <w:rStyle w:val="FootnoteReference"/>
        </w:rPr>
        <w:footnoteRef/>
      </w:r>
      <w:r w:rsidRPr="002B742D">
        <w:t xml:space="preserve"> </w:t>
      </w:r>
      <w:r w:rsidRPr="002B742D">
        <w:rPr>
          <w:i/>
          <w:iCs/>
          <w:color w:val="000000" w:themeColor="text1"/>
        </w:rPr>
        <w:t>See Nieves-Marquez</w:t>
      </w:r>
      <w:r w:rsidRPr="002B742D">
        <w:rPr>
          <w:color w:val="000000" w:themeColor="text1"/>
        </w:rPr>
        <w:t xml:space="preserve">, 353 F.3d </w:t>
      </w:r>
      <w:r w:rsidR="0093199B" w:rsidRPr="002B742D">
        <w:rPr>
          <w:color w:val="000000" w:themeColor="text1"/>
        </w:rPr>
        <w:t>at 126</w:t>
      </w:r>
      <w:r w:rsidR="009E48F3" w:rsidRPr="002B742D">
        <w:rPr>
          <w:color w:val="000000" w:themeColor="text1"/>
        </w:rPr>
        <w:t>.</w:t>
      </w:r>
    </w:p>
  </w:footnote>
  <w:footnote w:id="25">
    <w:p w14:paraId="1070730D" w14:textId="48F0D30F" w:rsidR="00EE38AC" w:rsidRPr="002B742D" w:rsidRDefault="00EE38AC">
      <w:pPr>
        <w:pStyle w:val="FootnoteText"/>
      </w:pPr>
      <w:r w:rsidRPr="002B742D">
        <w:rPr>
          <w:rStyle w:val="FootnoteReference"/>
        </w:rPr>
        <w:footnoteRef/>
      </w:r>
      <w:r w:rsidRPr="002B742D">
        <w:t xml:space="preserve"> State Education Agency shall be referred to as SEA.  In Massachusetts, DESE is the SEA.</w:t>
      </w:r>
    </w:p>
  </w:footnote>
  <w:footnote w:id="26">
    <w:p w14:paraId="0DA66888" w14:textId="77777777" w:rsidR="00706095" w:rsidRPr="002B742D" w:rsidRDefault="00706095" w:rsidP="00706095">
      <w:pPr>
        <w:pStyle w:val="FootnoteText"/>
      </w:pPr>
      <w:r w:rsidRPr="002B742D">
        <w:rPr>
          <w:rStyle w:val="FootnoteReference"/>
        </w:rPr>
        <w:footnoteRef/>
      </w:r>
      <w:r w:rsidRPr="002B742D">
        <w:t xml:space="preserve"> </w:t>
      </w:r>
      <w:r w:rsidRPr="002B742D">
        <w:rPr>
          <w:i/>
          <w:iCs/>
          <w:color w:val="000000"/>
          <w:bdr w:val="none" w:sz="0" w:space="0" w:color="auto" w:frame="1"/>
        </w:rPr>
        <w:t>Beard v. Teska</w:t>
      </w:r>
      <w:r w:rsidRPr="002B742D">
        <w:rPr>
          <w:color w:val="000000"/>
        </w:rPr>
        <w:t>, 31 F.3d 942, 954 (10th Cir. 1994), </w:t>
      </w:r>
      <w:r w:rsidRPr="002B742D">
        <w:rPr>
          <w:i/>
          <w:iCs/>
          <w:color w:val="000000"/>
          <w:bdr w:val="none" w:sz="0" w:space="0" w:color="auto" w:frame="1"/>
        </w:rPr>
        <w:t>abrogated by</w:t>
      </w:r>
      <w:r w:rsidRPr="002B742D">
        <w:rPr>
          <w:i/>
          <w:iCs/>
          <w:color w:val="000000"/>
        </w:rPr>
        <w:t> </w:t>
      </w:r>
      <w:r w:rsidRPr="002B742D">
        <w:rPr>
          <w:i/>
          <w:iCs/>
          <w:color w:val="000000"/>
          <w:bdr w:val="none" w:sz="0" w:space="0" w:color="auto" w:frame="1"/>
        </w:rPr>
        <w:t>Buckhannon Bd. &amp; Care Home, Inc. v. W. Virginia Dep't of Health &amp; Hum. Res.</w:t>
      </w:r>
      <w:r w:rsidRPr="002B742D">
        <w:rPr>
          <w:color w:val="000000"/>
        </w:rPr>
        <w:t>, 532 U.S. 598, 121 S. Ct. 1835, 149 L. Ed. 2d 855 (2001)</w:t>
      </w:r>
      <w:r w:rsidRPr="002B742D">
        <w:rPr>
          <w:i/>
          <w:iCs/>
        </w:rPr>
        <w:t xml:space="preserve"> (</w:t>
      </w:r>
      <w:r w:rsidRPr="002B742D">
        <w:t>citing</w:t>
      </w:r>
      <w:r w:rsidRPr="002B742D">
        <w:rPr>
          <w:i/>
          <w:iCs/>
        </w:rPr>
        <w:t xml:space="preserve"> Hoeft v. Tucson Unified Sch. Dist., </w:t>
      </w:r>
      <w:r w:rsidRPr="002B742D">
        <w:t>967 F.2d 1298, 1303 (9th Cir.1992) and</w:t>
      </w:r>
      <w:r w:rsidRPr="002B742D">
        <w:rPr>
          <w:i/>
          <w:iCs/>
        </w:rPr>
        <w:t> Town of Burlington v. Department of Educ</w:t>
      </w:r>
      <w:r w:rsidRPr="002B742D">
        <w:t>., 736 F.2d 773, 787 (1st Cir.1984),</w:t>
      </w:r>
      <w:r w:rsidRPr="002B742D">
        <w:rPr>
          <w:i/>
          <w:iCs/>
        </w:rPr>
        <w:t> aff'd, </w:t>
      </w:r>
      <w:r w:rsidRPr="002B742D">
        <w:t>471 U.S. 359, 105 S.Ct. 1996, 85 L.Ed.2d 385 (1985)).</w:t>
      </w:r>
    </w:p>
  </w:footnote>
  <w:footnote w:id="27">
    <w:p w14:paraId="30410F69" w14:textId="375FD794" w:rsidR="00E96B70" w:rsidRPr="002B742D" w:rsidRDefault="00E96B70">
      <w:pPr>
        <w:pStyle w:val="FootnoteText"/>
      </w:pPr>
      <w:r w:rsidRPr="002B742D">
        <w:rPr>
          <w:rStyle w:val="FootnoteReference"/>
        </w:rPr>
        <w:footnoteRef/>
      </w:r>
      <w:r w:rsidRPr="002B742D">
        <w:t xml:space="preserve"> See  </w:t>
      </w:r>
      <w:r w:rsidRPr="002B742D">
        <w:rPr>
          <w:i/>
          <w:iCs/>
        </w:rPr>
        <w:t>In Re: Massachusetts Department of. Education</w:t>
      </w:r>
      <w:r w:rsidRPr="002B742D">
        <w:t>, BSEA #03-1785, 9 MSER 1 (Crane, 2003).</w:t>
      </w:r>
    </w:p>
  </w:footnote>
  <w:footnote w:id="28">
    <w:p w14:paraId="4404D457" w14:textId="77777777" w:rsidR="00706095" w:rsidRPr="002B742D" w:rsidRDefault="00706095" w:rsidP="00706095">
      <w:pPr>
        <w:pStyle w:val="FootnoteText"/>
      </w:pPr>
      <w:r w:rsidRPr="002B742D">
        <w:rPr>
          <w:rStyle w:val="FootnoteReference"/>
        </w:rPr>
        <w:footnoteRef/>
      </w:r>
      <w:r w:rsidRPr="002B742D">
        <w:t xml:space="preserve"> </w:t>
      </w:r>
      <w:r w:rsidRPr="002B742D">
        <w:rPr>
          <w:i/>
          <w:iCs/>
          <w:color w:val="000000"/>
          <w:bdr w:val="none" w:sz="0" w:space="0" w:color="auto" w:frame="1"/>
        </w:rPr>
        <w:t>Id.</w:t>
      </w:r>
    </w:p>
  </w:footnote>
  <w:footnote w:id="29">
    <w:p w14:paraId="6232B65E" w14:textId="67739668" w:rsidR="00385BC1" w:rsidRPr="002B742D" w:rsidRDefault="00385BC1">
      <w:pPr>
        <w:pStyle w:val="FootnoteText"/>
      </w:pPr>
      <w:r w:rsidRPr="002B742D">
        <w:rPr>
          <w:rStyle w:val="FootnoteReference"/>
        </w:rPr>
        <w:footnoteRef/>
      </w:r>
      <w:r w:rsidRPr="002B742D">
        <w:t xml:space="preserve"> </w:t>
      </w:r>
      <w:r w:rsidRPr="002B742D">
        <w:rPr>
          <w:i/>
          <w:iCs/>
        </w:rPr>
        <w:t>Carnwath v. Grasmick</w:t>
      </w:r>
      <w:r w:rsidRPr="002B742D">
        <w:t>, 115 F. Supp. 2d 577, 582 (D. Md. 2000).</w:t>
      </w:r>
    </w:p>
  </w:footnote>
  <w:footnote w:id="30">
    <w:p w14:paraId="2CABCFCB" w14:textId="6372EAE1" w:rsidR="00A40E19" w:rsidRPr="002B742D" w:rsidRDefault="00A40E19">
      <w:pPr>
        <w:pStyle w:val="FootnoteText"/>
      </w:pPr>
      <w:r w:rsidRPr="002B742D">
        <w:rPr>
          <w:rStyle w:val="FootnoteReference"/>
        </w:rPr>
        <w:footnoteRef/>
      </w:r>
      <w:r w:rsidRPr="002B742D">
        <w:t xml:space="preserve"> See </w:t>
      </w:r>
      <w:r w:rsidRPr="002B742D">
        <w:rPr>
          <w:color w:val="000000"/>
          <w:shd w:val="clear" w:color="auto" w:fill="FFFFFF"/>
        </w:rPr>
        <w:t>20 U.S.C. § 1414(d)(1).</w:t>
      </w:r>
    </w:p>
  </w:footnote>
  <w:footnote w:id="31">
    <w:p w14:paraId="51FF5E97" w14:textId="77777777" w:rsidR="008D5F3A" w:rsidRPr="002B742D" w:rsidRDefault="008D5F3A" w:rsidP="008D5F3A">
      <w:pPr>
        <w:pStyle w:val="FootnoteText"/>
      </w:pPr>
      <w:r w:rsidRPr="002B742D">
        <w:rPr>
          <w:rStyle w:val="FootnoteReference"/>
        </w:rPr>
        <w:footnoteRef/>
      </w:r>
      <w:r w:rsidRPr="002B742D">
        <w:t xml:space="preserve"> 603 CMR 28.08(1); see also </w:t>
      </w:r>
      <w:r w:rsidRPr="002B742D">
        <w:rPr>
          <w:i/>
          <w:iCs/>
        </w:rPr>
        <w:t>In Re: Massachusetts Department of. Education</w:t>
      </w:r>
      <w:r w:rsidRPr="002B742D">
        <w:t>, BSEA #03-1785, 9 MSER 1 (Crane, 2003) (DOE is not held responsible for conducting appropriate evaluations, developing an IEP, or providing FAPE).</w:t>
      </w:r>
    </w:p>
  </w:footnote>
  <w:footnote w:id="32">
    <w:p w14:paraId="40131E87" w14:textId="79DAD2B8" w:rsidR="009E4206" w:rsidRPr="002B742D" w:rsidRDefault="009E4206">
      <w:pPr>
        <w:pStyle w:val="FootnoteText"/>
      </w:pPr>
      <w:r w:rsidRPr="002B742D">
        <w:rPr>
          <w:rStyle w:val="FootnoteReference"/>
        </w:rPr>
        <w:footnoteRef/>
      </w:r>
      <w:r w:rsidRPr="002B742D">
        <w:t xml:space="preserve"> </w:t>
      </w:r>
      <w:r w:rsidRPr="002B742D">
        <w:rPr>
          <w:i/>
          <w:iCs/>
        </w:rPr>
        <w:t>Carnwath v. Grasmick,</w:t>
      </w:r>
      <w:r w:rsidRPr="002B742D">
        <w:t xml:space="preserve"> 115 F. Supp. 2d 577, 585 (D. Md. 2000) (where Plaintiffs did not name State Defendants until they initially filed suit in court, the court found that State Defendants were not involved, and therefore, bore no responsibility for denying the student FAPE).</w:t>
      </w:r>
    </w:p>
  </w:footnote>
  <w:footnote w:id="33">
    <w:p w14:paraId="51F63A86" w14:textId="69FED34C" w:rsidR="001F0571" w:rsidRPr="002B742D" w:rsidRDefault="001F0571">
      <w:pPr>
        <w:pStyle w:val="FootnoteText"/>
      </w:pPr>
      <w:r w:rsidRPr="002B742D">
        <w:rPr>
          <w:rStyle w:val="FootnoteReference"/>
        </w:rPr>
        <w:footnoteRef/>
      </w:r>
      <w:r w:rsidRPr="002B742D">
        <w:t xml:space="preserve"> </w:t>
      </w:r>
      <w:r w:rsidRPr="002B742D">
        <w:rPr>
          <w:color w:val="000000" w:themeColor="text1"/>
        </w:rPr>
        <w:t xml:space="preserve">See </w:t>
      </w:r>
      <w:proofErr w:type="spellStart"/>
      <w:r w:rsidRPr="002B742D">
        <w:rPr>
          <w:i/>
          <w:iCs/>
          <w:color w:val="000000" w:themeColor="text1"/>
        </w:rPr>
        <w:t>Iannocchino</w:t>
      </w:r>
      <w:proofErr w:type="spellEnd"/>
      <w:r w:rsidRPr="002B742D">
        <w:rPr>
          <w:color w:val="000000" w:themeColor="text1"/>
        </w:rPr>
        <w:t xml:space="preserve">, 451 Mass. </w:t>
      </w:r>
      <w:r w:rsidR="00105A43" w:rsidRPr="002B742D">
        <w:rPr>
          <w:color w:val="000000" w:themeColor="text1"/>
        </w:rPr>
        <w:t>at</w:t>
      </w:r>
      <w:r w:rsidRPr="002B742D">
        <w:rPr>
          <w:color w:val="000000" w:themeColor="text1"/>
        </w:rPr>
        <w:t xml:space="preserve"> 636.</w:t>
      </w:r>
    </w:p>
  </w:footnote>
  <w:footnote w:id="34">
    <w:p w14:paraId="1817643F" w14:textId="33BD848D" w:rsidR="00B17223" w:rsidRPr="002B742D" w:rsidRDefault="00B17223">
      <w:pPr>
        <w:pStyle w:val="FootnoteText"/>
      </w:pPr>
      <w:r w:rsidRPr="002B742D">
        <w:rPr>
          <w:rStyle w:val="FootnoteReference"/>
        </w:rPr>
        <w:footnoteRef/>
      </w:r>
      <w:r w:rsidRPr="002B742D">
        <w:t xml:space="preserve"> </w:t>
      </w:r>
      <w:r w:rsidRPr="002B742D">
        <w:rPr>
          <w:i/>
          <w:iCs/>
        </w:rPr>
        <w:t xml:space="preserve">McIsaac, </w:t>
      </w:r>
      <w:r w:rsidRPr="002B742D">
        <w:t>193 F. Supp. 2d  at 384.</w:t>
      </w:r>
      <w:r w:rsidR="0043386D" w:rsidRPr="002B742D">
        <w:t xml:space="preserve"> </w:t>
      </w:r>
    </w:p>
  </w:footnote>
  <w:footnote w:id="35">
    <w:p w14:paraId="391B0EE7" w14:textId="5E94B18F" w:rsidR="00237A03" w:rsidRPr="002B742D" w:rsidRDefault="00237A03">
      <w:pPr>
        <w:pStyle w:val="FootnoteText"/>
      </w:pPr>
      <w:r w:rsidRPr="002B742D">
        <w:rPr>
          <w:rStyle w:val="FootnoteReference"/>
        </w:rPr>
        <w:footnoteRef/>
      </w:r>
      <w:r w:rsidRPr="002B742D">
        <w:t xml:space="preserve"> See </w:t>
      </w:r>
      <w:r w:rsidRPr="002B742D">
        <w:rPr>
          <w:i/>
          <w:iCs/>
        </w:rPr>
        <w:t>Evariste v. United States</w:t>
      </w:r>
      <w:r w:rsidRPr="002B742D">
        <w:t>, No. 19-CV-11996-DJC, 2021 WL 828380, at *2 (D. Mass. Mar. 4, 2021) (defendant had actual notice of claims, as evidenced by the filing of the motion to dismiss)</w:t>
      </w:r>
    </w:p>
  </w:footnote>
  <w:footnote w:id="36">
    <w:p w14:paraId="19DAF2A7" w14:textId="77777777" w:rsidR="001B3BBB" w:rsidRPr="002B742D" w:rsidRDefault="001B3BBB" w:rsidP="001B3BBB">
      <w:pPr>
        <w:pStyle w:val="FootnoteText"/>
      </w:pPr>
      <w:r w:rsidRPr="002B742D">
        <w:rPr>
          <w:rStyle w:val="FootnoteReference"/>
        </w:rPr>
        <w:footnoteRef/>
      </w:r>
      <w:r w:rsidRPr="002B742D">
        <w:t xml:space="preserve"> </w:t>
      </w:r>
      <w:r w:rsidRPr="002B742D">
        <w:rPr>
          <w:color w:val="000000" w:themeColor="text1"/>
        </w:rPr>
        <w:t xml:space="preserve">See </w:t>
      </w:r>
      <w:r w:rsidRPr="002B742D">
        <w:rPr>
          <w:i/>
          <w:iCs/>
          <w:color w:val="000000" w:themeColor="text1"/>
        </w:rPr>
        <w:t>id.</w:t>
      </w:r>
    </w:p>
  </w:footnote>
  <w:footnote w:id="37">
    <w:p w14:paraId="7F9BBA52" w14:textId="77777777" w:rsidR="001B3BBB" w:rsidRPr="002B742D" w:rsidRDefault="001B3BBB" w:rsidP="001B3BBB">
      <w:pPr>
        <w:pStyle w:val="FootnoteText"/>
      </w:pPr>
      <w:r w:rsidRPr="002B742D">
        <w:rPr>
          <w:rStyle w:val="FootnoteReference"/>
        </w:rPr>
        <w:footnoteRef/>
      </w:r>
      <w:r w:rsidRPr="002B742D">
        <w:t xml:space="preserve"> </w:t>
      </w:r>
      <w:r w:rsidRPr="002B742D">
        <w:rPr>
          <w:i/>
          <w:iCs/>
          <w:color w:val="000000" w:themeColor="text1"/>
        </w:rPr>
        <w:t>See Nieves-Marquez</w:t>
      </w:r>
      <w:r w:rsidRPr="002B742D">
        <w:rPr>
          <w:color w:val="000000" w:themeColor="text1"/>
        </w:rPr>
        <w:t>, 353 F.3d at 126.</w:t>
      </w:r>
    </w:p>
  </w:footnote>
  <w:footnote w:id="38">
    <w:p w14:paraId="7AF379E6" w14:textId="21285EF8" w:rsidR="00463CE4" w:rsidRPr="002B742D" w:rsidRDefault="00463CE4" w:rsidP="002B742D">
      <w:pPr>
        <w:rPr>
          <w:sz w:val="20"/>
          <w:szCs w:val="20"/>
        </w:rPr>
      </w:pPr>
      <w:r w:rsidRPr="002B742D">
        <w:rPr>
          <w:rStyle w:val="FootnoteReference"/>
          <w:sz w:val="20"/>
          <w:szCs w:val="20"/>
        </w:rPr>
        <w:footnoteRef/>
      </w:r>
      <w:r w:rsidRPr="002B742D">
        <w:rPr>
          <w:sz w:val="20"/>
          <w:szCs w:val="20"/>
        </w:rPr>
        <w:t xml:space="preserve"> </w:t>
      </w:r>
      <w:r w:rsidR="002B742D" w:rsidRPr="002B742D">
        <w:rPr>
          <w:sz w:val="20"/>
          <w:szCs w:val="20"/>
        </w:rPr>
        <w:t xml:space="preserve">See also </w:t>
      </w:r>
      <w:r w:rsidR="002B742D" w:rsidRPr="002B742D">
        <w:rPr>
          <w:i/>
          <w:iCs/>
          <w:sz w:val="20"/>
          <w:szCs w:val="20"/>
        </w:rPr>
        <w:t xml:space="preserve">In Re: Department of Elementary and Secondary Education and </w:t>
      </w:r>
      <w:proofErr w:type="spellStart"/>
      <w:r w:rsidR="002B742D" w:rsidRPr="002B742D">
        <w:rPr>
          <w:i/>
          <w:iCs/>
          <w:sz w:val="20"/>
          <w:szCs w:val="20"/>
        </w:rPr>
        <w:t>XiLi</w:t>
      </w:r>
      <w:proofErr w:type="spellEnd"/>
      <w:r w:rsidR="002B742D" w:rsidRPr="002B742D">
        <w:rPr>
          <w:sz w:val="20"/>
          <w:szCs w:val="20"/>
        </w:rPr>
        <w:t xml:space="preserve">, </w:t>
      </w:r>
      <w:r w:rsidR="002B742D" w:rsidRPr="002B742D">
        <w:rPr>
          <w:color w:val="000000"/>
          <w:sz w:val="20"/>
          <w:szCs w:val="20"/>
          <w:shd w:val="clear" w:color="auto" w:fill="FFFFFF"/>
        </w:rPr>
        <w:t>BSEA #1802999</w:t>
      </w:r>
      <w:r w:rsidR="002B742D" w:rsidRPr="002B742D">
        <w:rPr>
          <w:sz w:val="20"/>
          <w:szCs w:val="20"/>
        </w:rPr>
        <w:t xml:space="preserve">, </w:t>
      </w:r>
      <w:r w:rsidR="002B742D" w:rsidRPr="002B742D">
        <w:rPr>
          <w:color w:val="000000"/>
          <w:sz w:val="20"/>
          <w:szCs w:val="20"/>
          <w:shd w:val="clear" w:color="auto" w:fill="FFFFFF"/>
        </w:rPr>
        <w:t xml:space="preserve">24 MSER 14 (Byrne, 2018) (dismissing </w:t>
      </w:r>
      <w:r w:rsidR="002B742D" w:rsidRPr="002B742D">
        <w:rPr>
          <w:sz w:val="20"/>
          <w:szCs w:val="20"/>
        </w:rPr>
        <w:t>Parent claims that, as a result of its actions, inactions and "complicity", DESE was responsible for intentionally inflicting emotional harm for which Parent sought monetary damages since such claims did not fall within the BSEA's limited jurisdiction as they did not articulate a cognizable claim of denial of a free appropriate public education and sough</w:t>
      </w:r>
      <w:r w:rsidR="000734BE">
        <w:rPr>
          <w:sz w:val="20"/>
          <w:szCs w:val="20"/>
        </w:rPr>
        <w:t>t</w:t>
      </w:r>
      <w:r w:rsidR="002B742D" w:rsidRPr="002B742D">
        <w:rPr>
          <w:sz w:val="20"/>
          <w:szCs w:val="20"/>
        </w:rPr>
        <w:t xml:space="preserve"> relief that the BSEA was not statutorily authorized to award).</w:t>
      </w:r>
      <w:r w:rsidR="002E59E4">
        <w:rPr>
          <w:color w:val="000000" w:themeColor="text1"/>
          <w:sz w:val="20"/>
          <w:szCs w:val="20"/>
        </w:rPr>
        <w:t xml:space="preserve">  I</w:t>
      </w:r>
      <w:r w:rsidRPr="002B742D">
        <w:rPr>
          <w:color w:val="000000" w:themeColor="text1"/>
          <w:sz w:val="20"/>
          <w:szCs w:val="20"/>
        </w:rPr>
        <w:t xml:space="preserve"> note that Parent’s claims for monetary damages have already dismissed in </w:t>
      </w:r>
      <w:r w:rsidRPr="002B742D">
        <w:rPr>
          <w:color w:val="000000"/>
          <w:sz w:val="20"/>
          <w:szCs w:val="20"/>
        </w:rPr>
        <w:t xml:space="preserve">the April 1, 2021 </w:t>
      </w:r>
      <w:r w:rsidRPr="002E59E4">
        <w:rPr>
          <w:i/>
          <w:iCs/>
          <w:color w:val="000000"/>
          <w:sz w:val="20"/>
          <w:szCs w:val="20"/>
        </w:rPr>
        <w:t>Ruling On Lawrence Public Schools’ Partial Motion to Dismiss For Lack of Jurisdiction and/or Failure to State a Claim</w:t>
      </w:r>
      <w:r w:rsidRPr="002B742D">
        <w:rPr>
          <w:color w:val="000000"/>
          <w:sz w:val="20"/>
          <w:szCs w:val="20"/>
        </w:rPr>
        <w:t>.</w:t>
      </w:r>
    </w:p>
  </w:footnote>
  <w:footnote w:id="39">
    <w:p w14:paraId="16A53EF2" w14:textId="21991D6A" w:rsidR="00283EFD" w:rsidRPr="002B742D" w:rsidRDefault="00283EFD">
      <w:pPr>
        <w:pStyle w:val="FootnoteText"/>
      </w:pPr>
      <w:r w:rsidRPr="002B742D">
        <w:rPr>
          <w:rStyle w:val="FootnoteReference"/>
        </w:rPr>
        <w:footnoteRef/>
      </w:r>
      <w:r w:rsidRPr="002B742D">
        <w:t xml:space="preserve"> </w:t>
      </w:r>
      <w:r w:rsidR="0006151A" w:rsidRPr="002B742D">
        <w:rPr>
          <w:i/>
          <w:iCs/>
        </w:rPr>
        <w:t>Letter to Anonymous</w:t>
      </w:r>
      <w:r w:rsidR="0006151A" w:rsidRPr="002B742D">
        <w:t>, 69 ISELR 189 (January 2, 2017).</w:t>
      </w:r>
    </w:p>
  </w:footnote>
  <w:footnote w:id="40">
    <w:p w14:paraId="7F350C16" w14:textId="1DB93210" w:rsidR="00DE1F06" w:rsidRPr="002B742D" w:rsidRDefault="00DE1F06" w:rsidP="00DE1F06">
      <w:pPr>
        <w:pStyle w:val="FootnoteText"/>
      </w:pPr>
      <w:r w:rsidRPr="002B742D">
        <w:rPr>
          <w:rStyle w:val="FootnoteReference"/>
        </w:rPr>
        <w:footnoteRef/>
      </w:r>
      <w:r w:rsidRPr="002B742D">
        <w:t xml:space="preserve"> </w:t>
      </w:r>
      <w:r w:rsidRPr="002B742D">
        <w:rPr>
          <w:i/>
          <w:iCs/>
        </w:rPr>
        <w:t>Carnwath</w:t>
      </w:r>
      <w:r w:rsidRPr="002B742D">
        <w:t xml:space="preserve">, 115 F. Supp. 2d </w:t>
      </w:r>
      <w:r w:rsidR="002E59E4">
        <w:t>at</w:t>
      </w:r>
      <w:r w:rsidRPr="002B742D">
        <w:t xml:space="preserve"> 582.</w:t>
      </w:r>
    </w:p>
  </w:footnote>
  <w:footnote w:id="41">
    <w:p w14:paraId="572F75EA" w14:textId="09A1DC16" w:rsidR="00DE1F06" w:rsidRPr="002B742D" w:rsidRDefault="00DE1F06" w:rsidP="00DE1F06">
      <w:pPr>
        <w:pStyle w:val="FootnoteText"/>
      </w:pPr>
      <w:r w:rsidRPr="002B742D">
        <w:rPr>
          <w:rStyle w:val="FootnoteReference"/>
        </w:rPr>
        <w:footnoteRef/>
      </w:r>
      <w:r w:rsidRPr="002B742D">
        <w:t xml:space="preserve"> </w:t>
      </w:r>
      <w:r w:rsidR="002E59E4">
        <w:rPr>
          <w:i/>
          <w:iCs/>
        </w:rPr>
        <w:t>Id.</w:t>
      </w:r>
      <w:r w:rsidRPr="002B742D">
        <w:t xml:space="preserve"> </w:t>
      </w:r>
      <w:r w:rsidR="002E59E4">
        <w:t>at</w:t>
      </w:r>
      <w:r w:rsidRPr="002B742D">
        <w:t xml:space="preserve"> 585 (where Plaintiffs did not name State Defendants until they initially filed suit in court, the court found that State Defendants were not involved, and therefore, bore no responsibility for denying the student FAPE).</w:t>
      </w:r>
    </w:p>
  </w:footnote>
  <w:footnote w:id="42">
    <w:p w14:paraId="155833AE" w14:textId="77777777" w:rsidR="00FF73B0" w:rsidRPr="002B742D" w:rsidRDefault="00FF73B0" w:rsidP="00FF73B0">
      <w:pPr>
        <w:pStyle w:val="FootnoteText"/>
      </w:pPr>
      <w:r w:rsidRPr="002B742D">
        <w:rPr>
          <w:rStyle w:val="FootnoteReference"/>
        </w:rPr>
        <w:footnoteRef/>
      </w:r>
      <w:r w:rsidRPr="002B742D">
        <w:t xml:space="preserve"> </w:t>
      </w:r>
      <w:r w:rsidRPr="002B742D">
        <w:rPr>
          <w:i/>
          <w:iCs/>
          <w:color w:val="000000" w:themeColor="text1"/>
        </w:rPr>
        <w:t>Golchin v. Liberty Mut. Ins. Co.</w:t>
      </w:r>
      <w:r w:rsidRPr="002B742D">
        <w:rPr>
          <w:color w:val="000000" w:themeColor="text1"/>
        </w:rPr>
        <w:t xml:space="preserve">, 460 Mass. 222, 223 (2011) (internal quotation marks and citations omitted).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6F1"/>
    <w:multiLevelType w:val="hybridMultilevel"/>
    <w:tmpl w:val="B5E6BE42"/>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3AB"/>
    <w:multiLevelType w:val="multilevel"/>
    <w:tmpl w:val="1960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96A5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1DBA1922"/>
    <w:multiLevelType w:val="hybridMultilevel"/>
    <w:tmpl w:val="D3D2A5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B591301"/>
    <w:multiLevelType w:val="hybridMultilevel"/>
    <w:tmpl w:val="B96CE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65762"/>
    <w:multiLevelType w:val="hybridMultilevel"/>
    <w:tmpl w:val="43743C4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 w15:restartNumberingAfterBreak="0">
    <w:nsid w:val="3E2B4747"/>
    <w:multiLevelType w:val="hybridMultilevel"/>
    <w:tmpl w:val="EB081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143F"/>
    <w:multiLevelType w:val="hybridMultilevel"/>
    <w:tmpl w:val="DA581FBE"/>
    <w:lvl w:ilvl="0" w:tplc="F97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A4964"/>
    <w:multiLevelType w:val="hybridMultilevel"/>
    <w:tmpl w:val="91A043C0"/>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A07BE"/>
    <w:multiLevelType w:val="hybridMultilevel"/>
    <w:tmpl w:val="5AFC09D4"/>
    <w:lvl w:ilvl="0" w:tplc="DAA47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8430B9"/>
    <w:multiLevelType w:val="hybridMultilevel"/>
    <w:tmpl w:val="209205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5C04FD2"/>
    <w:multiLevelType w:val="hybridMultilevel"/>
    <w:tmpl w:val="CAFA66DE"/>
    <w:lvl w:ilvl="0" w:tplc="FE2216D4">
      <w:start w:val="1"/>
      <w:numFmt w:val="bullet"/>
      <w:lvlText w:val=""/>
      <w:lvlJc w:val="left"/>
      <w:pPr>
        <w:tabs>
          <w:tab w:val="num" w:pos="720"/>
        </w:tabs>
        <w:ind w:left="720" w:hanging="360"/>
      </w:pPr>
      <w:rPr>
        <w:rFonts w:ascii="Symbol" w:hAnsi="Symbol" w:hint="default"/>
        <w:sz w:val="20"/>
      </w:rPr>
    </w:lvl>
    <w:lvl w:ilvl="1" w:tplc="06F8C8FC" w:tentative="1">
      <w:start w:val="1"/>
      <w:numFmt w:val="bullet"/>
      <w:lvlText w:val=""/>
      <w:lvlJc w:val="left"/>
      <w:pPr>
        <w:tabs>
          <w:tab w:val="num" w:pos="1440"/>
        </w:tabs>
        <w:ind w:left="1440" w:hanging="360"/>
      </w:pPr>
      <w:rPr>
        <w:rFonts w:ascii="Symbol" w:hAnsi="Symbol" w:hint="default"/>
        <w:sz w:val="20"/>
      </w:rPr>
    </w:lvl>
    <w:lvl w:ilvl="2" w:tplc="F614F13E" w:tentative="1">
      <w:start w:val="1"/>
      <w:numFmt w:val="bullet"/>
      <w:lvlText w:val=""/>
      <w:lvlJc w:val="left"/>
      <w:pPr>
        <w:tabs>
          <w:tab w:val="num" w:pos="2160"/>
        </w:tabs>
        <w:ind w:left="2160" w:hanging="360"/>
      </w:pPr>
      <w:rPr>
        <w:rFonts w:ascii="Symbol" w:hAnsi="Symbol" w:hint="default"/>
        <w:sz w:val="20"/>
      </w:rPr>
    </w:lvl>
    <w:lvl w:ilvl="3" w:tplc="7A88348C" w:tentative="1">
      <w:start w:val="1"/>
      <w:numFmt w:val="bullet"/>
      <w:lvlText w:val=""/>
      <w:lvlJc w:val="left"/>
      <w:pPr>
        <w:tabs>
          <w:tab w:val="num" w:pos="2880"/>
        </w:tabs>
        <w:ind w:left="2880" w:hanging="360"/>
      </w:pPr>
      <w:rPr>
        <w:rFonts w:ascii="Symbol" w:hAnsi="Symbol" w:hint="default"/>
        <w:sz w:val="20"/>
      </w:rPr>
    </w:lvl>
    <w:lvl w:ilvl="4" w:tplc="658AC46C" w:tentative="1">
      <w:start w:val="1"/>
      <w:numFmt w:val="bullet"/>
      <w:lvlText w:val=""/>
      <w:lvlJc w:val="left"/>
      <w:pPr>
        <w:tabs>
          <w:tab w:val="num" w:pos="3600"/>
        </w:tabs>
        <w:ind w:left="3600" w:hanging="360"/>
      </w:pPr>
      <w:rPr>
        <w:rFonts w:ascii="Symbol" w:hAnsi="Symbol" w:hint="default"/>
        <w:sz w:val="20"/>
      </w:rPr>
    </w:lvl>
    <w:lvl w:ilvl="5" w:tplc="FA0AE1EC" w:tentative="1">
      <w:start w:val="1"/>
      <w:numFmt w:val="bullet"/>
      <w:lvlText w:val=""/>
      <w:lvlJc w:val="left"/>
      <w:pPr>
        <w:tabs>
          <w:tab w:val="num" w:pos="4320"/>
        </w:tabs>
        <w:ind w:left="4320" w:hanging="360"/>
      </w:pPr>
      <w:rPr>
        <w:rFonts w:ascii="Symbol" w:hAnsi="Symbol" w:hint="default"/>
        <w:sz w:val="20"/>
      </w:rPr>
    </w:lvl>
    <w:lvl w:ilvl="6" w:tplc="CABAE94C" w:tentative="1">
      <w:start w:val="1"/>
      <w:numFmt w:val="bullet"/>
      <w:lvlText w:val=""/>
      <w:lvlJc w:val="left"/>
      <w:pPr>
        <w:tabs>
          <w:tab w:val="num" w:pos="5040"/>
        </w:tabs>
        <w:ind w:left="5040" w:hanging="360"/>
      </w:pPr>
      <w:rPr>
        <w:rFonts w:ascii="Symbol" w:hAnsi="Symbol" w:hint="default"/>
        <w:sz w:val="20"/>
      </w:rPr>
    </w:lvl>
    <w:lvl w:ilvl="7" w:tplc="916A2F34" w:tentative="1">
      <w:start w:val="1"/>
      <w:numFmt w:val="bullet"/>
      <w:lvlText w:val=""/>
      <w:lvlJc w:val="left"/>
      <w:pPr>
        <w:tabs>
          <w:tab w:val="num" w:pos="5760"/>
        </w:tabs>
        <w:ind w:left="5760" w:hanging="360"/>
      </w:pPr>
      <w:rPr>
        <w:rFonts w:ascii="Symbol" w:hAnsi="Symbol" w:hint="default"/>
        <w:sz w:val="20"/>
      </w:rPr>
    </w:lvl>
    <w:lvl w:ilvl="8" w:tplc="5EEA89D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225F9"/>
    <w:multiLevelType w:val="hybridMultilevel"/>
    <w:tmpl w:val="F900215A"/>
    <w:lvl w:ilvl="0" w:tplc="16E83BF0">
      <w:start w:val="1"/>
      <w:numFmt w:val="bullet"/>
      <w:lvlText w:val=""/>
      <w:lvlJc w:val="left"/>
      <w:pPr>
        <w:tabs>
          <w:tab w:val="num" w:pos="720"/>
        </w:tabs>
        <w:ind w:left="720" w:hanging="360"/>
      </w:pPr>
      <w:rPr>
        <w:rFonts w:ascii="Symbol" w:hAnsi="Symbol" w:hint="default"/>
        <w:sz w:val="20"/>
      </w:rPr>
    </w:lvl>
    <w:lvl w:ilvl="1" w:tplc="F70AC82C" w:tentative="1">
      <w:start w:val="1"/>
      <w:numFmt w:val="bullet"/>
      <w:lvlText w:val=""/>
      <w:lvlJc w:val="left"/>
      <w:pPr>
        <w:tabs>
          <w:tab w:val="num" w:pos="1440"/>
        </w:tabs>
        <w:ind w:left="1440" w:hanging="360"/>
      </w:pPr>
      <w:rPr>
        <w:rFonts w:ascii="Symbol" w:hAnsi="Symbol" w:hint="default"/>
        <w:sz w:val="20"/>
      </w:rPr>
    </w:lvl>
    <w:lvl w:ilvl="2" w:tplc="DE5CECB2" w:tentative="1">
      <w:start w:val="1"/>
      <w:numFmt w:val="bullet"/>
      <w:lvlText w:val=""/>
      <w:lvlJc w:val="left"/>
      <w:pPr>
        <w:tabs>
          <w:tab w:val="num" w:pos="2160"/>
        </w:tabs>
        <w:ind w:left="2160" w:hanging="360"/>
      </w:pPr>
      <w:rPr>
        <w:rFonts w:ascii="Symbol" w:hAnsi="Symbol" w:hint="default"/>
        <w:sz w:val="20"/>
      </w:rPr>
    </w:lvl>
    <w:lvl w:ilvl="3" w:tplc="1D84D91E" w:tentative="1">
      <w:start w:val="1"/>
      <w:numFmt w:val="bullet"/>
      <w:lvlText w:val=""/>
      <w:lvlJc w:val="left"/>
      <w:pPr>
        <w:tabs>
          <w:tab w:val="num" w:pos="2880"/>
        </w:tabs>
        <w:ind w:left="2880" w:hanging="360"/>
      </w:pPr>
      <w:rPr>
        <w:rFonts w:ascii="Symbol" w:hAnsi="Symbol" w:hint="default"/>
        <w:sz w:val="20"/>
      </w:rPr>
    </w:lvl>
    <w:lvl w:ilvl="4" w:tplc="E784419C" w:tentative="1">
      <w:start w:val="1"/>
      <w:numFmt w:val="bullet"/>
      <w:lvlText w:val=""/>
      <w:lvlJc w:val="left"/>
      <w:pPr>
        <w:tabs>
          <w:tab w:val="num" w:pos="3600"/>
        </w:tabs>
        <w:ind w:left="3600" w:hanging="360"/>
      </w:pPr>
      <w:rPr>
        <w:rFonts w:ascii="Symbol" w:hAnsi="Symbol" w:hint="default"/>
        <w:sz w:val="20"/>
      </w:rPr>
    </w:lvl>
    <w:lvl w:ilvl="5" w:tplc="60749AD8" w:tentative="1">
      <w:start w:val="1"/>
      <w:numFmt w:val="bullet"/>
      <w:lvlText w:val=""/>
      <w:lvlJc w:val="left"/>
      <w:pPr>
        <w:tabs>
          <w:tab w:val="num" w:pos="4320"/>
        </w:tabs>
        <w:ind w:left="4320" w:hanging="360"/>
      </w:pPr>
      <w:rPr>
        <w:rFonts w:ascii="Symbol" w:hAnsi="Symbol" w:hint="default"/>
        <w:sz w:val="20"/>
      </w:rPr>
    </w:lvl>
    <w:lvl w:ilvl="6" w:tplc="EF74B3C0" w:tentative="1">
      <w:start w:val="1"/>
      <w:numFmt w:val="bullet"/>
      <w:lvlText w:val=""/>
      <w:lvlJc w:val="left"/>
      <w:pPr>
        <w:tabs>
          <w:tab w:val="num" w:pos="5040"/>
        </w:tabs>
        <w:ind w:left="5040" w:hanging="360"/>
      </w:pPr>
      <w:rPr>
        <w:rFonts w:ascii="Symbol" w:hAnsi="Symbol" w:hint="default"/>
        <w:sz w:val="20"/>
      </w:rPr>
    </w:lvl>
    <w:lvl w:ilvl="7" w:tplc="3BFA2E5A" w:tentative="1">
      <w:start w:val="1"/>
      <w:numFmt w:val="bullet"/>
      <w:lvlText w:val=""/>
      <w:lvlJc w:val="left"/>
      <w:pPr>
        <w:tabs>
          <w:tab w:val="num" w:pos="5760"/>
        </w:tabs>
        <w:ind w:left="5760" w:hanging="360"/>
      </w:pPr>
      <w:rPr>
        <w:rFonts w:ascii="Symbol" w:hAnsi="Symbol" w:hint="default"/>
        <w:sz w:val="20"/>
      </w:rPr>
    </w:lvl>
    <w:lvl w:ilvl="8" w:tplc="A01025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B475DA"/>
    <w:multiLevelType w:val="hybridMultilevel"/>
    <w:tmpl w:val="676047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C4022"/>
    <w:multiLevelType w:val="multilevel"/>
    <w:tmpl w:val="9AF2ADA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7C8248AD"/>
    <w:multiLevelType w:val="hybridMultilevel"/>
    <w:tmpl w:val="0C9E58FC"/>
    <w:lvl w:ilvl="0" w:tplc="04090019">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E9A267B"/>
    <w:multiLevelType w:val="hybridMultilevel"/>
    <w:tmpl w:val="AA2CD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81EC4"/>
    <w:multiLevelType w:val="hybridMultilevel"/>
    <w:tmpl w:val="676047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0"/>
  </w:num>
  <w:num w:numId="5">
    <w:abstractNumId w:val="1"/>
  </w:num>
  <w:num w:numId="6">
    <w:abstractNumId w:val="0"/>
  </w:num>
  <w:num w:numId="7">
    <w:abstractNumId w:val="12"/>
  </w:num>
  <w:num w:numId="8">
    <w:abstractNumId w:val="5"/>
  </w:num>
  <w:num w:numId="9">
    <w:abstractNumId w:val="11"/>
  </w:num>
  <w:num w:numId="10">
    <w:abstractNumId w:val="9"/>
  </w:num>
  <w:num w:numId="11">
    <w:abstractNumId w:val="8"/>
  </w:num>
  <w:num w:numId="12">
    <w:abstractNumId w:val="14"/>
  </w:num>
  <w:num w:numId="13">
    <w:abstractNumId w:val="15"/>
  </w:num>
  <w:num w:numId="14">
    <w:abstractNumId w:val="6"/>
  </w:num>
  <w:num w:numId="15">
    <w:abstractNumId w:val="17"/>
  </w:num>
  <w:num w:numId="16">
    <w:abstractNumId w:val="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62F0"/>
    <w:rsid w:val="0000640F"/>
    <w:rsid w:val="00007E41"/>
    <w:rsid w:val="000104DB"/>
    <w:rsid w:val="00017D84"/>
    <w:rsid w:val="0002261C"/>
    <w:rsid w:val="00022C6B"/>
    <w:rsid w:val="000310E6"/>
    <w:rsid w:val="00034EA8"/>
    <w:rsid w:val="0004399B"/>
    <w:rsid w:val="00045275"/>
    <w:rsid w:val="00046DF3"/>
    <w:rsid w:val="00054E58"/>
    <w:rsid w:val="000556CF"/>
    <w:rsid w:val="0006151A"/>
    <w:rsid w:val="0007024D"/>
    <w:rsid w:val="000734BE"/>
    <w:rsid w:val="000734DB"/>
    <w:rsid w:val="00074B1F"/>
    <w:rsid w:val="00074DC1"/>
    <w:rsid w:val="0007611E"/>
    <w:rsid w:val="0007684D"/>
    <w:rsid w:val="0009438E"/>
    <w:rsid w:val="000957A1"/>
    <w:rsid w:val="00097766"/>
    <w:rsid w:val="000A000E"/>
    <w:rsid w:val="000A713E"/>
    <w:rsid w:val="000B11D0"/>
    <w:rsid w:val="000B3ED3"/>
    <w:rsid w:val="000B415A"/>
    <w:rsid w:val="000B41DB"/>
    <w:rsid w:val="000B6ADF"/>
    <w:rsid w:val="000B7DC3"/>
    <w:rsid w:val="000C128B"/>
    <w:rsid w:val="000C3CE9"/>
    <w:rsid w:val="000C5586"/>
    <w:rsid w:val="000C785A"/>
    <w:rsid w:val="000D31F6"/>
    <w:rsid w:val="000E6136"/>
    <w:rsid w:val="00100F47"/>
    <w:rsid w:val="00105A43"/>
    <w:rsid w:val="00123EB1"/>
    <w:rsid w:val="0013045F"/>
    <w:rsid w:val="00135FC3"/>
    <w:rsid w:val="00136A1C"/>
    <w:rsid w:val="00142630"/>
    <w:rsid w:val="0015305E"/>
    <w:rsid w:val="00155C4A"/>
    <w:rsid w:val="00156744"/>
    <w:rsid w:val="00157EBA"/>
    <w:rsid w:val="001673D8"/>
    <w:rsid w:val="0016755E"/>
    <w:rsid w:val="001769B7"/>
    <w:rsid w:val="00182293"/>
    <w:rsid w:val="00182AEB"/>
    <w:rsid w:val="001927C3"/>
    <w:rsid w:val="00192EC7"/>
    <w:rsid w:val="00193AF1"/>
    <w:rsid w:val="00197ACF"/>
    <w:rsid w:val="001A004E"/>
    <w:rsid w:val="001A005F"/>
    <w:rsid w:val="001A7A07"/>
    <w:rsid w:val="001B1D32"/>
    <w:rsid w:val="001B3BBB"/>
    <w:rsid w:val="001D09B2"/>
    <w:rsid w:val="001E07CE"/>
    <w:rsid w:val="001E4283"/>
    <w:rsid w:val="001E4380"/>
    <w:rsid w:val="001E4794"/>
    <w:rsid w:val="001E7CC5"/>
    <w:rsid w:val="001F0571"/>
    <w:rsid w:val="001F5723"/>
    <w:rsid w:val="001F679C"/>
    <w:rsid w:val="002012CC"/>
    <w:rsid w:val="00203631"/>
    <w:rsid w:val="00207627"/>
    <w:rsid w:val="00213614"/>
    <w:rsid w:val="00214ED7"/>
    <w:rsid w:val="00234933"/>
    <w:rsid w:val="00236C9E"/>
    <w:rsid w:val="00237A03"/>
    <w:rsid w:val="00245389"/>
    <w:rsid w:val="00246BC8"/>
    <w:rsid w:val="00261ECF"/>
    <w:rsid w:val="00270378"/>
    <w:rsid w:val="00281384"/>
    <w:rsid w:val="00283EFD"/>
    <w:rsid w:val="002958FD"/>
    <w:rsid w:val="00295D98"/>
    <w:rsid w:val="002A2E13"/>
    <w:rsid w:val="002A6B39"/>
    <w:rsid w:val="002B3B0D"/>
    <w:rsid w:val="002B58E6"/>
    <w:rsid w:val="002B6841"/>
    <w:rsid w:val="002B71AD"/>
    <w:rsid w:val="002B742D"/>
    <w:rsid w:val="002C3C69"/>
    <w:rsid w:val="002C48B2"/>
    <w:rsid w:val="002C549B"/>
    <w:rsid w:val="002C6FD7"/>
    <w:rsid w:val="002D14D8"/>
    <w:rsid w:val="002D368D"/>
    <w:rsid w:val="002E019C"/>
    <w:rsid w:val="002E59E4"/>
    <w:rsid w:val="002F1826"/>
    <w:rsid w:val="002F19DE"/>
    <w:rsid w:val="002F2D45"/>
    <w:rsid w:val="002F65FD"/>
    <w:rsid w:val="002F6F48"/>
    <w:rsid w:val="00301E09"/>
    <w:rsid w:val="00303934"/>
    <w:rsid w:val="00304410"/>
    <w:rsid w:val="00312C5E"/>
    <w:rsid w:val="00315443"/>
    <w:rsid w:val="00325121"/>
    <w:rsid w:val="003328ED"/>
    <w:rsid w:val="003336B2"/>
    <w:rsid w:val="0033774A"/>
    <w:rsid w:val="00337E84"/>
    <w:rsid w:val="0034225E"/>
    <w:rsid w:val="00343578"/>
    <w:rsid w:val="00345D1C"/>
    <w:rsid w:val="00350E4D"/>
    <w:rsid w:val="0035207B"/>
    <w:rsid w:val="003537FB"/>
    <w:rsid w:val="00357457"/>
    <w:rsid w:val="00361BEA"/>
    <w:rsid w:val="00362031"/>
    <w:rsid w:val="00364BB4"/>
    <w:rsid w:val="00371251"/>
    <w:rsid w:val="00377BFE"/>
    <w:rsid w:val="003811E8"/>
    <w:rsid w:val="003813FB"/>
    <w:rsid w:val="00381834"/>
    <w:rsid w:val="00382768"/>
    <w:rsid w:val="00384551"/>
    <w:rsid w:val="00384B54"/>
    <w:rsid w:val="00385BC1"/>
    <w:rsid w:val="00386022"/>
    <w:rsid w:val="003A3127"/>
    <w:rsid w:val="003B3F9E"/>
    <w:rsid w:val="003C65E8"/>
    <w:rsid w:val="003D70F6"/>
    <w:rsid w:val="003E0994"/>
    <w:rsid w:val="003E1900"/>
    <w:rsid w:val="003E458A"/>
    <w:rsid w:val="003E67EA"/>
    <w:rsid w:val="003F0E3D"/>
    <w:rsid w:val="003F2E5E"/>
    <w:rsid w:val="003F3B03"/>
    <w:rsid w:val="003F6569"/>
    <w:rsid w:val="004013CA"/>
    <w:rsid w:val="00406C54"/>
    <w:rsid w:val="004077D9"/>
    <w:rsid w:val="00413CAB"/>
    <w:rsid w:val="00414FCC"/>
    <w:rsid w:val="0041509A"/>
    <w:rsid w:val="00416E79"/>
    <w:rsid w:val="00420F6D"/>
    <w:rsid w:val="00424421"/>
    <w:rsid w:val="004267D2"/>
    <w:rsid w:val="00430CB6"/>
    <w:rsid w:val="00432710"/>
    <w:rsid w:val="0043386D"/>
    <w:rsid w:val="00434984"/>
    <w:rsid w:val="00445FC4"/>
    <w:rsid w:val="00447750"/>
    <w:rsid w:val="0046072A"/>
    <w:rsid w:val="00463CE4"/>
    <w:rsid w:val="00467F5A"/>
    <w:rsid w:val="00471191"/>
    <w:rsid w:val="00472102"/>
    <w:rsid w:val="0049192F"/>
    <w:rsid w:val="004966EB"/>
    <w:rsid w:val="004A4B43"/>
    <w:rsid w:val="004B3BEC"/>
    <w:rsid w:val="004B5492"/>
    <w:rsid w:val="004B71C0"/>
    <w:rsid w:val="004C4E19"/>
    <w:rsid w:val="004D01DD"/>
    <w:rsid w:val="004D11ED"/>
    <w:rsid w:val="004D3683"/>
    <w:rsid w:val="004D4CF7"/>
    <w:rsid w:val="004E0237"/>
    <w:rsid w:val="004E4558"/>
    <w:rsid w:val="004E47A6"/>
    <w:rsid w:val="00515C6E"/>
    <w:rsid w:val="00517BB2"/>
    <w:rsid w:val="00535CDA"/>
    <w:rsid w:val="005401C6"/>
    <w:rsid w:val="005444A2"/>
    <w:rsid w:val="005473B8"/>
    <w:rsid w:val="005551AE"/>
    <w:rsid w:val="0055647F"/>
    <w:rsid w:val="00571AA7"/>
    <w:rsid w:val="00583E07"/>
    <w:rsid w:val="00590FDD"/>
    <w:rsid w:val="005957B5"/>
    <w:rsid w:val="00597769"/>
    <w:rsid w:val="005A02E3"/>
    <w:rsid w:val="005A0575"/>
    <w:rsid w:val="005A40DA"/>
    <w:rsid w:val="005A7F75"/>
    <w:rsid w:val="005B0AE5"/>
    <w:rsid w:val="005B2D1A"/>
    <w:rsid w:val="005B3CC2"/>
    <w:rsid w:val="005C074A"/>
    <w:rsid w:val="005D1EED"/>
    <w:rsid w:val="005D594C"/>
    <w:rsid w:val="005E404F"/>
    <w:rsid w:val="005E59B1"/>
    <w:rsid w:val="005F251D"/>
    <w:rsid w:val="005F4792"/>
    <w:rsid w:val="0061082D"/>
    <w:rsid w:val="006124E2"/>
    <w:rsid w:val="0061358D"/>
    <w:rsid w:val="00613740"/>
    <w:rsid w:val="00617722"/>
    <w:rsid w:val="00625BB7"/>
    <w:rsid w:val="006303EC"/>
    <w:rsid w:val="006328E5"/>
    <w:rsid w:val="0064188D"/>
    <w:rsid w:val="00645F58"/>
    <w:rsid w:val="006478C3"/>
    <w:rsid w:val="00654CE6"/>
    <w:rsid w:val="00656109"/>
    <w:rsid w:val="00657A51"/>
    <w:rsid w:val="00674AD8"/>
    <w:rsid w:val="00676E76"/>
    <w:rsid w:val="0068103C"/>
    <w:rsid w:val="00681403"/>
    <w:rsid w:val="00693752"/>
    <w:rsid w:val="0069546B"/>
    <w:rsid w:val="006A43B4"/>
    <w:rsid w:val="006B075B"/>
    <w:rsid w:val="006C20A5"/>
    <w:rsid w:val="006C40A5"/>
    <w:rsid w:val="006D4F38"/>
    <w:rsid w:val="006E77A1"/>
    <w:rsid w:val="006F403A"/>
    <w:rsid w:val="006F5B03"/>
    <w:rsid w:val="00706095"/>
    <w:rsid w:val="00706B7B"/>
    <w:rsid w:val="00707D4D"/>
    <w:rsid w:val="007113FC"/>
    <w:rsid w:val="00713062"/>
    <w:rsid w:val="00716EBE"/>
    <w:rsid w:val="00720B70"/>
    <w:rsid w:val="00722C57"/>
    <w:rsid w:val="007278AA"/>
    <w:rsid w:val="00733078"/>
    <w:rsid w:val="00733A4E"/>
    <w:rsid w:val="0073424A"/>
    <w:rsid w:val="007434A7"/>
    <w:rsid w:val="00743E7A"/>
    <w:rsid w:val="00746BD0"/>
    <w:rsid w:val="00766013"/>
    <w:rsid w:val="00767109"/>
    <w:rsid w:val="00770662"/>
    <w:rsid w:val="00774CC2"/>
    <w:rsid w:val="00775CB9"/>
    <w:rsid w:val="00787285"/>
    <w:rsid w:val="00791A2D"/>
    <w:rsid w:val="007A0647"/>
    <w:rsid w:val="007A10C0"/>
    <w:rsid w:val="007A37B8"/>
    <w:rsid w:val="007A5A73"/>
    <w:rsid w:val="007B0503"/>
    <w:rsid w:val="007B0A39"/>
    <w:rsid w:val="007B25DA"/>
    <w:rsid w:val="007B715F"/>
    <w:rsid w:val="007B757F"/>
    <w:rsid w:val="007B7F87"/>
    <w:rsid w:val="007C33C4"/>
    <w:rsid w:val="007D429A"/>
    <w:rsid w:val="007E0A24"/>
    <w:rsid w:val="007E1DA5"/>
    <w:rsid w:val="007E5280"/>
    <w:rsid w:val="007E5703"/>
    <w:rsid w:val="007F190F"/>
    <w:rsid w:val="007F237D"/>
    <w:rsid w:val="007F37DD"/>
    <w:rsid w:val="007F4290"/>
    <w:rsid w:val="007F4401"/>
    <w:rsid w:val="00801E68"/>
    <w:rsid w:val="00803B17"/>
    <w:rsid w:val="008075EE"/>
    <w:rsid w:val="0080792B"/>
    <w:rsid w:val="00814EF9"/>
    <w:rsid w:val="00822F35"/>
    <w:rsid w:val="008237F1"/>
    <w:rsid w:val="008268A4"/>
    <w:rsid w:val="008356A4"/>
    <w:rsid w:val="008378C5"/>
    <w:rsid w:val="00840E3F"/>
    <w:rsid w:val="00852FEE"/>
    <w:rsid w:val="00855745"/>
    <w:rsid w:val="008603F0"/>
    <w:rsid w:val="00865C0F"/>
    <w:rsid w:val="008710F0"/>
    <w:rsid w:val="008719BB"/>
    <w:rsid w:val="00874E1A"/>
    <w:rsid w:val="00875021"/>
    <w:rsid w:val="00876D72"/>
    <w:rsid w:val="00880C05"/>
    <w:rsid w:val="00883169"/>
    <w:rsid w:val="00886101"/>
    <w:rsid w:val="00892537"/>
    <w:rsid w:val="00894AAB"/>
    <w:rsid w:val="008A22FC"/>
    <w:rsid w:val="008A486C"/>
    <w:rsid w:val="008B358A"/>
    <w:rsid w:val="008B4DEB"/>
    <w:rsid w:val="008C7B77"/>
    <w:rsid w:val="008D1DDA"/>
    <w:rsid w:val="008D5F3A"/>
    <w:rsid w:val="008D7838"/>
    <w:rsid w:val="008E0270"/>
    <w:rsid w:val="008E1323"/>
    <w:rsid w:val="008E36C4"/>
    <w:rsid w:val="008F33A1"/>
    <w:rsid w:val="008F45E7"/>
    <w:rsid w:val="008F6373"/>
    <w:rsid w:val="00903B1C"/>
    <w:rsid w:val="00905AE1"/>
    <w:rsid w:val="00906F05"/>
    <w:rsid w:val="00922F6E"/>
    <w:rsid w:val="00927BEF"/>
    <w:rsid w:val="0093199B"/>
    <w:rsid w:val="0093317E"/>
    <w:rsid w:val="00933F8E"/>
    <w:rsid w:val="00935B55"/>
    <w:rsid w:val="00935DA8"/>
    <w:rsid w:val="00952D9B"/>
    <w:rsid w:val="00957CA8"/>
    <w:rsid w:val="00962909"/>
    <w:rsid w:val="00962F09"/>
    <w:rsid w:val="0097332E"/>
    <w:rsid w:val="00975376"/>
    <w:rsid w:val="0097613D"/>
    <w:rsid w:val="00984296"/>
    <w:rsid w:val="009844A6"/>
    <w:rsid w:val="009866EF"/>
    <w:rsid w:val="00986A8C"/>
    <w:rsid w:val="00990A7A"/>
    <w:rsid w:val="0099112B"/>
    <w:rsid w:val="00992D78"/>
    <w:rsid w:val="00994788"/>
    <w:rsid w:val="009A6EA9"/>
    <w:rsid w:val="009B2E8F"/>
    <w:rsid w:val="009B3F65"/>
    <w:rsid w:val="009C5C17"/>
    <w:rsid w:val="009D55A8"/>
    <w:rsid w:val="009E1598"/>
    <w:rsid w:val="009E211E"/>
    <w:rsid w:val="009E4206"/>
    <w:rsid w:val="009E434A"/>
    <w:rsid w:val="009E48F3"/>
    <w:rsid w:val="009E4E03"/>
    <w:rsid w:val="009F1A9A"/>
    <w:rsid w:val="009F2E68"/>
    <w:rsid w:val="009F3E27"/>
    <w:rsid w:val="00A013BE"/>
    <w:rsid w:val="00A01BA6"/>
    <w:rsid w:val="00A134BE"/>
    <w:rsid w:val="00A17A64"/>
    <w:rsid w:val="00A2032A"/>
    <w:rsid w:val="00A22EC5"/>
    <w:rsid w:val="00A34B3E"/>
    <w:rsid w:val="00A40E19"/>
    <w:rsid w:val="00A42AFC"/>
    <w:rsid w:val="00A42C72"/>
    <w:rsid w:val="00A42C9A"/>
    <w:rsid w:val="00A53CBB"/>
    <w:rsid w:val="00A53EF1"/>
    <w:rsid w:val="00A61061"/>
    <w:rsid w:val="00A61C5B"/>
    <w:rsid w:val="00A63E77"/>
    <w:rsid w:val="00A7042C"/>
    <w:rsid w:val="00A7247F"/>
    <w:rsid w:val="00A73C9F"/>
    <w:rsid w:val="00A8078D"/>
    <w:rsid w:val="00A817B4"/>
    <w:rsid w:val="00A82D20"/>
    <w:rsid w:val="00A83593"/>
    <w:rsid w:val="00A90EFA"/>
    <w:rsid w:val="00AA0099"/>
    <w:rsid w:val="00AA062C"/>
    <w:rsid w:val="00AA6D98"/>
    <w:rsid w:val="00AB36C5"/>
    <w:rsid w:val="00AB496A"/>
    <w:rsid w:val="00AB5627"/>
    <w:rsid w:val="00AC09DC"/>
    <w:rsid w:val="00AC2A15"/>
    <w:rsid w:val="00AD048D"/>
    <w:rsid w:val="00AD101B"/>
    <w:rsid w:val="00AD18BA"/>
    <w:rsid w:val="00AD1C23"/>
    <w:rsid w:val="00AD442F"/>
    <w:rsid w:val="00AD4614"/>
    <w:rsid w:val="00AD6523"/>
    <w:rsid w:val="00AE02A3"/>
    <w:rsid w:val="00AE3AAD"/>
    <w:rsid w:val="00AE5178"/>
    <w:rsid w:val="00AF6C47"/>
    <w:rsid w:val="00B007CF"/>
    <w:rsid w:val="00B018B9"/>
    <w:rsid w:val="00B06C6E"/>
    <w:rsid w:val="00B07015"/>
    <w:rsid w:val="00B1031A"/>
    <w:rsid w:val="00B17223"/>
    <w:rsid w:val="00B226F5"/>
    <w:rsid w:val="00B26CD0"/>
    <w:rsid w:val="00B36FBD"/>
    <w:rsid w:val="00B37A81"/>
    <w:rsid w:val="00B40407"/>
    <w:rsid w:val="00B42B99"/>
    <w:rsid w:val="00B45456"/>
    <w:rsid w:val="00B63F7E"/>
    <w:rsid w:val="00B65E0A"/>
    <w:rsid w:val="00B70CF2"/>
    <w:rsid w:val="00B76A7B"/>
    <w:rsid w:val="00B812EE"/>
    <w:rsid w:val="00B85181"/>
    <w:rsid w:val="00B866A2"/>
    <w:rsid w:val="00B97A78"/>
    <w:rsid w:val="00B97DA5"/>
    <w:rsid w:val="00BA1355"/>
    <w:rsid w:val="00BA179B"/>
    <w:rsid w:val="00BA6CCA"/>
    <w:rsid w:val="00BC1C2C"/>
    <w:rsid w:val="00BC2274"/>
    <w:rsid w:val="00BD0C82"/>
    <w:rsid w:val="00BD4838"/>
    <w:rsid w:val="00BD5680"/>
    <w:rsid w:val="00BF1AE5"/>
    <w:rsid w:val="00BF487C"/>
    <w:rsid w:val="00BF6EB2"/>
    <w:rsid w:val="00C06D8E"/>
    <w:rsid w:val="00C1455B"/>
    <w:rsid w:val="00C15244"/>
    <w:rsid w:val="00C237AD"/>
    <w:rsid w:val="00C24ED1"/>
    <w:rsid w:val="00C3293E"/>
    <w:rsid w:val="00C33A35"/>
    <w:rsid w:val="00C33DA8"/>
    <w:rsid w:val="00C35344"/>
    <w:rsid w:val="00C40686"/>
    <w:rsid w:val="00C437B1"/>
    <w:rsid w:val="00C535DD"/>
    <w:rsid w:val="00C54849"/>
    <w:rsid w:val="00C56F22"/>
    <w:rsid w:val="00C61AAA"/>
    <w:rsid w:val="00C62077"/>
    <w:rsid w:val="00C62951"/>
    <w:rsid w:val="00C66CDC"/>
    <w:rsid w:val="00C70165"/>
    <w:rsid w:val="00C70FC5"/>
    <w:rsid w:val="00C741A2"/>
    <w:rsid w:val="00C753E1"/>
    <w:rsid w:val="00C758C1"/>
    <w:rsid w:val="00C77F75"/>
    <w:rsid w:val="00C903BB"/>
    <w:rsid w:val="00C9115D"/>
    <w:rsid w:val="00C9240B"/>
    <w:rsid w:val="00C93B58"/>
    <w:rsid w:val="00C95184"/>
    <w:rsid w:val="00C97277"/>
    <w:rsid w:val="00CB50E3"/>
    <w:rsid w:val="00CC20B6"/>
    <w:rsid w:val="00CC34DD"/>
    <w:rsid w:val="00CD5146"/>
    <w:rsid w:val="00CD5384"/>
    <w:rsid w:val="00CE75D6"/>
    <w:rsid w:val="00CF07AE"/>
    <w:rsid w:val="00D036B4"/>
    <w:rsid w:val="00D07772"/>
    <w:rsid w:val="00D1213B"/>
    <w:rsid w:val="00D23C02"/>
    <w:rsid w:val="00D25F41"/>
    <w:rsid w:val="00D40B3D"/>
    <w:rsid w:val="00D454E9"/>
    <w:rsid w:val="00D51DE7"/>
    <w:rsid w:val="00D52CAB"/>
    <w:rsid w:val="00D52EBF"/>
    <w:rsid w:val="00D57F98"/>
    <w:rsid w:val="00D64B7D"/>
    <w:rsid w:val="00D7373B"/>
    <w:rsid w:val="00D7451F"/>
    <w:rsid w:val="00D765DC"/>
    <w:rsid w:val="00D86472"/>
    <w:rsid w:val="00D87AD8"/>
    <w:rsid w:val="00D978EE"/>
    <w:rsid w:val="00D97D05"/>
    <w:rsid w:val="00DA5ABA"/>
    <w:rsid w:val="00DA5F9A"/>
    <w:rsid w:val="00DA7182"/>
    <w:rsid w:val="00DB1FCF"/>
    <w:rsid w:val="00DD0F71"/>
    <w:rsid w:val="00DD22B0"/>
    <w:rsid w:val="00DE1F06"/>
    <w:rsid w:val="00DE4D7C"/>
    <w:rsid w:val="00E0038E"/>
    <w:rsid w:val="00E05367"/>
    <w:rsid w:val="00E05534"/>
    <w:rsid w:val="00E152E7"/>
    <w:rsid w:val="00E15C03"/>
    <w:rsid w:val="00E15D36"/>
    <w:rsid w:val="00E2354B"/>
    <w:rsid w:val="00E23860"/>
    <w:rsid w:val="00E2528F"/>
    <w:rsid w:val="00E2568E"/>
    <w:rsid w:val="00E26E4A"/>
    <w:rsid w:val="00E31206"/>
    <w:rsid w:val="00E32701"/>
    <w:rsid w:val="00E33B7E"/>
    <w:rsid w:val="00E37584"/>
    <w:rsid w:val="00E44677"/>
    <w:rsid w:val="00E45A08"/>
    <w:rsid w:val="00E50788"/>
    <w:rsid w:val="00E55753"/>
    <w:rsid w:val="00E57B8A"/>
    <w:rsid w:val="00E6209C"/>
    <w:rsid w:val="00E635E3"/>
    <w:rsid w:val="00E64495"/>
    <w:rsid w:val="00E80574"/>
    <w:rsid w:val="00E81E3E"/>
    <w:rsid w:val="00E83884"/>
    <w:rsid w:val="00E8548B"/>
    <w:rsid w:val="00E93E37"/>
    <w:rsid w:val="00E96B70"/>
    <w:rsid w:val="00E96BD5"/>
    <w:rsid w:val="00E973B3"/>
    <w:rsid w:val="00EB0214"/>
    <w:rsid w:val="00EB2235"/>
    <w:rsid w:val="00EB40EE"/>
    <w:rsid w:val="00EB7D46"/>
    <w:rsid w:val="00EC79CA"/>
    <w:rsid w:val="00ED02A5"/>
    <w:rsid w:val="00ED04AD"/>
    <w:rsid w:val="00ED2A9A"/>
    <w:rsid w:val="00ED39B6"/>
    <w:rsid w:val="00ED4E4B"/>
    <w:rsid w:val="00ED6568"/>
    <w:rsid w:val="00EE1B16"/>
    <w:rsid w:val="00EE2C2C"/>
    <w:rsid w:val="00EE38AC"/>
    <w:rsid w:val="00EE566F"/>
    <w:rsid w:val="00EE56C0"/>
    <w:rsid w:val="00EF5645"/>
    <w:rsid w:val="00EF5F9A"/>
    <w:rsid w:val="00F00351"/>
    <w:rsid w:val="00F00685"/>
    <w:rsid w:val="00F1012C"/>
    <w:rsid w:val="00F110B4"/>
    <w:rsid w:val="00F16ECD"/>
    <w:rsid w:val="00F228CB"/>
    <w:rsid w:val="00F30F6B"/>
    <w:rsid w:val="00F311B8"/>
    <w:rsid w:val="00F32125"/>
    <w:rsid w:val="00F32E67"/>
    <w:rsid w:val="00F358F7"/>
    <w:rsid w:val="00F36824"/>
    <w:rsid w:val="00F3751E"/>
    <w:rsid w:val="00F412DF"/>
    <w:rsid w:val="00F50972"/>
    <w:rsid w:val="00F54803"/>
    <w:rsid w:val="00F56270"/>
    <w:rsid w:val="00F609BA"/>
    <w:rsid w:val="00F60A52"/>
    <w:rsid w:val="00F62196"/>
    <w:rsid w:val="00F64325"/>
    <w:rsid w:val="00F72526"/>
    <w:rsid w:val="00F73839"/>
    <w:rsid w:val="00F764E8"/>
    <w:rsid w:val="00F80BF4"/>
    <w:rsid w:val="00F818A1"/>
    <w:rsid w:val="00F81EDD"/>
    <w:rsid w:val="00F83220"/>
    <w:rsid w:val="00F87040"/>
    <w:rsid w:val="00FA219B"/>
    <w:rsid w:val="00FA2868"/>
    <w:rsid w:val="00FA34FA"/>
    <w:rsid w:val="00FA77B4"/>
    <w:rsid w:val="00FC5106"/>
    <w:rsid w:val="00FD4B34"/>
    <w:rsid w:val="00FE1C5F"/>
    <w:rsid w:val="00FF0256"/>
    <w:rsid w:val="00FF0D04"/>
    <w:rsid w:val="00FF122A"/>
    <w:rsid w:val="00FF48FB"/>
    <w:rsid w:val="00FF73B0"/>
    <w:rsid w:val="252D28F9"/>
    <w:rsid w:val="49E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A2868"/>
    <w:rPr>
      <w:sz w:val="20"/>
      <w:szCs w:val="20"/>
    </w:rPr>
  </w:style>
  <w:style w:type="character" w:customStyle="1" w:styleId="FootnoteTextChar">
    <w:name w:val="Footnote Text Char"/>
    <w:basedOn w:val="DefaultParagraphFont"/>
    <w:link w:val="FootnoteText"/>
    <w:rsid w:val="00FA2868"/>
    <w:rPr>
      <w:sz w:val="20"/>
      <w:szCs w:val="20"/>
    </w:rPr>
  </w:style>
  <w:style w:type="character" w:styleId="FootnoteReference">
    <w:name w:val="footnote reference"/>
    <w:basedOn w:val="DefaultParagraphFont"/>
    <w:semiHidden/>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semiHidden/>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paragraph" w:styleId="BalloonText">
    <w:name w:val="Balloon Text"/>
    <w:basedOn w:val="Normal"/>
    <w:link w:val="BalloonTextChar"/>
    <w:uiPriority w:val="99"/>
    <w:semiHidden/>
    <w:unhideWhenUsed/>
    <w:rsid w:val="00641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8D"/>
    <w:rPr>
      <w:rFonts w:ascii="Segoe UI" w:eastAsia="Times New Roman" w:hAnsi="Segoe UI" w:cs="Segoe UI"/>
      <w:sz w:val="18"/>
      <w:szCs w:val="18"/>
    </w:rPr>
  </w:style>
  <w:style w:type="character" w:customStyle="1" w:styleId="counderline">
    <w:name w:val="co_underline"/>
    <w:basedOn w:val="DefaultParagraphFont"/>
    <w:rsid w:val="00B70CF2"/>
  </w:style>
  <w:style w:type="character" w:customStyle="1" w:styleId="coconcept18">
    <w:name w:val="co_concept_1_8"/>
    <w:basedOn w:val="DefaultParagraphFont"/>
    <w:rsid w:val="002F65FD"/>
  </w:style>
  <w:style w:type="character" w:customStyle="1" w:styleId="coconcept1924">
    <w:name w:val="co_concept_19_24"/>
    <w:basedOn w:val="DefaultParagraphFont"/>
    <w:rsid w:val="002F65FD"/>
  </w:style>
  <w:style w:type="character" w:customStyle="1" w:styleId="coconcept2631">
    <w:name w:val="co_concept_26_31"/>
    <w:basedOn w:val="DefaultParagraphFont"/>
    <w:rsid w:val="002F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920">
      <w:bodyDiv w:val="1"/>
      <w:marLeft w:val="0"/>
      <w:marRight w:val="0"/>
      <w:marTop w:val="0"/>
      <w:marBottom w:val="0"/>
      <w:divBdr>
        <w:top w:val="none" w:sz="0" w:space="0" w:color="auto"/>
        <w:left w:val="none" w:sz="0" w:space="0" w:color="auto"/>
        <w:bottom w:val="none" w:sz="0" w:space="0" w:color="auto"/>
        <w:right w:val="none" w:sz="0" w:space="0" w:color="auto"/>
      </w:divBdr>
    </w:div>
    <w:div w:id="18825571">
      <w:bodyDiv w:val="1"/>
      <w:marLeft w:val="0"/>
      <w:marRight w:val="0"/>
      <w:marTop w:val="0"/>
      <w:marBottom w:val="0"/>
      <w:divBdr>
        <w:top w:val="none" w:sz="0" w:space="0" w:color="auto"/>
        <w:left w:val="none" w:sz="0" w:space="0" w:color="auto"/>
        <w:bottom w:val="none" w:sz="0" w:space="0" w:color="auto"/>
        <w:right w:val="none" w:sz="0" w:space="0" w:color="auto"/>
      </w:divBdr>
    </w:div>
    <w:div w:id="42750392">
      <w:bodyDiv w:val="1"/>
      <w:marLeft w:val="0"/>
      <w:marRight w:val="0"/>
      <w:marTop w:val="0"/>
      <w:marBottom w:val="0"/>
      <w:divBdr>
        <w:top w:val="none" w:sz="0" w:space="0" w:color="auto"/>
        <w:left w:val="none" w:sz="0" w:space="0" w:color="auto"/>
        <w:bottom w:val="none" w:sz="0" w:space="0" w:color="auto"/>
        <w:right w:val="none" w:sz="0" w:space="0" w:color="auto"/>
      </w:divBdr>
      <w:divsChild>
        <w:div w:id="1626231487">
          <w:marLeft w:val="0"/>
          <w:marRight w:val="0"/>
          <w:marTop w:val="0"/>
          <w:marBottom w:val="0"/>
          <w:divBdr>
            <w:top w:val="none" w:sz="0" w:space="0" w:color="auto"/>
            <w:left w:val="none" w:sz="0" w:space="0" w:color="auto"/>
            <w:bottom w:val="none" w:sz="0" w:space="0" w:color="auto"/>
            <w:right w:val="none" w:sz="0" w:space="0" w:color="auto"/>
          </w:divBdr>
        </w:div>
      </w:divsChild>
    </w:div>
    <w:div w:id="62726697">
      <w:bodyDiv w:val="1"/>
      <w:marLeft w:val="0"/>
      <w:marRight w:val="0"/>
      <w:marTop w:val="0"/>
      <w:marBottom w:val="0"/>
      <w:divBdr>
        <w:top w:val="none" w:sz="0" w:space="0" w:color="auto"/>
        <w:left w:val="none" w:sz="0" w:space="0" w:color="auto"/>
        <w:bottom w:val="none" w:sz="0" w:space="0" w:color="auto"/>
        <w:right w:val="none" w:sz="0" w:space="0" w:color="auto"/>
      </w:divBdr>
      <w:divsChild>
        <w:div w:id="10366563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270744951">
      <w:bodyDiv w:val="1"/>
      <w:marLeft w:val="0"/>
      <w:marRight w:val="0"/>
      <w:marTop w:val="0"/>
      <w:marBottom w:val="0"/>
      <w:divBdr>
        <w:top w:val="none" w:sz="0" w:space="0" w:color="auto"/>
        <w:left w:val="none" w:sz="0" w:space="0" w:color="auto"/>
        <w:bottom w:val="none" w:sz="0" w:space="0" w:color="auto"/>
        <w:right w:val="none" w:sz="0" w:space="0" w:color="auto"/>
      </w:divBdr>
    </w:div>
    <w:div w:id="274555252">
      <w:bodyDiv w:val="1"/>
      <w:marLeft w:val="0"/>
      <w:marRight w:val="0"/>
      <w:marTop w:val="0"/>
      <w:marBottom w:val="0"/>
      <w:divBdr>
        <w:top w:val="none" w:sz="0" w:space="0" w:color="auto"/>
        <w:left w:val="none" w:sz="0" w:space="0" w:color="auto"/>
        <w:bottom w:val="none" w:sz="0" w:space="0" w:color="auto"/>
        <w:right w:val="none" w:sz="0" w:space="0" w:color="auto"/>
      </w:divBdr>
    </w:div>
    <w:div w:id="292256098">
      <w:bodyDiv w:val="1"/>
      <w:marLeft w:val="0"/>
      <w:marRight w:val="0"/>
      <w:marTop w:val="0"/>
      <w:marBottom w:val="0"/>
      <w:divBdr>
        <w:top w:val="none" w:sz="0" w:space="0" w:color="auto"/>
        <w:left w:val="none" w:sz="0" w:space="0" w:color="auto"/>
        <w:bottom w:val="none" w:sz="0" w:space="0" w:color="auto"/>
        <w:right w:val="none" w:sz="0" w:space="0" w:color="auto"/>
      </w:divBdr>
      <w:divsChild>
        <w:div w:id="439376454">
          <w:marLeft w:val="0"/>
          <w:marRight w:val="0"/>
          <w:marTop w:val="0"/>
          <w:marBottom w:val="0"/>
          <w:divBdr>
            <w:top w:val="none" w:sz="0" w:space="0" w:color="auto"/>
            <w:left w:val="none" w:sz="0" w:space="0" w:color="auto"/>
            <w:bottom w:val="none" w:sz="0" w:space="0" w:color="auto"/>
            <w:right w:val="none" w:sz="0" w:space="0" w:color="auto"/>
          </w:divBdr>
          <w:divsChild>
            <w:div w:id="857694756">
              <w:marLeft w:val="0"/>
              <w:marRight w:val="0"/>
              <w:marTop w:val="0"/>
              <w:marBottom w:val="0"/>
              <w:divBdr>
                <w:top w:val="none" w:sz="0" w:space="0" w:color="auto"/>
                <w:left w:val="none" w:sz="0" w:space="0" w:color="auto"/>
                <w:bottom w:val="none" w:sz="0" w:space="0" w:color="auto"/>
                <w:right w:val="none" w:sz="0" w:space="0" w:color="auto"/>
              </w:divBdr>
            </w:div>
          </w:divsChild>
        </w:div>
        <w:div w:id="721714357">
          <w:marLeft w:val="0"/>
          <w:marRight w:val="0"/>
          <w:marTop w:val="0"/>
          <w:marBottom w:val="0"/>
          <w:divBdr>
            <w:top w:val="none" w:sz="0" w:space="0" w:color="auto"/>
            <w:left w:val="none" w:sz="0" w:space="0" w:color="auto"/>
            <w:bottom w:val="none" w:sz="0" w:space="0" w:color="auto"/>
            <w:right w:val="none" w:sz="0" w:space="0" w:color="auto"/>
          </w:divBdr>
          <w:divsChild>
            <w:div w:id="1473402113">
              <w:marLeft w:val="0"/>
              <w:marRight w:val="0"/>
              <w:marTop w:val="0"/>
              <w:marBottom w:val="0"/>
              <w:divBdr>
                <w:top w:val="none" w:sz="0" w:space="0" w:color="auto"/>
                <w:left w:val="none" w:sz="0" w:space="0" w:color="auto"/>
                <w:bottom w:val="none" w:sz="0" w:space="0" w:color="auto"/>
                <w:right w:val="none" w:sz="0" w:space="0" w:color="auto"/>
              </w:divBdr>
            </w:div>
          </w:divsChild>
        </w:div>
        <w:div w:id="1504708652">
          <w:marLeft w:val="0"/>
          <w:marRight w:val="0"/>
          <w:marTop w:val="0"/>
          <w:marBottom w:val="0"/>
          <w:divBdr>
            <w:top w:val="none" w:sz="0" w:space="0" w:color="auto"/>
            <w:left w:val="none" w:sz="0" w:space="0" w:color="auto"/>
            <w:bottom w:val="none" w:sz="0" w:space="0" w:color="auto"/>
            <w:right w:val="none" w:sz="0" w:space="0" w:color="auto"/>
          </w:divBdr>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31899532">
      <w:bodyDiv w:val="1"/>
      <w:marLeft w:val="0"/>
      <w:marRight w:val="0"/>
      <w:marTop w:val="0"/>
      <w:marBottom w:val="0"/>
      <w:divBdr>
        <w:top w:val="none" w:sz="0" w:space="0" w:color="auto"/>
        <w:left w:val="none" w:sz="0" w:space="0" w:color="auto"/>
        <w:bottom w:val="none" w:sz="0" w:space="0" w:color="auto"/>
        <w:right w:val="none" w:sz="0" w:space="0" w:color="auto"/>
      </w:divBdr>
    </w:div>
    <w:div w:id="498736342">
      <w:bodyDiv w:val="1"/>
      <w:marLeft w:val="0"/>
      <w:marRight w:val="0"/>
      <w:marTop w:val="0"/>
      <w:marBottom w:val="0"/>
      <w:divBdr>
        <w:top w:val="none" w:sz="0" w:space="0" w:color="auto"/>
        <w:left w:val="none" w:sz="0" w:space="0" w:color="auto"/>
        <w:bottom w:val="none" w:sz="0" w:space="0" w:color="auto"/>
        <w:right w:val="none" w:sz="0" w:space="0" w:color="auto"/>
      </w:divBdr>
    </w:div>
    <w:div w:id="592738573">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83482732">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45175889">
      <w:bodyDiv w:val="1"/>
      <w:marLeft w:val="0"/>
      <w:marRight w:val="0"/>
      <w:marTop w:val="0"/>
      <w:marBottom w:val="0"/>
      <w:divBdr>
        <w:top w:val="none" w:sz="0" w:space="0" w:color="auto"/>
        <w:left w:val="none" w:sz="0" w:space="0" w:color="auto"/>
        <w:bottom w:val="none" w:sz="0" w:space="0" w:color="auto"/>
        <w:right w:val="none" w:sz="0" w:space="0" w:color="auto"/>
      </w:divBdr>
    </w:div>
    <w:div w:id="882058164">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58230056">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235046573">
      <w:bodyDiv w:val="1"/>
      <w:marLeft w:val="0"/>
      <w:marRight w:val="0"/>
      <w:marTop w:val="0"/>
      <w:marBottom w:val="0"/>
      <w:divBdr>
        <w:top w:val="none" w:sz="0" w:space="0" w:color="auto"/>
        <w:left w:val="none" w:sz="0" w:space="0" w:color="auto"/>
        <w:bottom w:val="none" w:sz="0" w:space="0" w:color="auto"/>
        <w:right w:val="none" w:sz="0" w:space="0" w:color="auto"/>
      </w:divBdr>
      <w:divsChild>
        <w:div w:id="616181935">
          <w:marLeft w:val="0"/>
          <w:marRight w:val="0"/>
          <w:marTop w:val="0"/>
          <w:marBottom w:val="0"/>
          <w:divBdr>
            <w:top w:val="none" w:sz="0" w:space="0" w:color="auto"/>
            <w:left w:val="none" w:sz="0" w:space="0" w:color="auto"/>
            <w:bottom w:val="none" w:sz="0" w:space="0" w:color="auto"/>
            <w:right w:val="none" w:sz="0" w:space="0" w:color="auto"/>
          </w:divBdr>
          <w:divsChild>
            <w:div w:id="1806192246">
              <w:marLeft w:val="0"/>
              <w:marRight w:val="0"/>
              <w:marTop w:val="0"/>
              <w:marBottom w:val="0"/>
              <w:divBdr>
                <w:top w:val="none" w:sz="0" w:space="0" w:color="auto"/>
                <w:left w:val="none" w:sz="0" w:space="0" w:color="auto"/>
                <w:bottom w:val="none" w:sz="0" w:space="0" w:color="auto"/>
                <w:right w:val="none" w:sz="0" w:space="0" w:color="auto"/>
              </w:divBdr>
              <w:divsChild>
                <w:div w:id="1673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337342665">
      <w:bodyDiv w:val="1"/>
      <w:marLeft w:val="0"/>
      <w:marRight w:val="0"/>
      <w:marTop w:val="0"/>
      <w:marBottom w:val="0"/>
      <w:divBdr>
        <w:top w:val="none" w:sz="0" w:space="0" w:color="auto"/>
        <w:left w:val="none" w:sz="0" w:space="0" w:color="auto"/>
        <w:bottom w:val="none" w:sz="0" w:space="0" w:color="auto"/>
        <w:right w:val="none" w:sz="0" w:space="0" w:color="auto"/>
      </w:divBdr>
    </w:div>
    <w:div w:id="1342471745">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73428524">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912494778">
      <w:bodyDiv w:val="1"/>
      <w:marLeft w:val="0"/>
      <w:marRight w:val="0"/>
      <w:marTop w:val="0"/>
      <w:marBottom w:val="0"/>
      <w:divBdr>
        <w:top w:val="none" w:sz="0" w:space="0" w:color="auto"/>
        <w:left w:val="none" w:sz="0" w:space="0" w:color="auto"/>
        <w:bottom w:val="none" w:sz="0" w:space="0" w:color="auto"/>
        <w:right w:val="none" w:sz="0" w:space="0" w:color="auto"/>
      </w:divBdr>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97031444">
      <w:bodyDiv w:val="1"/>
      <w:marLeft w:val="0"/>
      <w:marRight w:val="0"/>
      <w:marTop w:val="0"/>
      <w:marBottom w:val="0"/>
      <w:divBdr>
        <w:top w:val="none" w:sz="0" w:space="0" w:color="auto"/>
        <w:left w:val="none" w:sz="0" w:space="0" w:color="auto"/>
        <w:bottom w:val="none" w:sz="0" w:space="0" w:color="auto"/>
        <w:right w:val="none" w:sz="0" w:space="0" w:color="auto"/>
      </w:divBdr>
      <w:divsChild>
        <w:div w:id="457382570">
          <w:marLeft w:val="0"/>
          <w:marRight w:val="0"/>
          <w:marTop w:val="0"/>
          <w:marBottom w:val="0"/>
          <w:divBdr>
            <w:top w:val="none" w:sz="0" w:space="0" w:color="auto"/>
            <w:left w:val="none" w:sz="0" w:space="0" w:color="auto"/>
            <w:bottom w:val="none" w:sz="0" w:space="0" w:color="auto"/>
            <w:right w:val="none" w:sz="0" w:space="0" w:color="auto"/>
          </w:divBdr>
        </w:div>
      </w:divsChild>
    </w:div>
    <w:div w:id="2056613987">
      <w:bodyDiv w:val="1"/>
      <w:marLeft w:val="0"/>
      <w:marRight w:val="0"/>
      <w:marTop w:val="0"/>
      <w:marBottom w:val="0"/>
      <w:divBdr>
        <w:top w:val="none" w:sz="0" w:space="0" w:color="auto"/>
        <w:left w:val="none" w:sz="0" w:space="0" w:color="auto"/>
        <w:bottom w:val="none" w:sz="0" w:space="0" w:color="auto"/>
        <w:right w:val="none" w:sz="0" w:space="0" w:color="auto"/>
      </w:divBdr>
      <w:divsChild>
        <w:div w:id="993338300">
          <w:marLeft w:val="0"/>
          <w:marRight w:val="0"/>
          <w:marTop w:val="0"/>
          <w:marBottom w:val="0"/>
          <w:divBdr>
            <w:top w:val="none" w:sz="0" w:space="0" w:color="auto"/>
            <w:left w:val="none" w:sz="0" w:space="0" w:color="auto"/>
            <w:bottom w:val="none" w:sz="0" w:space="0" w:color="auto"/>
            <w:right w:val="none" w:sz="0" w:space="0" w:color="auto"/>
          </w:divBdr>
        </w:div>
      </w:divsChild>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45540221">
      <w:bodyDiv w:val="1"/>
      <w:marLeft w:val="0"/>
      <w:marRight w:val="0"/>
      <w:marTop w:val="0"/>
      <w:marBottom w:val="0"/>
      <w:divBdr>
        <w:top w:val="none" w:sz="0" w:space="0" w:color="auto"/>
        <w:left w:val="none" w:sz="0" w:space="0" w:color="auto"/>
        <w:bottom w:val="none" w:sz="0" w:space="0" w:color="auto"/>
        <w:right w:val="none" w:sz="0" w:space="0" w:color="auto"/>
      </w:divBdr>
      <w:divsChild>
        <w:div w:id="599337156">
          <w:marLeft w:val="0"/>
          <w:marRight w:val="0"/>
          <w:marTop w:val="0"/>
          <w:marBottom w:val="0"/>
          <w:divBdr>
            <w:top w:val="none" w:sz="0" w:space="0" w:color="auto"/>
            <w:left w:val="none" w:sz="0" w:space="0" w:color="auto"/>
            <w:bottom w:val="none" w:sz="0" w:space="0" w:color="auto"/>
            <w:right w:val="none" w:sz="0" w:space="0" w:color="auto"/>
          </w:divBdr>
          <w:divsChild>
            <w:div w:id="1886133765">
              <w:marLeft w:val="0"/>
              <w:marRight w:val="0"/>
              <w:marTop w:val="0"/>
              <w:marBottom w:val="0"/>
              <w:divBdr>
                <w:top w:val="none" w:sz="0" w:space="0" w:color="auto"/>
                <w:left w:val="none" w:sz="0" w:space="0" w:color="auto"/>
                <w:bottom w:val="none" w:sz="0" w:space="0" w:color="auto"/>
                <w:right w:val="none" w:sz="0" w:space="0" w:color="auto"/>
              </w:divBdr>
            </w:div>
          </w:divsChild>
        </w:div>
        <w:div w:id="455560901">
          <w:marLeft w:val="0"/>
          <w:marRight w:val="0"/>
          <w:marTop w:val="0"/>
          <w:marBottom w:val="0"/>
          <w:divBdr>
            <w:top w:val="none" w:sz="0" w:space="0" w:color="auto"/>
            <w:left w:val="none" w:sz="0" w:space="0" w:color="auto"/>
            <w:bottom w:val="none" w:sz="0" w:space="0" w:color="auto"/>
            <w:right w:val="none" w:sz="0" w:space="0" w:color="auto"/>
          </w:divBdr>
          <w:divsChild>
            <w:div w:id="1474366145">
              <w:marLeft w:val="0"/>
              <w:marRight w:val="0"/>
              <w:marTop w:val="0"/>
              <w:marBottom w:val="0"/>
              <w:divBdr>
                <w:top w:val="none" w:sz="0" w:space="0" w:color="auto"/>
                <w:left w:val="none" w:sz="0" w:space="0" w:color="auto"/>
                <w:bottom w:val="none" w:sz="0" w:space="0" w:color="auto"/>
                <w:right w:val="none" w:sz="0" w:space="0" w:color="auto"/>
              </w:divBdr>
              <w:divsChild>
                <w:div w:id="1983386007">
                  <w:marLeft w:val="0"/>
                  <w:marRight w:val="0"/>
                  <w:marTop w:val="0"/>
                  <w:marBottom w:val="0"/>
                  <w:divBdr>
                    <w:top w:val="none" w:sz="0" w:space="0" w:color="auto"/>
                    <w:left w:val="none" w:sz="0" w:space="0" w:color="auto"/>
                    <w:bottom w:val="none" w:sz="0" w:space="0" w:color="auto"/>
                    <w:right w:val="none" w:sz="0" w:space="0" w:color="auto"/>
                  </w:divBdr>
                </w:div>
              </w:divsChild>
            </w:div>
            <w:div w:id="1435781900">
              <w:marLeft w:val="0"/>
              <w:marRight w:val="0"/>
              <w:marTop w:val="0"/>
              <w:marBottom w:val="0"/>
              <w:divBdr>
                <w:top w:val="none" w:sz="0" w:space="0" w:color="auto"/>
                <w:left w:val="none" w:sz="0" w:space="0" w:color="auto"/>
                <w:bottom w:val="none" w:sz="0" w:space="0" w:color="auto"/>
                <w:right w:val="none" w:sz="0" w:space="0" w:color="auto"/>
              </w:divBdr>
              <w:divsChild>
                <w:div w:id="511605375">
                  <w:marLeft w:val="0"/>
                  <w:marRight w:val="0"/>
                  <w:marTop w:val="0"/>
                  <w:marBottom w:val="0"/>
                  <w:divBdr>
                    <w:top w:val="none" w:sz="0" w:space="0" w:color="auto"/>
                    <w:left w:val="none" w:sz="0" w:space="0" w:color="auto"/>
                    <w:bottom w:val="none" w:sz="0" w:space="0" w:color="auto"/>
                    <w:right w:val="none" w:sz="0" w:space="0" w:color="auto"/>
                  </w:divBdr>
                  <w:divsChild>
                    <w:div w:id="641234986">
                      <w:marLeft w:val="0"/>
                      <w:marRight w:val="0"/>
                      <w:marTop w:val="0"/>
                      <w:marBottom w:val="0"/>
                      <w:divBdr>
                        <w:top w:val="none" w:sz="0" w:space="0" w:color="auto"/>
                        <w:left w:val="none" w:sz="0" w:space="0" w:color="auto"/>
                        <w:bottom w:val="none" w:sz="0" w:space="0" w:color="auto"/>
                        <w:right w:val="none" w:sz="0" w:space="0" w:color="auto"/>
                      </w:divBdr>
                    </w:div>
                  </w:divsChild>
                </w:div>
                <w:div w:id="187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2021-03-29T21:16:00Z</cp:lastPrinted>
  <dcterms:created xsi:type="dcterms:W3CDTF">2021-04-28T21:46:00Z</dcterms:created>
  <dcterms:modified xsi:type="dcterms:W3CDTF">2021-04-28T21:46:00Z</dcterms:modified>
</cp:coreProperties>
</file>